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4F9259"/>
    <w:p w14:paraId="1FBA8E0C"/>
    <w:p w14:paraId="0BAD9F43"/>
    <w:p w14:paraId="69190580"/>
    <w:p w14:paraId="664B15AB">
      <w:r>
        <w:drawing>
          <wp:anchor distT="0" distB="0" distL="114300" distR="114300" simplePos="0" relativeHeight="251660288" behindDoc="0" locked="0" layoutInCell="1" allowOverlap="1">
            <wp:simplePos x="0" y="0"/>
            <wp:positionH relativeFrom="page">
              <wp:posOffset>304800</wp:posOffset>
            </wp:positionH>
            <wp:positionV relativeFrom="paragraph">
              <wp:posOffset>-130810</wp:posOffset>
            </wp:positionV>
            <wp:extent cx="3459480" cy="813435"/>
            <wp:effectExtent l="0" t="0" r="0" b="9525"/>
            <wp:wrapNone/>
            <wp:docPr id="264" name="图片 2"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 descr="说明: 中国南方电网公司---横向标准组合"/>
                    <pic:cNvPicPr>
                      <a:picLocks noChangeAspect="1"/>
                    </pic:cNvPicPr>
                  </pic:nvPicPr>
                  <pic:blipFill>
                    <a:blip r:embed="rId6"/>
                    <a:stretch>
                      <a:fillRect/>
                    </a:stretch>
                  </pic:blipFill>
                  <pic:spPr>
                    <a:xfrm>
                      <a:off x="0" y="0"/>
                      <a:ext cx="3459480" cy="813435"/>
                    </a:xfrm>
                    <a:prstGeom prst="rect">
                      <a:avLst/>
                    </a:prstGeom>
                    <a:noFill/>
                    <a:ln>
                      <a:noFill/>
                    </a:ln>
                  </pic:spPr>
                </pic:pic>
              </a:graphicData>
            </a:graphic>
          </wp:anchor>
        </w:drawing>
      </w:r>
      <w:r>
        <w:drawing>
          <wp:anchor distT="0" distB="0" distL="114300" distR="114300" simplePos="0" relativeHeight="251659264" behindDoc="1" locked="0" layoutInCell="1" allowOverlap="1">
            <wp:simplePos x="0" y="0"/>
            <wp:positionH relativeFrom="page">
              <wp:posOffset>-8890</wp:posOffset>
            </wp:positionH>
            <wp:positionV relativeFrom="paragraph">
              <wp:posOffset>-2296795</wp:posOffset>
            </wp:positionV>
            <wp:extent cx="7569835" cy="7791450"/>
            <wp:effectExtent l="0" t="0" r="4445" b="11430"/>
            <wp:wrapNone/>
            <wp:docPr id="263" name="图片 7"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7"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p>
    <w:p w14:paraId="6B083D8A"/>
    <w:p w14:paraId="38B41B4C"/>
    <w:p w14:paraId="77296A7C">
      <w:r>
        <mc:AlternateContent>
          <mc:Choice Requires="wps">
            <w:drawing>
              <wp:anchor distT="0" distB="0" distL="114300" distR="114300" simplePos="0" relativeHeight="251661312" behindDoc="0" locked="0" layoutInCell="1" allowOverlap="1">
                <wp:simplePos x="0" y="0"/>
                <wp:positionH relativeFrom="margin">
                  <wp:posOffset>-287020</wp:posOffset>
                </wp:positionH>
                <wp:positionV relativeFrom="paragraph">
                  <wp:posOffset>269875</wp:posOffset>
                </wp:positionV>
                <wp:extent cx="5913120" cy="1588770"/>
                <wp:effectExtent l="0" t="0" r="0" b="0"/>
                <wp:wrapNone/>
                <wp:docPr id="266" name="矩形 3"/>
                <wp:cNvGraphicFramePr/>
                <a:graphic xmlns:a="http://schemas.openxmlformats.org/drawingml/2006/main">
                  <a:graphicData uri="http://schemas.microsoft.com/office/word/2010/wordprocessingShape">
                    <wps:wsp>
                      <wps:cNvSpPr/>
                      <wps:spPr>
                        <a:xfrm>
                          <a:off x="0" y="0"/>
                          <a:ext cx="5913120" cy="1588770"/>
                        </a:xfrm>
                        <a:prstGeom prst="rect">
                          <a:avLst/>
                        </a:prstGeom>
                        <a:noFill/>
                        <a:ln>
                          <a:noFill/>
                        </a:ln>
                      </wps:spPr>
                      <wps:txbx>
                        <w:txbxContent>
                          <w:p w14:paraId="697D4CB5">
                            <w:pPr>
                              <w:jc w:val="center"/>
                              <w:rPr>
                                <w:b/>
                                <w:bCs/>
                                <w:sz w:val="52"/>
                                <w:szCs w:val="52"/>
                              </w:rPr>
                            </w:pPr>
                            <w:bookmarkStart w:id="31" w:name="TXT_09B98C3489C3EB1154979B7B4B28ECF7_1"/>
                            <w:r>
                              <w:rPr>
                                <w:rFonts w:hint="eastAsia"/>
                                <w:b/>
                                <w:bCs/>
                                <w:sz w:val="52"/>
                                <w:szCs w:val="52"/>
                              </w:rPr>
                              <w:t>广东电力通信科技有限公司</w:t>
                            </w:r>
                          </w:p>
                          <w:bookmarkEnd w:id="31"/>
                          <w:p w14:paraId="1045C35C">
                            <w:pPr>
                              <w:jc w:val="center"/>
                              <w:rPr>
                                <w:b/>
                                <w:bCs/>
                                <w:sz w:val="52"/>
                                <w:szCs w:val="52"/>
                              </w:rPr>
                            </w:pPr>
                            <w:r>
                              <w:rPr>
                                <w:rFonts w:hint="eastAsia"/>
                                <w:b/>
                                <w:bCs/>
                                <w:sz w:val="52"/>
                                <w:szCs w:val="52"/>
                              </w:rPr>
                              <w:t>2025年存储设备及安全资源框架采购</w:t>
                            </w: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矩形 3" o:spid="_x0000_s1026" o:spt="1" style="position:absolute;left:0pt;margin-left:-22.6pt;margin-top:21.25pt;height:125.1pt;width:465.6pt;mso-position-horizontal-relative:margin;z-index:251661312;mso-width-relative:page;mso-height-relative:page;" filled="f" stroked="f" coordsize="21600,21600" o:gfxdata="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aPKW9wAAAAKAQAADwAAAAAAAAAB&#10;ACAAAAAiAAAAZHJzL2Rvd25yZXYueG1sUEsBAhQAFAAAAAgAh07iQGxWZl4MAgAADwQAAA4AAAAA&#10;AAAAAQAgAAAAKwEAAGRycy9lMm9Eb2MueG1sUEsFBgAAAAAGAAYAWQEAAKkFAAAAAA==&#10;">
                <v:fill on="f" focussize="0,0"/>
                <v:stroke on="f"/>
                <v:imagedata o:title=""/>
                <o:lock v:ext="edit" aspectratio="f"/>
                <v:textbox>
                  <w:txbxContent>
                    <w:p w14:paraId="697D4CB5">
                      <w:pPr>
                        <w:jc w:val="center"/>
                        <w:rPr>
                          <w:b/>
                          <w:bCs/>
                          <w:sz w:val="52"/>
                          <w:szCs w:val="52"/>
                        </w:rPr>
                      </w:pPr>
                      <w:bookmarkStart w:id="31" w:name="TXT_09B98C3489C3EB1154979B7B4B28ECF7_1"/>
                      <w:r>
                        <w:rPr>
                          <w:rFonts w:hint="eastAsia"/>
                          <w:b/>
                          <w:bCs/>
                          <w:sz w:val="52"/>
                          <w:szCs w:val="52"/>
                        </w:rPr>
                        <w:t>广东电力通信科技有限公司</w:t>
                      </w:r>
                    </w:p>
                    <w:bookmarkEnd w:id="31"/>
                    <w:p w14:paraId="1045C35C">
                      <w:pPr>
                        <w:jc w:val="center"/>
                        <w:rPr>
                          <w:b/>
                          <w:bCs/>
                          <w:sz w:val="52"/>
                          <w:szCs w:val="52"/>
                        </w:rPr>
                      </w:pPr>
                      <w:r>
                        <w:rPr>
                          <w:rFonts w:hint="eastAsia"/>
                          <w:b/>
                          <w:bCs/>
                          <w:sz w:val="52"/>
                          <w:szCs w:val="52"/>
                        </w:rPr>
                        <w:t>2025年存储设备及安全资源框架采购</w:t>
                      </w:r>
                    </w:p>
                  </w:txbxContent>
                </v:textbox>
              </v:rect>
            </w:pict>
          </mc:Fallback>
        </mc:AlternateContent>
      </w:r>
    </w:p>
    <w:p w14:paraId="17764670"/>
    <w:p w14:paraId="3A0EBF95">
      <w:pPr>
        <w:pStyle w:val="15"/>
      </w:pPr>
    </w:p>
    <w:p w14:paraId="651035B9"/>
    <w:p w14:paraId="68599C67"/>
    <w:p w14:paraId="4CBE499C"/>
    <w:p w14:paraId="67E9BDC5"/>
    <w:p w14:paraId="71C32A90">
      <w:r>
        <mc:AlternateContent>
          <mc:Choice Requires="wps">
            <w:drawing>
              <wp:anchor distT="0" distB="0" distL="114300" distR="114300" simplePos="0" relativeHeight="251662336" behindDoc="0" locked="0" layoutInCell="1" allowOverlap="1">
                <wp:simplePos x="0" y="0"/>
                <wp:positionH relativeFrom="margin">
                  <wp:posOffset>2273300</wp:posOffset>
                </wp:positionH>
                <wp:positionV relativeFrom="paragraph">
                  <wp:posOffset>98425</wp:posOffset>
                </wp:positionV>
                <wp:extent cx="2946400" cy="916305"/>
                <wp:effectExtent l="0" t="0" r="0" b="0"/>
                <wp:wrapNone/>
                <wp:docPr id="268" name="文本框 2"/>
                <wp:cNvGraphicFramePr/>
                <a:graphic xmlns:a="http://schemas.openxmlformats.org/drawingml/2006/main">
                  <a:graphicData uri="http://schemas.microsoft.com/office/word/2010/wordprocessingShape">
                    <wps:wsp>
                      <wps:cNvSpPr/>
                      <wps:spPr>
                        <a:xfrm>
                          <a:off x="0" y="0"/>
                          <a:ext cx="2946400" cy="916305"/>
                        </a:xfrm>
                        <a:prstGeom prst="rect">
                          <a:avLst/>
                        </a:prstGeom>
                        <a:noFill/>
                        <a:ln>
                          <a:noFill/>
                        </a:ln>
                      </wps:spPr>
                      <wps:txbx>
                        <w:txbxContent>
                          <w:p w14:paraId="328368A8">
                            <w:pPr>
                              <w:jc w:val="center"/>
                              <w:rPr>
                                <w:b/>
                                <w:bCs/>
                                <w:sz w:val="40"/>
                                <w:szCs w:val="40"/>
                              </w:rPr>
                            </w:pPr>
                            <w:r>
                              <w:rPr>
                                <w:rFonts w:hint="eastAsia"/>
                                <w:b/>
                                <w:bCs/>
                                <w:sz w:val="40"/>
                                <w:szCs w:val="40"/>
                              </w:rPr>
                              <w:t>技术规范书</w:t>
                            </w: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文本框 2" o:spid="_x0000_s1026" o:spt="1" style="position:absolute;left:0pt;margin-left:179pt;margin-top:7.75pt;height:72.15pt;width:232pt;mso-position-horizontal-relative:margin;z-index:251662336;mso-width-relative:page;mso-height-relative:page;" filled="f" stroked="f" coordsize="21600,21600" o:gfxdata="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537u62QAAAAoBAAAPAAAAAAAAAAEA&#10;IAAAACIAAABkcnMvZG93bnJldi54bWxQSwECFAAUAAAACACHTuJAWqIU9w4CAAARBAAADgAAAAAA&#10;AAABACAAAAAoAQAAZHJzL2Uyb0RvYy54bWxQSwUGAAAAAAYABgBZAQAAqAUAAAAA&#10;">
                <v:fill on="f" focussize="0,0"/>
                <v:stroke on="f"/>
                <v:imagedata o:title=""/>
                <o:lock v:ext="edit" aspectratio="f"/>
                <v:textbox>
                  <w:txbxContent>
                    <w:p w14:paraId="328368A8">
                      <w:pPr>
                        <w:jc w:val="center"/>
                        <w:rPr>
                          <w:b/>
                          <w:bCs/>
                          <w:sz w:val="40"/>
                          <w:szCs w:val="40"/>
                        </w:rPr>
                      </w:pPr>
                      <w:r>
                        <w:rPr>
                          <w:rFonts w:hint="eastAsia"/>
                          <w:b/>
                          <w:bCs/>
                          <w:sz w:val="40"/>
                          <w:szCs w:val="40"/>
                        </w:rPr>
                        <w:t>技术规范书</w:t>
                      </w:r>
                    </w:p>
                  </w:txbxContent>
                </v:textbox>
              </v:rect>
            </w:pict>
          </mc:Fallback>
        </mc:AlternateContent>
      </w:r>
    </w:p>
    <w:p w14:paraId="1CED7466"/>
    <w:p w14:paraId="07D59196"/>
    <w:p w14:paraId="070B6D18"/>
    <w:p w14:paraId="6F51607A"/>
    <w:p w14:paraId="21274F5F"/>
    <w:p w14:paraId="0491AC90"/>
    <w:p w14:paraId="71E562C8">
      <w:r>
        <w:br w:type="page"/>
      </w:r>
      <w:r>
        <mc:AlternateContent>
          <mc:Choice Requires="wps">
            <w:drawing>
              <wp:anchor distT="0" distB="0" distL="114300" distR="114300" simplePos="0" relativeHeight="251663360" behindDoc="0" locked="0" layoutInCell="1" allowOverlap="1">
                <wp:simplePos x="0" y="0"/>
                <wp:positionH relativeFrom="margin">
                  <wp:posOffset>93345</wp:posOffset>
                </wp:positionH>
                <wp:positionV relativeFrom="paragraph">
                  <wp:posOffset>1567180</wp:posOffset>
                </wp:positionV>
                <wp:extent cx="5024120" cy="1252220"/>
                <wp:effectExtent l="0" t="0" r="0" b="0"/>
                <wp:wrapNone/>
                <wp:docPr id="267" name="矩形 5"/>
                <wp:cNvGraphicFramePr/>
                <a:graphic xmlns:a="http://schemas.openxmlformats.org/drawingml/2006/main">
                  <a:graphicData uri="http://schemas.microsoft.com/office/word/2010/wordprocessingShape">
                    <wps:wsp>
                      <wps:cNvSpPr/>
                      <wps:spPr>
                        <a:xfrm>
                          <a:off x="0" y="0"/>
                          <a:ext cx="5024120" cy="1252220"/>
                        </a:xfrm>
                        <a:prstGeom prst="rect">
                          <a:avLst/>
                        </a:prstGeom>
                        <a:noFill/>
                        <a:ln>
                          <a:noFill/>
                        </a:ln>
                      </wps:spPr>
                      <wps:txbx>
                        <w:txbxContent>
                          <w:p w14:paraId="57729428">
                            <w:pPr>
                              <w:jc w:val="center"/>
                              <w:rPr>
                                <w:b/>
                                <w:bCs/>
                                <w:sz w:val="28"/>
                                <w:szCs w:val="28"/>
                              </w:rPr>
                            </w:pPr>
                            <w:bookmarkStart w:id="32" w:name="TXT_600BB79FC4694713AD309179EEB39CA6_1"/>
                            <w:r>
                              <w:rPr>
                                <w:rFonts w:hint="eastAsia"/>
                                <w:b/>
                                <w:bCs/>
                                <w:sz w:val="28"/>
                                <w:szCs w:val="28"/>
                              </w:rPr>
                              <w:t>广东电力通信科技有限公司</w:t>
                            </w:r>
                          </w:p>
                          <w:p w14:paraId="499E652C">
                            <w:pPr>
                              <w:jc w:val="center"/>
                              <w:rPr>
                                <w:b/>
                                <w:bCs/>
                                <w:sz w:val="28"/>
                                <w:szCs w:val="28"/>
                              </w:rPr>
                            </w:pPr>
                            <w:r>
                              <w:rPr>
                                <w:rFonts w:hint="eastAsia"/>
                                <w:b/>
                                <w:bCs/>
                                <w:sz w:val="28"/>
                                <w:szCs w:val="28"/>
                              </w:rPr>
                              <w:t>2025-0</w:t>
                            </w:r>
                            <w:bookmarkEnd w:id="32"/>
                            <w:r>
                              <w:rPr>
                                <w:rFonts w:hint="eastAsia"/>
                                <w:b/>
                                <w:bCs/>
                                <w:sz w:val="28"/>
                                <w:szCs w:val="28"/>
                              </w:rPr>
                              <w:t>8</w:t>
                            </w: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矩形 5" o:spid="_x0000_s1026" o:spt="1" style="position:absolute;left:0pt;margin-left:7.35pt;margin-top:123.4pt;height:98.6pt;width:395.6pt;mso-position-horizontal-relative:margin;z-index:251663360;mso-width-relative:page;mso-height-relative:page;" filled="f" stroked="f" coordsize="21600,21600" o:gfxdata="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Ho3bLaAAAACgEAAA8AAAAAAAAAAQAgAAAA&#10;IgAAAGRycy9kb3ducmV2LnhtbFBLAQIUABQAAAAIAIdO4kBeSIp0CQIAAA8EAAAOAAAAAAAAAAEA&#10;IAAAACkBAABkcnMvZTJvRG9jLnhtbFBLBQYAAAAABgAGAFkBAACkBQAAAAA=&#10;">
                <v:fill on="f" focussize="0,0"/>
                <v:stroke on="f"/>
                <v:imagedata o:title=""/>
                <o:lock v:ext="edit" aspectratio="f"/>
                <v:textbox>
                  <w:txbxContent>
                    <w:p w14:paraId="57729428">
                      <w:pPr>
                        <w:jc w:val="center"/>
                        <w:rPr>
                          <w:b/>
                          <w:bCs/>
                          <w:sz w:val="28"/>
                          <w:szCs w:val="28"/>
                        </w:rPr>
                      </w:pPr>
                      <w:bookmarkStart w:id="32" w:name="TXT_600BB79FC4694713AD309179EEB39CA6_1"/>
                      <w:r>
                        <w:rPr>
                          <w:rFonts w:hint="eastAsia"/>
                          <w:b/>
                          <w:bCs/>
                          <w:sz w:val="28"/>
                          <w:szCs w:val="28"/>
                        </w:rPr>
                        <w:t>广东电力通信科技有限公司</w:t>
                      </w:r>
                    </w:p>
                    <w:p w14:paraId="499E652C">
                      <w:pPr>
                        <w:jc w:val="center"/>
                        <w:rPr>
                          <w:b/>
                          <w:bCs/>
                          <w:sz w:val="28"/>
                          <w:szCs w:val="28"/>
                        </w:rPr>
                      </w:pPr>
                      <w:r>
                        <w:rPr>
                          <w:rFonts w:hint="eastAsia"/>
                          <w:b/>
                          <w:bCs/>
                          <w:sz w:val="28"/>
                          <w:szCs w:val="28"/>
                        </w:rPr>
                        <w:t>2025-0</w:t>
                      </w:r>
                      <w:bookmarkEnd w:id="32"/>
                      <w:r>
                        <w:rPr>
                          <w:rFonts w:hint="eastAsia"/>
                          <w:b/>
                          <w:bCs/>
                          <w:sz w:val="28"/>
                          <w:szCs w:val="28"/>
                        </w:rPr>
                        <w:t>8</w:t>
                      </w:r>
                    </w:p>
                  </w:txbxContent>
                </v:textbox>
              </v:rect>
            </w:pict>
          </mc:Fallback>
        </mc:AlternateContent>
      </w:r>
    </w:p>
    <w:sdt>
      <w:sdtPr>
        <w:id w:val="147475286"/>
        <w:docPartObj>
          <w:docPartGallery w:val="Table of Contents"/>
          <w:docPartUnique/>
        </w:docPartObj>
      </w:sdtPr>
      <w:sdtContent>
        <w:p w14:paraId="077EC1B4">
          <w:pPr>
            <w:jc w:val="center"/>
          </w:pPr>
          <w:r>
            <w:rPr>
              <w:b/>
              <w:bCs/>
            </w:rPr>
            <w:t>目</w:t>
          </w:r>
          <w:r>
            <w:rPr>
              <w:rFonts w:hint="eastAsia"/>
              <w:b/>
              <w:bCs/>
            </w:rPr>
            <w:t xml:space="preserve"> </w:t>
          </w:r>
          <w:r>
            <w:rPr>
              <w:b/>
              <w:bCs/>
            </w:rPr>
            <w:t>录</w:t>
          </w:r>
        </w:p>
        <w:p w14:paraId="3BCF3CC5">
          <w:pPr>
            <w:pStyle w:val="22"/>
            <w:tabs>
              <w:tab w:val="right" w:leader="dot" w:pos="8306"/>
              <w:tab w:val="clear" w:pos="1050"/>
              <w:tab w:val="clear" w:pos="8296"/>
            </w:tabs>
          </w:pPr>
          <w:r>
            <w:fldChar w:fldCharType="begin"/>
          </w:r>
          <w:r>
            <w:instrText xml:space="preserve">TOC \o "1-3" \h \u </w:instrText>
          </w:r>
          <w:r>
            <w:fldChar w:fldCharType="separate"/>
          </w:r>
          <w:r>
            <w:fldChar w:fldCharType="begin"/>
          </w:r>
          <w:r>
            <w:instrText xml:space="preserve"> HYPERLINK \l _Toc20907 </w:instrText>
          </w:r>
          <w:r>
            <w:fldChar w:fldCharType="separate"/>
          </w:r>
          <w:r>
            <w:rPr>
              <w:rFonts w:hint="default" w:eastAsiaTheme="majorEastAsia"/>
              <w:i w:val="0"/>
            </w:rPr>
            <w:t xml:space="preserve">1 </w:t>
          </w:r>
          <w:r>
            <w:t>总则</w:t>
          </w:r>
          <w:r>
            <w:tab/>
          </w:r>
          <w:r>
            <w:fldChar w:fldCharType="begin"/>
          </w:r>
          <w:r>
            <w:instrText xml:space="preserve"> PAGEREF _Toc20907 \h </w:instrText>
          </w:r>
          <w:r>
            <w:fldChar w:fldCharType="separate"/>
          </w:r>
          <w:r>
            <w:t>3</w:t>
          </w:r>
          <w:r>
            <w:fldChar w:fldCharType="end"/>
          </w:r>
          <w:r>
            <w:fldChar w:fldCharType="end"/>
          </w:r>
        </w:p>
        <w:p w14:paraId="0CB834C0">
          <w:pPr>
            <w:pStyle w:val="23"/>
            <w:tabs>
              <w:tab w:val="right" w:leader="dot" w:pos="8306"/>
            </w:tabs>
          </w:pPr>
          <w:r>
            <w:fldChar w:fldCharType="begin"/>
          </w:r>
          <w:r>
            <w:instrText xml:space="preserve"> HYPERLINK \l _Toc16698 </w:instrText>
          </w:r>
          <w:r>
            <w:fldChar w:fldCharType="separate"/>
          </w:r>
          <w:r>
            <w:rPr>
              <w:rFonts w:hint="default" w:eastAsiaTheme="majorEastAsia"/>
              <w:i w:val="0"/>
            </w:rPr>
            <w:t xml:space="preserve">1.1 </w:t>
          </w:r>
          <w:r>
            <w:rPr>
              <w:rFonts w:hint="eastAsia"/>
            </w:rPr>
            <w:t>一般规定</w:t>
          </w:r>
          <w:r>
            <w:tab/>
          </w:r>
          <w:r>
            <w:fldChar w:fldCharType="begin"/>
          </w:r>
          <w:r>
            <w:instrText xml:space="preserve"> PAGEREF _Toc16698 \h </w:instrText>
          </w:r>
          <w:r>
            <w:fldChar w:fldCharType="separate"/>
          </w:r>
          <w:r>
            <w:t>3</w:t>
          </w:r>
          <w:r>
            <w:fldChar w:fldCharType="end"/>
          </w:r>
          <w:r>
            <w:fldChar w:fldCharType="end"/>
          </w:r>
        </w:p>
        <w:p w14:paraId="2855E060">
          <w:pPr>
            <w:pStyle w:val="23"/>
            <w:tabs>
              <w:tab w:val="right" w:leader="dot" w:pos="8306"/>
            </w:tabs>
          </w:pPr>
          <w:r>
            <w:fldChar w:fldCharType="begin"/>
          </w:r>
          <w:r>
            <w:instrText xml:space="preserve"> HYPERLINK \l _Toc18998 </w:instrText>
          </w:r>
          <w:r>
            <w:fldChar w:fldCharType="separate"/>
          </w:r>
          <w:r>
            <w:rPr>
              <w:rFonts w:hint="default" w:eastAsiaTheme="majorEastAsia"/>
              <w:i w:val="0"/>
            </w:rPr>
            <w:t xml:space="preserve">1.2 </w:t>
          </w:r>
          <w:r>
            <w:rPr>
              <w:rFonts w:hint="eastAsia"/>
            </w:rPr>
            <w:t>概述</w:t>
          </w:r>
          <w:r>
            <w:tab/>
          </w:r>
          <w:r>
            <w:fldChar w:fldCharType="begin"/>
          </w:r>
          <w:r>
            <w:instrText xml:space="preserve"> PAGEREF _Toc18998 \h </w:instrText>
          </w:r>
          <w:r>
            <w:fldChar w:fldCharType="separate"/>
          </w:r>
          <w:r>
            <w:t>3</w:t>
          </w:r>
          <w:r>
            <w:fldChar w:fldCharType="end"/>
          </w:r>
          <w:r>
            <w:fldChar w:fldCharType="end"/>
          </w:r>
        </w:p>
        <w:p w14:paraId="585C65B8">
          <w:pPr>
            <w:pStyle w:val="23"/>
            <w:tabs>
              <w:tab w:val="right" w:leader="dot" w:pos="8306"/>
            </w:tabs>
          </w:pPr>
          <w:r>
            <w:fldChar w:fldCharType="begin"/>
          </w:r>
          <w:r>
            <w:instrText xml:space="preserve"> HYPERLINK \l _Toc3131 </w:instrText>
          </w:r>
          <w:r>
            <w:fldChar w:fldCharType="separate"/>
          </w:r>
          <w:r>
            <w:rPr>
              <w:rFonts w:hint="default" w:eastAsiaTheme="majorEastAsia"/>
              <w:i w:val="0"/>
            </w:rPr>
            <w:t xml:space="preserve">1.3 </w:t>
          </w:r>
          <w:r>
            <w:rPr>
              <w:rFonts w:hint="eastAsia"/>
            </w:rPr>
            <w:t>采购范围</w:t>
          </w:r>
          <w:r>
            <w:tab/>
          </w:r>
          <w:r>
            <w:fldChar w:fldCharType="begin"/>
          </w:r>
          <w:r>
            <w:instrText xml:space="preserve"> PAGEREF _Toc3131 \h </w:instrText>
          </w:r>
          <w:r>
            <w:fldChar w:fldCharType="separate"/>
          </w:r>
          <w:r>
            <w:t>4</w:t>
          </w:r>
          <w:r>
            <w:fldChar w:fldCharType="end"/>
          </w:r>
          <w:r>
            <w:fldChar w:fldCharType="end"/>
          </w:r>
        </w:p>
        <w:p w14:paraId="60741011">
          <w:pPr>
            <w:pStyle w:val="23"/>
            <w:tabs>
              <w:tab w:val="right" w:leader="dot" w:pos="8306"/>
            </w:tabs>
          </w:pPr>
          <w:r>
            <w:fldChar w:fldCharType="begin"/>
          </w:r>
          <w:r>
            <w:instrText xml:space="preserve"> HYPERLINK \l _Toc17269 </w:instrText>
          </w:r>
          <w:r>
            <w:fldChar w:fldCharType="separate"/>
          </w:r>
          <w:r>
            <w:rPr>
              <w:rFonts w:hint="default" w:eastAsiaTheme="majorEastAsia"/>
              <w:i w:val="0"/>
            </w:rPr>
            <w:t xml:space="preserve">1.4 </w:t>
          </w:r>
          <w:r>
            <w:rPr>
              <w:rFonts w:hint="eastAsia"/>
            </w:rPr>
            <w:t>质量保证</w:t>
          </w:r>
          <w:r>
            <w:tab/>
          </w:r>
          <w:r>
            <w:fldChar w:fldCharType="begin"/>
          </w:r>
          <w:r>
            <w:instrText xml:space="preserve"> PAGEREF _Toc17269 \h </w:instrText>
          </w:r>
          <w:r>
            <w:fldChar w:fldCharType="separate"/>
          </w:r>
          <w:r>
            <w:t>4</w:t>
          </w:r>
          <w:r>
            <w:fldChar w:fldCharType="end"/>
          </w:r>
          <w:r>
            <w:fldChar w:fldCharType="end"/>
          </w:r>
        </w:p>
        <w:p w14:paraId="49E06823">
          <w:pPr>
            <w:pStyle w:val="23"/>
            <w:tabs>
              <w:tab w:val="right" w:leader="dot" w:pos="8306"/>
            </w:tabs>
          </w:pPr>
          <w:r>
            <w:fldChar w:fldCharType="begin"/>
          </w:r>
          <w:r>
            <w:instrText xml:space="preserve"> HYPERLINK \l _Toc10583 </w:instrText>
          </w:r>
          <w:r>
            <w:fldChar w:fldCharType="separate"/>
          </w:r>
          <w:r>
            <w:rPr>
              <w:rFonts w:hint="default" w:eastAsiaTheme="majorEastAsia"/>
              <w:i w:val="0"/>
            </w:rPr>
            <w:t xml:space="preserve">1.5 </w:t>
          </w:r>
          <w:r>
            <w:rPr>
              <w:rFonts w:hint="eastAsia"/>
            </w:rPr>
            <w:t>产品适用标准</w:t>
          </w:r>
          <w:r>
            <w:tab/>
          </w:r>
          <w:r>
            <w:fldChar w:fldCharType="begin"/>
          </w:r>
          <w:r>
            <w:instrText xml:space="preserve"> PAGEREF _Toc10583 \h </w:instrText>
          </w:r>
          <w:r>
            <w:fldChar w:fldCharType="separate"/>
          </w:r>
          <w:r>
            <w:t>5</w:t>
          </w:r>
          <w:r>
            <w:fldChar w:fldCharType="end"/>
          </w:r>
          <w:r>
            <w:fldChar w:fldCharType="end"/>
          </w:r>
        </w:p>
        <w:p w14:paraId="330253B5">
          <w:pPr>
            <w:pStyle w:val="22"/>
            <w:tabs>
              <w:tab w:val="right" w:leader="dot" w:pos="8306"/>
              <w:tab w:val="clear" w:pos="1050"/>
              <w:tab w:val="clear" w:pos="8296"/>
            </w:tabs>
          </w:pPr>
          <w:r>
            <w:fldChar w:fldCharType="begin"/>
          </w:r>
          <w:r>
            <w:instrText xml:space="preserve"> HYPERLINK \l _Toc2732 </w:instrText>
          </w:r>
          <w:r>
            <w:fldChar w:fldCharType="separate"/>
          </w:r>
          <w:r>
            <w:rPr>
              <w:rFonts w:hint="default" w:eastAsiaTheme="majorEastAsia"/>
              <w:i w:val="0"/>
            </w:rPr>
            <w:t xml:space="preserve">2 </w:t>
          </w:r>
          <w:r>
            <w:rPr>
              <w:rFonts w:hint="eastAsia"/>
            </w:rPr>
            <w:t>技术指标要求</w:t>
          </w:r>
          <w:r>
            <w:tab/>
          </w:r>
          <w:r>
            <w:fldChar w:fldCharType="begin"/>
          </w:r>
          <w:r>
            <w:instrText xml:space="preserve"> PAGEREF _Toc2732 \h </w:instrText>
          </w:r>
          <w:r>
            <w:fldChar w:fldCharType="separate"/>
          </w:r>
          <w:r>
            <w:t>5</w:t>
          </w:r>
          <w:r>
            <w:fldChar w:fldCharType="end"/>
          </w:r>
          <w:r>
            <w:fldChar w:fldCharType="end"/>
          </w:r>
        </w:p>
        <w:p w14:paraId="738657E9">
          <w:pPr>
            <w:pStyle w:val="23"/>
            <w:tabs>
              <w:tab w:val="right" w:leader="dot" w:pos="8306"/>
            </w:tabs>
          </w:pPr>
          <w:r>
            <w:fldChar w:fldCharType="begin"/>
          </w:r>
          <w:r>
            <w:instrText xml:space="preserve"> HYPERLINK \l _Toc19629 </w:instrText>
          </w:r>
          <w:r>
            <w:fldChar w:fldCharType="separate"/>
          </w:r>
          <w:r>
            <w:rPr>
              <w:rFonts w:hint="default" w:eastAsiaTheme="majorEastAsia"/>
              <w:i w:val="0"/>
            </w:rPr>
            <w:t xml:space="preserve">2.1 </w:t>
          </w:r>
          <w:r>
            <w:rPr>
              <w:rFonts w:hint="eastAsia"/>
            </w:rPr>
            <w:t>采购内容及设备配置要求</w:t>
          </w:r>
          <w:r>
            <w:tab/>
          </w:r>
          <w:r>
            <w:fldChar w:fldCharType="begin"/>
          </w:r>
          <w:r>
            <w:instrText xml:space="preserve"> PAGEREF _Toc19629 \h </w:instrText>
          </w:r>
          <w:r>
            <w:fldChar w:fldCharType="separate"/>
          </w:r>
          <w:r>
            <w:t>5</w:t>
          </w:r>
          <w:r>
            <w:fldChar w:fldCharType="end"/>
          </w:r>
          <w:r>
            <w:fldChar w:fldCharType="end"/>
          </w:r>
        </w:p>
        <w:p w14:paraId="4207EDB0">
          <w:pPr>
            <w:pStyle w:val="23"/>
            <w:tabs>
              <w:tab w:val="right" w:leader="dot" w:pos="8306"/>
            </w:tabs>
          </w:pPr>
          <w:r>
            <w:fldChar w:fldCharType="begin"/>
          </w:r>
          <w:r>
            <w:instrText xml:space="preserve"> HYPERLINK \l _Toc14300 </w:instrText>
          </w:r>
          <w:r>
            <w:fldChar w:fldCharType="separate"/>
          </w:r>
          <w:r>
            <w:rPr>
              <w:rFonts w:hint="default" w:eastAsiaTheme="majorEastAsia"/>
              <w:i w:val="0"/>
            </w:rPr>
            <w:t xml:space="preserve">2.2 </w:t>
          </w:r>
          <w:r>
            <w:rPr>
              <w:rFonts w:hint="eastAsia"/>
            </w:rPr>
            <w:t>产品技术要求</w:t>
          </w:r>
          <w:r>
            <w:tab/>
          </w:r>
          <w:r>
            <w:fldChar w:fldCharType="begin"/>
          </w:r>
          <w:r>
            <w:instrText xml:space="preserve"> PAGEREF _Toc14300 \h </w:instrText>
          </w:r>
          <w:r>
            <w:fldChar w:fldCharType="separate"/>
          </w:r>
          <w:r>
            <w:t>6</w:t>
          </w:r>
          <w:r>
            <w:fldChar w:fldCharType="end"/>
          </w:r>
          <w:r>
            <w:fldChar w:fldCharType="end"/>
          </w:r>
        </w:p>
        <w:p w14:paraId="57E351E7">
          <w:pPr>
            <w:pStyle w:val="18"/>
            <w:tabs>
              <w:tab w:val="right" w:leader="dot" w:pos="8306"/>
            </w:tabs>
          </w:pPr>
          <w:r>
            <w:fldChar w:fldCharType="begin"/>
          </w:r>
          <w:r>
            <w:instrText xml:space="preserve"> HYPERLINK \l _Toc31017 </w:instrText>
          </w:r>
          <w:r>
            <w:fldChar w:fldCharType="separate"/>
          </w:r>
          <w:r>
            <w:rPr>
              <w:rFonts w:hint="eastAsia"/>
            </w:rPr>
            <w:t>2.2.1 SSL-VPN网关</w:t>
          </w:r>
          <w:r>
            <w:tab/>
          </w:r>
          <w:r>
            <w:fldChar w:fldCharType="begin"/>
          </w:r>
          <w:r>
            <w:instrText xml:space="preserve"> PAGEREF _Toc31017 \h </w:instrText>
          </w:r>
          <w:r>
            <w:fldChar w:fldCharType="separate"/>
          </w:r>
          <w:r>
            <w:t>6</w:t>
          </w:r>
          <w:r>
            <w:fldChar w:fldCharType="end"/>
          </w:r>
          <w:r>
            <w:fldChar w:fldCharType="end"/>
          </w:r>
        </w:p>
        <w:p w14:paraId="0C1A3E52">
          <w:pPr>
            <w:pStyle w:val="18"/>
            <w:tabs>
              <w:tab w:val="right" w:leader="dot" w:pos="8306"/>
            </w:tabs>
          </w:pPr>
          <w:r>
            <w:fldChar w:fldCharType="begin"/>
          </w:r>
          <w:r>
            <w:instrText xml:space="preserve"> HYPERLINK \l _Toc10603 </w:instrText>
          </w:r>
          <w:r>
            <w:fldChar w:fldCharType="separate"/>
          </w:r>
          <w:r>
            <w:rPr>
              <w:rFonts w:hint="eastAsia"/>
            </w:rPr>
            <w:t>2.2.2 全流量分析系统</w:t>
          </w:r>
          <w:r>
            <w:tab/>
          </w:r>
          <w:r>
            <w:fldChar w:fldCharType="begin"/>
          </w:r>
          <w:r>
            <w:instrText xml:space="preserve"> PAGEREF _Toc10603 \h </w:instrText>
          </w:r>
          <w:r>
            <w:fldChar w:fldCharType="separate"/>
          </w:r>
          <w:r>
            <w:t>9</w:t>
          </w:r>
          <w:r>
            <w:fldChar w:fldCharType="end"/>
          </w:r>
          <w:r>
            <w:fldChar w:fldCharType="end"/>
          </w:r>
        </w:p>
        <w:p w14:paraId="2CC8FC29">
          <w:pPr>
            <w:pStyle w:val="18"/>
            <w:tabs>
              <w:tab w:val="right" w:leader="dot" w:pos="8306"/>
            </w:tabs>
          </w:pPr>
          <w:r>
            <w:fldChar w:fldCharType="begin"/>
          </w:r>
          <w:r>
            <w:instrText xml:space="preserve"> HYPERLINK \l _Toc1559 </w:instrText>
          </w:r>
          <w:r>
            <w:fldChar w:fldCharType="separate"/>
          </w:r>
          <w:r>
            <w:rPr>
              <w:rFonts w:hint="eastAsia"/>
            </w:rPr>
            <w:t>2.2.3 防病毒网关</w:t>
          </w:r>
          <w:r>
            <w:tab/>
          </w:r>
          <w:r>
            <w:fldChar w:fldCharType="begin"/>
          </w:r>
          <w:r>
            <w:instrText xml:space="preserve"> PAGEREF _Toc1559 \h </w:instrText>
          </w:r>
          <w:r>
            <w:fldChar w:fldCharType="separate"/>
          </w:r>
          <w:r>
            <w:t>13</w:t>
          </w:r>
          <w:r>
            <w:fldChar w:fldCharType="end"/>
          </w:r>
          <w:r>
            <w:fldChar w:fldCharType="end"/>
          </w:r>
        </w:p>
        <w:p w14:paraId="063F18A0">
          <w:pPr>
            <w:pStyle w:val="18"/>
            <w:tabs>
              <w:tab w:val="right" w:leader="dot" w:pos="8306"/>
            </w:tabs>
          </w:pPr>
          <w:r>
            <w:fldChar w:fldCharType="begin"/>
          </w:r>
          <w:r>
            <w:instrText xml:space="preserve"> HYPERLINK \l _Toc2539 </w:instrText>
          </w:r>
          <w:r>
            <w:fldChar w:fldCharType="separate"/>
          </w:r>
          <w:r>
            <w:rPr>
              <w:rFonts w:hint="eastAsia"/>
            </w:rPr>
            <w:t>2.2.4 安全运营管理平台</w:t>
          </w:r>
          <w:r>
            <w:tab/>
          </w:r>
          <w:r>
            <w:fldChar w:fldCharType="begin"/>
          </w:r>
          <w:r>
            <w:instrText xml:space="preserve"> PAGEREF _Toc2539 \h </w:instrText>
          </w:r>
          <w:r>
            <w:fldChar w:fldCharType="separate"/>
          </w:r>
          <w:r>
            <w:t>18</w:t>
          </w:r>
          <w:r>
            <w:fldChar w:fldCharType="end"/>
          </w:r>
          <w:r>
            <w:fldChar w:fldCharType="end"/>
          </w:r>
        </w:p>
        <w:p w14:paraId="0F57AFEC">
          <w:pPr>
            <w:pStyle w:val="18"/>
            <w:tabs>
              <w:tab w:val="right" w:leader="dot" w:pos="8306"/>
            </w:tabs>
          </w:pPr>
          <w:r>
            <w:fldChar w:fldCharType="begin"/>
          </w:r>
          <w:r>
            <w:instrText xml:space="preserve"> HYPERLINK \l _Toc19033 </w:instrText>
          </w:r>
          <w:r>
            <w:fldChar w:fldCharType="separate"/>
          </w:r>
          <w:r>
            <w:rPr>
              <w:rFonts w:hint="eastAsia"/>
            </w:rPr>
            <w:t>2.2.5 分布式存储</w:t>
          </w:r>
          <w:r>
            <w:tab/>
          </w:r>
          <w:r>
            <w:fldChar w:fldCharType="begin"/>
          </w:r>
          <w:r>
            <w:instrText xml:space="preserve"> PAGEREF _Toc19033 \h </w:instrText>
          </w:r>
          <w:r>
            <w:fldChar w:fldCharType="separate"/>
          </w:r>
          <w:r>
            <w:t>21</w:t>
          </w:r>
          <w:r>
            <w:fldChar w:fldCharType="end"/>
          </w:r>
          <w:r>
            <w:fldChar w:fldCharType="end"/>
          </w:r>
        </w:p>
        <w:p w14:paraId="74EF10F1">
          <w:pPr>
            <w:pStyle w:val="18"/>
            <w:tabs>
              <w:tab w:val="right" w:leader="dot" w:pos="8306"/>
            </w:tabs>
          </w:pPr>
          <w:r>
            <w:fldChar w:fldCharType="begin"/>
          </w:r>
          <w:r>
            <w:instrText xml:space="preserve"> HYPERLINK \l _Toc6403 </w:instrText>
          </w:r>
          <w:r>
            <w:fldChar w:fldCharType="separate"/>
          </w:r>
          <w:r>
            <w:rPr>
              <w:rFonts w:hint="eastAsia"/>
            </w:rPr>
            <w:t>2.2.6 正向隔离装置</w:t>
          </w:r>
          <w:r>
            <w:tab/>
          </w:r>
          <w:r>
            <w:fldChar w:fldCharType="begin"/>
          </w:r>
          <w:r>
            <w:instrText xml:space="preserve"> PAGEREF _Toc6403 \h </w:instrText>
          </w:r>
          <w:r>
            <w:fldChar w:fldCharType="separate"/>
          </w:r>
          <w:r>
            <w:t>23</w:t>
          </w:r>
          <w:r>
            <w:fldChar w:fldCharType="end"/>
          </w:r>
          <w:r>
            <w:fldChar w:fldCharType="end"/>
          </w:r>
        </w:p>
        <w:p w14:paraId="6A497DBD">
          <w:pPr>
            <w:pStyle w:val="18"/>
            <w:tabs>
              <w:tab w:val="right" w:leader="dot" w:pos="8306"/>
            </w:tabs>
          </w:pPr>
          <w:r>
            <w:fldChar w:fldCharType="begin"/>
          </w:r>
          <w:r>
            <w:instrText xml:space="preserve"> HYPERLINK \l _Toc25111 </w:instrText>
          </w:r>
          <w:r>
            <w:fldChar w:fldCharType="separate"/>
          </w:r>
          <w:r>
            <w:rPr>
              <w:rFonts w:hint="eastAsia"/>
            </w:rPr>
            <w:t>2.2.7 反向隔离装置</w:t>
          </w:r>
          <w:r>
            <w:tab/>
          </w:r>
          <w:r>
            <w:fldChar w:fldCharType="begin"/>
          </w:r>
          <w:r>
            <w:instrText xml:space="preserve"> PAGEREF _Toc25111 \h </w:instrText>
          </w:r>
          <w:r>
            <w:fldChar w:fldCharType="separate"/>
          </w:r>
          <w:r>
            <w:t>25</w:t>
          </w:r>
          <w:r>
            <w:fldChar w:fldCharType="end"/>
          </w:r>
          <w:r>
            <w:fldChar w:fldCharType="end"/>
          </w:r>
        </w:p>
        <w:p w14:paraId="750EC077">
          <w:pPr>
            <w:pStyle w:val="18"/>
            <w:tabs>
              <w:tab w:val="right" w:leader="dot" w:pos="8306"/>
            </w:tabs>
          </w:pPr>
          <w:r>
            <w:fldChar w:fldCharType="begin"/>
          </w:r>
          <w:r>
            <w:instrText xml:space="preserve"> HYPERLINK \l _Toc30931 </w:instrText>
          </w:r>
          <w:r>
            <w:fldChar w:fldCharType="separate"/>
          </w:r>
          <w:r>
            <w:rPr>
              <w:rFonts w:hint="eastAsia"/>
            </w:rPr>
            <w:t>2.2.8 纵向加密装置</w:t>
          </w:r>
          <w:r>
            <w:tab/>
          </w:r>
          <w:r>
            <w:fldChar w:fldCharType="begin"/>
          </w:r>
          <w:r>
            <w:instrText xml:space="preserve"> PAGEREF _Toc30931 \h </w:instrText>
          </w:r>
          <w:r>
            <w:fldChar w:fldCharType="separate"/>
          </w:r>
          <w:r>
            <w:t>27</w:t>
          </w:r>
          <w:r>
            <w:fldChar w:fldCharType="end"/>
          </w:r>
          <w:r>
            <w:fldChar w:fldCharType="end"/>
          </w:r>
        </w:p>
        <w:p w14:paraId="09826963">
          <w:pPr>
            <w:pStyle w:val="18"/>
            <w:tabs>
              <w:tab w:val="right" w:leader="dot" w:pos="8306"/>
            </w:tabs>
          </w:pPr>
          <w:r>
            <w:fldChar w:fldCharType="begin"/>
          </w:r>
          <w:r>
            <w:instrText xml:space="preserve"> HYPERLINK \l _Toc27429 </w:instrText>
          </w:r>
          <w:r>
            <w:fldChar w:fldCharType="separate"/>
          </w:r>
          <w:r>
            <w:rPr>
              <w:rFonts w:hint="eastAsia"/>
            </w:rPr>
            <w:t>2.2.9 WAF</w:t>
          </w:r>
          <w:r>
            <w:tab/>
          </w:r>
          <w:r>
            <w:fldChar w:fldCharType="begin"/>
          </w:r>
          <w:r>
            <w:instrText xml:space="preserve"> PAGEREF _Toc27429 \h </w:instrText>
          </w:r>
          <w:r>
            <w:fldChar w:fldCharType="separate"/>
          </w:r>
          <w:r>
            <w:t>29</w:t>
          </w:r>
          <w:r>
            <w:fldChar w:fldCharType="end"/>
          </w:r>
          <w:r>
            <w:fldChar w:fldCharType="end"/>
          </w:r>
        </w:p>
        <w:p w14:paraId="5444578A">
          <w:pPr>
            <w:pStyle w:val="18"/>
            <w:tabs>
              <w:tab w:val="right" w:leader="dot" w:pos="8306"/>
            </w:tabs>
          </w:pPr>
          <w:r>
            <w:fldChar w:fldCharType="begin"/>
          </w:r>
          <w:r>
            <w:instrText xml:space="preserve"> HYPERLINK \l _Toc2890 </w:instrText>
          </w:r>
          <w:r>
            <w:fldChar w:fldCharType="separate"/>
          </w:r>
          <w:r>
            <w:rPr>
              <w:rFonts w:hint="eastAsia"/>
            </w:rPr>
            <w:t>2.2.10 IPS</w:t>
          </w:r>
          <w:r>
            <w:tab/>
          </w:r>
          <w:r>
            <w:fldChar w:fldCharType="begin"/>
          </w:r>
          <w:r>
            <w:instrText xml:space="preserve"> PAGEREF _Toc2890 \h </w:instrText>
          </w:r>
          <w:r>
            <w:fldChar w:fldCharType="separate"/>
          </w:r>
          <w:r>
            <w:t>32</w:t>
          </w:r>
          <w:r>
            <w:fldChar w:fldCharType="end"/>
          </w:r>
          <w:r>
            <w:fldChar w:fldCharType="end"/>
          </w:r>
        </w:p>
        <w:p w14:paraId="6DBA8C55">
          <w:pPr>
            <w:pStyle w:val="18"/>
            <w:tabs>
              <w:tab w:val="right" w:leader="dot" w:pos="8306"/>
            </w:tabs>
          </w:pPr>
          <w:r>
            <w:fldChar w:fldCharType="begin"/>
          </w:r>
          <w:r>
            <w:instrText xml:space="preserve"> HYPERLINK \l _Toc13690 </w:instrText>
          </w:r>
          <w:r>
            <w:fldChar w:fldCharType="separate"/>
          </w:r>
          <w:r>
            <w:rPr>
              <w:rFonts w:hint="eastAsia"/>
            </w:rPr>
            <w:t>2.2.11 抗DDOS</w:t>
          </w:r>
          <w:r>
            <w:tab/>
          </w:r>
          <w:r>
            <w:fldChar w:fldCharType="begin"/>
          </w:r>
          <w:r>
            <w:instrText xml:space="preserve"> PAGEREF _Toc13690 \h </w:instrText>
          </w:r>
          <w:r>
            <w:fldChar w:fldCharType="separate"/>
          </w:r>
          <w:r>
            <w:t>34</w:t>
          </w:r>
          <w:r>
            <w:fldChar w:fldCharType="end"/>
          </w:r>
          <w:r>
            <w:fldChar w:fldCharType="end"/>
          </w:r>
        </w:p>
        <w:p w14:paraId="51A2C779">
          <w:pPr>
            <w:pStyle w:val="18"/>
            <w:tabs>
              <w:tab w:val="right" w:leader="dot" w:pos="8306"/>
            </w:tabs>
          </w:pPr>
          <w:r>
            <w:fldChar w:fldCharType="begin"/>
          </w:r>
          <w:r>
            <w:instrText xml:space="preserve"> HYPERLINK \l _Toc1854 </w:instrText>
          </w:r>
          <w:r>
            <w:fldChar w:fldCharType="separate"/>
          </w:r>
          <w:r>
            <w:rPr>
              <w:rFonts w:hint="eastAsia"/>
            </w:rPr>
            <w:t>2.2.12 数据防泄漏</w:t>
          </w:r>
          <w:r>
            <w:tab/>
          </w:r>
          <w:r>
            <w:fldChar w:fldCharType="begin"/>
          </w:r>
          <w:r>
            <w:instrText xml:space="preserve"> PAGEREF _Toc1854 \h </w:instrText>
          </w:r>
          <w:r>
            <w:fldChar w:fldCharType="separate"/>
          </w:r>
          <w:r>
            <w:t>35</w:t>
          </w:r>
          <w:r>
            <w:fldChar w:fldCharType="end"/>
          </w:r>
          <w:r>
            <w:fldChar w:fldCharType="end"/>
          </w:r>
        </w:p>
        <w:p w14:paraId="36FD0C36">
          <w:pPr>
            <w:pStyle w:val="22"/>
            <w:tabs>
              <w:tab w:val="right" w:leader="dot" w:pos="8306"/>
              <w:tab w:val="clear" w:pos="1050"/>
              <w:tab w:val="clear" w:pos="8296"/>
            </w:tabs>
          </w:pPr>
          <w:r>
            <w:fldChar w:fldCharType="begin"/>
          </w:r>
          <w:r>
            <w:instrText xml:space="preserve"> HYPERLINK \l _Toc4196 </w:instrText>
          </w:r>
          <w:r>
            <w:fldChar w:fldCharType="separate"/>
          </w:r>
          <w:r>
            <w:rPr>
              <w:rFonts w:hint="default" w:eastAsiaTheme="majorEastAsia"/>
              <w:i w:val="0"/>
            </w:rPr>
            <w:t xml:space="preserve">3 </w:t>
          </w:r>
          <w:r>
            <w:t>技术要求及其工作范围</w:t>
          </w:r>
          <w:r>
            <w:tab/>
          </w:r>
          <w:r>
            <w:fldChar w:fldCharType="begin"/>
          </w:r>
          <w:r>
            <w:instrText xml:space="preserve"> PAGEREF _Toc4196 \h </w:instrText>
          </w:r>
          <w:r>
            <w:fldChar w:fldCharType="separate"/>
          </w:r>
          <w:r>
            <w:t>37</w:t>
          </w:r>
          <w:r>
            <w:fldChar w:fldCharType="end"/>
          </w:r>
          <w:r>
            <w:fldChar w:fldCharType="end"/>
          </w:r>
        </w:p>
        <w:p w14:paraId="374325B6">
          <w:pPr>
            <w:pStyle w:val="23"/>
            <w:tabs>
              <w:tab w:val="right" w:leader="dot" w:pos="8306"/>
            </w:tabs>
          </w:pPr>
          <w:r>
            <w:fldChar w:fldCharType="begin"/>
          </w:r>
          <w:r>
            <w:instrText xml:space="preserve"> HYPERLINK \l _Toc27473 </w:instrText>
          </w:r>
          <w:r>
            <w:fldChar w:fldCharType="separate"/>
          </w:r>
          <w:r>
            <w:rPr>
              <w:rFonts w:hint="default" w:eastAsiaTheme="majorEastAsia"/>
              <w:i w:val="0"/>
            </w:rPr>
            <w:t xml:space="preserve">3.1 </w:t>
          </w:r>
          <w:r>
            <w:rPr>
              <w:rFonts w:hint="eastAsia"/>
            </w:rPr>
            <w:t>对投标方的技术要求</w:t>
          </w:r>
          <w:r>
            <w:tab/>
          </w:r>
          <w:r>
            <w:fldChar w:fldCharType="begin"/>
          </w:r>
          <w:r>
            <w:instrText xml:space="preserve"> PAGEREF _Toc27473 \h </w:instrText>
          </w:r>
          <w:r>
            <w:fldChar w:fldCharType="separate"/>
          </w:r>
          <w:r>
            <w:t>37</w:t>
          </w:r>
          <w:r>
            <w:fldChar w:fldCharType="end"/>
          </w:r>
          <w:r>
            <w:fldChar w:fldCharType="end"/>
          </w:r>
        </w:p>
        <w:p w14:paraId="3C9D6FEF">
          <w:pPr>
            <w:pStyle w:val="23"/>
            <w:tabs>
              <w:tab w:val="right" w:leader="dot" w:pos="8306"/>
            </w:tabs>
          </w:pPr>
          <w:r>
            <w:fldChar w:fldCharType="begin"/>
          </w:r>
          <w:r>
            <w:instrText xml:space="preserve"> HYPERLINK \l _Toc25184 </w:instrText>
          </w:r>
          <w:r>
            <w:fldChar w:fldCharType="separate"/>
          </w:r>
          <w:r>
            <w:rPr>
              <w:rFonts w:hint="default" w:eastAsiaTheme="majorEastAsia"/>
              <w:i w:val="0"/>
            </w:rPr>
            <w:t xml:space="preserve">3.2 </w:t>
          </w:r>
          <w:r>
            <w:rPr>
              <w:rFonts w:hint="eastAsia"/>
            </w:rPr>
            <w:t>投标方的工作范围</w:t>
          </w:r>
          <w:r>
            <w:tab/>
          </w:r>
          <w:r>
            <w:fldChar w:fldCharType="begin"/>
          </w:r>
          <w:r>
            <w:instrText xml:space="preserve"> PAGEREF _Toc25184 \h </w:instrText>
          </w:r>
          <w:r>
            <w:fldChar w:fldCharType="separate"/>
          </w:r>
          <w:r>
            <w:t>38</w:t>
          </w:r>
          <w:r>
            <w:fldChar w:fldCharType="end"/>
          </w:r>
          <w:r>
            <w:fldChar w:fldCharType="end"/>
          </w:r>
        </w:p>
        <w:p w14:paraId="59157AD9">
          <w:pPr>
            <w:pStyle w:val="23"/>
            <w:tabs>
              <w:tab w:val="right" w:leader="dot" w:pos="8306"/>
            </w:tabs>
          </w:pPr>
          <w:r>
            <w:fldChar w:fldCharType="begin"/>
          </w:r>
          <w:r>
            <w:instrText xml:space="preserve"> HYPERLINK \l _Toc25825 </w:instrText>
          </w:r>
          <w:r>
            <w:fldChar w:fldCharType="separate"/>
          </w:r>
          <w:r>
            <w:rPr>
              <w:rFonts w:hint="default" w:eastAsiaTheme="majorEastAsia"/>
              <w:i w:val="0"/>
            </w:rPr>
            <w:t xml:space="preserve">3.3 </w:t>
          </w:r>
          <w:r>
            <w:rPr>
              <w:rFonts w:hint="eastAsia"/>
            </w:rPr>
            <w:t>供货报价范围</w:t>
          </w:r>
          <w:r>
            <w:tab/>
          </w:r>
          <w:r>
            <w:fldChar w:fldCharType="begin"/>
          </w:r>
          <w:r>
            <w:instrText xml:space="preserve"> PAGEREF _Toc25825 \h </w:instrText>
          </w:r>
          <w:r>
            <w:fldChar w:fldCharType="separate"/>
          </w:r>
          <w:r>
            <w:t>38</w:t>
          </w:r>
          <w:r>
            <w:fldChar w:fldCharType="end"/>
          </w:r>
          <w:r>
            <w:fldChar w:fldCharType="end"/>
          </w:r>
        </w:p>
        <w:p w14:paraId="2B9F938C">
          <w:pPr>
            <w:pStyle w:val="23"/>
            <w:tabs>
              <w:tab w:val="right" w:leader="dot" w:pos="8306"/>
            </w:tabs>
          </w:pPr>
          <w:r>
            <w:fldChar w:fldCharType="begin"/>
          </w:r>
          <w:r>
            <w:instrText xml:space="preserve"> HYPERLINK \l _Toc26820 </w:instrText>
          </w:r>
          <w:r>
            <w:fldChar w:fldCharType="separate"/>
          </w:r>
          <w:r>
            <w:rPr>
              <w:rFonts w:hint="default" w:eastAsiaTheme="majorEastAsia"/>
              <w:i w:val="0"/>
            </w:rPr>
            <w:t xml:space="preserve">3.4 </w:t>
          </w:r>
          <w:r>
            <w:rPr>
              <w:rFonts w:hint="eastAsia"/>
            </w:rPr>
            <w:t>知识产权要求</w:t>
          </w:r>
          <w:r>
            <w:tab/>
          </w:r>
          <w:r>
            <w:fldChar w:fldCharType="begin"/>
          </w:r>
          <w:r>
            <w:instrText xml:space="preserve"> PAGEREF _Toc26820 \h </w:instrText>
          </w:r>
          <w:r>
            <w:fldChar w:fldCharType="separate"/>
          </w:r>
          <w:r>
            <w:t>39</w:t>
          </w:r>
          <w:r>
            <w:fldChar w:fldCharType="end"/>
          </w:r>
          <w:r>
            <w:fldChar w:fldCharType="end"/>
          </w:r>
        </w:p>
        <w:p w14:paraId="3AFF7A70">
          <w:pPr>
            <w:pStyle w:val="23"/>
            <w:tabs>
              <w:tab w:val="right" w:leader="dot" w:pos="8306"/>
            </w:tabs>
          </w:pPr>
          <w:r>
            <w:fldChar w:fldCharType="begin"/>
          </w:r>
          <w:r>
            <w:instrText xml:space="preserve"> HYPERLINK \l _Toc13206 </w:instrText>
          </w:r>
          <w:r>
            <w:fldChar w:fldCharType="separate"/>
          </w:r>
          <w:r>
            <w:rPr>
              <w:rFonts w:hint="default" w:eastAsiaTheme="majorEastAsia"/>
              <w:i w:val="0"/>
            </w:rPr>
            <w:t xml:space="preserve">3.5 </w:t>
          </w:r>
          <w:r>
            <w:rPr>
              <w:rFonts w:hint="eastAsia"/>
            </w:rPr>
            <w:t>技术服务</w:t>
          </w:r>
          <w:r>
            <w:tab/>
          </w:r>
          <w:r>
            <w:fldChar w:fldCharType="begin"/>
          </w:r>
          <w:r>
            <w:instrText xml:space="preserve"> PAGEREF _Toc13206 \h </w:instrText>
          </w:r>
          <w:r>
            <w:fldChar w:fldCharType="separate"/>
          </w:r>
          <w:r>
            <w:t>39</w:t>
          </w:r>
          <w:r>
            <w:fldChar w:fldCharType="end"/>
          </w:r>
          <w:r>
            <w:fldChar w:fldCharType="end"/>
          </w:r>
        </w:p>
        <w:p w14:paraId="7F206F72">
          <w:pPr>
            <w:pStyle w:val="18"/>
            <w:tabs>
              <w:tab w:val="right" w:leader="dot" w:pos="8306"/>
            </w:tabs>
          </w:pPr>
          <w:r>
            <w:fldChar w:fldCharType="begin"/>
          </w:r>
          <w:r>
            <w:instrText xml:space="preserve"> HYPERLINK \l _Toc9626 </w:instrText>
          </w:r>
          <w:r>
            <w:fldChar w:fldCharType="separate"/>
          </w:r>
          <w:r>
            <w:rPr>
              <w:rFonts w:hint="eastAsia"/>
            </w:rPr>
            <w:t xml:space="preserve">3.5.1 </w:t>
          </w:r>
          <w:r>
            <w:t>技术服务内容</w:t>
          </w:r>
          <w:r>
            <w:tab/>
          </w:r>
          <w:r>
            <w:fldChar w:fldCharType="begin"/>
          </w:r>
          <w:r>
            <w:instrText xml:space="preserve"> PAGEREF _Toc9626 \h </w:instrText>
          </w:r>
          <w:r>
            <w:fldChar w:fldCharType="separate"/>
          </w:r>
          <w:r>
            <w:t>39</w:t>
          </w:r>
          <w:r>
            <w:fldChar w:fldCharType="end"/>
          </w:r>
          <w:r>
            <w:fldChar w:fldCharType="end"/>
          </w:r>
        </w:p>
        <w:p w14:paraId="5C8449F6">
          <w:pPr>
            <w:pStyle w:val="18"/>
            <w:tabs>
              <w:tab w:val="right" w:leader="dot" w:pos="8306"/>
            </w:tabs>
          </w:pPr>
          <w:r>
            <w:fldChar w:fldCharType="begin"/>
          </w:r>
          <w:r>
            <w:instrText xml:space="preserve"> HYPERLINK \l _Toc5712 </w:instrText>
          </w:r>
          <w:r>
            <w:fldChar w:fldCharType="separate"/>
          </w:r>
          <w:r>
            <w:rPr>
              <w:rFonts w:hint="eastAsia"/>
            </w:rPr>
            <w:t xml:space="preserve">3.5.2 </w:t>
          </w:r>
          <w:r>
            <w:t>技术服务要求</w:t>
          </w:r>
          <w:r>
            <w:tab/>
          </w:r>
          <w:r>
            <w:fldChar w:fldCharType="begin"/>
          </w:r>
          <w:r>
            <w:instrText xml:space="preserve"> PAGEREF _Toc5712 \h </w:instrText>
          </w:r>
          <w:r>
            <w:fldChar w:fldCharType="separate"/>
          </w:r>
          <w:r>
            <w:t>39</w:t>
          </w:r>
          <w:r>
            <w:fldChar w:fldCharType="end"/>
          </w:r>
          <w:r>
            <w:fldChar w:fldCharType="end"/>
          </w:r>
        </w:p>
        <w:p w14:paraId="00A25038">
          <w:pPr>
            <w:pStyle w:val="22"/>
            <w:tabs>
              <w:tab w:val="right" w:leader="dot" w:pos="8306"/>
              <w:tab w:val="clear" w:pos="1050"/>
              <w:tab w:val="clear" w:pos="8296"/>
            </w:tabs>
          </w:pPr>
          <w:r>
            <w:fldChar w:fldCharType="begin"/>
          </w:r>
          <w:r>
            <w:instrText xml:space="preserve"> HYPERLINK \l _Toc30039 </w:instrText>
          </w:r>
          <w:r>
            <w:fldChar w:fldCharType="separate"/>
          </w:r>
          <w:r>
            <w:rPr>
              <w:rFonts w:hint="default" w:eastAsiaTheme="majorEastAsia"/>
              <w:i w:val="0"/>
            </w:rPr>
            <w:t xml:space="preserve">4 </w:t>
          </w:r>
          <w:r>
            <w:rPr>
              <w:rFonts w:hint="eastAsia"/>
            </w:rPr>
            <w:t>附件：承诺函及其附件</w:t>
          </w:r>
          <w:r>
            <w:tab/>
          </w:r>
          <w:r>
            <w:fldChar w:fldCharType="begin"/>
          </w:r>
          <w:r>
            <w:instrText xml:space="preserve"> PAGEREF _Toc30039 \h </w:instrText>
          </w:r>
          <w:r>
            <w:fldChar w:fldCharType="separate"/>
          </w:r>
          <w:r>
            <w:t>43</w:t>
          </w:r>
          <w:r>
            <w:fldChar w:fldCharType="end"/>
          </w:r>
          <w:r>
            <w:fldChar w:fldCharType="end"/>
          </w:r>
        </w:p>
        <w:p w14:paraId="5D436DD7">
          <w:r>
            <w:fldChar w:fldCharType="end"/>
          </w:r>
        </w:p>
      </w:sdtContent>
    </w:sdt>
    <w:p w14:paraId="4AD1245A">
      <w:pPr>
        <w:pStyle w:val="2"/>
      </w:pPr>
      <w:bookmarkStart w:id="0" w:name="_Toc20907"/>
      <w:r>
        <w:t>总则</w:t>
      </w:r>
      <w:bookmarkEnd w:id="0"/>
    </w:p>
    <w:p w14:paraId="5714D0DD">
      <w:pPr>
        <w:pStyle w:val="3"/>
      </w:pPr>
      <w:bookmarkStart w:id="1" w:name="_Toc16698"/>
      <w:r>
        <w:rPr>
          <w:rFonts w:hint="eastAsia"/>
        </w:rPr>
        <w:t>一般规定</w:t>
      </w:r>
      <w:bookmarkEnd w:id="1"/>
    </w:p>
    <w:p w14:paraId="403B8DA5">
      <w:pPr>
        <w:pStyle w:val="48"/>
        <w:numPr>
          <w:ilvl w:val="0"/>
          <w:numId w:val="0"/>
        </w:numPr>
        <w:ind w:left="440"/>
      </w:pPr>
      <w:r>
        <w:rPr>
          <w:rFonts w:hint="eastAsia"/>
        </w:rPr>
        <w:t>1、</w:t>
      </w:r>
      <w:r>
        <w:t>招标书分为商务招标书和技术招标书，本技术规范书为技术招标书。投标书应该按要求分别给予应答。</w:t>
      </w:r>
    </w:p>
    <w:p w14:paraId="22212C18">
      <w:pPr>
        <w:pStyle w:val="48"/>
        <w:numPr>
          <w:ilvl w:val="0"/>
          <w:numId w:val="0"/>
        </w:numPr>
        <w:ind w:left="440"/>
      </w:pPr>
      <w:r>
        <w:rPr>
          <w:rFonts w:hint="eastAsia"/>
        </w:rPr>
        <w:t>2、</w:t>
      </w:r>
      <w:r>
        <w:t>本文件内容为</w:t>
      </w:r>
      <w:r>
        <w:rPr>
          <w:rFonts w:hint="eastAsia"/>
          <w:highlight w:val="none"/>
        </w:rPr>
        <w:t>广东电力通信科技有限公司2025年存储设备及安全资源框架采购</w:t>
      </w:r>
      <w:r>
        <w:t>的标准技术要求。</w:t>
      </w:r>
    </w:p>
    <w:p w14:paraId="42EAA439">
      <w:pPr>
        <w:pStyle w:val="48"/>
        <w:numPr>
          <w:ilvl w:val="0"/>
          <w:numId w:val="0"/>
        </w:numPr>
        <w:ind w:left="440"/>
      </w:pPr>
      <w:r>
        <w:rPr>
          <w:rFonts w:hint="eastAsia"/>
        </w:rPr>
        <w:t>3、</w:t>
      </w:r>
      <w:r>
        <w:t>本次专项招标采购方为</w:t>
      </w:r>
      <w:r>
        <w:rPr>
          <w:rFonts w:hint="eastAsia"/>
        </w:rPr>
        <w:t>广东电力通信科技有限公司</w:t>
      </w:r>
      <w:r>
        <w:t>（以下简称“</w:t>
      </w:r>
      <w:r>
        <w:rPr>
          <w:rFonts w:hint="eastAsia"/>
        </w:rPr>
        <w:t>招标人</w:t>
      </w:r>
      <w:r>
        <w:t>”</w:t>
      </w:r>
      <w:r>
        <w:rPr>
          <w:rFonts w:hint="eastAsia"/>
        </w:rPr>
        <w:t>或“招标方”</w:t>
      </w:r>
      <w:r>
        <w:t>），在本文中，具备所要求资质参与投标的供应商简称“</w:t>
      </w:r>
      <w:r>
        <w:rPr>
          <w:rFonts w:hint="eastAsia"/>
        </w:rPr>
        <w:t>投标人</w:t>
      </w:r>
      <w:r>
        <w:t>”，中标的</w:t>
      </w:r>
      <w:r>
        <w:rPr>
          <w:rFonts w:hint="eastAsia"/>
        </w:rPr>
        <w:t>投标人</w:t>
      </w:r>
      <w:r>
        <w:t>简称“中标方”。</w:t>
      </w:r>
    </w:p>
    <w:p w14:paraId="7C3F2650">
      <w:pPr>
        <w:pStyle w:val="3"/>
      </w:pPr>
      <w:bookmarkStart w:id="2" w:name="_Toc18998"/>
      <w:r>
        <w:rPr>
          <w:rFonts w:hint="eastAsia"/>
        </w:rPr>
        <w:t>概述</w:t>
      </w:r>
      <w:bookmarkEnd w:id="2"/>
    </w:p>
    <w:p w14:paraId="640D1197">
      <w:pPr>
        <w:pStyle w:val="48"/>
        <w:numPr>
          <w:ilvl w:val="0"/>
          <w:numId w:val="0"/>
        </w:numPr>
        <w:ind w:left="440"/>
      </w:pPr>
      <w:r>
        <w:rPr>
          <w:rFonts w:hint="eastAsia"/>
        </w:rPr>
        <w:t>1、投标人</w:t>
      </w:r>
      <w:r>
        <w:t>应仔细阅读包括本招标书在内的招标文件的所有条款，并根据招标书中的要求和范围</w:t>
      </w:r>
      <w:r>
        <w:rPr>
          <w:rFonts w:hint="eastAsia"/>
        </w:rPr>
        <w:t>提供产品及服务</w:t>
      </w:r>
      <w:r>
        <w:t>，其提供的</w:t>
      </w:r>
      <w:r>
        <w:rPr>
          <w:rFonts w:hint="eastAsia"/>
        </w:rPr>
        <w:t>产品及服务</w:t>
      </w:r>
      <w:r>
        <w:t>应满足招标文件所规定的所有要求。未在技术差异表中说明的条款意味着</w:t>
      </w:r>
      <w:r>
        <w:rPr>
          <w:rFonts w:hint="eastAsia"/>
        </w:rPr>
        <w:t>投标人</w:t>
      </w:r>
      <w:r>
        <w:t>认可其所提供的设备、产品及服务等的相应部分完全符合或高于本技术规范相应的要求，</w:t>
      </w:r>
      <w:r>
        <w:rPr>
          <w:rFonts w:hint="eastAsia"/>
        </w:rPr>
        <w:t>投标人</w:t>
      </w:r>
      <w:r>
        <w:t>中标后除非经过</w:t>
      </w:r>
      <w:r>
        <w:rPr>
          <w:rFonts w:hint="eastAsia"/>
        </w:rPr>
        <w:t>招标人</w:t>
      </w:r>
      <w:r>
        <w:t>书面同意，否则不得以任何理由提供低于本技术规范要求的相应的设备、产品及服务等。</w:t>
      </w:r>
    </w:p>
    <w:p w14:paraId="36499F0F">
      <w:pPr>
        <w:pStyle w:val="48"/>
        <w:numPr>
          <w:ilvl w:val="0"/>
          <w:numId w:val="0"/>
        </w:numPr>
        <w:ind w:left="440"/>
      </w:pPr>
      <w:r>
        <w:rPr>
          <w:rFonts w:hint="eastAsia"/>
        </w:rPr>
        <w:t>2、</w:t>
      </w:r>
      <w:r>
        <w:t>对于应标中尚不具备或未达到相关要求的，</w:t>
      </w:r>
      <w:r>
        <w:rPr>
          <w:rFonts w:hint="eastAsia"/>
        </w:rPr>
        <w:t>投标人</w:t>
      </w:r>
      <w:r>
        <w:t>在应答时须针对该项如实说明。</w:t>
      </w:r>
      <w:r>
        <w:rPr>
          <w:rFonts w:hint="eastAsia"/>
        </w:rPr>
        <w:t>投标人</w:t>
      </w:r>
      <w:r>
        <w:t>认为相关要求不合理的，应给出充分理由及合理的建议。</w:t>
      </w:r>
      <w:r>
        <w:rPr>
          <w:rFonts w:hint="eastAsia"/>
        </w:rPr>
        <w:t>投标人</w:t>
      </w:r>
      <w:r>
        <w:t>认为相关要求需要在现有产品</w:t>
      </w:r>
      <w:r>
        <w:rPr>
          <w:rFonts w:hint="eastAsia"/>
        </w:rPr>
        <w:t>及服务</w:t>
      </w:r>
      <w:r>
        <w:t>基础上进一步实现或完善的，应给出实现相关技术要求的方案和进度计划。</w:t>
      </w:r>
    </w:p>
    <w:p w14:paraId="2570BAE7">
      <w:pPr>
        <w:pStyle w:val="48"/>
        <w:numPr>
          <w:ilvl w:val="0"/>
          <w:numId w:val="0"/>
        </w:numPr>
        <w:ind w:left="440"/>
      </w:pPr>
      <w:r>
        <w:rPr>
          <w:rFonts w:hint="eastAsia"/>
        </w:rPr>
        <w:t>3、投标人应该提供在本规范书中要求的完整的产品及服务支持</w:t>
      </w:r>
      <w:r>
        <w:t xml:space="preserve">, </w:t>
      </w:r>
      <w:r>
        <w:rPr>
          <w:rFonts w:hint="eastAsia"/>
        </w:rPr>
        <w:t>并必须提供基于本技术规范书的整体的解决方案，方案应按本规范书的顺序对各章的每一项详细解答。</w:t>
      </w:r>
    </w:p>
    <w:p w14:paraId="0FFA2645">
      <w:pPr>
        <w:pStyle w:val="48"/>
        <w:numPr>
          <w:ilvl w:val="0"/>
          <w:numId w:val="0"/>
        </w:numPr>
        <w:ind w:left="440"/>
      </w:pPr>
      <w:r>
        <w:rPr>
          <w:rFonts w:hint="eastAsia"/>
        </w:rPr>
        <w:t>4、</w:t>
      </w:r>
      <w:r>
        <w:t>投标方在投标文件中，对本标书应逐项予以说明和答复，同时根据具体情况提出相关的建议，并附详细资料和说明。</w:t>
      </w:r>
    </w:p>
    <w:p w14:paraId="51FF05FE">
      <w:pPr>
        <w:pStyle w:val="48"/>
        <w:numPr>
          <w:ilvl w:val="0"/>
          <w:numId w:val="0"/>
        </w:numPr>
        <w:ind w:left="440"/>
      </w:pPr>
      <w:r>
        <w:rPr>
          <w:rFonts w:hint="eastAsia"/>
        </w:rPr>
        <w:t>5、</w:t>
      </w:r>
      <w:r>
        <w:t>投标技术文件要求文字详细、数据准确、表述及图示清晰明确，具有针对性。</w:t>
      </w:r>
    </w:p>
    <w:p w14:paraId="21C65932">
      <w:pPr>
        <w:pStyle w:val="48"/>
        <w:numPr>
          <w:ilvl w:val="0"/>
          <w:numId w:val="0"/>
        </w:numPr>
        <w:ind w:left="440"/>
      </w:pPr>
      <w:r>
        <w:rPr>
          <w:rFonts w:hint="eastAsia"/>
        </w:rPr>
        <w:t>6、</w:t>
      </w:r>
      <w:r>
        <w:t>投标方提供的产品及其实施方案必须具有先进性、可靠性，并具有高的性能价格比和可扩展性。</w:t>
      </w:r>
    </w:p>
    <w:p w14:paraId="44D79EBD">
      <w:pPr>
        <w:pStyle w:val="48"/>
        <w:numPr>
          <w:ilvl w:val="0"/>
          <w:numId w:val="0"/>
        </w:numPr>
        <w:ind w:left="440"/>
      </w:pPr>
      <w:r>
        <w:rPr>
          <w:rFonts w:hint="eastAsia"/>
        </w:rPr>
        <w:t>7、</w:t>
      </w:r>
      <w:r>
        <w:t>如果投标方提供的设备与本招标技术条件书的要求有差异，应在投标书中以“技术偏差”为标题的专门章节中加以详细描述。投标方如不能满足本招标技术条件书的要求部分，也应在技术建议书中提出说明。</w:t>
      </w:r>
    </w:p>
    <w:p w14:paraId="6FA1C0C7">
      <w:pPr>
        <w:pStyle w:val="48"/>
        <w:numPr>
          <w:ilvl w:val="0"/>
          <w:numId w:val="0"/>
        </w:numPr>
        <w:ind w:left="440"/>
      </w:pPr>
      <w:r>
        <w:rPr>
          <w:rFonts w:hint="eastAsia"/>
        </w:rPr>
        <w:t>8、</w:t>
      </w:r>
      <w:r>
        <w:t>投标方建议的技术方案及软、硬件系统配置应符合有关标准(例如ISO标准、IEC标准、ITU-T建议、GB标准和IETF建议等），投标方若不作说明，则视为符合上述标准。若投标方的设备包含有自己专用标准，应在项目建议书中具体说明，并附上相应的详细的技术资料。</w:t>
      </w:r>
    </w:p>
    <w:p w14:paraId="57172299">
      <w:pPr>
        <w:pStyle w:val="48"/>
        <w:numPr>
          <w:ilvl w:val="0"/>
          <w:numId w:val="0"/>
        </w:numPr>
        <w:ind w:left="440"/>
      </w:pPr>
      <w:r>
        <w:rPr>
          <w:rFonts w:hint="eastAsia"/>
        </w:rPr>
        <w:t>9、</w:t>
      </w:r>
      <w:r>
        <w:t>投标方应承诺所提供的设备本身不能有任何安全隐患，对此应承担终身责任。任何由设备安全引起的招标方的事故，投标方应承担主要责任。</w:t>
      </w:r>
    </w:p>
    <w:p w14:paraId="41C23546">
      <w:pPr>
        <w:pStyle w:val="48"/>
        <w:numPr>
          <w:ilvl w:val="0"/>
          <w:numId w:val="0"/>
        </w:numPr>
        <w:ind w:left="440"/>
      </w:pPr>
      <w:r>
        <w:rPr>
          <w:rFonts w:hint="eastAsia"/>
        </w:rPr>
        <w:t>10、</w:t>
      </w:r>
      <w:r>
        <w:t>本招标技术条件书应视为保证安全运行所需设备与服务的最低要求，如有遗漏，投标方应予以补充，否则一旦中标将认为投标方认同遗漏部分并免费提供。</w:t>
      </w:r>
    </w:p>
    <w:p w14:paraId="56C1BEF7">
      <w:pPr>
        <w:pStyle w:val="48"/>
        <w:numPr>
          <w:ilvl w:val="0"/>
          <w:numId w:val="0"/>
        </w:numPr>
        <w:ind w:left="440"/>
      </w:pPr>
      <w:r>
        <w:rPr>
          <w:rFonts w:hint="eastAsia"/>
        </w:rPr>
        <w:t>11、</w:t>
      </w:r>
      <w:r>
        <w:t>投标方提供的设备应符合最新的、可适用的标准，但投标方可以提供经招标方认可的符合产地同类工艺国家标准的设备或材料。</w:t>
      </w:r>
    </w:p>
    <w:p w14:paraId="77FFA73F">
      <w:pPr>
        <w:pStyle w:val="48"/>
        <w:numPr>
          <w:ilvl w:val="0"/>
          <w:numId w:val="0"/>
        </w:numPr>
        <w:ind w:left="440"/>
      </w:pPr>
      <w:r>
        <w:rPr>
          <w:rFonts w:hint="eastAsia"/>
        </w:rPr>
        <w:t>12、本技术规范书中，产品应满足或不低于该配置要求，设备最低配置要求如下述所示。文字或表格部分凡标有“▲”为重要参数，标有“★”为关键指标，招标方有权针对中标人提供的标包内所有产品按技术规范书指标进行测试验收，如测试不通过则取消中标人中标资格，视为虚假应标。“▲”的地方均被视为重要参数，投标方要特别加以注意；</w:t>
      </w:r>
      <w:r>
        <w:rPr>
          <w:rFonts w:hint="eastAsia"/>
          <w:b/>
          <w:bCs/>
        </w:rPr>
        <w:t>如“★”关键指标不满足要求，按不响应技术规范要求，视为废标处理。</w:t>
      </w:r>
    </w:p>
    <w:p w14:paraId="48BA765E">
      <w:pPr>
        <w:pStyle w:val="48"/>
        <w:numPr>
          <w:ilvl w:val="0"/>
          <w:numId w:val="0"/>
        </w:numPr>
        <w:ind w:left="440"/>
      </w:pPr>
      <w:r>
        <w:rPr>
          <w:rFonts w:hint="eastAsia"/>
        </w:rPr>
        <w:t>13、</w:t>
      </w:r>
      <w:r>
        <w:t>投标方在本规范书中未说明的条款，应符合相应的国际标准及建议。若投标方的设备包含自己专用标准，也应在建议书中具体说明，并附上相应的详细技术资料。</w:t>
      </w:r>
    </w:p>
    <w:p w14:paraId="1B910CE5">
      <w:pPr>
        <w:pStyle w:val="48"/>
        <w:numPr>
          <w:ilvl w:val="0"/>
          <w:numId w:val="0"/>
        </w:numPr>
        <w:ind w:left="440"/>
      </w:pPr>
      <w:r>
        <w:rPr>
          <w:rFonts w:hint="eastAsia"/>
        </w:rPr>
        <w:t>14、</w:t>
      </w:r>
      <w:r>
        <w:t>投标方未经招标方同意，不得以任何形式向第三方公开本招标技术条件书。</w:t>
      </w:r>
    </w:p>
    <w:p w14:paraId="304B0EC8">
      <w:pPr>
        <w:pStyle w:val="48"/>
        <w:numPr>
          <w:ilvl w:val="0"/>
          <w:numId w:val="0"/>
        </w:numPr>
        <w:ind w:left="440"/>
      </w:pPr>
      <w:r>
        <w:rPr>
          <w:rFonts w:hint="eastAsia"/>
        </w:rPr>
        <w:t>15、</w:t>
      </w:r>
      <w:r>
        <w:t>本招标技术条件书未尽事宜，由招标方和投标方在合同技术谈判时协商确定。</w:t>
      </w:r>
    </w:p>
    <w:p w14:paraId="174CEC8D">
      <w:pPr>
        <w:pStyle w:val="48"/>
        <w:numPr>
          <w:ilvl w:val="0"/>
          <w:numId w:val="0"/>
        </w:numPr>
        <w:ind w:left="440"/>
      </w:pPr>
      <w:r>
        <w:rPr>
          <w:rFonts w:hint="eastAsia"/>
        </w:rPr>
        <w:t>16、</w:t>
      </w:r>
      <w:r>
        <w:t>本招标技术条件书</w:t>
      </w:r>
      <w:r>
        <w:rPr>
          <w:rFonts w:hint="eastAsia"/>
        </w:rPr>
        <w:t>的</w:t>
      </w:r>
      <w:r>
        <w:t>解释权属招标方所有。</w:t>
      </w:r>
    </w:p>
    <w:p w14:paraId="27CE8298">
      <w:pPr>
        <w:pStyle w:val="3"/>
      </w:pPr>
      <w:bookmarkStart w:id="3" w:name="_Toc3131"/>
      <w:r>
        <w:rPr>
          <w:rFonts w:hint="eastAsia"/>
        </w:rPr>
        <w:t>采购范围</w:t>
      </w:r>
      <w:bookmarkEnd w:id="3"/>
    </w:p>
    <w:p w14:paraId="680776E4">
      <w:pPr>
        <w:pStyle w:val="48"/>
        <w:numPr>
          <w:ilvl w:val="0"/>
          <w:numId w:val="0"/>
        </w:numPr>
        <w:ind w:left="440" w:firstLine="420" w:firstLineChars="200"/>
      </w:pPr>
      <w:r>
        <w:rPr>
          <w:rFonts w:hint="eastAsia"/>
        </w:rPr>
        <w:t>本招标文件的采购范围为采购产品以及相关的方案制定、安装、调试、整体联调等服务内容。</w:t>
      </w:r>
    </w:p>
    <w:p w14:paraId="2D8A4877">
      <w:pPr>
        <w:pStyle w:val="3"/>
      </w:pPr>
      <w:bookmarkStart w:id="4" w:name="_Toc17269"/>
      <w:r>
        <w:rPr>
          <w:rFonts w:hint="eastAsia"/>
        </w:rPr>
        <w:t>质量保证</w:t>
      </w:r>
      <w:bookmarkEnd w:id="4"/>
    </w:p>
    <w:p w14:paraId="0129D98D">
      <w:pPr>
        <w:pStyle w:val="48"/>
        <w:numPr>
          <w:ilvl w:val="0"/>
          <w:numId w:val="0"/>
        </w:numPr>
        <w:ind w:left="440" w:firstLine="420" w:firstLineChars="200"/>
      </w:pPr>
      <w:r>
        <w:rPr>
          <w:rFonts w:hint="eastAsia"/>
        </w:rPr>
        <w:t>投标方应保证所提供的所有产品的功能、性能、质量均能满足本采购文件要求。产品安装验收合格后，投标方提供自安装验收之日起5年7×24小时免费质保服务。</w:t>
      </w:r>
    </w:p>
    <w:p w14:paraId="0D5A097F">
      <w:pPr>
        <w:pStyle w:val="3"/>
      </w:pPr>
      <w:bookmarkStart w:id="5" w:name="_Toc10583"/>
      <w:r>
        <w:rPr>
          <w:rFonts w:hint="eastAsia"/>
        </w:rPr>
        <w:t>产品适用标准</w:t>
      </w:r>
      <w:bookmarkEnd w:id="5"/>
    </w:p>
    <w:p w14:paraId="18597C0B">
      <w:pPr>
        <w:pStyle w:val="48"/>
        <w:numPr>
          <w:ilvl w:val="0"/>
          <w:numId w:val="0"/>
        </w:numPr>
        <w:ind w:left="440" w:firstLine="420" w:firstLineChars="200"/>
      </w:pPr>
      <w:r>
        <w:rPr>
          <w:rFonts w:hint="eastAsia"/>
        </w:rPr>
        <w:t>除本采购文件另有说明外，投标方提供的所有产品均应按照国际标准、国家标准进行设计、制造、检验和安装。所用的标准必须是最新版本，如果这些标准的内容有矛盾时，应按照最高标准的条款执行或按双方协商同意的标准或条款执行。</w:t>
      </w:r>
    </w:p>
    <w:p w14:paraId="701D9B30">
      <w:pPr>
        <w:pStyle w:val="15"/>
      </w:pPr>
    </w:p>
    <w:p w14:paraId="5CDB84D6">
      <w:pPr>
        <w:pStyle w:val="2"/>
      </w:pPr>
      <w:bookmarkStart w:id="6" w:name="_Toc2732"/>
      <w:r>
        <w:rPr>
          <w:rFonts w:hint="eastAsia"/>
        </w:rPr>
        <w:t>技术指标要求</w:t>
      </w:r>
      <w:bookmarkEnd w:id="6"/>
    </w:p>
    <w:p w14:paraId="39CC19CA">
      <w:pPr>
        <w:pStyle w:val="3"/>
      </w:pPr>
      <w:bookmarkStart w:id="7" w:name="_Toc19629"/>
      <w:r>
        <w:rPr>
          <w:rFonts w:hint="eastAsia"/>
        </w:rPr>
        <w:t>采购内容及设备配置要求</w:t>
      </w:r>
      <w:bookmarkEnd w:id="7"/>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2085"/>
        <w:gridCol w:w="4045"/>
        <w:gridCol w:w="743"/>
        <w:gridCol w:w="936"/>
      </w:tblGrid>
      <w:tr w14:paraId="37BB5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417" w:type="pct"/>
            <w:shd w:val="clear" w:color="auto" w:fill="FFFFFF" w:themeFill="background1"/>
            <w:vAlign w:val="center"/>
          </w:tcPr>
          <w:p w14:paraId="4F5B5FC3">
            <w:r>
              <w:rPr>
                <w:rFonts w:hint="eastAsia"/>
              </w:rPr>
              <w:t>序号</w:t>
            </w:r>
          </w:p>
        </w:tc>
        <w:tc>
          <w:tcPr>
            <w:tcW w:w="1224" w:type="pct"/>
            <w:shd w:val="clear" w:color="auto" w:fill="FFFFFF" w:themeFill="background1"/>
            <w:vAlign w:val="center"/>
          </w:tcPr>
          <w:p w14:paraId="4AFA3F0D">
            <w:r>
              <w:rPr>
                <w:rFonts w:hint="eastAsia"/>
              </w:rPr>
              <w:t>设备名称</w:t>
            </w:r>
          </w:p>
        </w:tc>
        <w:tc>
          <w:tcPr>
            <w:tcW w:w="2374" w:type="pct"/>
            <w:shd w:val="clear" w:color="auto" w:fill="FFFFFF" w:themeFill="background1"/>
            <w:vAlign w:val="center"/>
          </w:tcPr>
          <w:p w14:paraId="3812A3A9">
            <w:r>
              <w:rPr>
                <w:rFonts w:hint="eastAsia"/>
              </w:rPr>
              <w:t>设备配置参数</w:t>
            </w:r>
          </w:p>
        </w:tc>
        <w:tc>
          <w:tcPr>
            <w:tcW w:w="436" w:type="pct"/>
            <w:shd w:val="clear" w:color="auto" w:fill="FFFFFF" w:themeFill="background1"/>
            <w:vAlign w:val="center"/>
          </w:tcPr>
          <w:p w14:paraId="653E22F5">
            <w:r>
              <w:rPr>
                <w:rFonts w:hint="eastAsia"/>
              </w:rPr>
              <w:t>单位</w:t>
            </w:r>
          </w:p>
        </w:tc>
        <w:tc>
          <w:tcPr>
            <w:tcW w:w="549" w:type="pct"/>
            <w:shd w:val="clear" w:color="auto" w:fill="FFFFFF" w:themeFill="background1"/>
            <w:vAlign w:val="center"/>
          </w:tcPr>
          <w:p w14:paraId="04D781C2">
            <w:r>
              <w:rPr>
                <w:rFonts w:hint="eastAsia"/>
              </w:rPr>
              <w:t>质保期</w:t>
            </w:r>
          </w:p>
        </w:tc>
      </w:tr>
      <w:tr w14:paraId="126D0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10A7DF79">
            <w:r>
              <w:rPr>
                <w:rFonts w:hint="eastAsia"/>
              </w:rPr>
              <w:t>1</w:t>
            </w:r>
          </w:p>
        </w:tc>
        <w:tc>
          <w:tcPr>
            <w:tcW w:w="1224" w:type="pct"/>
            <w:shd w:val="clear" w:color="auto" w:fill="FFFFFF" w:themeFill="background1"/>
            <w:vAlign w:val="center"/>
          </w:tcPr>
          <w:p w14:paraId="2C2596B2">
            <w:r>
              <w:rPr>
                <w:rFonts w:hint="eastAsia"/>
              </w:rPr>
              <w:t>SSL-VPN网关</w:t>
            </w:r>
          </w:p>
        </w:tc>
        <w:tc>
          <w:tcPr>
            <w:tcW w:w="2374" w:type="pct"/>
            <w:shd w:val="clear" w:color="auto" w:fill="FFFFFF" w:themeFill="background1"/>
            <w:vAlign w:val="center"/>
          </w:tcPr>
          <w:p w14:paraId="1698EB02">
            <w:r>
              <w:rPr>
                <w:rFonts w:hint="eastAsia"/>
              </w:rPr>
              <w:t>详见2.2产品技术要求。</w:t>
            </w:r>
          </w:p>
        </w:tc>
        <w:tc>
          <w:tcPr>
            <w:tcW w:w="436" w:type="pct"/>
            <w:shd w:val="clear" w:color="auto" w:fill="FFFFFF" w:themeFill="background1"/>
            <w:vAlign w:val="center"/>
          </w:tcPr>
          <w:p w14:paraId="31DA2101">
            <w:r>
              <w:rPr>
                <w:rFonts w:hint="eastAsia"/>
              </w:rPr>
              <w:t>台</w:t>
            </w:r>
          </w:p>
        </w:tc>
        <w:tc>
          <w:tcPr>
            <w:tcW w:w="549" w:type="pct"/>
            <w:shd w:val="clear" w:color="auto" w:fill="FFFFFF" w:themeFill="background1"/>
            <w:vAlign w:val="center"/>
          </w:tcPr>
          <w:p w14:paraId="1A2A610D">
            <w:r>
              <w:rPr>
                <w:rFonts w:hint="eastAsia"/>
              </w:rPr>
              <w:t>5年</w:t>
            </w:r>
          </w:p>
        </w:tc>
      </w:tr>
      <w:tr w14:paraId="6F16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640FE14D">
            <w:r>
              <w:rPr>
                <w:rFonts w:hint="eastAsia"/>
              </w:rPr>
              <w:t>2</w:t>
            </w:r>
          </w:p>
        </w:tc>
        <w:tc>
          <w:tcPr>
            <w:tcW w:w="1224" w:type="pct"/>
            <w:shd w:val="clear" w:color="auto" w:fill="FFFFFF" w:themeFill="background1"/>
            <w:vAlign w:val="center"/>
          </w:tcPr>
          <w:p w14:paraId="22390BFE">
            <w:r>
              <w:rPr>
                <w:rFonts w:hint="eastAsia"/>
              </w:rPr>
              <w:t>全流量分析系统</w:t>
            </w:r>
          </w:p>
        </w:tc>
        <w:tc>
          <w:tcPr>
            <w:tcW w:w="2374" w:type="pct"/>
            <w:shd w:val="clear" w:color="auto" w:fill="FFFFFF" w:themeFill="background1"/>
            <w:vAlign w:val="center"/>
          </w:tcPr>
          <w:p w14:paraId="6F298027">
            <w:r>
              <w:rPr>
                <w:rFonts w:hint="eastAsia"/>
              </w:rPr>
              <w:t>详见2.2产品技术要求。</w:t>
            </w:r>
          </w:p>
        </w:tc>
        <w:tc>
          <w:tcPr>
            <w:tcW w:w="436" w:type="pct"/>
            <w:shd w:val="clear" w:color="auto" w:fill="FFFFFF" w:themeFill="background1"/>
            <w:vAlign w:val="center"/>
          </w:tcPr>
          <w:p w14:paraId="33A8F0B8">
            <w:r>
              <w:rPr>
                <w:rFonts w:hint="eastAsia"/>
              </w:rPr>
              <w:t>套</w:t>
            </w:r>
          </w:p>
        </w:tc>
        <w:tc>
          <w:tcPr>
            <w:tcW w:w="549" w:type="pct"/>
            <w:shd w:val="clear" w:color="auto" w:fill="FFFFFF" w:themeFill="background1"/>
            <w:vAlign w:val="center"/>
          </w:tcPr>
          <w:p w14:paraId="7039A62E">
            <w:r>
              <w:rPr>
                <w:rFonts w:hint="eastAsia"/>
              </w:rPr>
              <w:t>5年</w:t>
            </w:r>
          </w:p>
        </w:tc>
      </w:tr>
      <w:tr w14:paraId="467A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7485F782">
            <w:r>
              <w:rPr>
                <w:rFonts w:hint="eastAsia"/>
              </w:rPr>
              <w:t>3</w:t>
            </w:r>
          </w:p>
        </w:tc>
        <w:tc>
          <w:tcPr>
            <w:tcW w:w="1224" w:type="pct"/>
            <w:shd w:val="clear" w:color="auto" w:fill="FFFFFF" w:themeFill="background1"/>
            <w:vAlign w:val="center"/>
          </w:tcPr>
          <w:p w14:paraId="4CEE68BF">
            <w:r>
              <w:rPr>
                <w:rFonts w:hint="eastAsia"/>
              </w:rPr>
              <w:t>防病毒网关</w:t>
            </w:r>
          </w:p>
        </w:tc>
        <w:tc>
          <w:tcPr>
            <w:tcW w:w="2374" w:type="pct"/>
            <w:shd w:val="clear" w:color="auto" w:fill="FFFFFF" w:themeFill="background1"/>
            <w:vAlign w:val="center"/>
          </w:tcPr>
          <w:p w14:paraId="1E9A620D">
            <w:r>
              <w:rPr>
                <w:rFonts w:hint="eastAsia"/>
              </w:rPr>
              <w:t>详见2.2产品技术要求。</w:t>
            </w:r>
          </w:p>
        </w:tc>
        <w:tc>
          <w:tcPr>
            <w:tcW w:w="436" w:type="pct"/>
            <w:shd w:val="clear" w:color="auto" w:fill="FFFFFF" w:themeFill="background1"/>
            <w:vAlign w:val="center"/>
          </w:tcPr>
          <w:p w14:paraId="5E765F74">
            <w:r>
              <w:rPr>
                <w:rFonts w:hint="eastAsia"/>
              </w:rPr>
              <w:t>台</w:t>
            </w:r>
          </w:p>
        </w:tc>
        <w:tc>
          <w:tcPr>
            <w:tcW w:w="549" w:type="pct"/>
            <w:shd w:val="clear" w:color="auto" w:fill="FFFFFF" w:themeFill="background1"/>
            <w:vAlign w:val="center"/>
          </w:tcPr>
          <w:p w14:paraId="2ED1053E">
            <w:r>
              <w:rPr>
                <w:rFonts w:hint="eastAsia"/>
              </w:rPr>
              <w:t>5年</w:t>
            </w:r>
          </w:p>
        </w:tc>
      </w:tr>
      <w:tr w14:paraId="7748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4F202293">
            <w:r>
              <w:rPr>
                <w:rFonts w:hint="eastAsia"/>
              </w:rPr>
              <w:t>4</w:t>
            </w:r>
          </w:p>
        </w:tc>
        <w:tc>
          <w:tcPr>
            <w:tcW w:w="1224" w:type="pct"/>
            <w:shd w:val="clear" w:color="auto" w:fill="FFFFFF" w:themeFill="background1"/>
            <w:vAlign w:val="center"/>
          </w:tcPr>
          <w:p w14:paraId="5771CCD5">
            <w:r>
              <w:rPr>
                <w:rFonts w:hint="eastAsia"/>
              </w:rPr>
              <w:t>安全运营管理平台</w:t>
            </w:r>
          </w:p>
        </w:tc>
        <w:tc>
          <w:tcPr>
            <w:tcW w:w="2374" w:type="pct"/>
            <w:shd w:val="clear" w:color="auto" w:fill="FFFFFF" w:themeFill="background1"/>
            <w:vAlign w:val="center"/>
          </w:tcPr>
          <w:p w14:paraId="027284C4">
            <w:r>
              <w:rPr>
                <w:rFonts w:hint="eastAsia"/>
              </w:rPr>
              <w:t>详见2.2产品技术要求。</w:t>
            </w:r>
          </w:p>
        </w:tc>
        <w:tc>
          <w:tcPr>
            <w:tcW w:w="436" w:type="pct"/>
            <w:shd w:val="clear" w:color="auto" w:fill="FFFFFF" w:themeFill="background1"/>
            <w:vAlign w:val="center"/>
          </w:tcPr>
          <w:p w14:paraId="404EF7DB">
            <w:r>
              <w:rPr>
                <w:rFonts w:hint="eastAsia"/>
              </w:rPr>
              <w:t>套</w:t>
            </w:r>
          </w:p>
        </w:tc>
        <w:tc>
          <w:tcPr>
            <w:tcW w:w="549" w:type="pct"/>
            <w:shd w:val="clear" w:color="auto" w:fill="FFFFFF" w:themeFill="background1"/>
            <w:vAlign w:val="center"/>
          </w:tcPr>
          <w:p w14:paraId="4C29F8DE">
            <w:r>
              <w:rPr>
                <w:rFonts w:hint="eastAsia"/>
              </w:rPr>
              <w:t>5年</w:t>
            </w:r>
          </w:p>
        </w:tc>
      </w:tr>
      <w:tr w14:paraId="0C84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1835DC26">
            <w:r>
              <w:rPr>
                <w:rFonts w:hint="eastAsia"/>
              </w:rPr>
              <w:t>5</w:t>
            </w:r>
          </w:p>
        </w:tc>
        <w:tc>
          <w:tcPr>
            <w:tcW w:w="1224" w:type="pct"/>
            <w:shd w:val="clear" w:color="auto" w:fill="FFFFFF" w:themeFill="background1"/>
            <w:vAlign w:val="center"/>
          </w:tcPr>
          <w:p w14:paraId="558320B6">
            <w:r>
              <w:rPr>
                <w:rFonts w:hint="eastAsia"/>
              </w:rPr>
              <w:t>分布式存储</w:t>
            </w:r>
          </w:p>
        </w:tc>
        <w:tc>
          <w:tcPr>
            <w:tcW w:w="2374" w:type="pct"/>
            <w:shd w:val="clear" w:color="auto" w:fill="FFFFFF" w:themeFill="background1"/>
            <w:vAlign w:val="center"/>
          </w:tcPr>
          <w:p w14:paraId="70FDCA05">
            <w:r>
              <w:rPr>
                <w:rFonts w:hint="eastAsia"/>
              </w:rPr>
              <w:t>详见2.2产品技术要求。</w:t>
            </w:r>
          </w:p>
        </w:tc>
        <w:tc>
          <w:tcPr>
            <w:tcW w:w="436" w:type="pct"/>
            <w:shd w:val="clear" w:color="auto" w:fill="FFFFFF" w:themeFill="background1"/>
            <w:vAlign w:val="center"/>
          </w:tcPr>
          <w:p w14:paraId="21262466">
            <w:r>
              <w:rPr>
                <w:rFonts w:hint="eastAsia"/>
              </w:rPr>
              <w:t>台</w:t>
            </w:r>
          </w:p>
        </w:tc>
        <w:tc>
          <w:tcPr>
            <w:tcW w:w="549" w:type="pct"/>
            <w:shd w:val="clear" w:color="auto" w:fill="FFFFFF" w:themeFill="background1"/>
            <w:vAlign w:val="center"/>
          </w:tcPr>
          <w:p w14:paraId="21AF4514">
            <w:r>
              <w:rPr>
                <w:rFonts w:hint="eastAsia"/>
              </w:rPr>
              <w:t>5年</w:t>
            </w:r>
          </w:p>
        </w:tc>
      </w:tr>
      <w:tr w14:paraId="6D82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12C498FD">
            <w:r>
              <w:rPr>
                <w:rFonts w:hint="eastAsia"/>
              </w:rPr>
              <w:t>6</w:t>
            </w:r>
          </w:p>
        </w:tc>
        <w:tc>
          <w:tcPr>
            <w:tcW w:w="1224" w:type="pct"/>
            <w:shd w:val="clear" w:color="auto" w:fill="FFFFFF" w:themeFill="background1"/>
            <w:vAlign w:val="center"/>
          </w:tcPr>
          <w:p w14:paraId="2F75376A">
            <w:r>
              <w:rPr>
                <w:rFonts w:hint="eastAsia"/>
              </w:rPr>
              <w:t>正向隔离装置</w:t>
            </w:r>
          </w:p>
        </w:tc>
        <w:tc>
          <w:tcPr>
            <w:tcW w:w="2374" w:type="pct"/>
            <w:shd w:val="clear" w:color="auto" w:fill="FFFFFF" w:themeFill="background1"/>
            <w:vAlign w:val="center"/>
          </w:tcPr>
          <w:p w14:paraId="33341282">
            <w:r>
              <w:rPr>
                <w:rFonts w:hint="eastAsia"/>
              </w:rPr>
              <w:t>详见2.2产品技术要求。</w:t>
            </w:r>
          </w:p>
        </w:tc>
        <w:tc>
          <w:tcPr>
            <w:tcW w:w="436" w:type="pct"/>
            <w:shd w:val="clear" w:color="auto" w:fill="FFFFFF" w:themeFill="background1"/>
            <w:vAlign w:val="center"/>
          </w:tcPr>
          <w:p w14:paraId="43376E9D">
            <w:r>
              <w:rPr>
                <w:rFonts w:hint="eastAsia"/>
              </w:rPr>
              <w:t>台</w:t>
            </w:r>
          </w:p>
        </w:tc>
        <w:tc>
          <w:tcPr>
            <w:tcW w:w="549" w:type="pct"/>
            <w:shd w:val="clear" w:color="auto" w:fill="FFFFFF" w:themeFill="background1"/>
            <w:vAlign w:val="center"/>
          </w:tcPr>
          <w:p w14:paraId="671E05D8">
            <w:r>
              <w:rPr>
                <w:rFonts w:hint="eastAsia"/>
              </w:rPr>
              <w:t>5年</w:t>
            </w:r>
          </w:p>
        </w:tc>
      </w:tr>
      <w:tr w14:paraId="56427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4188C0D4">
            <w:r>
              <w:rPr>
                <w:rFonts w:hint="eastAsia"/>
              </w:rPr>
              <w:t>7</w:t>
            </w:r>
          </w:p>
        </w:tc>
        <w:tc>
          <w:tcPr>
            <w:tcW w:w="1224" w:type="pct"/>
            <w:shd w:val="clear" w:color="auto" w:fill="FFFFFF" w:themeFill="background1"/>
            <w:vAlign w:val="center"/>
          </w:tcPr>
          <w:p w14:paraId="0E25103C">
            <w:r>
              <w:rPr>
                <w:rFonts w:hint="eastAsia"/>
              </w:rPr>
              <w:t>反向隔离装置</w:t>
            </w:r>
          </w:p>
        </w:tc>
        <w:tc>
          <w:tcPr>
            <w:tcW w:w="2374" w:type="pct"/>
            <w:shd w:val="clear" w:color="auto" w:fill="FFFFFF" w:themeFill="background1"/>
            <w:vAlign w:val="center"/>
          </w:tcPr>
          <w:p w14:paraId="241576F6">
            <w:r>
              <w:rPr>
                <w:rFonts w:hint="eastAsia"/>
              </w:rPr>
              <w:t>详见2.2产品技术要求。</w:t>
            </w:r>
          </w:p>
        </w:tc>
        <w:tc>
          <w:tcPr>
            <w:tcW w:w="436" w:type="pct"/>
            <w:shd w:val="clear" w:color="auto" w:fill="FFFFFF" w:themeFill="background1"/>
            <w:vAlign w:val="center"/>
          </w:tcPr>
          <w:p w14:paraId="1A693927">
            <w:r>
              <w:rPr>
                <w:rFonts w:hint="eastAsia"/>
              </w:rPr>
              <w:t>台</w:t>
            </w:r>
          </w:p>
        </w:tc>
        <w:tc>
          <w:tcPr>
            <w:tcW w:w="549" w:type="pct"/>
            <w:shd w:val="clear" w:color="auto" w:fill="FFFFFF" w:themeFill="background1"/>
            <w:vAlign w:val="center"/>
          </w:tcPr>
          <w:p w14:paraId="4111492B">
            <w:r>
              <w:rPr>
                <w:rFonts w:hint="eastAsia"/>
              </w:rPr>
              <w:t>5年</w:t>
            </w:r>
          </w:p>
        </w:tc>
      </w:tr>
      <w:tr w14:paraId="13CF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487881ED">
            <w:r>
              <w:rPr>
                <w:rFonts w:hint="eastAsia"/>
              </w:rPr>
              <w:t>8</w:t>
            </w:r>
          </w:p>
        </w:tc>
        <w:tc>
          <w:tcPr>
            <w:tcW w:w="1224" w:type="pct"/>
            <w:shd w:val="clear" w:color="auto" w:fill="FFFFFF" w:themeFill="background1"/>
            <w:vAlign w:val="center"/>
          </w:tcPr>
          <w:p w14:paraId="46847C0A">
            <w:r>
              <w:rPr>
                <w:rFonts w:hint="eastAsia"/>
              </w:rPr>
              <w:t>纵向加密装置</w:t>
            </w:r>
          </w:p>
        </w:tc>
        <w:tc>
          <w:tcPr>
            <w:tcW w:w="2374" w:type="pct"/>
            <w:shd w:val="clear" w:color="auto" w:fill="FFFFFF" w:themeFill="background1"/>
            <w:vAlign w:val="center"/>
          </w:tcPr>
          <w:p w14:paraId="455B3CCF">
            <w:r>
              <w:rPr>
                <w:rFonts w:hint="eastAsia"/>
              </w:rPr>
              <w:t>详见2.2产品技术要求。</w:t>
            </w:r>
          </w:p>
        </w:tc>
        <w:tc>
          <w:tcPr>
            <w:tcW w:w="436" w:type="pct"/>
            <w:shd w:val="clear" w:color="auto" w:fill="FFFFFF" w:themeFill="background1"/>
            <w:vAlign w:val="center"/>
          </w:tcPr>
          <w:p w14:paraId="14BAF790">
            <w:r>
              <w:rPr>
                <w:rFonts w:hint="eastAsia"/>
              </w:rPr>
              <w:t>台</w:t>
            </w:r>
          </w:p>
        </w:tc>
        <w:tc>
          <w:tcPr>
            <w:tcW w:w="549" w:type="pct"/>
            <w:shd w:val="clear" w:color="auto" w:fill="FFFFFF" w:themeFill="background1"/>
            <w:vAlign w:val="center"/>
          </w:tcPr>
          <w:p w14:paraId="75F165EB">
            <w:r>
              <w:rPr>
                <w:rFonts w:hint="eastAsia"/>
              </w:rPr>
              <w:t>5年</w:t>
            </w:r>
          </w:p>
        </w:tc>
      </w:tr>
      <w:tr w14:paraId="1D11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6CDDE6AE">
            <w:r>
              <w:rPr>
                <w:rFonts w:hint="eastAsia"/>
              </w:rPr>
              <w:t>9</w:t>
            </w:r>
          </w:p>
        </w:tc>
        <w:tc>
          <w:tcPr>
            <w:tcW w:w="1224" w:type="pct"/>
            <w:shd w:val="clear" w:color="auto" w:fill="FFFFFF" w:themeFill="background1"/>
            <w:vAlign w:val="center"/>
          </w:tcPr>
          <w:p w14:paraId="162F6568">
            <w:r>
              <w:rPr>
                <w:rFonts w:hint="eastAsia"/>
              </w:rPr>
              <w:t>WAF</w:t>
            </w:r>
          </w:p>
        </w:tc>
        <w:tc>
          <w:tcPr>
            <w:tcW w:w="2374" w:type="pct"/>
            <w:shd w:val="clear" w:color="auto" w:fill="FFFFFF" w:themeFill="background1"/>
            <w:vAlign w:val="center"/>
          </w:tcPr>
          <w:p w14:paraId="5476A559">
            <w:r>
              <w:rPr>
                <w:rFonts w:hint="eastAsia"/>
              </w:rPr>
              <w:t>详见2.2产品技术要求。</w:t>
            </w:r>
          </w:p>
        </w:tc>
        <w:tc>
          <w:tcPr>
            <w:tcW w:w="436" w:type="pct"/>
            <w:shd w:val="clear" w:color="auto" w:fill="FFFFFF" w:themeFill="background1"/>
            <w:vAlign w:val="center"/>
          </w:tcPr>
          <w:p w14:paraId="7C0683CB">
            <w:r>
              <w:rPr>
                <w:rFonts w:hint="eastAsia"/>
              </w:rPr>
              <w:t>台</w:t>
            </w:r>
          </w:p>
        </w:tc>
        <w:tc>
          <w:tcPr>
            <w:tcW w:w="549" w:type="pct"/>
            <w:shd w:val="clear" w:color="auto" w:fill="FFFFFF" w:themeFill="background1"/>
            <w:vAlign w:val="center"/>
          </w:tcPr>
          <w:p w14:paraId="287A1D43">
            <w:r>
              <w:rPr>
                <w:rFonts w:hint="eastAsia"/>
              </w:rPr>
              <w:t>5年</w:t>
            </w:r>
          </w:p>
        </w:tc>
      </w:tr>
      <w:tr w14:paraId="7DFA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598AC182">
            <w:r>
              <w:rPr>
                <w:rFonts w:hint="eastAsia"/>
              </w:rPr>
              <w:t>10</w:t>
            </w:r>
          </w:p>
        </w:tc>
        <w:tc>
          <w:tcPr>
            <w:tcW w:w="1224" w:type="pct"/>
            <w:shd w:val="clear" w:color="auto" w:fill="FFFFFF" w:themeFill="background1"/>
            <w:vAlign w:val="center"/>
          </w:tcPr>
          <w:p w14:paraId="23335C4F">
            <w:r>
              <w:rPr>
                <w:rFonts w:hint="eastAsia"/>
              </w:rPr>
              <w:t>IPS</w:t>
            </w:r>
          </w:p>
        </w:tc>
        <w:tc>
          <w:tcPr>
            <w:tcW w:w="2374" w:type="pct"/>
            <w:shd w:val="clear" w:color="auto" w:fill="FFFFFF" w:themeFill="background1"/>
            <w:vAlign w:val="center"/>
          </w:tcPr>
          <w:p w14:paraId="12D4CFFA">
            <w:r>
              <w:rPr>
                <w:rFonts w:hint="eastAsia"/>
              </w:rPr>
              <w:t>详见2.2产品技术要求。</w:t>
            </w:r>
          </w:p>
        </w:tc>
        <w:tc>
          <w:tcPr>
            <w:tcW w:w="436" w:type="pct"/>
            <w:shd w:val="clear" w:color="auto" w:fill="FFFFFF" w:themeFill="background1"/>
            <w:vAlign w:val="center"/>
          </w:tcPr>
          <w:p w14:paraId="01DD76DB">
            <w:r>
              <w:rPr>
                <w:rFonts w:hint="eastAsia"/>
              </w:rPr>
              <w:t>台</w:t>
            </w:r>
          </w:p>
        </w:tc>
        <w:tc>
          <w:tcPr>
            <w:tcW w:w="549" w:type="pct"/>
            <w:shd w:val="clear" w:color="auto" w:fill="FFFFFF" w:themeFill="background1"/>
            <w:vAlign w:val="center"/>
          </w:tcPr>
          <w:p w14:paraId="3D62BAB2">
            <w:r>
              <w:rPr>
                <w:rFonts w:hint="eastAsia"/>
              </w:rPr>
              <w:t>5年</w:t>
            </w:r>
          </w:p>
        </w:tc>
      </w:tr>
      <w:tr w14:paraId="3474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6F91B4C7">
            <w:r>
              <w:rPr>
                <w:rFonts w:hint="eastAsia"/>
              </w:rPr>
              <w:t>11</w:t>
            </w:r>
          </w:p>
        </w:tc>
        <w:tc>
          <w:tcPr>
            <w:tcW w:w="1224" w:type="pct"/>
            <w:shd w:val="clear" w:color="auto" w:fill="FFFFFF" w:themeFill="background1"/>
            <w:vAlign w:val="center"/>
          </w:tcPr>
          <w:p w14:paraId="10764D1D">
            <w:r>
              <w:rPr>
                <w:rFonts w:hint="eastAsia"/>
              </w:rPr>
              <w:t>抗DDOS</w:t>
            </w:r>
          </w:p>
        </w:tc>
        <w:tc>
          <w:tcPr>
            <w:tcW w:w="2374" w:type="pct"/>
            <w:shd w:val="clear" w:color="auto" w:fill="FFFFFF" w:themeFill="background1"/>
            <w:vAlign w:val="center"/>
          </w:tcPr>
          <w:p w14:paraId="180CF920">
            <w:r>
              <w:rPr>
                <w:rFonts w:hint="eastAsia"/>
              </w:rPr>
              <w:t>详见2.2产品技术要求。</w:t>
            </w:r>
          </w:p>
        </w:tc>
        <w:tc>
          <w:tcPr>
            <w:tcW w:w="436" w:type="pct"/>
            <w:shd w:val="clear" w:color="auto" w:fill="FFFFFF" w:themeFill="background1"/>
            <w:vAlign w:val="center"/>
          </w:tcPr>
          <w:p w14:paraId="2AD40A0B">
            <w:r>
              <w:rPr>
                <w:rFonts w:hint="eastAsia"/>
              </w:rPr>
              <w:t>台</w:t>
            </w:r>
          </w:p>
        </w:tc>
        <w:tc>
          <w:tcPr>
            <w:tcW w:w="549" w:type="pct"/>
            <w:shd w:val="clear" w:color="auto" w:fill="FFFFFF" w:themeFill="background1"/>
            <w:vAlign w:val="center"/>
          </w:tcPr>
          <w:p w14:paraId="6DBDD7B6">
            <w:r>
              <w:rPr>
                <w:rFonts w:hint="eastAsia"/>
              </w:rPr>
              <w:t>5年</w:t>
            </w:r>
          </w:p>
        </w:tc>
      </w:tr>
      <w:tr w14:paraId="2575A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trPr>
        <w:tc>
          <w:tcPr>
            <w:tcW w:w="417" w:type="pct"/>
            <w:shd w:val="clear" w:color="auto" w:fill="FFFFFF" w:themeFill="background1"/>
            <w:vAlign w:val="center"/>
          </w:tcPr>
          <w:p w14:paraId="4E22DC5B">
            <w:r>
              <w:rPr>
                <w:rFonts w:hint="eastAsia"/>
              </w:rPr>
              <w:t>12</w:t>
            </w:r>
          </w:p>
        </w:tc>
        <w:tc>
          <w:tcPr>
            <w:tcW w:w="1224" w:type="pct"/>
            <w:shd w:val="clear" w:color="auto" w:fill="FFFFFF" w:themeFill="background1"/>
            <w:vAlign w:val="center"/>
          </w:tcPr>
          <w:p w14:paraId="630D518B">
            <w:r>
              <w:rPr>
                <w:rFonts w:hint="eastAsia"/>
              </w:rPr>
              <w:t>数据防泄漏</w:t>
            </w:r>
          </w:p>
        </w:tc>
        <w:tc>
          <w:tcPr>
            <w:tcW w:w="2374" w:type="pct"/>
            <w:shd w:val="clear" w:color="auto" w:fill="FFFFFF" w:themeFill="background1"/>
            <w:vAlign w:val="center"/>
          </w:tcPr>
          <w:p w14:paraId="63E21E12">
            <w:r>
              <w:rPr>
                <w:rFonts w:hint="eastAsia"/>
              </w:rPr>
              <w:t>详见2.2产品技术要求。</w:t>
            </w:r>
          </w:p>
        </w:tc>
        <w:tc>
          <w:tcPr>
            <w:tcW w:w="436" w:type="pct"/>
            <w:shd w:val="clear" w:color="auto" w:fill="FFFFFF" w:themeFill="background1"/>
            <w:vAlign w:val="center"/>
          </w:tcPr>
          <w:p w14:paraId="50781F1F">
            <w:r>
              <w:rPr>
                <w:rFonts w:hint="eastAsia"/>
              </w:rPr>
              <w:t>台</w:t>
            </w:r>
          </w:p>
        </w:tc>
        <w:tc>
          <w:tcPr>
            <w:tcW w:w="549" w:type="pct"/>
            <w:shd w:val="clear" w:color="auto" w:fill="FFFFFF" w:themeFill="background1"/>
            <w:vAlign w:val="center"/>
          </w:tcPr>
          <w:p w14:paraId="77ACEF06">
            <w:r>
              <w:rPr>
                <w:rFonts w:hint="eastAsia"/>
              </w:rPr>
              <w:t>5年</w:t>
            </w:r>
          </w:p>
        </w:tc>
      </w:tr>
    </w:tbl>
    <w:p w14:paraId="2BF6FCC6">
      <w:pPr>
        <w:pStyle w:val="96"/>
      </w:pPr>
    </w:p>
    <w:p w14:paraId="44832837">
      <w:r>
        <w:rPr>
          <w:rFonts w:hint="eastAsia"/>
        </w:rPr>
        <w:br w:type="page"/>
      </w:r>
    </w:p>
    <w:p w14:paraId="3265D5D9">
      <w:pPr>
        <w:pStyle w:val="3"/>
      </w:pPr>
      <w:bookmarkStart w:id="8" w:name="_Toc14300"/>
      <w:r>
        <w:rPr>
          <w:rFonts w:hint="eastAsia"/>
        </w:rPr>
        <w:t>产品技术要求</w:t>
      </w:r>
      <w:bookmarkEnd w:id="8"/>
    </w:p>
    <w:p w14:paraId="4B890F41">
      <w:pPr>
        <w:pStyle w:val="5"/>
      </w:pPr>
      <w:bookmarkStart w:id="9" w:name="_Toc31017"/>
      <w:r>
        <w:rPr>
          <w:rFonts w:hint="eastAsia"/>
        </w:rPr>
        <w:t>SSL-VPN网关</w:t>
      </w:r>
      <w:bookmarkEnd w:id="9"/>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7171"/>
      </w:tblGrid>
      <w:tr w14:paraId="13F97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351" w:type="dxa"/>
            <w:shd w:val="clear" w:color="auto" w:fill="auto"/>
            <w:vAlign w:val="center"/>
          </w:tcPr>
          <w:p w14:paraId="33CDCEAA">
            <w:pPr>
              <w:jc w:val="center"/>
              <w:rPr>
                <w:b/>
                <w:highlight w:val="none"/>
              </w:rPr>
            </w:pPr>
            <w:r>
              <w:rPr>
                <w:rFonts w:hint="eastAsia"/>
                <w:b/>
                <w:highlight w:val="none"/>
              </w:rPr>
              <w:t>指标</w:t>
            </w:r>
          </w:p>
        </w:tc>
        <w:tc>
          <w:tcPr>
            <w:tcW w:w="7171" w:type="dxa"/>
            <w:shd w:val="clear" w:color="auto" w:fill="auto"/>
            <w:vAlign w:val="center"/>
          </w:tcPr>
          <w:p w14:paraId="48EB0C52">
            <w:pPr>
              <w:jc w:val="center"/>
              <w:rPr>
                <w:b/>
                <w:highlight w:val="none"/>
              </w:rPr>
            </w:pPr>
            <w:r>
              <w:rPr>
                <w:rFonts w:hint="eastAsia"/>
                <w:b/>
                <w:highlight w:val="none"/>
              </w:rPr>
              <w:t>规格要求</w:t>
            </w:r>
          </w:p>
        </w:tc>
      </w:tr>
      <w:tr w14:paraId="073CC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351" w:type="dxa"/>
            <w:shd w:val="clear" w:color="auto" w:fill="auto"/>
            <w:vAlign w:val="center"/>
          </w:tcPr>
          <w:p w14:paraId="26DF08B3">
            <w:pPr>
              <w:rPr>
                <w:highlight w:val="none"/>
              </w:rPr>
            </w:pPr>
            <w:r>
              <w:rPr>
                <w:rFonts w:hint="eastAsia"/>
                <w:highlight w:val="none"/>
              </w:rPr>
              <w:t>安全要求</w:t>
            </w:r>
          </w:p>
        </w:tc>
        <w:tc>
          <w:tcPr>
            <w:tcW w:w="7171" w:type="dxa"/>
            <w:shd w:val="clear" w:color="auto" w:fill="auto"/>
            <w:vAlign w:val="center"/>
          </w:tcPr>
          <w:p w14:paraId="62372687">
            <w:pPr>
              <w:rPr>
                <w:rFonts w:hint="eastAsia" w:eastAsia="宋体"/>
                <w:highlight w:val="none"/>
                <w:lang w:eastAsia="zh-CN"/>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329F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1351" w:type="dxa"/>
            <w:shd w:val="clear" w:color="auto" w:fill="auto"/>
            <w:vAlign w:val="center"/>
          </w:tcPr>
          <w:p w14:paraId="7E66E045">
            <w:pPr>
              <w:rPr>
                <w:highlight w:val="none"/>
              </w:rPr>
            </w:pPr>
            <w:r>
              <w:rPr>
                <w:rFonts w:hint="eastAsia"/>
                <w:highlight w:val="none"/>
              </w:rPr>
              <w:t>硬件规格</w:t>
            </w:r>
          </w:p>
        </w:tc>
        <w:tc>
          <w:tcPr>
            <w:tcW w:w="7171" w:type="dxa"/>
            <w:shd w:val="clear" w:color="auto" w:fill="auto"/>
            <w:vAlign w:val="center"/>
          </w:tcPr>
          <w:p w14:paraId="24DDDA1D">
            <w:pPr>
              <w:rPr>
                <w:highlight w:val="none"/>
              </w:rPr>
            </w:pPr>
            <w:r>
              <w:rPr>
                <w:rFonts w:hint="eastAsia"/>
                <w:highlight w:val="none"/>
              </w:rPr>
              <w:t>★CPU要求：芯片自主可控；</w:t>
            </w:r>
          </w:p>
          <w:p w14:paraId="48CDF28C">
            <w:pPr>
              <w:rPr>
                <w:highlight w:val="none"/>
              </w:rPr>
            </w:pPr>
            <w:r>
              <w:rPr>
                <w:rFonts w:hint="eastAsia"/>
                <w:highlight w:val="none"/>
              </w:rPr>
              <w:t>▲内存：≥16GB；</w:t>
            </w:r>
          </w:p>
          <w:p w14:paraId="6FE430C7">
            <w:pPr>
              <w:rPr>
                <w:highlight w:val="none"/>
              </w:rPr>
            </w:pPr>
            <w:r>
              <w:rPr>
                <w:rFonts w:hint="eastAsia"/>
                <w:highlight w:val="none"/>
              </w:rPr>
              <w:t>▲硬盘：≥480G SSD；</w:t>
            </w:r>
          </w:p>
          <w:p w14:paraId="1BA6C72F">
            <w:pPr>
              <w:rPr>
                <w:rFonts w:hint="eastAsia"/>
                <w:highlight w:val="none"/>
              </w:rPr>
            </w:pPr>
            <w:r>
              <w:rPr>
                <w:rFonts w:hint="eastAsia"/>
                <w:highlight w:val="none"/>
              </w:rPr>
              <w:t>▲业务接口要求：千兆电口≥4，千兆光口≥4，万兆光口SFP+≥4（要求光模块满配）冗余电源；</w:t>
            </w:r>
          </w:p>
          <w:p w14:paraId="16F7AEDF">
            <w:pPr>
              <w:ind w:firstLine="210" w:firstLineChars="100"/>
              <w:rPr>
                <w:highlight w:val="none"/>
              </w:rPr>
            </w:pPr>
            <w:r>
              <w:rPr>
                <w:rFonts w:hint="eastAsia"/>
                <w:highlight w:val="none"/>
              </w:rPr>
              <w:t>2U机架式设备，≥1个串口；</w:t>
            </w:r>
            <w:r>
              <w:rPr>
                <w:highlight w:val="none"/>
              </w:rPr>
              <w:t xml:space="preserve"> </w:t>
            </w:r>
          </w:p>
        </w:tc>
      </w:tr>
      <w:tr w14:paraId="2CC1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1" w:type="dxa"/>
            <w:shd w:val="clear" w:color="auto" w:fill="auto"/>
            <w:vAlign w:val="center"/>
          </w:tcPr>
          <w:p w14:paraId="33B5000A">
            <w:pPr>
              <w:rPr>
                <w:highlight w:val="none"/>
              </w:rPr>
            </w:pPr>
            <w:r>
              <w:rPr>
                <w:rFonts w:hint="eastAsia"/>
                <w:highlight w:val="none"/>
              </w:rPr>
              <w:t>性能规格</w:t>
            </w:r>
          </w:p>
        </w:tc>
        <w:tc>
          <w:tcPr>
            <w:tcW w:w="7171" w:type="dxa"/>
            <w:shd w:val="clear" w:color="auto" w:fill="auto"/>
            <w:vAlign w:val="center"/>
          </w:tcPr>
          <w:p w14:paraId="4E6D8DD6">
            <w:pPr>
              <w:rPr>
                <w:highlight w:val="none"/>
              </w:rPr>
            </w:pPr>
            <w:r>
              <w:rPr>
                <w:rFonts w:hint="eastAsia"/>
                <w:highlight w:val="none"/>
              </w:rPr>
              <w:t>▲设备最大网络层吞吐量≥45Gbps，最大并发连接数≥800万，支持不少于2000个电鸿设备接入许可。</w:t>
            </w:r>
          </w:p>
        </w:tc>
      </w:tr>
      <w:tr w14:paraId="7552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351" w:type="dxa"/>
            <w:shd w:val="clear" w:color="auto" w:fill="auto"/>
            <w:vAlign w:val="center"/>
          </w:tcPr>
          <w:p w14:paraId="32DB3B3B">
            <w:pPr>
              <w:rPr>
                <w:highlight w:val="none"/>
              </w:rPr>
            </w:pPr>
            <w:r>
              <w:rPr>
                <w:rFonts w:hint="eastAsia"/>
                <w:highlight w:val="none"/>
              </w:rPr>
              <w:t>功能要求</w:t>
            </w:r>
          </w:p>
        </w:tc>
        <w:tc>
          <w:tcPr>
            <w:tcW w:w="7171" w:type="dxa"/>
            <w:shd w:val="clear" w:color="auto" w:fill="auto"/>
            <w:vAlign w:val="center"/>
          </w:tcPr>
          <w:p w14:paraId="341362C5">
            <w:pPr>
              <w:rPr>
                <w:highlight w:val="none"/>
              </w:rPr>
            </w:pPr>
            <w:r>
              <w:rPr>
                <w:rFonts w:hint="eastAsia"/>
                <w:highlight w:val="none"/>
              </w:rPr>
              <w:t>内置模块包括不限于：1、资产管理模块；2、流量包审计模块；3、协议解析和审计模块（涵盖工控协议、lot协议；）4、安全事件回溯归纳模块；5、安全事件流量分析模块；6、安全策略可配置自定义模块；7、准入控制模块；8、统一管理模块；</w:t>
            </w:r>
          </w:p>
        </w:tc>
      </w:tr>
      <w:tr w14:paraId="1E9B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351" w:type="dxa"/>
            <w:vMerge w:val="restart"/>
            <w:shd w:val="clear" w:color="auto" w:fill="auto"/>
            <w:vAlign w:val="center"/>
          </w:tcPr>
          <w:p w14:paraId="6E4FFAB4">
            <w:pPr>
              <w:rPr>
                <w:highlight w:val="none"/>
              </w:rPr>
            </w:pPr>
            <w:r>
              <w:rPr>
                <w:rFonts w:hint="eastAsia"/>
                <w:highlight w:val="none"/>
              </w:rPr>
              <w:t>资产管理模块</w:t>
            </w:r>
          </w:p>
        </w:tc>
        <w:tc>
          <w:tcPr>
            <w:tcW w:w="7171" w:type="dxa"/>
            <w:shd w:val="clear" w:color="auto" w:fill="auto"/>
            <w:vAlign w:val="center"/>
          </w:tcPr>
          <w:p w14:paraId="5FC7BFB6">
            <w:pPr>
              <w:rPr>
                <w:highlight w:val="none"/>
              </w:rPr>
            </w:pPr>
            <w:r>
              <w:rPr>
                <w:rFonts w:hint="eastAsia"/>
                <w:highlight w:val="none"/>
              </w:rPr>
              <w:t>▲可识别IT、OT、IoT混合资产，获取IP、MAC、操作系统、类型、厂商等信息，终端类型包括但不限于：</w:t>
            </w:r>
          </w:p>
          <w:p w14:paraId="143F3085">
            <w:pPr>
              <w:rPr>
                <w:highlight w:val="none"/>
              </w:rPr>
            </w:pPr>
            <w:r>
              <w:rPr>
                <w:rFonts w:hint="eastAsia"/>
                <w:highlight w:val="none"/>
              </w:rPr>
              <w:t>（1）PC、瘦客户机、手机、平板、交换机、路由器、防火墙、无线控制器、服务器等IT资产</w:t>
            </w:r>
          </w:p>
          <w:p w14:paraId="78537965">
            <w:pPr>
              <w:rPr>
                <w:highlight w:val="none"/>
              </w:rPr>
            </w:pPr>
            <w:r>
              <w:rPr>
                <w:rFonts w:hint="eastAsia"/>
                <w:highlight w:val="none"/>
              </w:rPr>
              <w:t>（2）摄像头、门禁、打印机、投影仪等IoT资产</w:t>
            </w:r>
          </w:p>
          <w:p w14:paraId="3C62061D">
            <w:pPr>
              <w:rPr>
                <w:highlight w:val="none"/>
              </w:rPr>
            </w:pPr>
            <w:r>
              <w:rPr>
                <w:rFonts w:hint="eastAsia"/>
                <w:highlight w:val="none"/>
              </w:rPr>
              <w:t>（3）IPC总线工业电脑、PLC可编程控制系统、DCS分散型控制系统、FCS现场总线系统、CNC数控系统、DTU数据传输设备、智能电表、配电变压器、HMI人机界面、工业传感器、电源总线、锅炉、融合开关。</w:t>
            </w:r>
          </w:p>
          <w:p w14:paraId="5D81ED99">
            <w:pPr>
              <w:rPr>
                <w:highlight w:val="none"/>
              </w:rPr>
            </w:pPr>
            <w:r>
              <w:rPr>
                <w:rFonts w:hint="eastAsia"/>
                <w:highlight w:val="none"/>
              </w:rPr>
              <w:t>（4）支持基于移动网络接入场景中的ICCID、IMSI、IMEI三码识别。</w:t>
            </w:r>
          </w:p>
          <w:p w14:paraId="50DEB43A">
            <w:pPr>
              <w:rPr>
                <w:highlight w:val="none"/>
              </w:rPr>
            </w:pPr>
            <w:r>
              <w:rPr>
                <w:rFonts w:hint="eastAsia"/>
                <w:highlight w:val="none"/>
              </w:rPr>
              <w:t>（提供产品界面截图并加盖原厂公章）。</w:t>
            </w:r>
          </w:p>
        </w:tc>
      </w:tr>
      <w:tr w14:paraId="0CC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51" w:type="dxa"/>
            <w:vMerge w:val="continue"/>
            <w:shd w:val="clear" w:color="auto" w:fill="auto"/>
            <w:vAlign w:val="center"/>
          </w:tcPr>
          <w:p w14:paraId="4F68833F">
            <w:pPr>
              <w:rPr>
                <w:highlight w:val="none"/>
              </w:rPr>
            </w:pPr>
          </w:p>
        </w:tc>
        <w:tc>
          <w:tcPr>
            <w:tcW w:w="7171" w:type="dxa"/>
            <w:shd w:val="clear" w:color="auto" w:fill="auto"/>
            <w:vAlign w:val="center"/>
          </w:tcPr>
          <w:p w14:paraId="31741A62">
            <w:pPr>
              <w:rPr>
                <w:highlight w:val="none"/>
              </w:rPr>
            </w:pPr>
            <w:r>
              <w:rPr>
                <w:rFonts w:hint="eastAsia"/>
                <w:highlight w:val="none"/>
              </w:rPr>
              <w:t>▲支持资产列表，可查看终端指纹信息和状态，如IP、MAC、终端类型、操作系统、终端厂商、终端名称、网卡厂商等（提供产品界面截图并加盖原厂公章）。</w:t>
            </w:r>
          </w:p>
        </w:tc>
      </w:tr>
      <w:tr w14:paraId="2B57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4375543D">
            <w:pPr>
              <w:rPr>
                <w:highlight w:val="none"/>
              </w:rPr>
            </w:pPr>
          </w:p>
        </w:tc>
        <w:tc>
          <w:tcPr>
            <w:tcW w:w="7171" w:type="dxa"/>
            <w:shd w:val="clear" w:color="auto" w:fill="auto"/>
          </w:tcPr>
          <w:p w14:paraId="5C136210">
            <w:pPr>
              <w:rPr>
                <w:highlight w:val="none"/>
              </w:rPr>
            </w:pPr>
            <w:r>
              <w:rPr>
                <w:rFonts w:hint="eastAsia"/>
                <w:highlight w:val="none"/>
              </w:rPr>
              <w:t>支持无业务流量扫描，快速发现资产，可自定义资产删除策略，支持无流量资产自动删除。</w:t>
            </w:r>
          </w:p>
        </w:tc>
      </w:tr>
      <w:tr w14:paraId="4FE4D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00A6F1A2">
            <w:pPr>
              <w:rPr>
                <w:highlight w:val="none"/>
              </w:rPr>
            </w:pPr>
          </w:p>
        </w:tc>
        <w:tc>
          <w:tcPr>
            <w:tcW w:w="7171" w:type="dxa"/>
            <w:shd w:val="clear" w:color="auto" w:fill="auto"/>
          </w:tcPr>
          <w:p w14:paraId="3EE166CA">
            <w:pPr>
              <w:rPr>
                <w:highlight w:val="none"/>
              </w:rPr>
            </w:pPr>
            <w:r>
              <w:rPr>
                <w:rFonts w:hint="eastAsia"/>
                <w:highlight w:val="none"/>
              </w:rPr>
              <w:t>支持自定义资产在线/离线状态，可配置在线/离线资产的发现周期，及时发现物联网资产的异常离线。</w:t>
            </w:r>
          </w:p>
        </w:tc>
      </w:tr>
      <w:tr w14:paraId="23CF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restart"/>
            <w:shd w:val="clear" w:color="auto" w:fill="auto"/>
            <w:vAlign w:val="center"/>
          </w:tcPr>
          <w:p w14:paraId="423E5755">
            <w:pPr>
              <w:rPr>
                <w:highlight w:val="none"/>
              </w:rPr>
            </w:pPr>
            <w:r>
              <w:rPr>
                <w:rFonts w:hint="eastAsia"/>
                <w:highlight w:val="none"/>
              </w:rPr>
              <w:t>流量包审计模块</w:t>
            </w:r>
          </w:p>
        </w:tc>
        <w:tc>
          <w:tcPr>
            <w:tcW w:w="7171" w:type="dxa"/>
            <w:shd w:val="clear" w:color="auto" w:fill="auto"/>
            <w:vAlign w:val="center"/>
          </w:tcPr>
          <w:p w14:paraId="4B75A442">
            <w:pPr>
              <w:rPr>
                <w:highlight w:val="none"/>
              </w:rPr>
            </w:pPr>
            <w:r>
              <w:rPr>
                <w:rFonts w:hint="eastAsia"/>
                <w:highlight w:val="none"/>
              </w:rPr>
              <w:t>支持基于源／目的IP、源／目的区域、源端口、域名、MAC地址、用户（组），应用/服务、时间等多维度设置应用控制策略。</w:t>
            </w:r>
          </w:p>
        </w:tc>
      </w:tr>
      <w:tr w14:paraId="5110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75F3BB62">
            <w:pPr>
              <w:rPr>
                <w:highlight w:val="none"/>
              </w:rPr>
            </w:pPr>
          </w:p>
        </w:tc>
        <w:tc>
          <w:tcPr>
            <w:tcW w:w="7171" w:type="dxa"/>
            <w:shd w:val="clear" w:color="auto" w:fill="auto"/>
            <w:vAlign w:val="center"/>
          </w:tcPr>
          <w:p w14:paraId="36A73306">
            <w:pPr>
              <w:rPr>
                <w:highlight w:val="none"/>
              </w:rPr>
            </w:pPr>
            <w:r>
              <w:rPr>
                <w:rFonts w:hint="eastAsia"/>
                <w:highlight w:val="none"/>
              </w:rPr>
              <w:t>支持基于源／目的IP、源／目的区域、服务/应用、动作、日志类型、时间等多维进行日志检索。</w:t>
            </w:r>
          </w:p>
        </w:tc>
      </w:tr>
      <w:tr w14:paraId="2248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18EFE0F1">
            <w:pPr>
              <w:rPr>
                <w:highlight w:val="none"/>
              </w:rPr>
            </w:pPr>
          </w:p>
        </w:tc>
        <w:tc>
          <w:tcPr>
            <w:tcW w:w="7171" w:type="dxa"/>
            <w:shd w:val="clear" w:color="auto" w:fill="auto"/>
            <w:vAlign w:val="center"/>
          </w:tcPr>
          <w:p w14:paraId="4776D150">
            <w:pPr>
              <w:rPr>
                <w:highlight w:val="none"/>
              </w:rPr>
            </w:pPr>
            <w:r>
              <w:rPr>
                <w:rFonts w:hint="eastAsia"/>
                <w:highlight w:val="none"/>
              </w:rPr>
              <w:t>支持流量包详细日志展示，支持服务、应用、协议、动作、匹配策略、正反向报文数等多维度展示。</w:t>
            </w:r>
          </w:p>
        </w:tc>
      </w:tr>
      <w:tr w14:paraId="0E457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restart"/>
            <w:shd w:val="clear" w:color="auto" w:fill="auto"/>
            <w:vAlign w:val="center"/>
          </w:tcPr>
          <w:p w14:paraId="4F5224EC">
            <w:pPr>
              <w:rPr>
                <w:highlight w:val="none"/>
              </w:rPr>
            </w:pPr>
            <w:r>
              <w:rPr>
                <w:rFonts w:hint="eastAsia"/>
                <w:highlight w:val="none"/>
              </w:rPr>
              <w:t>协议解析和审计模块</w:t>
            </w:r>
          </w:p>
        </w:tc>
        <w:tc>
          <w:tcPr>
            <w:tcW w:w="7171" w:type="dxa"/>
            <w:shd w:val="clear" w:color="auto" w:fill="auto"/>
            <w:vAlign w:val="center"/>
          </w:tcPr>
          <w:p w14:paraId="767121E7">
            <w:pPr>
              <w:rPr>
                <w:highlight w:val="none"/>
              </w:rPr>
            </w:pPr>
            <w:r>
              <w:rPr>
                <w:rFonts w:hint="eastAsia"/>
                <w:highlight w:val="none"/>
              </w:rPr>
              <w:t>▲支持对loT协议进行审计（包含但不限于MQTT、COAP、GB/T 28181、ONVIF、AMQP、XMPP、Zigbee、6LoWPAN、WSN等），支持解析记录loT协议请求动作。（提供产品界面截图并加盖原厂公章）。</w:t>
            </w:r>
          </w:p>
        </w:tc>
      </w:tr>
      <w:tr w14:paraId="4BB0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48BC2D1B">
            <w:pPr>
              <w:rPr>
                <w:highlight w:val="none"/>
              </w:rPr>
            </w:pPr>
          </w:p>
        </w:tc>
        <w:tc>
          <w:tcPr>
            <w:tcW w:w="7171" w:type="dxa"/>
            <w:shd w:val="clear" w:color="auto" w:fill="auto"/>
            <w:vAlign w:val="center"/>
          </w:tcPr>
          <w:p w14:paraId="5BE0B3B6">
            <w:pPr>
              <w:rPr>
                <w:highlight w:val="none"/>
              </w:rPr>
            </w:pPr>
            <w:r>
              <w:rPr>
                <w:rFonts w:hint="eastAsia"/>
                <w:highlight w:val="none"/>
              </w:rPr>
              <w:t>▲支持主流的工控协议审计，支持对ADS/AMS、BACnet-APDU、CIP、DNP3、EGD、ENIP、FINS、FOX、GE-SRTP、 Hart/IP、IEC103、IEC104、IEC61850/GOOSE、IEC61850/MMS、IEC61850/SV、MODBUS、 OPC-AE、OPC-DA、OPC-UA、PROFINET、S7COMM、UMAS等多种工控协议的审计，具体到功能码的审计，支持解析记录工控协议请求动作。（提供产品界面截图并加盖原厂公章）。</w:t>
            </w:r>
          </w:p>
        </w:tc>
      </w:tr>
      <w:tr w14:paraId="4EEB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67E2658C">
            <w:pPr>
              <w:rPr>
                <w:highlight w:val="none"/>
              </w:rPr>
            </w:pPr>
          </w:p>
        </w:tc>
        <w:tc>
          <w:tcPr>
            <w:tcW w:w="7171" w:type="dxa"/>
            <w:shd w:val="clear" w:color="auto" w:fill="auto"/>
            <w:vAlign w:val="center"/>
          </w:tcPr>
          <w:p w14:paraId="3F5BC4BB">
            <w:pPr>
              <w:rPr>
                <w:rFonts w:hint="eastAsia" w:eastAsia="宋体"/>
                <w:highlight w:val="none"/>
                <w:lang w:eastAsia="zh-CN"/>
              </w:rPr>
            </w:pPr>
            <w:r>
              <w:rPr>
                <w:rFonts w:hint="eastAsia"/>
                <w:highlight w:val="none"/>
              </w:rPr>
              <w:t>▲支持SDK准入控制模块，通过国家密码局认可的国密算法技术，提供高效的基于国密算法技术的加解密服务能力，通过零信任技术，对物联网领域中物联终端安全可信准入的管理能力，提供物联终端的设备本体安全监管能力，SDK支持主流物联网操作系统安装，包含但不限于南网电鸿OS操作系统（提供产品界面截图并加盖原厂公章）</w:t>
            </w:r>
            <w:r>
              <w:rPr>
                <w:rFonts w:hint="eastAsia"/>
                <w:highlight w:val="none"/>
                <w:lang w:eastAsia="zh-CN"/>
              </w:rPr>
              <w:t>。</w:t>
            </w:r>
          </w:p>
        </w:tc>
      </w:tr>
      <w:tr w14:paraId="23A6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41466AD8">
            <w:pPr>
              <w:rPr>
                <w:highlight w:val="none"/>
              </w:rPr>
            </w:pPr>
          </w:p>
        </w:tc>
        <w:tc>
          <w:tcPr>
            <w:tcW w:w="7171" w:type="dxa"/>
            <w:shd w:val="clear" w:color="auto" w:fill="auto"/>
            <w:vAlign w:val="center"/>
          </w:tcPr>
          <w:p w14:paraId="088D9F75">
            <w:pPr>
              <w:rPr>
                <w:rFonts w:hint="eastAsia" w:eastAsia="宋体"/>
                <w:highlight w:val="none"/>
                <w:lang w:eastAsia="zh-CN"/>
              </w:rPr>
            </w:pPr>
            <w:r>
              <w:rPr>
                <w:rFonts w:hint="eastAsia"/>
                <w:highlight w:val="none"/>
              </w:rPr>
              <w:t>▲支持扩展管理后台功能模块进行准入管理，包括接入认证管理，纵向认证管理、通信加密功能、访问控制管理、设备管理、通信策略配置等。（提供产品界面截图并加盖原厂公章）</w:t>
            </w:r>
            <w:r>
              <w:rPr>
                <w:rFonts w:hint="eastAsia"/>
                <w:highlight w:val="none"/>
                <w:lang w:eastAsia="zh-CN"/>
              </w:rPr>
              <w:t>。</w:t>
            </w:r>
          </w:p>
        </w:tc>
      </w:tr>
      <w:tr w14:paraId="29B83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4CDB2C00">
            <w:pPr>
              <w:rPr>
                <w:highlight w:val="none"/>
              </w:rPr>
            </w:pPr>
          </w:p>
        </w:tc>
        <w:tc>
          <w:tcPr>
            <w:tcW w:w="7171" w:type="dxa"/>
            <w:shd w:val="clear" w:color="auto" w:fill="auto"/>
            <w:vAlign w:val="center"/>
          </w:tcPr>
          <w:p w14:paraId="0D80A054">
            <w:pPr>
              <w:rPr>
                <w:rFonts w:hint="eastAsia" w:eastAsia="宋体"/>
                <w:highlight w:val="none"/>
                <w:lang w:eastAsia="zh-CN"/>
              </w:rPr>
            </w:pPr>
            <w:r>
              <w:rPr>
                <w:rFonts w:hint="eastAsia"/>
                <w:highlight w:val="none"/>
              </w:rPr>
              <w:t>▲支持扩展管理后台功能模块进行检测管理设备安全状态监测、设备入侵监测管理、设备进程监测管理、安全告警事件管理、告警策略管理、系统管理和管理中心开放接口等模块。（提供产品界面截图并加盖原厂公章）</w:t>
            </w:r>
            <w:r>
              <w:rPr>
                <w:rFonts w:hint="eastAsia"/>
                <w:highlight w:val="none"/>
                <w:lang w:eastAsia="zh-CN"/>
              </w:rPr>
              <w:t>。</w:t>
            </w:r>
          </w:p>
        </w:tc>
      </w:tr>
      <w:tr w14:paraId="6481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restart"/>
            <w:shd w:val="clear" w:color="auto" w:fill="auto"/>
            <w:vAlign w:val="center"/>
          </w:tcPr>
          <w:p w14:paraId="54C5A05D">
            <w:pPr>
              <w:rPr>
                <w:highlight w:val="none"/>
              </w:rPr>
            </w:pPr>
            <w:r>
              <w:rPr>
                <w:rFonts w:hint="eastAsia"/>
                <w:highlight w:val="none"/>
              </w:rPr>
              <w:t>安全事件回溯归纳模块</w:t>
            </w:r>
          </w:p>
        </w:tc>
        <w:tc>
          <w:tcPr>
            <w:tcW w:w="7171" w:type="dxa"/>
            <w:shd w:val="clear" w:color="auto" w:fill="auto"/>
            <w:vAlign w:val="center"/>
          </w:tcPr>
          <w:p w14:paraId="7461FBDD">
            <w:pPr>
              <w:rPr>
                <w:highlight w:val="none"/>
              </w:rPr>
            </w:pPr>
            <w:r>
              <w:rPr>
                <w:rFonts w:hint="eastAsia"/>
                <w:highlight w:val="none"/>
              </w:rPr>
              <w:t>支持记录业务攻击的行为，包括Web应用防护、漏洞攻击防护、僵尸网络、网站访问、邮件安全和Dos攻击。支持记录安全事件基础信息，如匹配的规则ID、请求方式等；同时支持记录事件对应数据包完整的请求信息，以及攻击的特征</w:t>
            </w:r>
            <w:r>
              <w:rPr>
                <w:rStyle w:val="97"/>
                <w:rFonts w:hint="eastAsia" w:ascii="宋体" w:hAnsi="宋体"/>
                <w:sz w:val="21"/>
                <w:highlight w:val="none"/>
              </w:rPr>
              <w:t>。</w:t>
            </w:r>
          </w:p>
        </w:tc>
      </w:tr>
      <w:tr w14:paraId="1CF1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3DB5BDC1">
            <w:pPr>
              <w:rPr>
                <w:highlight w:val="none"/>
              </w:rPr>
            </w:pPr>
          </w:p>
        </w:tc>
        <w:tc>
          <w:tcPr>
            <w:tcW w:w="7171" w:type="dxa"/>
            <w:shd w:val="clear" w:color="auto" w:fill="auto"/>
            <w:vAlign w:val="center"/>
          </w:tcPr>
          <w:p w14:paraId="31C5C4D9">
            <w:pPr>
              <w:rPr>
                <w:highlight w:val="none"/>
              </w:rPr>
            </w:pPr>
            <w:r>
              <w:rPr>
                <w:rFonts w:hint="eastAsia"/>
                <w:highlight w:val="none"/>
              </w:rPr>
              <w:t>支持自动生成安全风险报表，报表内容体现被保护对象的整体安全状况，基于业务和用户安全的风险分析，并提供安全评分细则和危害说明，可以通过报表全面了解内网的安全风险和安全评级状况。</w:t>
            </w:r>
          </w:p>
        </w:tc>
      </w:tr>
      <w:tr w14:paraId="0DDA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60ABF1FE">
            <w:pPr>
              <w:rPr>
                <w:highlight w:val="none"/>
              </w:rPr>
            </w:pPr>
          </w:p>
        </w:tc>
        <w:tc>
          <w:tcPr>
            <w:tcW w:w="7171" w:type="dxa"/>
            <w:shd w:val="clear" w:color="auto" w:fill="auto"/>
            <w:vAlign w:val="center"/>
          </w:tcPr>
          <w:p w14:paraId="6B4CE0BE">
            <w:pPr>
              <w:rPr>
                <w:highlight w:val="none"/>
              </w:rPr>
            </w:pPr>
            <w:r>
              <w:rPr>
                <w:rFonts w:hint="eastAsia"/>
                <w:highlight w:val="none"/>
              </w:rPr>
              <w:t>产品支持多条件的安全日志组合查询，查询条件包括但不限于日志类型、严重级别、生成时间。</w:t>
            </w:r>
          </w:p>
        </w:tc>
      </w:tr>
      <w:tr w14:paraId="426C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restart"/>
            <w:shd w:val="clear" w:color="auto" w:fill="auto"/>
            <w:vAlign w:val="center"/>
          </w:tcPr>
          <w:p w14:paraId="57684FA5">
            <w:pPr>
              <w:rPr>
                <w:highlight w:val="none"/>
              </w:rPr>
            </w:pPr>
            <w:r>
              <w:rPr>
                <w:rFonts w:hint="eastAsia"/>
                <w:highlight w:val="none"/>
              </w:rPr>
              <w:t>安全事件流量分析模块</w:t>
            </w:r>
          </w:p>
        </w:tc>
        <w:tc>
          <w:tcPr>
            <w:tcW w:w="7171" w:type="dxa"/>
            <w:shd w:val="clear" w:color="auto" w:fill="auto"/>
            <w:vAlign w:val="center"/>
          </w:tcPr>
          <w:p w14:paraId="6B945DD3">
            <w:pPr>
              <w:rPr>
                <w:highlight w:val="none"/>
              </w:rPr>
            </w:pPr>
            <w:r>
              <w:rPr>
                <w:rFonts w:hint="eastAsia"/>
                <w:highlight w:val="none"/>
              </w:rPr>
              <w:t>支持≥3000+种IoT漏洞攻击特征，其中工控漏洞攻击特征≥2000种，检测到漏洞攻击后可进行拦截。</w:t>
            </w:r>
          </w:p>
        </w:tc>
      </w:tr>
      <w:tr w14:paraId="7EB3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7E0C045B">
            <w:pPr>
              <w:rPr>
                <w:highlight w:val="none"/>
              </w:rPr>
            </w:pPr>
          </w:p>
        </w:tc>
        <w:tc>
          <w:tcPr>
            <w:tcW w:w="7171" w:type="dxa"/>
            <w:shd w:val="clear" w:color="auto" w:fill="auto"/>
            <w:vAlign w:val="center"/>
          </w:tcPr>
          <w:p w14:paraId="6DF68E42">
            <w:pPr>
              <w:rPr>
                <w:highlight w:val="none"/>
              </w:rPr>
            </w:pPr>
            <w:r>
              <w:rPr>
                <w:rFonts w:hint="eastAsia"/>
                <w:highlight w:val="none"/>
              </w:rPr>
              <w:t>支持≥4500种WEB应用攻击特征，支持对跨站脚本（XSS）攻击、SQL注入、文件包含攻击、信息泄露攻击、WEBSHELL、网站扫描、网页木马等攻击类型进行防护。</w:t>
            </w:r>
          </w:p>
        </w:tc>
      </w:tr>
      <w:tr w14:paraId="683D3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2E038EE3">
            <w:pPr>
              <w:rPr>
                <w:highlight w:val="none"/>
              </w:rPr>
            </w:pPr>
          </w:p>
        </w:tc>
        <w:tc>
          <w:tcPr>
            <w:tcW w:w="7171" w:type="dxa"/>
            <w:shd w:val="clear" w:color="auto" w:fill="auto"/>
            <w:vAlign w:val="center"/>
          </w:tcPr>
          <w:p w14:paraId="476E5A38">
            <w:pPr>
              <w:rPr>
                <w:highlight w:val="none"/>
              </w:rPr>
            </w:pPr>
            <w:r>
              <w:rPr>
                <w:rFonts w:hint="eastAsia"/>
                <w:highlight w:val="none"/>
              </w:rPr>
              <w:t>支持僵尸主机检测功能，产品内置僵尸网络特征库≥120万种，可识别主机的异常外联行为。</w:t>
            </w:r>
          </w:p>
        </w:tc>
      </w:tr>
      <w:tr w14:paraId="7DE04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047E48BA">
            <w:pPr>
              <w:rPr>
                <w:highlight w:val="none"/>
              </w:rPr>
            </w:pPr>
          </w:p>
        </w:tc>
        <w:tc>
          <w:tcPr>
            <w:tcW w:w="7171" w:type="dxa"/>
            <w:shd w:val="clear" w:color="auto" w:fill="auto"/>
            <w:vAlign w:val="center"/>
          </w:tcPr>
          <w:p w14:paraId="41E46061">
            <w:pPr>
              <w:rPr>
                <w:highlight w:val="none"/>
              </w:rPr>
            </w:pPr>
            <w:r>
              <w:rPr>
                <w:rFonts w:hint="eastAsia"/>
                <w:highlight w:val="none"/>
              </w:rPr>
              <w:t>▲支持对IT</w:t>
            </w:r>
            <w:r>
              <w:rPr>
                <w:rFonts w:hint="eastAsia"/>
                <w:kern w:val="0"/>
                <w:highlight w:val="none"/>
              </w:rPr>
              <w:t>、OT、IoT</w:t>
            </w:r>
            <w:r>
              <w:rPr>
                <w:rFonts w:hint="eastAsia"/>
                <w:highlight w:val="none"/>
              </w:rPr>
              <w:t>混合终端进行主动网络探测，通过终端的响应数据包判断其是否存在违规外联行为，可检测双网卡、4G网卡、私接wifi等外联方式可配置定期检测任务。（提供产品界面截图并加盖原厂公章）。</w:t>
            </w:r>
          </w:p>
        </w:tc>
      </w:tr>
      <w:tr w14:paraId="67CF6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0001F828">
            <w:pPr>
              <w:rPr>
                <w:highlight w:val="none"/>
              </w:rPr>
            </w:pPr>
          </w:p>
        </w:tc>
        <w:tc>
          <w:tcPr>
            <w:tcW w:w="7171" w:type="dxa"/>
            <w:shd w:val="clear" w:color="auto" w:fill="auto"/>
            <w:vAlign w:val="center"/>
          </w:tcPr>
          <w:p w14:paraId="6992DDF7">
            <w:pPr>
              <w:rPr>
                <w:highlight w:val="none"/>
              </w:rPr>
            </w:pPr>
            <w:r>
              <w:rPr>
                <w:rFonts w:hint="eastAsia"/>
                <w:highlight w:val="none"/>
              </w:rPr>
              <w:t>支持对IT</w:t>
            </w:r>
            <w:r>
              <w:rPr>
                <w:rFonts w:hint="eastAsia"/>
                <w:kern w:val="0"/>
                <w:highlight w:val="none"/>
              </w:rPr>
              <w:t>、OT、</w:t>
            </w:r>
            <w:r>
              <w:rPr>
                <w:rFonts w:hint="eastAsia"/>
                <w:highlight w:val="none"/>
              </w:rPr>
              <w:t>IoT混合终端进行HTTP流量重定向，通过对其重定向后的访问请求判断其是否存在违规外联行为，并自动封堵违规外联终端，终端可配置流量重定向的时间间隔，支持根据源IP或目标IP进行白名单豁免。（提供产品界面截图并加盖原厂公章）。</w:t>
            </w:r>
          </w:p>
        </w:tc>
      </w:tr>
      <w:tr w14:paraId="2CF2A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351" w:type="dxa"/>
            <w:vMerge w:val="continue"/>
            <w:shd w:val="clear" w:color="auto" w:fill="auto"/>
            <w:vAlign w:val="center"/>
          </w:tcPr>
          <w:p w14:paraId="4852B2E9">
            <w:pPr>
              <w:rPr>
                <w:highlight w:val="none"/>
              </w:rPr>
            </w:pPr>
          </w:p>
        </w:tc>
        <w:tc>
          <w:tcPr>
            <w:tcW w:w="7171" w:type="dxa"/>
            <w:shd w:val="clear" w:color="auto" w:fill="auto"/>
            <w:vAlign w:val="center"/>
          </w:tcPr>
          <w:p w14:paraId="75C0B33B">
            <w:pPr>
              <w:rPr>
                <w:highlight w:val="none"/>
              </w:rPr>
            </w:pPr>
            <w:r>
              <w:rPr>
                <w:rFonts w:hint="eastAsia"/>
                <w:highlight w:val="none"/>
              </w:rPr>
              <w:t>▲支持对IT</w:t>
            </w:r>
            <w:r>
              <w:rPr>
                <w:rFonts w:hint="eastAsia"/>
                <w:kern w:val="0"/>
                <w:highlight w:val="none"/>
              </w:rPr>
              <w:t>、OT、</w:t>
            </w:r>
            <w:r>
              <w:rPr>
                <w:rFonts w:hint="eastAsia"/>
                <w:highlight w:val="none"/>
              </w:rPr>
              <w:t>IoT混合终端进行网卡检测，可检测双网卡、4G网卡、无线网卡等外联方式，可配置定期检测任务。（提供产品界面截图并加盖原厂公章）。</w:t>
            </w:r>
          </w:p>
        </w:tc>
      </w:tr>
      <w:tr w14:paraId="40B2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351" w:type="dxa"/>
            <w:vMerge w:val="restart"/>
            <w:shd w:val="clear" w:color="auto" w:fill="auto"/>
            <w:vAlign w:val="center"/>
          </w:tcPr>
          <w:p w14:paraId="269B10ED">
            <w:pPr>
              <w:rPr>
                <w:highlight w:val="none"/>
              </w:rPr>
            </w:pPr>
            <w:r>
              <w:rPr>
                <w:rFonts w:hint="eastAsia"/>
                <w:highlight w:val="none"/>
              </w:rPr>
              <w:t>安全策略可配置自定义模块</w:t>
            </w:r>
          </w:p>
        </w:tc>
        <w:tc>
          <w:tcPr>
            <w:tcW w:w="7171" w:type="dxa"/>
            <w:shd w:val="clear" w:color="auto" w:fill="auto"/>
            <w:vAlign w:val="center"/>
          </w:tcPr>
          <w:p w14:paraId="68A8C27B">
            <w:pPr>
              <w:rPr>
                <w:highlight w:val="none"/>
              </w:rPr>
            </w:pPr>
            <w:r>
              <w:rPr>
                <w:rFonts w:hint="eastAsia"/>
                <w:highlight w:val="none"/>
              </w:rPr>
              <w:t>支持自定义Web应用防护规则库、自定义漏洞攻击规则库、自定义僵尸网络规则库和自定义敏感信息防护规则库。</w:t>
            </w:r>
          </w:p>
        </w:tc>
      </w:tr>
      <w:tr w14:paraId="4E2C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351" w:type="dxa"/>
            <w:vMerge w:val="continue"/>
            <w:shd w:val="clear" w:color="auto" w:fill="auto"/>
            <w:vAlign w:val="center"/>
          </w:tcPr>
          <w:p w14:paraId="562C6428">
            <w:pPr>
              <w:rPr>
                <w:highlight w:val="none"/>
              </w:rPr>
            </w:pPr>
          </w:p>
        </w:tc>
        <w:tc>
          <w:tcPr>
            <w:tcW w:w="7171" w:type="dxa"/>
            <w:shd w:val="clear" w:color="auto" w:fill="auto"/>
            <w:vAlign w:val="center"/>
          </w:tcPr>
          <w:p w14:paraId="7E58E62E">
            <w:pPr>
              <w:rPr>
                <w:highlight w:val="none"/>
              </w:rPr>
            </w:pPr>
            <w:r>
              <w:rPr>
                <w:rFonts w:hint="eastAsia"/>
                <w:highlight w:val="none"/>
              </w:rPr>
              <w:t>支持策略生命周期管理功能，支持对安全策略修改的时间、原因、变更类型进行统一管理，便于策略的运维与管理。（提供产品界面截图并加盖原厂公章）。</w:t>
            </w:r>
          </w:p>
        </w:tc>
      </w:tr>
      <w:tr w14:paraId="75CB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351" w:type="dxa"/>
            <w:vMerge w:val="restart"/>
            <w:shd w:val="clear" w:color="auto" w:fill="auto"/>
            <w:vAlign w:val="center"/>
          </w:tcPr>
          <w:p w14:paraId="37D17BB0">
            <w:pPr>
              <w:rPr>
                <w:highlight w:val="none"/>
              </w:rPr>
            </w:pPr>
            <w:r>
              <w:rPr>
                <w:rFonts w:hint="eastAsia"/>
                <w:highlight w:val="none"/>
              </w:rPr>
              <w:t>准入控制模块</w:t>
            </w:r>
          </w:p>
        </w:tc>
        <w:tc>
          <w:tcPr>
            <w:tcW w:w="7171" w:type="dxa"/>
            <w:shd w:val="clear" w:color="auto" w:fill="auto"/>
            <w:vAlign w:val="center"/>
          </w:tcPr>
          <w:p w14:paraId="38C4BFB5">
            <w:pPr>
              <w:rPr>
                <w:highlight w:val="none"/>
              </w:rPr>
            </w:pPr>
            <w:r>
              <w:rPr>
                <w:rFonts w:hint="eastAsia"/>
                <w:highlight w:val="none"/>
              </w:rPr>
              <w:t>支持对资产进行入网管控，未审核的资产禁止入网。</w:t>
            </w:r>
          </w:p>
        </w:tc>
      </w:tr>
      <w:tr w14:paraId="2961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351" w:type="dxa"/>
            <w:vMerge w:val="continue"/>
            <w:shd w:val="clear" w:color="auto" w:fill="auto"/>
            <w:vAlign w:val="center"/>
          </w:tcPr>
          <w:p w14:paraId="29985468">
            <w:pPr>
              <w:rPr>
                <w:highlight w:val="none"/>
              </w:rPr>
            </w:pPr>
          </w:p>
        </w:tc>
        <w:tc>
          <w:tcPr>
            <w:tcW w:w="7171" w:type="dxa"/>
            <w:shd w:val="clear" w:color="auto" w:fill="auto"/>
            <w:vAlign w:val="center"/>
          </w:tcPr>
          <w:p w14:paraId="120BF907">
            <w:pPr>
              <w:rPr>
                <w:highlight w:val="none"/>
              </w:rPr>
            </w:pPr>
            <w:r>
              <w:rPr>
                <w:rFonts w:hint="eastAsia"/>
                <w:highlight w:val="none"/>
              </w:rPr>
              <w:t>支持旁路部署进行TCP reset准入，仅允许通过审批的终端入网。</w:t>
            </w:r>
          </w:p>
        </w:tc>
      </w:tr>
      <w:tr w14:paraId="31993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351" w:type="dxa"/>
            <w:vMerge w:val="restart"/>
            <w:shd w:val="clear" w:color="auto" w:fill="auto"/>
            <w:vAlign w:val="center"/>
          </w:tcPr>
          <w:p w14:paraId="236268D3">
            <w:pPr>
              <w:rPr>
                <w:highlight w:val="none"/>
              </w:rPr>
            </w:pPr>
            <w:r>
              <w:rPr>
                <w:rFonts w:hint="eastAsia"/>
                <w:highlight w:val="none"/>
              </w:rPr>
              <w:t>统一管理</w:t>
            </w:r>
          </w:p>
        </w:tc>
        <w:tc>
          <w:tcPr>
            <w:tcW w:w="7171" w:type="dxa"/>
            <w:shd w:val="clear" w:color="auto" w:fill="auto"/>
          </w:tcPr>
          <w:p w14:paraId="02349409">
            <w:pPr>
              <w:rPr>
                <w:highlight w:val="none"/>
              </w:rPr>
            </w:pPr>
            <w:r>
              <w:rPr>
                <w:rFonts w:hint="eastAsia"/>
                <w:highlight w:val="none"/>
              </w:rPr>
              <w:t>支持将终端信息统一上报至平台，由平台进行全网资产的统一展示，对全网资产进行统一入网审批、管理。</w:t>
            </w:r>
          </w:p>
        </w:tc>
      </w:tr>
      <w:tr w14:paraId="1257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351" w:type="dxa"/>
            <w:vMerge w:val="continue"/>
            <w:shd w:val="clear" w:color="auto" w:fill="auto"/>
            <w:vAlign w:val="center"/>
          </w:tcPr>
          <w:p w14:paraId="7AFBD882">
            <w:pPr>
              <w:rPr>
                <w:highlight w:val="none"/>
              </w:rPr>
            </w:pPr>
          </w:p>
        </w:tc>
        <w:tc>
          <w:tcPr>
            <w:tcW w:w="7171" w:type="dxa"/>
            <w:shd w:val="clear" w:color="auto" w:fill="auto"/>
          </w:tcPr>
          <w:p w14:paraId="3772125A">
            <w:pPr>
              <w:rPr>
                <w:highlight w:val="none"/>
              </w:rPr>
            </w:pPr>
            <w:r>
              <w:rPr>
                <w:rFonts w:hint="eastAsia"/>
                <w:highlight w:val="none"/>
              </w:rPr>
              <w:t>支持自动接收平台的安全指令，对平台研判分析出的异常终端进行网络封锁，阻断其网络接入。</w:t>
            </w:r>
          </w:p>
        </w:tc>
      </w:tr>
      <w:tr w14:paraId="494F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351" w:type="dxa"/>
            <w:shd w:val="clear" w:color="auto" w:fill="auto"/>
            <w:vAlign w:val="top"/>
          </w:tcPr>
          <w:p w14:paraId="78CBE926">
            <w:pPr>
              <w:rPr>
                <w:rFonts w:hint="eastAsia"/>
                <w:highlight w:val="none"/>
              </w:rPr>
            </w:pPr>
            <w:r>
              <w:rPr>
                <w:rFonts w:hint="eastAsia"/>
                <w:highlight w:val="none"/>
              </w:rPr>
              <w:t>接入与集成要求</w:t>
            </w:r>
          </w:p>
        </w:tc>
        <w:tc>
          <w:tcPr>
            <w:tcW w:w="7171" w:type="dxa"/>
            <w:shd w:val="clear" w:color="auto" w:fill="auto"/>
            <w:vAlign w:val="top"/>
          </w:tcPr>
          <w:p w14:paraId="09CB4A17">
            <w:pPr>
              <w:pStyle w:val="62"/>
              <w:spacing w:line="360" w:lineRule="auto"/>
              <w:rPr>
                <w:rFonts w:hint="eastAsia"/>
                <w:highlight w:val="none"/>
              </w:rPr>
            </w:pPr>
            <w:r>
              <w:rPr>
                <w:rFonts w:hint="eastAsia" w:hAnsi="宋体"/>
                <w:sz w:val="21"/>
                <w:szCs w:val="21"/>
                <w:highlight w:val="none"/>
              </w:rPr>
              <w:t>▲提供接口完成与云盾、安全管控工具等系统的接入与集成。（需提供加盖原厂公章的承诺函）</w:t>
            </w:r>
          </w:p>
        </w:tc>
      </w:tr>
      <w:tr w14:paraId="22183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351" w:type="dxa"/>
            <w:shd w:val="clear" w:color="auto" w:fill="auto"/>
            <w:vAlign w:val="center"/>
          </w:tcPr>
          <w:p w14:paraId="6B75400D">
            <w:pPr>
              <w:rPr>
                <w:highlight w:val="none"/>
              </w:rPr>
            </w:pPr>
            <w:r>
              <w:rPr>
                <w:rFonts w:hint="eastAsia"/>
                <w:highlight w:val="none"/>
              </w:rPr>
              <w:t>质保要求</w:t>
            </w:r>
          </w:p>
        </w:tc>
        <w:tc>
          <w:tcPr>
            <w:tcW w:w="7171" w:type="dxa"/>
            <w:shd w:val="clear" w:color="auto" w:fill="auto"/>
            <w:vAlign w:val="center"/>
          </w:tcPr>
          <w:p w14:paraId="1DFB37ED">
            <w:pPr>
              <w:rPr>
                <w:highlight w:val="none"/>
              </w:rPr>
            </w:pPr>
            <w:r>
              <w:rPr>
                <w:rFonts w:hint="eastAsia"/>
                <w:highlight w:val="none"/>
              </w:rPr>
              <w:t>质保期间免费提供原厂软件升级、规则库升级、技术服务支持及设备保修服务。</w:t>
            </w:r>
          </w:p>
        </w:tc>
      </w:tr>
      <w:tr w14:paraId="7C9F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351" w:type="dxa"/>
            <w:shd w:val="clear" w:color="auto" w:fill="auto"/>
            <w:vAlign w:val="center"/>
          </w:tcPr>
          <w:p w14:paraId="57BB1247">
            <w:pPr>
              <w:rPr>
                <w:highlight w:val="none"/>
              </w:rPr>
            </w:pPr>
            <w:r>
              <w:rPr>
                <w:rFonts w:hint="eastAsia"/>
                <w:highlight w:val="none"/>
              </w:rPr>
              <w:t>产品资质</w:t>
            </w:r>
          </w:p>
        </w:tc>
        <w:tc>
          <w:tcPr>
            <w:tcW w:w="7171" w:type="dxa"/>
            <w:shd w:val="clear" w:color="auto" w:fill="auto"/>
            <w:vAlign w:val="center"/>
          </w:tcPr>
          <w:p w14:paraId="01AF87CB">
            <w:pPr>
              <w:rPr>
                <w:highlight w:val="none"/>
              </w:rPr>
            </w:pPr>
            <w:r>
              <w:rPr>
                <w:rFonts w:hint="eastAsia"/>
                <w:highlight w:val="none"/>
              </w:rPr>
              <w:t>▲产品具备由中华人民共和国国家版权局颁发的计算机软件著作权登记证书</w:t>
            </w:r>
          </w:p>
        </w:tc>
      </w:tr>
    </w:tbl>
    <w:p w14:paraId="66A2B318"/>
    <w:p w14:paraId="03DA8C3A">
      <w:pPr>
        <w:pStyle w:val="5"/>
      </w:pPr>
      <w:bookmarkStart w:id="10" w:name="_Toc10603"/>
      <w:r>
        <w:rPr>
          <w:rFonts w:hint="eastAsia"/>
        </w:rPr>
        <w:t>全流量分析系统</w:t>
      </w:r>
      <w:bookmarkEnd w:id="10"/>
    </w:p>
    <w:tbl>
      <w:tblPr>
        <w:tblStyle w:val="27"/>
        <w:tblW w:w="4875" w:type="pct"/>
        <w:jc w:val="center"/>
        <w:tblLayout w:type="autofit"/>
        <w:tblCellMar>
          <w:top w:w="0" w:type="dxa"/>
          <w:left w:w="108" w:type="dxa"/>
          <w:bottom w:w="0" w:type="dxa"/>
          <w:right w:w="108" w:type="dxa"/>
        </w:tblCellMar>
      </w:tblPr>
      <w:tblGrid>
        <w:gridCol w:w="1120"/>
        <w:gridCol w:w="7189"/>
      </w:tblGrid>
      <w:tr w14:paraId="26992443">
        <w:tblPrEx>
          <w:tblCellMar>
            <w:top w:w="0" w:type="dxa"/>
            <w:left w:w="108" w:type="dxa"/>
            <w:bottom w:w="0" w:type="dxa"/>
            <w:right w:w="108" w:type="dxa"/>
          </w:tblCellMar>
        </w:tblPrEx>
        <w:trPr>
          <w:jc w:val="center"/>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07224820">
            <w:pPr>
              <w:jc w:val="center"/>
              <w:rPr>
                <w:b/>
              </w:rPr>
            </w:pPr>
            <w:r>
              <w:rPr>
                <w:rFonts w:hint="eastAsia"/>
                <w:b/>
              </w:rPr>
              <w:t>技术指标</w:t>
            </w:r>
          </w:p>
        </w:tc>
        <w:tc>
          <w:tcPr>
            <w:tcW w:w="6999" w:type="dxa"/>
            <w:tcBorders>
              <w:top w:val="single" w:color="auto" w:sz="4" w:space="0"/>
              <w:left w:val="nil"/>
              <w:bottom w:val="single" w:color="auto" w:sz="4" w:space="0"/>
              <w:right w:val="single" w:color="auto" w:sz="4" w:space="0"/>
            </w:tcBorders>
            <w:shd w:val="clear" w:color="auto" w:fill="auto"/>
            <w:vAlign w:val="center"/>
          </w:tcPr>
          <w:p w14:paraId="7E8CE4DB">
            <w:pPr>
              <w:jc w:val="center"/>
              <w:rPr>
                <w:b/>
              </w:rPr>
            </w:pPr>
            <w:r>
              <w:rPr>
                <w:rFonts w:hint="eastAsia"/>
                <w:b/>
              </w:rPr>
              <w:t>指标要求</w:t>
            </w:r>
          </w:p>
        </w:tc>
      </w:tr>
      <w:tr w14:paraId="68087D78">
        <w:tblPrEx>
          <w:tblCellMar>
            <w:top w:w="0" w:type="dxa"/>
            <w:left w:w="108" w:type="dxa"/>
            <w:bottom w:w="0" w:type="dxa"/>
            <w:right w:w="108" w:type="dxa"/>
          </w:tblCellMar>
        </w:tblPrEx>
        <w:trPr>
          <w:jc w:val="center"/>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FF07BB6">
            <w:r>
              <w:rPr>
                <w:rFonts w:hint="eastAsia"/>
              </w:rPr>
              <w:t>安全要求</w:t>
            </w:r>
          </w:p>
        </w:tc>
        <w:tc>
          <w:tcPr>
            <w:tcW w:w="6999" w:type="dxa"/>
            <w:tcBorders>
              <w:top w:val="single" w:color="auto" w:sz="4" w:space="0"/>
              <w:left w:val="nil"/>
              <w:bottom w:val="single" w:color="auto" w:sz="4" w:space="0"/>
              <w:right w:val="single" w:color="auto" w:sz="4" w:space="0"/>
            </w:tcBorders>
            <w:shd w:val="clear" w:color="auto" w:fill="auto"/>
            <w:vAlign w:val="center"/>
          </w:tcPr>
          <w:p w14:paraId="0DD6D776">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7A1EBDB2">
        <w:tblPrEx>
          <w:tblCellMar>
            <w:top w:w="0" w:type="dxa"/>
            <w:left w:w="108" w:type="dxa"/>
            <w:bottom w:w="0" w:type="dxa"/>
            <w:right w:w="108" w:type="dxa"/>
          </w:tblCellMar>
        </w:tblPrEx>
        <w:trPr>
          <w:jc w:val="center"/>
        </w:trPr>
        <w:tc>
          <w:tcPr>
            <w:tcW w:w="1090" w:type="dxa"/>
            <w:vMerge w:val="restart"/>
            <w:tcBorders>
              <w:top w:val="single" w:color="auto" w:sz="4" w:space="0"/>
              <w:left w:val="single" w:color="auto" w:sz="4" w:space="0"/>
              <w:right w:val="single" w:color="auto" w:sz="4" w:space="0"/>
            </w:tcBorders>
            <w:shd w:val="clear" w:color="auto" w:fill="auto"/>
            <w:vAlign w:val="center"/>
          </w:tcPr>
          <w:p w14:paraId="39EA6550">
            <w:r>
              <w:rPr>
                <w:rFonts w:hint="eastAsia"/>
              </w:rPr>
              <w:t>配置要求</w:t>
            </w:r>
          </w:p>
        </w:tc>
        <w:tc>
          <w:tcPr>
            <w:tcW w:w="6999" w:type="dxa"/>
            <w:tcBorders>
              <w:top w:val="single" w:color="auto" w:sz="4" w:space="0"/>
              <w:left w:val="nil"/>
              <w:bottom w:val="single" w:color="auto" w:sz="4" w:space="0"/>
              <w:right w:val="single" w:color="auto" w:sz="4" w:space="0"/>
            </w:tcBorders>
            <w:shd w:val="clear" w:color="auto" w:fill="auto"/>
            <w:vAlign w:val="center"/>
          </w:tcPr>
          <w:p w14:paraId="28BAFED0">
            <w:r>
              <w:rPr>
                <w:rFonts w:hint="eastAsia"/>
              </w:rPr>
              <w:t>★设备采用国产化平台和国产化操作系统；</w:t>
            </w:r>
          </w:p>
        </w:tc>
      </w:tr>
      <w:tr w14:paraId="32CECEB6">
        <w:tblPrEx>
          <w:tblCellMar>
            <w:top w:w="0" w:type="dxa"/>
            <w:left w:w="108" w:type="dxa"/>
            <w:bottom w:w="0" w:type="dxa"/>
            <w:right w:w="108" w:type="dxa"/>
          </w:tblCellMar>
        </w:tblPrEx>
        <w:trPr>
          <w:trHeight w:val="754" w:hRule="atLeast"/>
          <w:jc w:val="center"/>
        </w:trPr>
        <w:tc>
          <w:tcPr>
            <w:tcW w:w="1090" w:type="dxa"/>
            <w:vMerge w:val="continue"/>
            <w:tcBorders>
              <w:left w:val="single" w:color="auto" w:sz="4" w:space="0"/>
              <w:right w:val="single" w:color="auto" w:sz="4" w:space="0"/>
            </w:tcBorders>
            <w:shd w:val="clear" w:color="auto" w:fill="auto"/>
            <w:vAlign w:val="center"/>
          </w:tcPr>
          <w:p w14:paraId="02609C49"/>
        </w:tc>
        <w:tc>
          <w:tcPr>
            <w:tcW w:w="6999" w:type="dxa"/>
            <w:tcBorders>
              <w:top w:val="nil"/>
              <w:left w:val="nil"/>
              <w:bottom w:val="single" w:color="auto" w:sz="4" w:space="0"/>
              <w:right w:val="single" w:color="auto" w:sz="4" w:space="0"/>
            </w:tcBorders>
            <w:shd w:val="clear" w:color="auto" w:fill="auto"/>
            <w:vAlign w:val="center"/>
          </w:tcPr>
          <w:p w14:paraId="07AB44A5">
            <w:r>
              <w:rPr>
                <w:rFonts w:hint="eastAsia"/>
              </w:rPr>
              <w:t>设备尺寸：标准机架式设备</w:t>
            </w:r>
          </w:p>
          <w:p w14:paraId="360610AD">
            <w:r>
              <w:rPr>
                <w:rFonts w:hint="eastAsia"/>
              </w:rPr>
              <w:t>▲流量采集接口：万兆光口</w:t>
            </w:r>
            <w:r>
              <w:rPr>
                <w:rFonts w:hint="eastAsia"/>
                <w:kern w:val="0"/>
              </w:rPr>
              <w:t>≥2个</w:t>
            </w:r>
            <w:r>
              <w:rPr>
                <w:rFonts w:hint="eastAsia"/>
              </w:rPr>
              <w:t>，千兆光口</w:t>
            </w:r>
            <w:r>
              <w:rPr>
                <w:rFonts w:hint="eastAsia"/>
                <w:kern w:val="0"/>
              </w:rPr>
              <w:t>≥2个</w:t>
            </w:r>
            <w:r>
              <w:rPr>
                <w:rFonts w:hint="eastAsia"/>
              </w:rPr>
              <w:t>；管理接口：</w:t>
            </w:r>
            <w:r>
              <w:rPr>
                <w:rFonts w:hint="eastAsia"/>
                <w:kern w:val="0"/>
              </w:rPr>
              <w:t>≥</w:t>
            </w:r>
            <w:r>
              <w:rPr>
                <w:rFonts w:hint="eastAsia"/>
              </w:rPr>
              <w:t>1个千兆电口；存储空间</w:t>
            </w:r>
            <w:r>
              <w:rPr>
                <w:rFonts w:hint="eastAsia"/>
                <w:kern w:val="0"/>
              </w:rPr>
              <w:t>≥</w:t>
            </w:r>
            <w:r>
              <w:rPr>
                <w:rFonts w:hint="eastAsia"/>
              </w:rPr>
              <w:t>100TB，支持RAID5；</w:t>
            </w:r>
          </w:p>
          <w:p w14:paraId="4A1B7786">
            <w:r>
              <w:rPr>
                <w:rFonts w:hint="eastAsia"/>
              </w:rPr>
              <w:t>▲满足全流量状态下，日志及五元组数据信息存储</w:t>
            </w:r>
            <w:r>
              <w:rPr>
                <w:rFonts w:hint="eastAsia"/>
                <w:kern w:val="0"/>
              </w:rPr>
              <w:t>≥</w:t>
            </w:r>
            <w:r>
              <w:rPr>
                <w:rFonts w:hint="eastAsia"/>
              </w:rPr>
              <w:t>30天；</w:t>
            </w:r>
          </w:p>
          <w:p w14:paraId="20739735">
            <w:r>
              <w:rPr>
                <w:rFonts w:hint="eastAsia"/>
              </w:rPr>
              <w:t>▲支持外挂存储（提供原厂承诺函，明确授权容量及授权使用期）。</w:t>
            </w:r>
          </w:p>
        </w:tc>
      </w:tr>
      <w:tr w14:paraId="524F8061">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1825D496"/>
        </w:tc>
        <w:tc>
          <w:tcPr>
            <w:tcW w:w="6999" w:type="dxa"/>
            <w:tcBorders>
              <w:top w:val="nil"/>
              <w:left w:val="nil"/>
              <w:bottom w:val="single" w:color="auto" w:sz="4" w:space="0"/>
              <w:right w:val="single" w:color="auto" w:sz="4" w:space="0"/>
            </w:tcBorders>
            <w:shd w:val="clear" w:color="auto" w:fill="auto"/>
            <w:vAlign w:val="center"/>
          </w:tcPr>
          <w:p w14:paraId="20540369">
            <w:r>
              <w:rPr>
                <w:rFonts w:hint="eastAsia"/>
              </w:rPr>
              <w:t>▲电源：配置冗余电源；</w:t>
            </w:r>
          </w:p>
        </w:tc>
      </w:tr>
      <w:tr w14:paraId="3902CF98">
        <w:tblPrEx>
          <w:tblCellMar>
            <w:top w:w="0" w:type="dxa"/>
            <w:left w:w="108" w:type="dxa"/>
            <w:bottom w:w="0" w:type="dxa"/>
            <w:right w:w="108" w:type="dxa"/>
          </w:tblCellMar>
        </w:tblPrEx>
        <w:trPr>
          <w:jc w:val="center"/>
        </w:trPr>
        <w:tc>
          <w:tcPr>
            <w:tcW w:w="1090" w:type="dxa"/>
            <w:vMerge w:val="continue"/>
            <w:tcBorders>
              <w:left w:val="single" w:color="auto" w:sz="4" w:space="0"/>
              <w:bottom w:val="single" w:color="000000" w:sz="4" w:space="0"/>
              <w:right w:val="single" w:color="auto" w:sz="4" w:space="0"/>
            </w:tcBorders>
            <w:shd w:val="clear" w:color="auto" w:fill="auto"/>
            <w:vAlign w:val="center"/>
          </w:tcPr>
          <w:p w14:paraId="47A74B98"/>
        </w:tc>
        <w:tc>
          <w:tcPr>
            <w:tcW w:w="6999" w:type="dxa"/>
            <w:tcBorders>
              <w:top w:val="nil"/>
              <w:left w:val="nil"/>
              <w:bottom w:val="single" w:color="auto" w:sz="4" w:space="0"/>
              <w:right w:val="single" w:color="auto" w:sz="4" w:space="0"/>
            </w:tcBorders>
            <w:shd w:val="clear" w:color="auto" w:fill="auto"/>
            <w:vAlign w:val="center"/>
          </w:tcPr>
          <w:p w14:paraId="2A39A862">
            <w:r>
              <w:rPr>
                <w:rFonts w:hint="eastAsia"/>
              </w:rPr>
              <w:t>支持IPv4和IPv6双栈分析；</w:t>
            </w:r>
          </w:p>
        </w:tc>
      </w:tr>
      <w:tr w14:paraId="5686DB24">
        <w:tblPrEx>
          <w:tblCellMar>
            <w:top w:w="0" w:type="dxa"/>
            <w:left w:w="108" w:type="dxa"/>
            <w:bottom w:w="0" w:type="dxa"/>
            <w:right w:w="108" w:type="dxa"/>
          </w:tblCellMar>
        </w:tblPrEx>
        <w:trPr>
          <w:trHeight w:val="563" w:hRule="atLeast"/>
          <w:jc w:val="center"/>
        </w:trPr>
        <w:tc>
          <w:tcPr>
            <w:tcW w:w="1090" w:type="dxa"/>
            <w:tcBorders>
              <w:top w:val="nil"/>
              <w:left w:val="single" w:color="auto" w:sz="4" w:space="0"/>
              <w:bottom w:val="single" w:color="auto" w:sz="4" w:space="0"/>
              <w:right w:val="single" w:color="auto" w:sz="4" w:space="0"/>
            </w:tcBorders>
            <w:shd w:val="clear" w:color="auto" w:fill="auto"/>
            <w:vAlign w:val="center"/>
          </w:tcPr>
          <w:p w14:paraId="0419EE5D">
            <w:r>
              <w:rPr>
                <w:rFonts w:hint="eastAsia"/>
              </w:rPr>
              <w:t>性能要求</w:t>
            </w:r>
          </w:p>
        </w:tc>
        <w:tc>
          <w:tcPr>
            <w:tcW w:w="6999" w:type="dxa"/>
            <w:tcBorders>
              <w:top w:val="nil"/>
              <w:left w:val="nil"/>
              <w:bottom w:val="single" w:color="auto" w:sz="4" w:space="0"/>
              <w:right w:val="single" w:color="auto" w:sz="4" w:space="0"/>
            </w:tcBorders>
            <w:shd w:val="clear" w:color="auto" w:fill="auto"/>
            <w:vAlign w:val="center"/>
          </w:tcPr>
          <w:p w14:paraId="6B4B6CD2">
            <w:r>
              <w:rPr>
                <w:rFonts w:hint="eastAsia"/>
              </w:rPr>
              <w:t>网络数据包分析处理能力</w:t>
            </w:r>
            <w:r>
              <w:rPr>
                <w:rFonts w:hint="eastAsia"/>
                <w:kern w:val="0"/>
              </w:rPr>
              <w:t>≥</w:t>
            </w:r>
            <w:r>
              <w:rPr>
                <w:rFonts w:hint="eastAsia"/>
              </w:rPr>
              <w:t>10Gbps</w:t>
            </w:r>
          </w:p>
        </w:tc>
      </w:tr>
      <w:tr w14:paraId="2FB4C76A">
        <w:tblPrEx>
          <w:tblCellMar>
            <w:top w:w="0" w:type="dxa"/>
            <w:left w:w="108" w:type="dxa"/>
            <w:bottom w:w="0" w:type="dxa"/>
            <w:right w:w="108" w:type="dxa"/>
          </w:tblCellMar>
        </w:tblPrEx>
        <w:trPr>
          <w:jc w:val="center"/>
        </w:trPr>
        <w:tc>
          <w:tcPr>
            <w:tcW w:w="1090" w:type="dxa"/>
            <w:vMerge w:val="restart"/>
            <w:tcBorders>
              <w:top w:val="nil"/>
              <w:left w:val="single" w:color="auto" w:sz="4" w:space="0"/>
              <w:right w:val="single" w:color="auto" w:sz="4" w:space="0"/>
            </w:tcBorders>
            <w:shd w:val="clear" w:color="auto" w:fill="auto"/>
            <w:vAlign w:val="center"/>
          </w:tcPr>
          <w:p w14:paraId="5A6548FF">
            <w:r>
              <w:rPr>
                <w:rFonts w:hint="eastAsia"/>
              </w:rPr>
              <w:t>功能要求</w:t>
            </w:r>
          </w:p>
        </w:tc>
        <w:tc>
          <w:tcPr>
            <w:tcW w:w="6999" w:type="dxa"/>
            <w:tcBorders>
              <w:top w:val="nil"/>
              <w:left w:val="nil"/>
              <w:bottom w:val="single" w:color="auto" w:sz="4" w:space="0"/>
              <w:right w:val="single" w:color="auto" w:sz="4" w:space="0"/>
            </w:tcBorders>
            <w:shd w:val="clear" w:color="auto" w:fill="auto"/>
            <w:vAlign w:val="center"/>
          </w:tcPr>
          <w:p w14:paraId="74F632A7">
            <w:r>
              <w:rPr>
                <w:rFonts w:hint="eastAsia"/>
              </w:rPr>
              <w:t>▲产品支持探针服务器的物理口根据镜像流量中的MAC、VLAN ID标识形成独立的逻辑分析链路，支持将两个不同物理口下的MAC、VLAN ID标识聚合为同一条逻辑分析链路。并且支持在已建立的逻辑分析链路上根据MAC、VLANID设置虚链路，可以实现逻辑分析链路以及虚链路的统计分析和趋势图呈现。</w:t>
            </w:r>
          </w:p>
        </w:tc>
      </w:tr>
      <w:tr w14:paraId="635584EA">
        <w:tblPrEx>
          <w:tblCellMar>
            <w:top w:w="0" w:type="dxa"/>
            <w:left w:w="108" w:type="dxa"/>
            <w:bottom w:w="0" w:type="dxa"/>
            <w:right w:w="108" w:type="dxa"/>
          </w:tblCellMar>
        </w:tblPrEx>
        <w:trPr>
          <w:jc w:val="center"/>
        </w:trPr>
        <w:tc>
          <w:tcPr>
            <w:tcW w:w="1090" w:type="dxa"/>
            <w:vMerge w:val="continue"/>
            <w:tcBorders>
              <w:top w:val="nil"/>
              <w:left w:val="single" w:color="auto" w:sz="4" w:space="0"/>
              <w:right w:val="single" w:color="auto" w:sz="4" w:space="0"/>
            </w:tcBorders>
            <w:shd w:val="clear" w:color="auto" w:fill="auto"/>
            <w:vAlign w:val="center"/>
          </w:tcPr>
          <w:p w14:paraId="12937DB4"/>
        </w:tc>
        <w:tc>
          <w:tcPr>
            <w:tcW w:w="6999" w:type="dxa"/>
            <w:tcBorders>
              <w:top w:val="nil"/>
              <w:left w:val="nil"/>
              <w:bottom w:val="single" w:color="auto" w:sz="4" w:space="0"/>
              <w:right w:val="single" w:color="auto" w:sz="4" w:space="0"/>
            </w:tcBorders>
            <w:shd w:val="clear" w:color="auto" w:fill="auto"/>
            <w:vAlign w:val="center"/>
          </w:tcPr>
          <w:p w14:paraId="0A24DE70">
            <w:r>
              <w:rPr>
                <w:rFonts w:hint="eastAsia"/>
              </w:rPr>
              <w:t>▲产品支持针对分析链路的存储区配置，可为不同的监控链路分配不同容量的存储空间，使不同链路采集的数据互不干扰；存储区大小可灵活调整，且不会影响已保存的历史数据。支持二次存储分配，即指标数据与原始数据包的分层存储，能够自定义分配指标数据、原始数据包的存储空间;能够自定义分配不同时间精度（1秒、1分钟）指标数据的存储空间，存储占比可灵活调整。</w:t>
            </w:r>
          </w:p>
        </w:tc>
      </w:tr>
      <w:tr w14:paraId="74B0DBD2">
        <w:tblPrEx>
          <w:tblCellMar>
            <w:top w:w="0" w:type="dxa"/>
            <w:left w:w="108" w:type="dxa"/>
            <w:bottom w:w="0" w:type="dxa"/>
            <w:right w:w="108" w:type="dxa"/>
          </w:tblCellMar>
        </w:tblPrEx>
        <w:trPr>
          <w:jc w:val="center"/>
        </w:trPr>
        <w:tc>
          <w:tcPr>
            <w:tcW w:w="1090" w:type="dxa"/>
            <w:vMerge w:val="continue"/>
            <w:tcBorders>
              <w:top w:val="nil"/>
              <w:left w:val="single" w:color="auto" w:sz="4" w:space="0"/>
              <w:right w:val="single" w:color="auto" w:sz="4" w:space="0"/>
            </w:tcBorders>
            <w:shd w:val="clear" w:color="auto" w:fill="auto"/>
            <w:vAlign w:val="center"/>
          </w:tcPr>
          <w:p w14:paraId="15E480CA"/>
        </w:tc>
        <w:tc>
          <w:tcPr>
            <w:tcW w:w="6999" w:type="dxa"/>
            <w:tcBorders>
              <w:top w:val="nil"/>
              <w:left w:val="nil"/>
              <w:bottom w:val="single" w:color="auto" w:sz="4" w:space="0"/>
              <w:right w:val="single" w:color="auto" w:sz="4" w:space="0"/>
            </w:tcBorders>
            <w:shd w:val="clear" w:color="auto" w:fill="auto"/>
            <w:vAlign w:val="center"/>
          </w:tcPr>
          <w:p w14:paraId="2BF784E8">
            <w:r>
              <w:rPr>
                <w:rFonts w:hint="eastAsia"/>
              </w:rPr>
              <w:t>产品支持数据包过滤器功能，过滤规则包括地址规则、端口规则、协议规则等，其中地址规则支持源/目的 MAC 地址、源/目的IP地址等可以为数据包过滤器设置高级过滤规则，各个过滤规则间可以通过“与”“或”“反选”等逻辑关系进行连接设置数据包过滤器后，可以对网络流量进行过滤，仅对滤后的流量数据进行采集与分析。</w:t>
            </w:r>
          </w:p>
        </w:tc>
      </w:tr>
      <w:tr w14:paraId="7D46D01A">
        <w:tblPrEx>
          <w:tblCellMar>
            <w:top w:w="0" w:type="dxa"/>
            <w:left w:w="108" w:type="dxa"/>
            <w:bottom w:w="0" w:type="dxa"/>
            <w:right w:w="108" w:type="dxa"/>
          </w:tblCellMar>
        </w:tblPrEx>
        <w:trPr>
          <w:jc w:val="center"/>
        </w:trPr>
        <w:tc>
          <w:tcPr>
            <w:tcW w:w="1090" w:type="dxa"/>
            <w:vMerge w:val="continue"/>
            <w:tcBorders>
              <w:top w:val="nil"/>
              <w:left w:val="single" w:color="auto" w:sz="4" w:space="0"/>
              <w:right w:val="single" w:color="auto" w:sz="4" w:space="0"/>
            </w:tcBorders>
            <w:shd w:val="clear" w:color="auto" w:fill="auto"/>
            <w:vAlign w:val="center"/>
          </w:tcPr>
          <w:p w14:paraId="3859D042"/>
        </w:tc>
        <w:tc>
          <w:tcPr>
            <w:tcW w:w="6999" w:type="dxa"/>
            <w:tcBorders>
              <w:top w:val="nil"/>
              <w:left w:val="nil"/>
              <w:bottom w:val="single" w:color="auto" w:sz="4" w:space="0"/>
              <w:right w:val="single" w:color="auto" w:sz="4" w:space="0"/>
            </w:tcBorders>
            <w:shd w:val="clear" w:color="auto" w:fill="auto"/>
            <w:vAlign w:val="center"/>
          </w:tcPr>
          <w:p w14:paraId="11631FAD">
            <w:r>
              <w:rPr>
                <w:rFonts w:hint="eastAsia"/>
              </w:rPr>
              <w:t>▲产品支持数据包回放功能，能够将通过其他方式获取到的数据包导入系统进行分析(无需其他组件播放)，页面至少支持1GB数据包回放，实现与实时采集链路相同的分析功能，数据包格式应包括tcpdump、sniffer、wireshark抓包软件常用格式cap、pcap。</w:t>
            </w:r>
          </w:p>
        </w:tc>
      </w:tr>
      <w:tr w14:paraId="7769658D">
        <w:tblPrEx>
          <w:tblCellMar>
            <w:top w:w="0" w:type="dxa"/>
            <w:left w:w="108" w:type="dxa"/>
            <w:bottom w:w="0" w:type="dxa"/>
            <w:right w:w="108" w:type="dxa"/>
          </w:tblCellMar>
        </w:tblPrEx>
        <w:trPr>
          <w:jc w:val="center"/>
        </w:trPr>
        <w:tc>
          <w:tcPr>
            <w:tcW w:w="1090" w:type="dxa"/>
            <w:vMerge w:val="continue"/>
            <w:tcBorders>
              <w:top w:val="nil"/>
              <w:left w:val="single" w:color="auto" w:sz="4" w:space="0"/>
              <w:right w:val="single" w:color="auto" w:sz="4" w:space="0"/>
            </w:tcBorders>
            <w:shd w:val="clear" w:color="auto" w:fill="auto"/>
            <w:vAlign w:val="center"/>
          </w:tcPr>
          <w:p w14:paraId="4602563C"/>
        </w:tc>
        <w:tc>
          <w:tcPr>
            <w:tcW w:w="6999" w:type="dxa"/>
            <w:tcBorders>
              <w:top w:val="nil"/>
              <w:left w:val="nil"/>
              <w:bottom w:val="single" w:color="auto" w:sz="4" w:space="0"/>
              <w:right w:val="single" w:color="auto" w:sz="4" w:space="0"/>
            </w:tcBorders>
            <w:shd w:val="clear" w:color="auto" w:fill="auto"/>
            <w:vAlign w:val="center"/>
          </w:tcPr>
          <w:p w14:paraId="3148B083">
            <w:r>
              <w:rPr>
                <w:rFonts w:hint="eastAsia"/>
              </w:rPr>
              <w:t>▲产品支持Netflow、netstream流量分析功能，能够接收 Netflow、netstream流量数据并统计分析。</w:t>
            </w:r>
          </w:p>
        </w:tc>
      </w:tr>
      <w:tr w14:paraId="55070224">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2C37C7D5"/>
        </w:tc>
        <w:tc>
          <w:tcPr>
            <w:tcW w:w="6999" w:type="dxa"/>
            <w:tcBorders>
              <w:top w:val="nil"/>
              <w:left w:val="nil"/>
              <w:bottom w:val="single" w:color="auto" w:sz="4" w:space="0"/>
              <w:right w:val="single" w:color="auto" w:sz="4" w:space="0"/>
            </w:tcBorders>
            <w:shd w:val="clear" w:color="auto" w:fill="auto"/>
            <w:vAlign w:val="center"/>
          </w:tcPr>
          <w:p w14:paraId="6EAD60C1">
            <w:r>
              <w:rPr>
                <w:rFonts w:hint="eastAsia"/>
              </w:rPr>
              <w:t>▲产品支持数据包自定义长度截断存储，可以根据应用、协议进行数据包的裁剪:支持从指定序号的有效载荷数据包开始进行裁剪，支持任意长度的数据包数据包裁剪。</w:t>
            </w:r>
          </w:p>
        </w:tc>
      </w:tr>
      <w:tr w14:paraId="48B79861">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20973994"/>
        </w:tc>
        <w:tc>
          <w:tcPr>
            <w:tcW w:w="6999" w:type="dxa"/>
            <w:tcBorders>
              <w:top w:val="nil"/>
              <w:left w:val="nil"/>
              <w:bottom w:val="single" w:color="auto" w:sz="4" w:space="0"/>
              <w:right w:val="single" w:color="auto" w:sz="4" w:space="0"/>
            </w:tcBorders>
            <w:shd w:val="clear" w:color="auto" w:fill="auto"/>
            <w:vAlign w:val="center"/>
          </w:tcPr>
          <w:p w14:paraId="4577F4E1">
            <w:r>
              <w:rPr>
                <w:rFonts w:hint="eastAsia"/>
              </w:rPr>
              <w:t>▲产品支持IP、IP会话中的单个或多个指标组合进行检索，例如检索某时间段重传包大于100且重传率大于10%的IP、IP会话。</w:t>
            </w:r>
          </w:p>
        </w:tc>
      </w:tr>
      <w:tr w14:paraId="0EAA54E2">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367AC45D"/>
        </w:tc>
        <w:tc>
          <w:tcPr>
            <w:tcW w:w="6999" w:type="dxa"/>
            <w:tcBorders>
              <w:top w:val="nil"/>
              <w:left w:val="nil"/>
              <w:bottom w:val="single" w:color="auto" w:sz="4" w:space="0"/>
              <w:right w:val="single" w:color="auto" w:sz="4" w:space="0"/>
            </w:tcBorders>
            <w:shd w:val="clear" w:color="auto" w:fill="auto"/>
            <w:vAlign w:val="center"/>
          </w:tcPr>
          <w:p w14:paraId="60ABC3B2">
            <w:r>
              <w:rPr>
                <w:rFonts w:hint="eastAsia"/>
              </w:rPr>
              <w:t>产品支持按主机IP地址对网络流量进行回溯分析，并能以列表的形式展示回溯分析结果，分析指标包括IP版本、总字节数、发送字节数、接收字节数、进字节数、出字节数、比特率、发送比特率(有效载荷)、接收比特率(有效载荷)、字节收发比、数据包收发比、峰值数据包、峰值流量、广播数据包数、组播数据包数、发送/接收送TCP 同步重传包、发送/接收 TCP 同步确认重传包、发送/接收 TCP 重传率、发送/接收 TCP分段丢失率、发送/接收 TCP 数据包数(有效载荷)、广播流量、组播流量地理位置、ICMP 丢包率、ICMP 最大/最小/平均回应时间等，可以设置时间刻度设置为1秒，并能查看网络流量在任意1秒内按主机IP地址进行回溯分析的结果对于分析结果，可以按任意分析指标进行升序/降序展示可以选择显示的分析结果条数，并按照条数显示相应的内容。</w:t>
            </w:r>
          </w:p>
        </w:tc>
      </w:tr>
      <w:tr w14:paraId="762097AF">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144DC60E"/>
        </w:tc>
        <w:tc>
          <w:tcPr>
            <w:tcW w:w="6999" w:type="dxa"/>
            <w:tcBorders>
              <w:top w:val="nil"/>
              <w:left w:val="nil"/>
              <w:bottom w:val="single" w:color="auto" w:sz="4" w:space="0"/>
              <w:right w:val="single" w:color="auto" w:sz="4" w:space="0"/>
            </w:tcBorders>
            <w:shd w:val="clear" w:color="auto" w:fill="auto"/>
            <w:vAlign w:val="center"/>
          </w:tcPr>
          <w:p w14:paraId="2FF9BCCA">
            <w:r>
              <w:rPr>
                <w:rFonts w:hint="eastAsia"/>
              </w:rPr>
              <w:t>产品支持按IP会话对网络流量进行回溯分析，并能以列表的形式展示回溯分析结果，分析指标包括总字节数、进/出字节数、会话结束时间(纳秒)、会话持续时间(纳秒)会话创建时间、端点1/端点2发送负载数据包数、连接建立客户端/服务器重置次数、连接建立客户端/服务器无响应率、TCP同步重传包、TCP同步确认重传包、TCP重传包、TCP分段丢失率、TCP分段丢失包、TCP重复确认包、三次握手次数、三次握手平均时间、上行/下行传输效率、客户端/服务器平均/最小窗口大小、客户端服务器三次握手最小/平均/最大RTT、客户端/服务器平均/最大重传时延、客户端请求平均/最大传输时间、服务器响应平均/最大传输时间等可以将时间刻度设置为1秒，并能查看网络流量在任意1秒内按IP会话进行回溯分析的结果，对于分析结果，可以按任意分析指标进行升序/降序展示可以选择显示的分析结果条数，并按照条数显示相应的内容。</w:t>
            </w:r>
          </w:p>
        </w:tc>
      </w:tr>
      <w:tr w14:paraId="5921DF25">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44A9EC25"/>
        </w:tc>
        <w:tc>
          <w:tcPr>
            <w:tcW w:w="6999" w:type="dxa"/>
            <w:tcBorders>
              <w:top w:val="nil"/>
              <w:left w:val="nil"/>
              <w:bottom w:val="single" w:color="auto" w:sz="4" w:space="0"/>
              <w:right w:val="single" w:color="auto" w:sz="4" w:space="0"/>
            </w:tcBorders>
            <w:shd w:val="clear" w:color="auto" w:fill="auto"/>
            <w:vAlign w:val="center"/>
          </w:tcPr>
          <w:p w14:paraId="0D71D7E2">
            <w:r>
              <w:rPr>
                <w:rFonts w:hint="eastAsia"/>
              </w:rPr>
              <w:t>产品支持按TCP会话对网络流量进行回溯分析，并能以列表的形式展示回溯分析结果，分析指标包括总字节数、状态、客户端/服务器RTT、会话开始/结束时间、连接建立时间、客户端/服务器负载数据包数、客户端/服务器TCP分段丢失率、成功的 TCP交易次数、TCP交易总数最大/平均响应时间、服务器总响应时间、TCP三次握手客户端确认包、服务器字节数(有效载荷)、服务器数据包数(有效载荷)、TCP交易请求/响应/无响应次数、客户端请求总/平均/最大传输时间、服务器响应总/平均最大传输时间、客户端/服务器平均/最大重传时延、首次响应时延、平均/最大用户响应时间、客户端/服务器TCP小窗口次数、客户端/服务器TCP初始窗口、连接类型、最大/平均/最小客户端0窗口时延、最大/平均/最小服务器0窗口时延、连接建立客户端/服务器重置率连接建立客户端/服务器无响应率、客户端/服务器慢连接次数、慢连接占比、持续时间、应用名称、应用协议类型、重传数量、重传率、平均ACK延时等，可以设置时间刻度设置为1秒，并能查看网络流量在任意1秒内按TCP会话进行回溯分析的结果对于分析结果，可以按任意分析指标进行升序/降序展示可以选择显示的分析结果条数，并按照条数显示相应的内容。</w:t>
            </w:r>
          </w:p>
        </w:tc>
      </w:tr>
      <w:tr w14:paraId="351D4680">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20DD0FA5"/>
        </w:tc>
        <w:tc>
          <w:tcPr>
            <w:tcW w:w="6999" w:type="dxa"/>
            <w:tcBorders>
              <w:top w:val="nil"/>
              <w:left w:val="nil"/>
              <w:bottom w:val="single" w:color="auto" w:sz="4" w:space="0"/>
              <w:right w:val="single" w:color="auto" w:sz="4" w:space="0"/>
            </w:tcBorders>
            <w:shd w:val="clear" w:color="auto" w:fill="auto"/>
            <w:vAlign w:val="center"/>
          </w:tcPr>
          <w:p w14:paraId="6CEE9867">
            <w:r>
              <w:rPr>
                <w:rFonts w:hint="eastAsia"/>
              </w:rPr>
              <w:t>产品支持应用服务质量分析，支持不少于100种以上的应用服务质量分析指标,包括总字节数服务器最大时延、服务器最小时延、服务器平均ACK时延、客户端TCP小窗口数、服务器TCP小窗口数、上行TCP乱序包数、下行TCP乱序包数、上行TCP数据包数(有效载荷)、下行TCP数据包数(有效载荷)、上行TCP字节数(有效载荷)、下行TCP字节数(有效载荷)、TCP收发比(有效荷字节数)、TCP收发比(有效载荷数据包数)、TCP分段丢失率、TCP重传率、服务器最小窗口、服务器平均窗口大小、最大服务器0窗口时延、最小服务器0窗口时延、平均服务器0窗口时延、客户端最大重传时延、服务器平均时延、平均用户响应时间、最大用户响应时间、TCP交易请求次数、响应次数、无响应次数等，可以每秒刷新应用服务质量分析的分析结果。</w:t>
            </w:r>
          </w:p>
        </w:tc>
      </w:tr>
      <w:tr w14:paraId="6FBE4717">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64DEF4FA"/>
        </w:tc>
        <w:tc>
          <w:tcPr>
            <w:tcW w:w="6999" w:type="dxa"/>
            <w:tcBorders>
              <w:top w:val="nil"/>
              <w:left w:val="nil"/>
              <w:bottom w:val="single" w:color="auto" w:sz="4" w:space="0"/>
              <w:right w:val="single" w:color="auto" w:sz="4" w:space="0"/>
            </w:tcBorders>
            <w:shd w:val="clear" w:color="auto" w:fill="auto"/>
            <w:vAlign w:val="center"/>
          </w:tcPr>
          <w:p w14:paraId="4980716B">
            <w:r>
              <w:rPr>
                <w:rFonts w:hint="eastAsia"/>
              </w:rPr>
              <w:t>▲产品支持自定义TCP交易分析功能,可自定义TCP交易名称、交易识别条件交易匹配条件、交易请求结束标识、交易响应结束标识相关配置字段。</w:t>
            </w:r>
          </w:p>
        </w:tc>
      </w:tr>
      <w:tr w14:paraId="47137604">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08461D70"/>
        </w:tc>
        <w:tc>
          <w:tcPr>
            <w:tcW w:w="6999" w:type="dxa"/>
            <w:tcBorders>
              <w:top w:val="nil"/>
              <w:left w:val="nil"/>
              <w:bottom w:val="single" w:color="auto" w:sz="4" w:space="0"/>
              <w:right w:val="single" w:color="auto" w:sz="4" w:space="0"/>
            </w:tcBorders>
            <w:shd w:val="clear" w:color="auto" w:fill="auto"/>
            <w:vAlign w:val="center"/>
          </w:tcPr>
          <w:p w14:paraId="35B442FC">
            <w:r>
              <w:rPr>
                <w:rFonts w:hint="eastAsia"/>
              </w:rPr>
              <w:t>▲产品支持根据IP地址(范围)、协议、端口(范围)组合自定义应用；根据IP地址(范围)、端口(范围)、Host、Http url(HTTP Path)组合自定义应用；根据IP(范围)、端口(范围)、数据包特征值组合自定义应用；同时支持将应用按响应时间优劣进行分级标识与统计。</w:t>
            </w:r>
          </w:p>
        </w:tc>
      </w:tr>
      <w:tr w14:paraId="030F35BD">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481363C0"/>
        </w:tc>
        <w:tc>
          <w:tcPr>
            <w:tcW w:w="6999" w:type="dxa"/>
            <w:tcBorders>
              <w:top w:val="nil"/>
              <w:left w:val="nil"/>
              <w:bottom w:val="single" w:color="auto" w:sz="4" w:space="0"/>
              <w:right w:val="single" w:color="auto" w:sz="4" w:space="0"/>
            </w:tcBorders>
            <w:shd w:val="clear" w:color="auto" w:fill="auto"/>
            <w:vAlign w:val="center"/>
          </w:tcPr>
          <w:p w14:paraId="29CA82CD">
            <w:r>
              <w:rPr>
                <w:rFonts w:hint="eastAsia"/>
              </w:rPr>
              <w:t>产品支持可以对网络故障进行智能诊断功能，可以诊断的故障类型包括HTTP错误、SMTP/POP3 服务器慢响应、SMTP/POP3服务器返回错误、FTP服务器慢响应、FTP服务器错误TCP连接被拒绝、TCP非法校验和、TCP重复的连接尝试、TCP头部偏移错误、TCP SYN含数据、IP TTL太小、IP地址冲突、路由环路等，并可以列表的形式展示可能的故障原因分析及解决办法</w:t>
            </w:r>
          </w:p>
        </w:tc>
      </w:tr>
      <w:tr w14:paraId="068DB7DC">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0167CBBA"/>
        </w:tc>
        <w:tc>
          <w:tcPr>
            <w:tcW w:w="6999" w:type="dxa"/>
            <w:tcBorders>
              <w:top w:val="nil"/>
              <w:left w:val="nil"/>
              <w:bottom w:val="single" w:color="auto" w:sz="4" w:space="0"/>
              <w:right w:val="single" w:color="auto" w:sz="4" w:space="0"/>
            </w:tcBorders>
            <w:shd w:val="clear" w:color="auto" w:fill="auto"/>
            <w:vAlign w:val="center"/>
          </w:tcPr>
          <w:p w14:paraId="433713E4">
            <w:r>
              <w:rPr>
                <w:rFonts w:hint="eastAsia"/>
              </w:rPr>
              <w:t xml:space="preserve">▲支持每秒实时监测可疑域名访问行为，可以定义、导入域名列表进行监测，支持以通配符方式定义列表，当发现可疑域名解析时产生警报:支持配置邮件敏感字警报，支持只监测邮件标题或者邮件内容或者两个同时监测; </w:t>
            </w:r>
          </w:p>
        </w:tc>
      </w:tr>
      <w:tr w14:paraId="230E2C27">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67AB2B13"/>
        </w:tc>
        <w:tc>
          <w:tcPr>
            <w:tcW w:w="6999" w:type="dxa"/>
            <w:tcBorders>
              <w:top w:val="nil"/>
              <w:left w:val="nil"/>
              <w:bottom w:val="single" w:color="auto" w:sz="4" w:space="0"/>
              <w:right w:val="single" w:color="auto" w:sz="4" w:space="0"/>
            </w:tcBorders>
            <w:shd w:val="clear" w:color="auto" w:fill="auto"/>
            <w:vAlign w:val="center"/>
          </w:tcPr>
          <w:p w14:paraId="3140198B">
            <w:r>
              <w:rPr>
                <w:rFonts w:hint="eastAsia"/>
              </w:rPr>
              <w:t>产品支持异常访问警报规则功能，可以配置异常访问警报规则，配置条件包括IP地址、端口、应用类型、协议类型、协议、规则优先级等。</w:t>
            </w:r>
          </w:p>
        </w:tc>
      </w:tr>
      <w:tr w14:paraId="220F0A07">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75FCB550"/>
        </w:tc>
        <w:tc>
          <w:tcPr>
            <w:tcW w:w="6999" w:type="dxa"/>
            <w:tcBorders>
              <w:top w:val="nil"/>
              <w:left w:val="nil"/>
              <w:bottom w:val="single" w:color="auto" w:sz="4" w:space="0"/>
              <w:right w:val="single" w:color="auto" w:sz="4" w:space="0"/>
            </w:tcBorders>
            <w:shd w:val="clear" w:color="auto" w:fill="auto"/>
            <w:vAlign w:val="center"/>
          </w:tcPr>
          <w:p w14:paraId="39ABBF91">
            <w:r>
              <w:rPr>
                <w:rFonts w:hint="eastAsia"/>
              </w:rPr>
              <w:t>产品支持流量突发警报规则功能，可以配置流量突发警报规则，配置条件包括字段、百分比和触发时间间隔等，其中字段包括比特率、总流量、进/出网流量、总数据包、进/出网数据包等，百分比可配置为与之前周期对比的突增/突降百分比，触发时间间隔可以配置为 1秒、10 秒、1分钟等。</w:t>
            </w:r>
          </w:p>
        </w:tc>
      </w:tr>
      <w:tr w14:paraId="155874C7">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36FB5A61"/>
        </w:tc>
        <w:tc>
          <w:tcPr>
            <w:tcW w:w="6999" w:type="dxa"/>
            <w:tcBorders>
              <w:top w:val="nil"/>
              <w:left w:val="nil"/>
              <w:bottom w:val="single" w:color="auto" w:sz="4" w:space="0"/>
              <w:right w:val="single" w:color="auto" w:sz="4" w:space="0"/>
            </w:tcBorders>
            <w:shd w:val="clear" w:color="auto" w:fill="auto"/>
            <w:vAlign w:val="center"/>
          </w:tcPr>
          <w:p w14:paraId="1E8DAE74">
            <w:r>
              <w:rPr>
                <w:rFonts w:hint="eastAsia"/>
              </w:rPr>
              <w:t>产品支持数据包解码功能，可以对所选会话中的数据包进行解码分析，其中数据包的开始发包时间及最后发包时间为纳秒级，系统内置</w:t>
            </w:r>
            <w:r>
              <w:rPr>
                <w:rFonts w:hint="eastAsia"/>
                <w:kern w:val="0"/>
              </w:rPr>
              <w:t>≥</w:t>
            </w:r>
            <w:r>
              <w:rPr>
                <w:rFonts w:hint="eastAsia"/>
              </w:rPr>
              <w:t>7</w:t>
            </w:r>
            <w:r>
              <w:rPr>
                <w:rFonts w:hint="eastAsia"/>
                <w:lang w:val="en-US" w:eastAsia="zh-CN"/>
              </w:rPr>
              <w:t>00</w:t>
            </w:r>
            <w:r>
              <w:rPr>
                <w:rFonts w:hint="eastAsia"/>
              </w:rPr>
              <w:t>种常用网络协议的解码器，可以对 IPv4、IPv6、IEEE802.3、DNS、HTTP、ICMP等常用网络协议数据包进行解码分析。并可以通过中英文双语方式显示数据包解码分析结果。</w:t>
            </w:r>
          </w:p>
        </w:tc>
      </w:tr>
      <w:tr w14:paraId="7C7DF53C">
        <w:tblPrEx>
          <w:tblCellMar>
            <w:top w:w="0" w:type="dxa"/>
            <w:left w:w="108" w:type="dxa"/>
            <w:bottom w:w="0" w:type="dxa"/>
            <w:right w:w="108" w:type="dxa"/>
          </w:tblCellMar>
        </w:tblPrEx>
        <w:trPr>
          <w:jc w:val="center"/>
        </w:trPr>
        <w:tc>
          <w:tcPr>
            <w:tcW w:w="1090" w:type="dxa"/>
            <w:vMerge w:val="continue"/>
            <w:tcBorders>
              <w:left w:val="single" w:color="auto" w:sz="4" w:space="0"/>
              <w:right w:val="single" w:color="auto" w:sz="4" w:space="0"/>
            </w:tcBorders>
            <w:shd w:val="clear" w:color="auto" w:fill="auto"/>
            <w:vAlign w:val="center"/>
          </w:tcPr>
          <w:p w14:paraId="3D8838DE"/>
        </w:tc>
        <w:tc>
          <w:tcPr>
            <w:tcW w:w="6999" w:type="dxa"/>
            <w:tcBorders>
              <w:top w:val="nil"/>
              <w:left w:val="nil"/>
              <w:bottom w:val="single" w:color="auto" w:sz="4" w:space="0"/>
              <w:right w:val="single" w:color="auto" w:sz="4" w:space="0"/>
            </w:tcBorders>
            <w:shd w:val="clear" w:color="auto" w:fill="auto"/>
            <w:vAlign w:val="center"/>
          </w:tcPr>
          <w:p w14:paraId="3DBD2D6B">
            <w:r>
              <w:rPr>
                <w:rFonts w:hint="eastAsia"/>
              </w:rPr>
              <w:t>产品支持音视频流量分析功能，可以列表的形式展示VOIP会话信息，包括主叫、被叫、主叫端口、被叫端口、邀请时间、通话(会话)结束时间、MOS值、码率、平均抖动、乱序包、平均丢包率、会话开始时间、会话结束时间、状态等指标，可以展示所选VoIP会话的数据包交互时序图。</w:t>
            </w:r>
          </w:p>
        </w:tc>
      </w:tr>
      <w:tr w14:paraId="6C1678D4">
        <w:tblPrEx>
          <w:tblCellMar>
            <w:top w:w="0" w:type="dxa"/>
            <w:left w:w="108" w:type="dxa"/>
            <w:bottom w:w="0" w:type="dxa"/>
            <w:right w:w="108" w:type="dxa"/>
          </w:tblCellMar>
        </w:tblPrEx>
        <w:trPr>
          <w:jc w:val="center"/>
        </w:trPr>
        <w:tc>
          <w:tcPr>
            <w:tcW w:w="1090" w:type="dxa"/>
            <w:vMerge w:val="continue"/>
            <w:tcBorders>
              <w:left w:val="single" w:color="auto" w:sz="4" w:space="0"/>
              <w:bottom w:val="single" w:color="000000" w:sz="4" w:space="0"/>
              <w:right w:val="single" w:color="auto" w:sz="4" w:space="0"/>
            </w:tcBorders>
            <w:shd w:val="clear" w:color="auto" w:fill="auto"/>
            <w:vAlign w:val="center"/>
          </w:tcPr>
          <w:p w14:paraId="7B613187"/>
        </w:tc>
        <w:tc>
          <w:tcPr>
            <w:tcW w:w="6999" w:type="dxa"/>
            <w:tcBorders>
              <w:top w:val="nil"/>
              <w:left w:val="nil"/>
              <w:bottom w:val="single" w:color="auto" w:sz="4" w:space="0"/>
              <w:right w:val="single" w:color="auto" w:sz="4" w:space="0"/>
            </w:tcBorders>
            <w:shd w:val="clear" w:color="auto" w:fill="auto"/>
            <w:vAlign w:val="center"/>
          </w:tcPr>
          <w:p w14:paraId="26000B6D">
            <w:r>
              <w:rPr>
                <w:rFonts w:hint="eastAsia"/>
              </w:rPr>
              <w:t>▲产品支持配置用户权限，可设置数据包下载权限及对下载的数据包长度进行限制。</w:t>
            </w:r>
          </w:p>
        </w:tc>
      </w:tr>
      <w:tr w14:paraId="232E056C">
        <w:tblPrEx>
          <w:tblCellMar>
            <w:top w:w="0" w:type="dxa"/>
            <w:left w:w="108" w:type="dxa"/>
            <w:bottom w:w="0" w:type="dxa"/>
            <w:right w:w="108" w:type="dxa"/>
          </w:tblCellMar>
        </w:tblPrEx>
        <w:trPr>
          <w:jc w:val="center"/>
        </w:trPr>
        <w:tc>
          <w:tcPr>
            <w:tcW w:w="1090" w:type="dxa"/>
            <w:vMerge w:val="restart"/>
            <w:tcBorders>
              <w:top w:val="nil"/>
              <w:left w:val="single" w:color="auto" w:sz="4" w:space="0"/>
              <w:right w:val="single" w:color="auto" w:sz="4" w:space="0"/>
            </w:tcBorders>
            <w:shd w:val="clear" w:color="auto" w:fill="auto"/>
            <w:vAlign w:val="center"/>
          </w:tcPr>
          <w:p w14:paraId="4F9EA985">
            <w:r>
              <w:rPr>
                <w:rFonts w:hint="eastAsia"/>
              </w:rPr>
              <w:t>资质要求</w:t>
            </w:r>
          </w:p>
        </w:tc>
        <w:tc>
          <w:tcPr>
            <w:tcW w:w="6999" w:type="dxa"/>
            <w:tcBorders>
              <w:top w:val="nil"/>
              <w:left w:val="nil"/>
              <w:bottom w:val="single" w:color="auto" w:sz="4" w:space="0"/>
              <w:right w:val="single" w:color="auto" w:sz="4" w:space="0"/>
            </w:tcBorders>
            <w:shd w:val="clear" w:color="auto" w:fill="auto"/>
          </w:tcPr>
          <w:p w14:paraId="06C7FC65">
            <w:r>
              <w:rPr>
                <w:rFonts w:hint="eastAsia"/>
              </w:rPr>
              <w:t>▲产品具备公安部安全与警用电子产品质量检测中心颁发有效期内的《网络安全专用产品安全检测证书》。</w:t>
            </w:r>
          </w:p>
        </w:tc>
      </w:tr>
      <w:tr w14:paraId="5A6314F9">
        <w:tblPrEx>
          <w:tblCellMar>
            <w:top w:w="0" w:type="dxa"/>
            <w:left w:w="108" w:type="dxa"/>
            <w:bottom w:w="0" w:type="dxa"/>
            <w:right w:w="108" w:type="dxa"/>
          </w:tblCellMar>
        </w:tblPrEx>
        <w:trPr>
          <w:jc w:val="center"/>
        </w:trPr>
        <w:tc>
          <w:tcPr>
            <w:tcW w:w="1090" w:type="dxa"/>
            <w:vMerge w:val="continue"/>
            <w:tcBorders>
              <w:top w:val="nil"/>
              <w:left w:val="single" w:color="auto" w:sz="4" w:space="0"/>
              <w:right w:val="single" w:color="auto" w:sz="4" w:space="0"/>
            </w:tcBorders>
            <w:shd w:val="clear" w:color="auto" w:fill="auto"/>
            <w:vAlign w:val="center"/>
          </w:tcPr>
          <w:p w14:paraId="10B9C241"/>
        </w:tc>
        <w:tc>
          <w:tcPr>
            <w:tcW w:w="6999" w:type="dxa"/>
            <w:tcBorders>
              <w:top w:val="nil"/>
              <w:left w:val="nil"/>
              <w:bottom w:val="single" w:color="auto" w:sz="4" w:space="0"/>
              <w:right w:val="single" w:color="auto" w:sz="4" w:space="0"/>
            </w:tcBorders>
            <w:shd w:val="clear" w:color="auto" w:fill="auto"/>
          </w:tcPr>
          <w:p w14:paraId="0EF83900">
            <w:r>
              <w:rPr>
                <w:rFonts w:hint="eastAsia"/>
              </w:rPr>
              <w:t>▲具备中国信息安全测评中心颁发的《国家信息安全测评信息技术产品安全测评证书 EAL3+》。</w:t>
            </w:r>
          </w:p>
        </w:tc>
      </w:tr>
      <w:tr w14:paraId="2ED11250">
        <w:tblPrEx>
          <w:tblCellMar>
            <w:top w:w="0" w:type="dxa"/>
            <w:left w:w="108" w:type="dxa"/>
            <w:bottom w:w="0" w:type="dxa"/>
            <w:right w:w="108" w:type="dxa"/>
          </w:tblCellMar>
        </w:tblPrEx>
        <w:trPr>
          <w:jc w:val="center"/>
        </w:trPr>
        <w:tc>
          <w:tcPr>
            <w:tcW w:w="1090" w:type="dxa"/>
            <w:vMerge w:val="continue"/>
            <w:tcBorders>
              <w:left w:val="single" w:color="auto" w:sz="4" w:space="0"/>
              <w:bottom w:val="single" w:color="000000" w:sz="4" w:space="0"/>
              <w:right w:val="single" w:color="auto" w:sz="4" w:space="0"/>
            </w:tcBorders>
            <w:shd w:val="clear" w:color="auto" w:fill="auto"/>
            <w:vAlign w:val="center"/>
          </w:tcPr>
          <w:p w14:paraId="1DE0958F"/>
        </w:tc>
        <w:tc>
          <w:tcPr>
            <w:tcW w:w="6999" w:type="dxa"/>
            <w:tcBorders>
              <w:top w:val="nil"/>
              <w:left w:val="nil"/>
              <w:bottom w:val="single" w:color="auto" w:sz="4" w:space="0"/>
              <w:right w:val="single" w:color="auto" w:sz="4" w:space="0"/>
            </w:tcBorders>
            <w:shd w:val="clear" w:color="auto" w:fill="auto"/>
          </w:tcPr>
          <w:p w14:paraId="36815C1D">
            <w:r>
              <w:rPr>
                <w:rFonts w:hint="eastAsia"/>
              </w:rPr>
              <w:t>▲所投产品以及内置的解码软件具备国家版权局颁发的《计算机软件著作权登记证书》。</w:t>
            </w:r>
          </w:p>
        </w:tc>
      </w:tr>
      <w:tr w14:paraId="5A7024A0">
        <w:tblPrEx>
          <w:tblCellMar>
            <w:top w:w="0" w:type="dxa"/>
            <w:left w:w="108" w:type="dxa"/>
            <w:bottom w:w="0" w:type="dxa"/>
            <w:right w:w="108" w:type="dxa"/>
          </w:tblCellMar>
        </w:tblPrEx>
        <w:trPr>
          <w:jc w:val="center"/>
        </w:trPr>
        <w:tc>
          <w:tcPr>
            <w:tcW w:w="1090" w:type="dxa"/>
            <w:tcBorders>
              <w:top w:val="nil"/>
              <w:left w:val="single" w:color="auto" w:sz="4" w:space="0"/>
              <w:bottom w:val="single" w:color="auto" w:sz="4" w:space="0"/>
              <w:right w:val="single" w:color="auto" w:sz="4" w:space="0"/>
            </w:tcBorders>
            <w:shd w:val="clear" w:color="auto" w:fill="auto"/>
            <w:vAlign w:val="top"/>
          </w:tcPr>
          <w:p w14:paraId="23F47EB7">
            <w:pPr>
              <w:rPr>
                <w:rFonts w:hint="eastAsia"/>
                <w:highlight w:val="none"/>
              </w:rPr>
            </w:pPr>
            <w:r>
              <w:rPr>
                <w:rFonts w:hint="eastAsia"/>
                <w:highlight w:val="none"/>
              </w:rPr>
              <w:t>接入与集成要求</w:t>
            </w:r>
          </w:p>
        </w:tc>
        <w:tc>
          <w:tcPr>
            <w:tcW w:w="6999" w:type="dxa"/>
            <w:tcBorders>
              <w:top w:val="nil"/>
              <w:left w:val="nil"/>
              <w:bottom w:val="single" w:color="auto" w:sz="4" w:space="0"/>
              <w:right w:val="single" w:color="auto" w:sz="4" w:space="0"/>
            </w:tcBorders>
            <w:shd w:val="clear" w:color="auto" w:fill="auto"/>
            <w:vAlign w:val="top"/>
          </w:tcPr>
          <w:p w14:paraId="21872471">
            <w:pPr>
              <w:pStyle w:val="62"/>
              <w:spacing w:line="360" w:lineRule="auto"/>
              <w:rPr>
                <w:rFonts w:hint="eastAsia"/>
                <w:highlight w:val="none"/>
              </w:rPr>
            </w:pPr>
            <w:r>
              <w:rPr>
                <w:rFonts w:hint="eastAsia" w:hAnsi="宋体"/>
                <w:sz w:val="21"/>
                <w:szCs w:val="21"/>
                <w:highlight w:val="none"/>
              </w:rPr>
              <w:t>▲提供接口完成与云盾、安全管控工具等系统的接入与集成。（需提供加盖原厂公章的承诺函）</w:t>
            </w:r>
          </w:p>
        </w:tc>
      </w:tr>
      <w:tr w14:paraId="76C009C7">
        <w:tblPrEx>
          <w:tblCellMar>
            <w:top w:w="0" w:type="dxa"/>
            <w:left w:w="108" w:type="dxa"/>
            <w:bottom w:w="0" w:type="dxa"/>
            <w:right w:w="108" w:type="dxa"/>
          </w:tblCellMar>
        </w:tblPrEx>
        <w:trPr>
          <w:jc w:val="center"/>
        </w:trPr>
        <w:tc>
          <w:tcPr>
            <w:tcW w:w="1090" w:type="dxa"/>
            <w:tcBorders>
              <w:top w:val="nil"/>
              <w:left w:val="single" w:color="auto" w:sz="4" w:space="0"/>
              <w:bottom w:val="single" w:color="auto" w:sz="4" w:space="0"/>
              <w:right w:val="single" w:color="auto" w:sz="4" w:space="0"/>
            </w:tcBorders>
            <w:shd w:val="clear" w:color="auto" w:fill="auto"/>
            <w:vAlign w:val="center"/>
          </w:tcPr>
          <w:p w14:paraId="5F8AC910">
            <w:r>
              <w:rPr>
                <w:rFonts w:hint="eastAsia"/>
              </w:rPr>
              <w:t>质保要求</w:t>
            </w:r>
          </w:p>
        </w:tc>
        <w:tc>
          <w:tcPr>
            <w:tcW w:w="6999" w:type="dxa"/>
            <w:tcBorders>
              <w:top w:val="nil"/>
              <w:left w:val="nil"/>
              <w:bottom w:val="single" w:color="auto" w:sz="4" w:space="0"/>
              <w:right w:val="single" w:color="auto" w:sz="4" w:space="0"/>
            </w:tcBorders>
            <w:shd w:val="clear" w:color="auto" w:fill="auto"/>
            <w:vAlign w:val="center"/>
          </w:tcPr>
          <w:p w14:paraId="3C617D2C">
            <w:r>
              <w:rPr>
                <w:rFonts w:hint="eastAsia"/>
              </w:rPr>
              <w:t>质保期内整机软硬件免费原厂维护、管理软件升级维护及技术支持服务</w:t>
            </w:r>
          </w:p>
        </w:tc>
      </w:tr>
    </w:tbl>
    <w:p w14:paraId="5BCC52C5">
      <w:pPr>
        <w:pStyle w:val="15"/>
      </w:pPr>
    </w:p>
    <w:p w14:paraId="67EBC8F4">
      <w:pPr>
        <w:pStyle w:val="5"/>
      </w:pPr>
      <w:bookmarkStart w:id="11" w:name="_Toc1559"/>
      <w:r>
        <w:rPr>
          <w:rFonts w:hint="eastAsia"/>
        </w:rPr>
        <w:t>防病毒网关</w:t>
      </w:r>
      <w:bookmarkEnd w:id="11"/>
    </w:p>
    <w:tbl>
      <w:tblPr>
        <w:tblStyle w:val="27"/>
        <w:tblW w:w="8310" w:type="dxa"/>
        <w:tblInd w:w="91" w:type="dxa"/>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autofit"/>
        <w:tblCellMar>
          <w:top w:w="0" w:type="dxa"/>
          <w:left w:w="108" w:type="dxa"/>
          <w:bottom w:w="0" w:type="dxa"/>
          <w:right w:w="108" w:type="dxa"/>
        </w:tblCellMar>
      </w:tblPr>
      <w:tblGrid>
        <w:gridCol w:w="1347"/>
        <w:gridCol w:w="1678"/>
        <w:gridCol w:w="5285"/>
      </w:tblGrid>
      <w:tr w14:paraId="4C642F7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8310" w:type="dxa"/>
            <w:gridSpan w:val="3"/>
            <w:tcBorders>
              <w:top w:val="single" w:color="000000" w:sz="6" w:space="0"/>
              <w:left w:val="single" w:color="000000" w:sz="6" w:space="0"/>
              <w:bottom w:val="single" w:color="000000" w:sz="6" w:space="0"/>
              <w:right w:val="single" w:color="000000" w:sz="6" w:space="0"/>
            </w:tcBorders>
            <w:vAlign w:val="center"/>
          </w:tcPr>
          <w:p w14:paraId="60033BE0">
            <w:pPr>
              <w:pStyle w:val="62"/>
              <w:spacing w:line="360" w:lineRule="auto"/>
              <w:rPr>
                <w:rFonts w:hAnsi="宋体"/>
                <w:b/>
                <w:bCs/>
                <w:sz w:val="21"/>
                <w:szCs w:val="21"/>
                <w:highlight w:val="none"/>
              </w:rPr>
            </w:pPr>
            <w:r>
              <w:rPr>
                <w:rFonts w:hint="eastAsia" w:hAnsi="宋体"/>
                <w:b/>
                <w:bCs/>
                <w:sz w:val="21"/>
                <w:szCs w:val="21"/>
                <w:highlight w:val="none"/>
              </w:rPr>
              <w:t>硬件要求</w:t>
            </w:r>
          </w:p>
        </w:tc>
      </w:tr>
      <w:tr w14:paraId="317A97C3">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000000" w:sz="6" w:space="0"/>
              <w:left w:val="single" w:color="000000" w:sz="6" w:space="0"/>
              <w:bottom w:val="single" w:color="000000" w:sz="6" w:space="0"/>
              <w:right w:val="nil"/>
            </w:tcBorders>
            <w:vAlign w:val="center"/>
          </w:tcPr>
          <w:p w14:paraId="1841CE44">
            <w:pPr>
              <w:rPr>
                <w:highlight w:val="none"/>
              </w:rPr>
            </w:pPr>
            <w:r>
              <w:rPr>
                <w:rFonts w:hint="eastAsia"/>
                <w:highlight w:val="none"/>
              </w:rPr>
              <w:t>指标项</w:t>
            </w:r>
          </w:p>
        </w:tc>
        <w:tc>
          <w:tcPr>
            <w:tcW w:w="6963" w:type="dxa"/>
            <w:gridSpan w:val="2"/>
            <w:tcBorders>
              <w:top w:val="single" w:color="000000" w:sz="6" w:space="0"/>
              <w:left w:val="single" w:color="000000" w:sz="6" w:space="0"/>
              <w:bottom w:val="single" w:color="000000" w:sz="6" w:space="0"/>
              <w:right w:val="single" w:color="000000" w:sz="6" w:space="0"/>
            </w:tcBorders>
            <w:vAlign w:val="center"/>
          </w:tcPr>
          <w:p w14:paraId="52176D2B">
            <w:pPr>
              <w:rPr>
                <w:highlight w:val="none"/>
              </w:rPr>
            </w:pPr>
            <w:r>
              <w:rPr>
                <w:rFonts w:hint="eastAsia"/>
                <w:highlight w:val="none"/>
              </w:rPr>
              <w:t>指标要求</w:t>
            </w:r>
          </w:p>
        </w:tc>
      </w:tr>
      <w:tr w14:paraId="7DC37EFE">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000000" w:sz="6" w:space="0"/>
              <w:left w:val="single" w:color="000000" w:sz="6" w:space="0"/>
              <w:bottom w:val="single" w:color="000000" w:sz="6" w:space="0"/>
              <w:right w:val="nil"/>
            </w:tcBorders>
            <w:vAlign w:val="center"/>
          </w:tcPr>
          <w:p w14:paraId="00A8FE44">
            <w:pPr>
              <w:rPr>
                <w:highlight w:val="none"/>
              </w:rPr>
            </w:pPr>
            <w:r>
              <w:rPr>
                <w:rFonts w:hint="eastAsia"/>
                <w:highlight w:val="none"/>
              </w:rPr>
              <w:t>安全要求</w:t>
            </w:r>
          </w:p>
        </w:tc>
        <w:tc>
          <w:tcPr>
            <w:tcW w:w="6963" w:type="dxa"/>
            <w:gridSpan w:val="2"/>
            <w:tcBorders>
              <w:top w:val="single" w:color="000000" w:sz="6" w:space="0"/>
              <w:left w:val="single" w:color="000000" w:sz="6" w:space="0"/>
              <w:bottom w:val="single" w:color="000000" w:sz="6" w:space="0"/>
              <w:right w:val="single" w:color="000000" w:sz="6" w:space="0"/>
            </w:tcBorders>
            <w:vAlign w:val="center"/>
          </w:tcPr>
          <w:p w14:paraId="2CD643CA">
            <w:pPr>
              <w:rPr>
                <w:highlight w:val="none"/>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01CBF4E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000000" w:sz="6" w:space="0"/>
              <w:left w:val="single" w:color="000000" w:sz="6" w:space="0"/>
              <w:bottom w:val="single" w:color="000000" w:sz="6" w:space="0"/>
              <w:right w:val="nil"/>
            </w:tcBorders>
            <w:vAlign w:val="center"/>
          </w:tcPr>
          <w:p w14:paraId="2C1257F2">
            <w:pPr>
              <w:rPr>
                <w:highlight w:val="none"/>
              </w:rPr>
            </w:pPr>
            <w:r>
              <w:rPr>
                <w:rFonts w:hint="eastAsia"/>
                <w:highlight w:val="none"/>
              </w:rPr>
              <w:t>设备形态</w:t>
            </w:r>
          </w:p>
        </w:tc>
        <w:tc>
          <w:tcPr>
            <w:tcW w:w="6963" w:type="dxa"/>
            <w:gridSpan w:val="2"/>
            <w:tcBorders>
              <w:top w:val="single" w:color="000000" w:sz="6" w:space="0"/>
              <w:left w:val="single" w:color="000000" w:sz="6" w:space="0"/>
              <w:bottom w:val="single" w:color="000000" w:sz="6" w:space="0"/>
              <w:right w:val="single" w:color="000000" w:sz="6" w:space="0"/>
            </w:tcBorders>
          </w:tcPr>
          <w:p w14:paraId="7199C9EA">
            <w:pPr>
              <w:pStyle w:val="62"/>
              <w:spacing w:line="360" w:lineRule="auto"/>
              <w:rPr>
                <w:rFonts w:hAnsi="宋体"/>
                <w:sz w:val="21"/>
                <w:szCs w:val="21"/>
                <w:highlight w:val="none"/>
              </w:rPr>
            </w:pPr>
            <w:r>
              <w:rPr>
                <w:rFonts w:hint="eastAsia" w:hAnsi="宋体"/>
                <w:sz w:val="21"/>
                <w:szCs w:val="21"/>
                <w:highlight w:val="none"/>
              </w:rPr>
              <w:t>▲必须为专业级的恶意代码防御网关；非UTM、防火墙等模块化、组件化产品；</w:t>
            </w:r>
          </w:p>
        </w:tc>
      </w:tr>
      <w:tr w14:paraId="31DCA7E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000000" w:sz="6" w:space="0"/>
              <w:left w:val="single" w:color="000000" w:sz="6" w:space="0"/>
              <w:bottom w:val="single" w:color="000000" w:sz="6" w:space="0"/>
              <w:right w:val="nil"/>
            </w:tcBorders>
            <w:vAlign w:val="center"/>
          </w:tcPr>
          <w:p w14:paraId="55085B48">
            <w:pPr>
              <w:rPr>
                <w:highlight w:val="none"/>
              </w:rPr>
            </w:pPr>
            <w:r>
              <w:rPr>
                <w:rFonts w:hint="eastAsia"/>
                <w:highlight w:val="none"/>
              </w:rPr>
              <w:t>接口要求</w:t>
            </w:r>
          </w:p>
        </w:tc>
        <w:tc>
          <w:tcPr>
            <w:tcW w:w="6963" w:type="dxa"/>
            <w:gridSpan w:val="2"/>
            <w:tcBorders>
              <w:top w:val="single" w:color="000000" w:sz="6" w:space="0"/>
              <w:left w:val="single" w:color="000000" w:sz="6" w:space="0"/>
              <w:bottom w:val="single" w:color="000000" w:sz="6" w:space="0"/>
              <w:right w:val="single" w:color="000000" w:sz="6" w:space="0"/>
            </w:tcBorders>
            <w:vAlign w:val="center"/>
          </w:tcPr>
          <w:p w14:paraId="41AC6EC6">
            <w:pPr>
              <w:pStyle w:val="62"/>
              <w:spacing w:line="360" w:lineRule="auto"/>
              <w:rPr>
                <w:rFonts w:hAnsi="宋体"/>
                <w:sz w:val="21"/>
                <w:szCs w:val="21"/>
                <w:highlight w:val="none"/>
              </w:rPr>
            </w:pPr>
            <w:r>
              <w:rPr>
                <w:rFonts w:hint="eastAsia" w:hAnsi="宋体"/>
                <w:sz w:val="21"/>
                <w:szCs w:val="21"/>
                <w:highlight w:val="none"/>
              </w:rPr>
              <w:t>▲网络接口：千兆电口</w:t>
            </w:r>
            <w:r>
              <w:rPr>
                <w:rFonts w:hint="eastAsia" w:hAnsi="宋体"/>
                <w:color w:val="auto"/>
                <w:sz w:val="21"/>
                <w:szCs w:val="21"/>
                <w:highlight w:val="none"/>
              </w:rPr>
              <w:t>≥4个</w:t>
            </w:r>
            <w:r>
              <w:rPr>
                <w:rFonts w:hint="eastAsia" w:hAnsi="宋体"/>
                <w:sz w:val="21"/>
                <w:szCs w:val="21"/>
                <w:highlight w:val="none"/>
              </w:rPr>
              <w:t>（含2组bypass）、万兆光口</w:t>
            </w:r>
            <w:r>
              <w:rPr>
                <w:rFonts w:hint="eastAsia" w:hAnsi="宋体"/>
                <w:color w:val="auto"/>
                <w:sz w:val="21"/>
                <w:szCs w:val="21"/>
                <w:highlight w:val="none"/>
              </w:rPr>
              <w:t>≥2个</w:t>
            </w:r>
            <w:r>
              <w:rPr>
                <w:rFonts w:hint="eastAsia" w:hAnsi="宋体"/>
                <w:sz w:val="21"/>
                <w:szCs w:val="21"/>
                <w:highlight w:val="none"/>
              </w:rPr>
              <w:t>（含1组bypass、2个万兆多模光模块）</w:t>
            </w:r>
          </w:p>
        </w:tc>
      </w:tr>
      <w:tr w14:paraId="639F56E4">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000000" w:sz="6" w:space="0"/>
              <w:left w:val="single" w:color="000000" w:sz="6" w:space="0"/>
              <w:bottom w:val="single" w:color="000000" w:sz="6" w:space="0"/>
              <w:right w:val="nil"/>
            </w:tcBorders>
            <w:vAlign w:val="center"/>
          </w:tcPr>
          <w:p w14:paraId="068E2FD6">
            <w:pPr>
              <w:rPr>
                <w:highlight w:val="none"/>
              </w:rPr>
            </w:pPr>
            <w:r>
              <w:rPr>
                <w:rFonts w:hint="eastAsia"/>
                <w:highlight w:val="none"/>
              </w:rPr>
              <w:t>性能要求</w:t>
            </w:r>
          </w:p>
        </w:tc>
        <w:tc>
          <w:tcPr>
            <w:tcW w:w="6963" w:type="dxa"/>
            <w:gridSpan w:val="2"/>
            <w:tcBorders>
              <w:top w:val="single" w:color="000000" w:sz="6" w:space="0"/>
              <w:left w:val="single" w:color="000000" w:sz="6" w:space="0"/>
              <w:bottom w:val="single" w:color="000000" w:sz="6" w:space="0"/>
              <w:right w:val="single" w:color="000000" w:sz="6" w:space="0"/>
            </w:tcBorders>
          </w:tcPr>
          <w:p w14:paraId="1112C89E">
            <w:pPr>
              <w:pStyle w:val="62"/>
              <w:spacing w:line="360" w:lineRule="auto"/>
              <w:rPr>
                <w:rFonts w:hAnsi="宋体"/>
                <w:sz w:val="21"/>
                <w:szCs w:val="21"/>
                <w:highlight w:val="none"/>
              </w:rPr>
            </w:pPr>
            <w:r>
              <w:rPr>
                <w:rFonts w:hint="eastAsia" w:hAnsi="宋体"/>
                <w:sz w:val="21"/>
                <w:szCs w:val="21"/>
                <w:highlight w:val="none"/>
              </w:rPr>
              <w:t>▲网络吞吐量：≥30Gbps</w:t>
            </w:r>
          </w:p>
          <w:p w14:paraId="18338A60">
            <w:pPr>
              <w:pStyle w:val="62"/>
              <w:spacing w:line="360" w:lineRule="auto"/>
              <w:rPr>
                <w:rFonts w:hAnsi="宋体"/>
                <w:sz w:val="21"/>
                <w:szCs w:val="21"/>
                <w:highlight w:val="none"/>
              </w:rPr>
            </w:pPr>
            <w:r>
              <w:rPr>
                <w:rFonts w:hint="eastAsia" w:hAnsi="宋体"/>
                <w:sz w:val="21"/>
                <w:szCs w:val="21"/>
                <w:highlight w:val="none"/>
              </w:rPr>
              <w:t>▲防病毒吞吐量（协议过滤吞吐）：≥10Gbps</w:t>
            </w:r>
          </w:p>
        </w:tc>
      </w:tr>
      <w:tr w14:paraId="2F047E0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235" w:hRule="atLeast"/>
        </w:trPr>
        <w:tc>
          <w:tcPr>
            <w:tcW w:w="1347" w:type="dxa"/>
            <w:tcBorders>
              <w:top w:val="single" w:color="000000" w:sz="6" w:space="0"/>
              <w:left w:val="single" w:color="000000" w:sz="6" w:space="0"/>
              <w:bottom w:val="single" w:color="000000" w:sz="6" w:space="0"/>
              <w:right w:val="nil"/>
            </w:tcBorders>
          </w:tcPr>
          <w:p w14:paraId="2CAC6EBC">
            <w:pPr>
              <w:rPr>
                <w:highlight w:val="none"/>
              </w:rPr>
            </w:pPr>
            <w:r>
              <w:rPr>
                <w:rFonts w:hint="eastAsia"/>
                <w:highlight w:val="none"/>
              </w:rPr>
              <w:t>电源要求</w:t>
            </w:r>
          </w:p>
        </w:tc>
        <w:tc>
          <w:tcPr>
            <w:tcW w:w="6963" w:type="dxa"/>
            <w:gridSpan w:val="2"/>
            <w:tcBorders>
              <w:top w:val="single" w:color="000000" w:sz="6" w:space="0"/>
              <w:left w:val="single" w:color="000000" w:sz="6" w:space="0"/>
              <w:bottom w:val="single" w:color="000000" w:sz="6" w:space="0"/>
              <w:right w:val="single" w:color="000000" w:sz="6" w:space="0"/>
            </w:tcBorders>
          </w:tcPr>
          <w:p w14:paraId="6B1E5BD3">
            <w:pPr>
              <w:pStyle w:val="62"/>
              <w:spacing w:line="360" w:lineRule="auto"/>
              <w:rPr>
                <w:rFonts w:hAnsi="宋体"/>
                <w:sz w:val="21"/>
                <w:szCs w:val="21"/>
                <w:highlight w:val="none"/>
              </w:rPr>
            </w:pPr>
            <w:r>
              <w:rPr>
                <w:rFonts w:hint="eastAsia" w:hAnsi="宋体"/>
                <w:sz w:val="21"/>
                <w:szCs w:val="21"/>
                <w:highlight w:val="none"/>
              </w:rPr>
              <w:t>冗余电源。电源支持热插拔。</w:t>
            </w:r>
          </w:p>
        </w:tc>
      </w:tr>
      <w:tr w14:paraId="5FFBE6E0">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47" w:type="dxa"/>
            <w:tcBorders>
              <w:top w:val="single" w:color="000000" w:sz="6" w:space="0"/>
              <w:left w:val="single" w:color="000000" w:sz="6" w:space="0"/>
              <w:bottom w:val="single" w:color="000000" w:sz="6" w:space="0"/>
              <w:right w:val="nil"/>
            </w:tcBorders>
            <w:vAlign w:val="center"/>
          </w:tcPr>
          <w:p w14:paraId="22BDB227">
            <w:pPr>
              <w:rPr>
                <w:highlight w:val="none"/>
              </w:rPr>
            </w:pPr>
            <w:r>
              <w:rPr>
                <w:rFonts w:hint="eastAsia"/>
                <w:highlight w:val="none"/>
              </w:rPr>
              <w:t>形态要求</w:t>
            </w:r>
          </w:p>
        </w:tc>
        <w:tc>
          <w:tcPr>
            <w:tcW w:w="6963" w:type="dxa"/>
            <w:gridSpan w:val="2"/>
            <w:tcBorders>
              <w:top w:val="single" w:color="000000" w:sz="6" w:space="0"/>
              <w:left w:val="single" w:color="000000" w:sz="6" w:space="0"/>
              <w:bottom w:val="single" w:color="000000" w:sz="6" w:space="0"/>
              <w:right w:val="single" w:color="000000" w:sz="6" w:space="0"/>
            </w:tcBorders>
            <w:vAlign w:val="center"/>
          </w:tcPr>
          <w:p w14:paraId="61FFBE2A">
            <w:pPr>
              <w:pStyle w:val="62"/>
              <w:spacing w:line="360" w:lineRule="auto"/>
              <w:rPr>
                <w:rFonts w:hAnsi="宋体"/>
                <w:sz w:val="21"/>
                <w:szCs w:val="21"/>
                <w:highlight w:val="none"/>
              </w:rPr>
            </w:pPr>
            <w:r>
              <w:rPr>
                <w:rFonts w:hint="eastAsia" w:hAnsi="宋体"/>
                <w:sz w:val="21"/>
                <w:szCs w:val="21"/>
                <w:highlight w:val="none"/>
              </w:rPr>
              <w:t>标准机架式设备。</w:t>
            </w:r>
          </w:p>
        </w:tc>
      </w:tr>
      <w:tr w14:paraId="3069D3F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8310" w:type="dxa"/>
            <w:gridSpan w:val="3"/>
            <w:tcBorders>
              <w:top w:val="single" w:color="000000" w:sz="6" w:space="0"/>
              <w:left w:val="single" w:color="000000" w:sz="6" w:space="0"/>
              <w:bottom w:val="single" w:color="000000" w:sz="6" w:space="0"/>
              <w:right w:val="single" w:color="000000" w:sz="6" w:space="0"/>
            </w:tcBorders>
            <w:vAlign w:val="center"/>
          </w:tcPr>
          <w:p w14:paraId="71FF25F6">
            <w:pPr>
              <w:pStyle w:val="62"/>
              <w:spacing w:line="360" w:lineRule="auto"/>
              <w:rPr>
                <w:rFonts w:hAnsi="宋体"/>
                <w:b/>
                <w:bCs/>
                <w:sz w:val="21"/>
                <w:szCs w:val="21"/>
                <w:highlight w:val="none"/>
              </w:rPr>
            </w:pPr>
            <w:r>
              <w:rPr>
                <w:rFonts w:hint="eastAsia" w:hAnsi="宋体"/>
                <w:b/>
                <w:bCs/>
                <w:sz w:val="21"/>
                <w:szCs w:val="21"/>
                <w:highlight w:val="none"/>
              </w:rPr>
              <w:t>功能要求</w:t>
            </w:r>
          </w:p>
        </w:tc>
      </w:tr>
      <w:tr w14:paraId="3340C4A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47" w:type="dxa"/>
            <w:vMerge w:val="restart"/>
            <w:tcBorders>
              <w:top w:val="single" w:color="000000" w:sz="6" w:space="0"/>
              <w:left w:val="single" w:color="000000" w:sz="6" w:space="0"/>
              <w:bottom w:val="single" w:color="000000" w:sz="6" w:space="0"/>
              <w:right w:val="nil"/>
            </w:tcBorders>
            <w:vAlign w:val="center"/>
          </w:tcPr>
          <w:p w14:paraId="7415DB3B">
            <w:pPr>
              <w:rPr>
                <w:highlight w:val="none"/>
              </w:rPr>
            </w:pPr>
            <w:r>
              <w:rPr>
                <w:rFonts w:hint="eastAsia"/>
                <w:highlight w:val="none"/>
              </w:rPr>
              <w:t>网络支持</w:t>
            </w:r>
          </w:p>
        </w:tc>
        <w:tc>
          <w:tcPr>
            <w:tcW w:w="1678" w:type="dxa"/>
            <w:tcBorders>
              <w:top w:val="single" w:color="000000" w:sz="6" w:space="0"/>
              <w:left w:val="single" w:color="000000" w:sz="6" w:space="0"/>
              <w:bottom w:val="single" w:color="000000" w:sz="6" w:space="0"/>
              <w:right w:val="single" w:color="000000" w:sz="6" w:space="0"/>
            </w:tcBorders>
            <w:vAlign w:val="center"/>
          </w:tcPr>
          <w:p w14:paraId="2AA01AC3">
            <w:pPr>
              <w:rPr>
                <w:highlight w:val="none"/>
              </w:rPr>
            </w:pPr>
            <w:r>
              <w:rPr>
                <w:rFonts w:hint="eastAsia"/>
                <w:highlight w:val="none"/>
              </w:rPr>
              <w:t>工作模式</w:t>
            </w:r>
          </w:p>
        </w:tc>
        <w:tc>
          <w:tcPr>
            <w:tcW w:w="5285" w:type="dxa"/>
            <w:tcBorders>
              <w:top w:val="single" w:color="000000" w:sz="6" w:space="0"/>
              <w:left w:val="single" w:color="000000" w:sz="6" w:space="0"/>
              <w:bottom w:val="single" w:color="000000" w:sz="6" w:space="0"/>
              <w:right w:val="single" w:color="000000" w:sz="6" w:space="0"/>
            </w:tcBorders>
            <w:vAlign w:val="center"/>
          </w:tcPr>
          <w:p w14:paraId="10584962">
            <w:pPr>
              <w:pStyle w:val="62"/>
              <w:spacing w:line="360" w:lineRule="auto"/>
              <w:rPr>
                <w:rFonts w:hAnsi="宋体"/>
                <w:sz w:val="21"/>
                <w:szCs w:val="21"/>
                <w:highlight w:val="none"/>
              </w:rPr>
            </w:pPr>
            <w:r>
              <w:rPr>
                <w:rFonts w:hint="eastAsia" w:hAnsi="宋体"/>
                <w:sz w:val="21"/>
                <w:szCs w:val="21"/>
                <w:highlight w:val="none"/>
              </w:rPr>
              <w:t>▲支持透明接入，且对现有网络结构不做任何调整或变更；</w:t>
            </w:r>
          </w:p>
        </w:tc>
      </w:tr>
      <w:tr w14:paraId="0B23A2E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1347" w:type="dxa"/>
            <w:vMerge w:val="continue"/>
            <w:tcBorders>
              <w:top w:val="single" w:color="000000" w:sz="6" w:space="0"/>
              <w:left w:val="single" w:color="000000" w:sz="6" w:space="0"/>
              <w:bottom w:val="single" w:color="000000" w:sz="6" w:space="0"/>
              <w:right w:val="nil"/>
            </w:tcBorders>
            <w:vAlign w:val="center"/>
          </w:tcPr>
          <w:p w14:paraId="086A6FB7">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0FDCCAE2">
            <w:pPr>
              <w:rPr>
                <w:highlight w:val="none"/>
              </w:rPr>
            </w:pPr>
            <w:r>
              <w:rPr>
                <w:rFonts w:hint="eastAsia"/>
                <w:highlight w:val="none"/>
              </w:rPr>
              <w:t>网络场景</w:t>
            </w:r>
          </w:p>
        </w:tc>
        <w:tc>
          <w:tcPr>
            <w:tcW w:w="5285" w:type="dxa"/>
            <w:tcBorders>
              <w:top w:val="single" w:color="000000" w:sz="6" w:space="0"/>
              <w:left w:val="single" w:color="000000" w:sz="6" w:space="0"/>
              <w:bottom w:val="single" w:color="000000" w:sz="6" w:space="0"/>
              <w:right w:val="single" w:color="000000" w:sz="6" w:space="0"/>
            </w:tcBorders>
          </w:tcPr>
          <w:p w14:paraId="0B18E0F1">
            <w:pPr>
              <w:pStyle w:val="62"/>
              <w:spacing w:line="360" w:lineRule="auto"/>
              <w:rPr>
                <w:rFonts w:hAnsi="宋体"/>
                <w:sz w:val="21"/>
                <w:szCs w:val="21"/>
                <w:highlight w:val="none"/>
              </w:rPr>
            </w:pPr>
            <w:r>
              <w:rPr>
                <w:rFonts w:hint="eastAsia" w:hAnsi="宋体"/>
                <w:sz w:val="21"/>
                <w:szCs w:val="21"/>
                <w:highlight w:val="none"/>
              </w:rPr>
              <w:t>支持路由模式、VLAN、HA、单臂路由、端口汇聚等复杂网络环境场景应用；</w:t>
            </w:r>
          </w:p>
        </w:tc>
      </w:tr>
      <w:tr w14:paraId="78BD9C9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3" w:hRule="atLeast"/>
        </w:trPr>
        <w:tc>
          <w:tcPr>
            <w:tcW w:w="1347" w:type="dxa"/>
            <w:vMerge w:val="continue"/>
            <w:tcBorders>
              <w:top w:val="single" w:color="000000" w:sz="6" w:space="0"/>
              <w:left w:val="single" w:color="000000" w:sz="6" w:space="0"/>
              <w:bottom w:val="single" w:color="000000" w:sz="6" w:space="0"/>
              <w:right w:val="nil"/>
            </w:tcBorders>
            <w:vAlign w:val="center"/>
          </w:tcPr>
          <w:p w14:paraId="0BE82E0C">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34C638BA">
            <w:pPr>
              <w:rPr>
                <w:highlight w:val="none"/>
              </w:rPr>
            </w:pPr>
            <w:r>
              <w:rPr>
                <w:rFonts w:hint="eastAsia"/>
                <w:highlight w:val="none"/>
              </w:rPr>
              <w:t>环境要求</w:t>
            </w:r>
          </w:p>
        </w:tc>
        <w:tc>
          <w:tcPr>
            <w:tcW w:w="5285" w:type="dxa"/>
            <w:tcBorders>
              <w:top w:val="single" w:color="000000" w:sz="6" w:space="0"/>
              <w:left w:val="single" w:color="000000" w:sz="6" w:space="0"/>
              <w:bottom w:val="single" w:color="000000" w:sz="6" w:space="0"/>
              <w:right w:val="single" w:color="000000" w:sz="6" w:space="0"/>
            </w:tcBorders>
            <w:vAlign w:val="center"/>
          </w:tcPr>
          <w:p w14:paraId="66E1B157">
            <w:pPr>
              <w:pStyle w:val="62"/>
              <w:spacing w:line="360" w:lineRule="auto"/>
              <w:rPr>
                <w:rFonts w:hAnsi="宋体"/>
                <w:sz w:val="21"/>
                <w:szCs w:val="21"/>
                <w:highlight w:val="none"/>
              </w:rPr>
            </w:pPr>
            <w:r>
              <w:rPr>
                <w:rFonts w:hint="eastAsia" w:hAnsi="宋体"/>
                <w:sz w:val="21"/>
                <w:szCs w:val="21"/>
                <w:highlight w:val="none"/>
              </w:rPr>
              <w:t>在透明部署模式下，单台设备可实现对非对称路由环境的支持，实现双网桥之间的关联；</w:t>
            </w:r>
          </w:p>
        </w:tc>
      </w:tr>
      <w:tr w14:paraId="060652BE">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47" w:type="dxa"/>
            <w:vMerge w:val="continue"/>
            <w:tcBorders>
              <w:top w:val="single" w:color="000000" w:sz="6" w:space="0"/>
              <w:left w:val="single" w:color="000000" w:sz="6" w:space="0"/>
              <w:bottom w:val="single" w:color="000000" w:sz="6" w:space="0"/>
              <w:right w:val="nil"/>
            </w:tcBorders>
            <w:vAlign w:val="center"/>
          </w:tcPr>
          <w:p w14:paraId="687FD643">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0DFEB938">
            <w:pPr>
              <w:rPr>
                <w:highlight w:val="none"/>
              </w:rPr>
            </w:pPr>
            <w:r>
              <w:rPr>
                <w:rFonts w:hint="eastAsia"/>
                <w:highlight w:val="none"/>
              </w:rPr>
              <w:t>会话同步</w:t>
            </w:r>
          </w:p>
        </w:tc>
        <w:tc>
          <w:tcPr>
            <w:tcW w:w="5285" w:type="dxa"/>
            <w:tcBorders>
              <w:top w:val="single" w:color="000000" w:sz="6" w:space="0"/>
              <w:left w:val="single" w:color="000000" w:sz="6" w:space="0"/>
              <w:bottom w:val="single" w:color="000000" w:sz="6" w:space="0"/>
              <w:right w:val="single" w:color="000000" w:sz="6" w:space="0"/>
            </w:tcBorders>
            <w:vAlign w:val="center"/>
          </w:tcPr>
          <w:p w14:paraId="18F88FB2">
            <w:pPr>
              <w:pStyle w:val="62"/>
              <w:spacing w:line="360" w:lineRule="auto"/>
              <w:rPr>
                <w:rFonts w:hAnsi="宋体"/>
                <w:sz w:val="21"/>
                <w:szCs w:val="21"/>
                <w:highlight w:val="none"/>
              </w:rPr>
            </w:pPr>
            <w:r>
              <w:rPr>
                <w:rFonts w:hint="eastAsia" w:hAnsi="宋体"/>
                <w:sz w:val="21"/>
                <w:szCs w:val="21"/>
                <w:highlight w:val="none"/>
              </w:rPr>
              <w:t>支持双链路非对称路由环境及会话同步功能；</w:t>
            </w:r>
          </w:p>
        </w:tc>
      </w:tr>
      <w:tr w14:paraId="3694529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single" w:color="000000" w:sz="6" w:space="0"/>
              <w:right w:val="nil"/>
            </w:tcBorders>
            <w:vAlign w:val="center"/>
          </w:tcPr>
          <w:p w14:paraId="60F9C225">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28CC12DE">
            <w:pPr>
              <w:rPr>
                <w:highlight w:val="none"/>
              </w:rPr>
            </w:pPr>
            <w:r>
              <w:rPr>
                <w:rFonts w:hint="eastAsia"/>
                <w:highlight w:val="none"/>
              </w:rPr>
              <w:t>管理接入</w:t>
            </w:r>
          </w:p>
        </w:tc>
        <w:tc>
          <w:tcPr>
            <w:tcW w:w="5285" w:type="dxa"/>
            <w:tcBorders>
              <w:top w:val="single" w:color="000000" w:sz="6" w:space="0"/>
              <w:left w:val="single" w:color="000000" w:sz="6" w:space="0"/>
              <w:bottom w:val="single" w:color="000000" w:sz="6" w:space="0"/>
              <w:right w:val="single" w:color="000000" w:sz="6" w:space="0"/>
            </w:tcBorders>
          </w:tcPr>
          <w:p w14:paraId="416F14A6">
            <w:pPr>
              <w:pStyle w:val="62"/>
              <w:spacing w:line="360" w:lineRule="auto"/>
              <w:rPr>
                <w:rFonts w:hAnsi="宋体"/>
                <w:sz w:val="21"/>
                <w:szCs w:val="21"/>
                <w:highlight w:val="none"/>
              </w:rPr>
            </w:pPr>
            <w:r>
              <w:rPr>
                <w:rFonts w:hint="eastAsia" w:hAnsi="宋体"/>
                <w:sz w:val="21"/>
                <w:szCs w:val="21"/>
                <w:highlight w:val="none"/>
              </w:rPr>
              <w:t>支持网桥管理、和任意接口地址管理；</w:t>
            </w:r>
          </w:p>
        </w:tc>
      </w:tr>
      <w:tr w14:paraId="53F4F2C3">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47" w:type="dxa"/>
            <w:vMerge w:val="continue"/>
            <w:tcBorders>
              <w:top w:val="single" w:color="000000" w:sz="6" w:space="0"/>
              <w:left w:val="single" w:color="000000" w:sz="6" w:space="0"/>
              <w:bottom w:val="single" w:color="000000" w:sz="6" w:space="0"/>
              <w:right w:val="nil"/>
            </w:tcBorders>
            <w:vAlign w:val="center"/>
          </w:tcPr>
          <w:p w14:paraId="53560C08">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0FB7CFF4">
            <w:pPr>
              <w:rPr>
                <w:highlight w:val="none"/>
              </w:rPr>
            </w:pPr>
            <w:r>
              <w:rPr>
                <w:rFonts w:hint="eastAsia"/>
                <w:highlight w:val="none"/>
              </w:rPr>
              <w:t>协议栈支持</w:t>
            </w:r>
          </w:p>
        </w:tc>
        <w:tc>
          <w:tcPr>
            <w:tcW w:w="5285" w:type="dxa"/>
            <w:tcBorders>
              <w:top w:val="single" w:color="000000" w:sz="6" w:space="0"/>
              <w:left w:val="single" w:color="000000" w:sz="6" w:space="0"/>
              <w:bottom w:val="single" w:color="000000" w:sz="6" w:space="0"/>
              <w:right w:val="single" w:color="000000" w:sz="6" w:space="0"/>
            </w:tcBorders>
            <w:vAlign w:val="center"/>
          </w:tcPr>
          <w:p w14:paraId="09DF9E50">
            <w:pPr>
              <w:pStyle w:val="62"/>
              <w:spacing w:line="360" w:lineRule="auto"/>
              <w:rPr>
                <w:rFonts w:hAnsi="宋体"/>
                <w:sz w:val="21"/>
                <w:szCs w:val="21"/>
                <w:highlight w:val="none"/>
              </w:rPr>
            </w:pPr>
            <w:r>
              <w:rPr>
                <w:rFonts w:hint="eastAsia" w:hAnsi="宋体"/>
                <w:sz w:val="21"/>
                <w:szCs w:val="21"/>
                <w:highlight w:val="none"/>
              </w:rPr>
              <w:t>支持对IPv4、IPv6环境的接入和综合性防御；</w:t>
            </w:r>
          </w:p>
        </w:tc>
      </w:tr>
      <w:tr w14:paraId="67221BE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1347" w:type="dxa"/>
            <w:vMerge w:val="restart"/>
            <w:tcBorders>
              <w:top w:val="single" w:color="000000" w:sz="6" w:space="0"/>
              <w:left w:val="single" w:color="000000" w:sz="6" w:space="0"/>
              <w:bottom w:val="single" w:color="000000" w:sz="6" w:space="0"/>
              <w:right w:val="nil"/>
            </w:tcBorders>
            <w:vAlign w:val="center"/>
          </w:tcPr>
          <w:p w14:paraId="0851ACF1">
            <w:pPr>
              <w:rPr>
                <w:highlight w:val="none"/>
              </w:rPr>
            </w:pPr>
            <w:r>
              <w:rPr>
                <w:rFonts w:hint="eastAsia"/>
                <w:highlight w:val="none"/>
              </w:rPr>
              <w:t>部署应用</w:t>
            </w:r>
          </w:p>
        </w:tc>
        <w:tc>
          <w:tcPr>
            <w:tcW w:w="1678" w:type="dxa"/>
            <w:tcBorders>
              <w:top w:val="single" w:color="000000" w:sz="6" w:space="0"/>
              <w:left w:val="single" w:color="000000" w:sz="6" w:space="0"/>
              <w:bottom w:val="single" w:color="000000" w:sz="6" w:space="0"/>
              <w:right w:val="single" w:color="000000" w:sz="6" w:space="0"/>
            </w:tcBorders>
            <w:vAlign w:val="center"/>
          </w:tcPr>
          <w:p w14:paraId="2EAF8F18">
            <w:pPr>
              <w:rPr>
                <w:highlight w:val="none"/>
              </w:rPr>
            </w:pPr>
            <w:r>
              <w:rPr>
                <w:rFonts w:hint="eastAsia"/>
                <w:highlight w:val="none"/>
              </w:rPr>
              <w:t>BYPASS功能</w:t>
            </w:r>
          </w:p>
        </w:tc>
        <w:tc>
          <w:tcPr>
            <w:tcW w:w="5285" w:type="dxa"/>
            <w:tcBorders>
              <w:top w:val="single" w:color="000000" w:sz="6" w:space="0"/>
              <w:left w:val="single" w:color="000000" w:sz="6" w:space="0"/>
              <w:bottom w:val="single" w:color="000000" w:sz="6" w:space="0"/>
              <w:right w:val="single" w:color="000000" w:sz="6" w:space="0"/>
            </w:tcBorders>
          </w:tcPr>
          <w:p w14:paraId="7B8D89FB">
            <w:pPr>
              <w:pStyle w:val="62"/>
              <w:spacing w:line="360" w:lineRule="auto"/>
              <w:rPr>
                <w:rFonts w:hAnsi="宋体"/>
                <w:sz w:val="21"/>
                <w:szCs w:val="21"/>
                <w:highlight w:val="none"/>
              </w:rPr>
            </w:pPr>
            <w:r>
              <w:rPr>
                <w:rFonts w:hint="eastAsia" w:hAnsi="宋体"/>
                <w:sz w:val="21"/>
                <w:szCs w:val="21"/>
                <w:highlight w:val="none"/>
              </w:rPr>
              <w:t>支持千兆、万兆BYPASS;支持WEB管理界面的BYPASS开启与关闭；支持在BYPASS开启状态下，WEB管理界面仍可继续操作；</w:t>
            </w:r>
          </w:p>
        </w:tc>
      </w:tr>
      <w:tr w14:paraId="7D59841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47" w:type="dxa"/>
            <w:vMerge w:val="continue"/>
            <w:tcBorders>
              <w:top w:val="single" w:color="000000" w:sz="6" w:space="0"/>
              <w:left w:val="single" w:color="000000" w:sz="6" w:space="0"/>
              <w:bottom w:val="single" w:color="000000" w:sz="6" w:space="0"/>
              <w:right w:val="nil"/>
            </w:tcBorders>
            <w:vAlign w:val="center"/>
          </w:tcPr>
          <w:p w14:paraId="2FF3632C">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6B0F25B5">
            <w:pPr>
              <w:rPr>
                <w:highlight w:val="none"/>
              </w:rPr>
            </w:pPr>
            <w:r>
              <w:rPr>
                <w:rFonts w:hint="eastAsia"/>
                <w:highlight w:val="none"/>
              </w:rPr>
              <w:t>接入方式</w:t>
            </w:r>
          </w:p>
        </w:tc>
        <w:tc>
          <w:tcPr>
            <w:tcW w:w="5285" w:type="dxa"/>
            <w:tcBorders>
              <w:top w:val="single" w:color="000000" w:sz="6" w:space="0"/>
              <w:left w:val="single" w:color="000000" w:sz="6" w:space="0"/>
              <w:bottom w:val="single" w:color="000000" w:sz="6" w:space="0"/>
              <w:right w:val="single" w:color="000000" w:sz="6" w:space="0"/>
            </w:tcBorders>
            <w:vAlign w:val="center"/>
          </w:tcPr>
          <w:p w14:paraId="38BEE5C6">
            <w:pPr>
              <w:pStyle w:val="62"/>
              <w:spacing w:line="360" w:lineRule="auto"/>
              <w:rPr>
                <w:rFonts w:hAnsi="宋体"/>
                <w:sz w:val="21"/>
                <w:szCs w:val="21"/>
                <w:highlight w:val="none"/>
              </w:rPr>
            </w:pPr>
            <w:r>
              <w:rPr>
                <w:rFonts w:hint="eastAsia" w:hAnsi="宋体"/>
                <w:sz w:val="21"/>
                <w:szCs w:val="21"/>
                <w:highlight w:val="none"/>
              </w:rPr>
              <w:t>支持串行部署、并行部署、串并混合部署；</w:t>
            </w:r>
          </w:p>
        </w:tc>
      </w:tr>
      <w:tr w14:paraId="2AF3F36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1347" w:type="dxa"/>
            <w:vMerge w:val="continue"/>
            <w:tcBorders>
              <w:top w:val="single" w:color="000000" w:sz="6" w:space="0"/>
              <w:left w:val="single" w:color="000000" w:sz="6" w:space="0"/>
              <w:bottom w:val="single" w:color="000000" w:sz="6" w:space="0"/>
              <w:right w:val="nil"/>
            </w:tcBorders>
            <w:vAlign w:val="center"/>
          </w:tcPr>
          <w:p w14:paraId="0768E211">
            <w:pPr>
              <w:pStyle w:val="62"/>
              <w:spacing w:line="360" w:lineRule="auto"/>
              <w:rPr>
                <w:rFonts w:hAnsi="宋体"/>
                <w:color w:val="auto"/>
                <w:sz w:val="21"/>
                <w:szCs w:val="21"/>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08D5211E">
            <w:pPr>
              <w:rPr>
                <w:highlight w:val="none"/>
              </w:rPr>
            </w:pPr>
            <w:r>
              <w:rPr>
                <w:rFonts w:hint="eastAsia"/>
                <w:highlight w:val="none"/>
              </w:rPr>
              <w:t>接口要求</w:t>
            </w:r>
          </w:p>
        </w:tc>
        <w:tc>
          <w:tcPr>
            <w:tcW w:w="5285" w:type="dxa"/>
            <w:tcBorders>
              <w:top w:val="single" w:color="000000" w:sz="6" w:space="0"/>
              <w:left w:val="single" w:color="000000" w:sz="6" w:space="0"/>
              <w:bottom w:val="single" w:color="000000" w:sz="6" w:space="0"/>
              <w:right w:val="single" w:color="000000" w:sz="6" w:space="0"/>
            </w:tcBorders>
          </w:tcPr>
          <w:p w14:paraId="4E7D2339">
            <w:pPr>
              <w:pStyle w:val="62"/>
              <w:spacing w:line="360" w:lineRule="auto"/>
              <w:rPr>
                <w:rFonts w:hAnsi="宋体"/>
                <w:sz w:val="21"/>
                <w:szCs w:val="21"/>
                <w:highlight w:val="none"/>
              </w:rPr>
            </w:pPr>
            <w:r>
              <w:rPr>
                <w:rFonts w:hint="eastAsia" w:hAnsi="宋体"/>
                <w:sz w:val="21"/>
                <w:szCs w:val="21"/>
                <w:highlight w:val="none"/>
              </w:rPr>
              <w:t>支持串行、并行、混合部署下的多路防御、多接口监听，无接口数限制要求；</w:t>
            </w:r>
          </w:p>
        </w:tc>
      </w:tr>
      <w:tr w14:paraId="7D769C6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3" w:hRule="atLeast"/>
        </w:trPr>
        <w:tc>
          <w:tcPr>
            <w:tcW w:w="1347" w:type="dxa"/>
            <w:vMerge w:val="continue"/>
            <w:tcBorders>
              <w:top w:val="single" w:color="000000" w:sz="6" w:space="0"/>
              <w:left w:val="single" w:color="000000" w:sz="6" w:space="0"/>
              <w:bottom w:val="single" w:color="000000" w:sz="6" w:space="0"/>
              <w:right w:val="nil"/>
            </w:tcBorders>
            <w:vAlign w:val="center"/>
          </w:tcPr>
          <w:p w14:paraId="32BA7C6F">
            <w:pPr>
              <w:pStyle w:val="62"/>
              <w:spacing w:line="360" w:lineRule="auto"/>
              <w:rPr>
                <w:rFonts w:hAnsi="宋体"/>
                <w:color w:val="auto"/>
                <w:sz w:val="21"/>
                <w:szCs w:val="21"/>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71219ABA">
            <w:pPr>
              <w:rPr>
                <w:highlight w:val="none"/>
              </w:rPr>
            </w:pPr>
            <w:r>
              <w:rPr>
                <w:rFonts w:hint="eastAsia"/>
                <w:highlight w:val="none"/>
              </w:rPr>
              <w:t>并行防御模式</w:t>
            </w:r>
          </w:p>
        </w:tc>
        <w:tc>
          <w:tcPr>
            <w:tcW w:w="5285" w:type="dxa"/>
            <w:tcBorders>
              <w:top w:val="single" w:color="000000" w:sz="6" w:space="0"/>
              <w:left w:val="single" w:color="000000" w:sz="6" w:space="0"/>
              <w:bottom w:val="single" w:color="000000" w:sz="6" w:space="0"/>
              <w:right w:val="single" w:color="000000" w:sz="6" w:space="0"/>
            </w:tcBorders>
            <w:vAlign w:val="center"/>
          </w:tcPr>
          <w:p w14:paraId="266528A2">
            <w:pPr>
              <w:pStyle w:val="62"/>
              <w:spacing w:line="360" w:lineRule="auto"/>
              <w:rPr>
                <w:rFonts w:hAnsi="宋体"/>
                <w:sz w:val="21"/>
                <w:szCs w:val="21"/>
                <w:highlight w:val="none"/>
              </w:rPr>
            </w:pPr>
            <w:r>
              <w:rPr>
                <w:rFonts w:hint="eastAsia" w:hAnsi="宋体"/>
                <w:sz w:val="21"/>
                <w:szCs w:val="21"/>
                <w:highlight w:val="none"/>
              </w:rPr>
              <w:t>支持在旁路模式下，通过策略路由方式对链路进行病毒过滤和威胁拦截。</w:t>
            </w:r>
          </w:p>
        </w:tc>
      </w:tr>
      <w:tr w14:paraId="26C5EBC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3" w:hRule="atLeast"/>
        </w:trPr>
        <w:tc>
          <w:tcPr>
            <w:tcW w:w="1347" w:type="dxa"/>
            <w:vMerge w:val="continue"/>
            <w:tcBorders>
              <w:top w:val="single" w:color="000000" w:sz="6" w:space="0"/>
              <w:left w:val="single" w:color="000000" w:sz="6" w:space="0"/>
              <w:bottom w:val="single" w:color="000000" w:sz="6" w:space="0"/>
              <w:right w:val="nil"/>
            </w:tcBorders>
            <w:vAlign w:val="center"/>
          </w:tcPr>
          <w:p w14:paraId="1737155D">
            <w:pPr>
              <w:pStyle w:val="62"/>
              <w:spacing w:line="360" w:lineRule="auto"/>
              <w:rPr>
                <w:rFonts w:hAnsi="宋体"/>
                <w:color w:val="auto"/>
                <w:sz w:val="21"/>
                <w:szCs w:val="21"/>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1EE27250">
            <w:pPr>
              <w:rPr>
                <w:highlight w:val="none"/>
              </w:rPr>
            </w:pPr>
            <w:r>
              <w:rPr>
                <w:rFonts w:hint="eastAsia"/>
                <w:highlight w:val="none"/>
              </w:rPr>
              <w:t>监听模式</w:t>
            </w:r>
          </w:p>
        </w:tc>
        <w:tc>
          <w:tcPr>
            <w:tcW w:w="5285" w:type="dxa"/>
            <w:tcBorders>
              <w:top w:val="single" w:color="000000" w:sz="6" w:space="0"/>
              <w:left w:val="single" w:color="000000" w:sz="6" w:space="0"/>
              <w:bottom w:val="single" w:color="000000" w:sz="6" w:space="0"/>
              <w:right w:val="single" w:color="000000" w:sz="6" w:space="0"/>
            </w:tcBorders>
            <w:vAlign w:val="center"/>
          </w:tcPr>
          <w:p w14:paraId="76143A3E">
            <w:pPr>
              <w:pStyle w:val="62"/>
              <w:spacing w:line="360" w:lineRule="auto"/>
              <w:rPr>
                <w:rFonts w:hAnsi="宋体"/>
                <w:sz w:val="21"/>
                <w:szCs w:val="21"/>
                <w:highlight w:val="none"/>
              </w:rPr>
            </w:pPr>
            <w:r>
              <w:rPr>
                <w:rFonts w:hint="eastAsia" w:hAnsi="宋体"/>
                <w:sz w:val="21"/>
                <w:szCs w:val="21"/>
                <w:highlight w:val="none"/>
              </w:rPr>
              <w:t>支持多种交换设备的以太网数据镜像；支持网络分流器、分光器等数据牵引模式；</w:t>
            </w:r>
          </w:p>
        </w:tc>
      </w:tr>
      <w:tr w14:paraId="64FDA240">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1347" w:type="dxa"/>
            <w:vMerge w:val="restart"/>
            <w:tcBorders>
              <w:top w:val="single" w:color="000000" w:sz="6" w:space="0"/>
              <w:left w:val="single" w:color="000000" w:sz="6" w:space="0"/>
              <w:bottom w:val="nil"/>
              <w:right w:val="nil"/>
            </w:tcBorders>
            <w:vAlign w:val="center"/>
          </w:tcPr>
          <w:p w14:paraId="584EA7BE">
            <w:pPr>
              <w:rPr>
                <w:highlight w:val="none"/>
              </w:rPr>
            </w:pPr>
            <w:r>
              <w:rPr>
                <w:rFonts w:hint="eastAsia"/>
                <w:highlight w:val="none"/>
              </w:rPr>
              <w:t>威胁防御</w:t>
            </w:r>
          </w:p>
        </w:tc>
        <w:tc>
          <w:tcPr>
            <w:tcW w:w="1678" w:type="dxa"/>
            <w:tcBorders>
              <w:top w:val="single" w:color="000000" w:sz="6" w:space="0"/>
              <w:left w:val="single" w:color="000000" w:sz="6" w:space="0"/>
              <w:bottom w:val="single" w:color="000000" w:sz="6" w:space="0"/>
              <w:right w:val="single" w:color="000000" w:sz="6" w:space="0"/>
            </w:tcBorders>
            <w:vAlign w:val="center"/>
          </w:tcPr>
          <w:p w14:paraId="0D332BF8">
            <w:pPr>
              <w:rPr>
                <w:highlight w:val="none"/>
              </w:rPr>
            </w:pPr>
            <w:r>
              <w:rPr>
                <w:rFonts w:hint="eastAsia"/>
                <w:highlight w:val="none"/>
              </w:rPr>
              <w:t>病毒类型</w:t>
            </w:r>
          </w:p>
        </w:tc>
        <w:tc>
          <w:tcPr>
            <w:tcW w:w="5285" w:type="dxa"/>
            <w:tcBorders>
              <w:top w:val="single" w:color="000000" w:sz="6" w:space="0"/>
              <w:left w:val="single" w:color="000000" w:sz="6" w:space="0"/>
              <w:bottom w:val="single" w:color="000000" w:sz="6" w:space="0"/>
              <w:right w:val="single" w:color="000000" w:sz="6" w:space="0"/>
            </w:tcBorders>
          </w:tcPr>
          <w:p w14:paraId="3E263851">
            <w:pPr>
              <w:pStyle w:val="62"/>
              <w:spacing w:line="360" w:lineRule="auto"/>
              <w:rPr>
                <w:rFonts w:hAnsi="宋体"/>
                <w:sz w:val="21"/>
                <w:szCs w:val="21"/>
                <w:highlight w:val="none"/>
              </w:rPr>
            </w:pPr>
            <w:r>
              <w:rPr>
                <w:rFonts w:hint="eastAsia" w:hAnsi="宋体"/>
                <w:sz w:val="21"/>
                <w:szCs w:val="21"/>
                <w:highlight w:val="none"/>
              </w:rPr>
              <w:t>支持可执行病毒、宏病毒、木马、蠕虫、间谍软件、恶意脚本等混合型病毒文件的过滤。</w:t>
            </w:r>
          </w:p>
        </w:tc>
      </w:tr>
      <w:tr w14:paraId="0AA6C1A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47" w:type="dxa"/>
            <w:vMerge w:val="continue"/>
            <w:tcBorders>
              <w:top w:val="single" w:color="000000" w:sz="6" w:space="0"/>
              <w:left w:val="single" w:color="000000" w:sz="6" w:space="0"/>
              <w:bottom w:val="nil"/>
              <w:right w:val="nil"/>
            </w:tcBorders>
            <w:vAlign w:val="center"/>
          </w:tcPr>
          <w:p w14:paraId="3E507648">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1B71D5BD">
            <w:pPr>
              <w:rPr>
                <w:highlight w:val="none"/>
              </w:rPr>
            </w:pPr>
            <w:r>
              <w:rPr>
                <w:rFonts w:hint="eastAsia"/>
                <w:highlight w:val="none"/>
              </w:rPr>
              <w:t>手机病毒</w:t>
            </w:r>
          </w:p>
        </w:tc>
        <w:tc>
          <w:tcPr>
            <w:tcW w:w="5285" w:type="dxa"/>
            <w:tcBorders>
              <w:top w:val="single" w:color="000000" w:sz="6" w:space="0"/>
              <w:left w:val="single" w:color="000000" w:sz="6" w:space="0"/>
              <w:bottom w:val="single" w:color="000000" w:sz="6" w:space="0"/>
              <w:right w:val="single" w:color="000000" w:sz="6" w:space="0"/>
            </w:tcBorders>
            <w:vAlign w:val="center"/>
          </w:tcPr>
          <w:p w14:paraId="246D37B1">
            <w:pPr>
              <w:pStyle w:val="62"/>
              <w:spacing w:line="360" w:lineRule="auto"/>
              <w:rPr>
                <w:rFonts w:hAnsi="宋体"/>
                <w:sz w:val="21"/>
                <w:szCs w:val="21"/>
                <w:highlight w:val="none"/>
              </w:rPr>
            </w:pPr>
            <w:r>
              <w:rPr>
                <w:rFonts w:hint="eastAsia" w:hAnsi="宋体"/>
                <w:sz w:val="21"/>
                <w:szCs w:val="21"/>
                <w:highlight w:val="none"/>
              </w:rPr>
              <w:t>支持针对苹果或安卓手机平台下的恶意APP程序监测、过滤；</w:t>
            </w:r>
          </w:p>
        </w:tc>
      </w:tr>
      <w:tr w14:paraId="611B04C2">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1347" w:type="dxa"/>
            <w:vMerge w:val="continue"/>
            <w:tcBorders>
              <w:top w:val="single" w:color="000000" w:sz="6" w:space="0"/>
              <w:left w:val="single" w:color="000000" w:sz="6" w:space="0"/>
              <w:bottom w:val="nil"/>
              <w:right w:val="nil"/>
            </w:tcBorders>
            <w:vAlign w:val="center"/>
          </w:tcPr>
          <w:p w14:paraId="5448775C">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0091A9BA">
            <w:pPr>
              <w:rPr>
                <w:highlight w:val="none"/>
              </w:rPr>
            </w:pPr>
            <w:r>
              <w:rPr>
                <w:rFonts w:hint="eastAsia"/>
                <w:highlight w:val="none"/>
              </w:rPr>
              <w:t>协议过滤支持</w:t>
            </w:r>
          </w:p>
        </w:tc>
        <w:tc>
          <w:tcPr>
            <w:tcW w:w="5285" w:type="dxa"/>
            <w:tcBorders>
              <w:top w:val="single" w:color="000000" w:sz="6" w:space="0"/>
              <w:left w:val="single" w:color="000000" w:sz="6" w:space="0"/>
              <w:bottom w:val="single" w:color="000000" w:sz="6" w:space="0"/>
              <w:right w:val="single" w:color="000000" w:sz="6" w:space="0"/>
            </w:tcBorders>
            <w:vAlign w:val="center"/>
          </w:tcPr>
          <w:p w14:paraId="5DC031A4">
            <w:pPr>
              <w:pStyle w:val="62"/>
              <w:spacing w:line="360" w:lineRule="auto"/>
              <w:rPr>
                <w:rFonts w:hAnsi="宋体"/>
                <w:sz w:val="21"/>
                <w:szCs w:val="21"/>
                <w:highlight w:val="none"/>
              </w:rPr>
            </w:pPr>
            <w:r>
              <w:rPr>
                <w:rFonts w:hint="eastAsia" w:hAnsi="宋体"/>
                <w:sz w:val="21"/>
                <w:szCs w:val="21"/>
                <w:highlight w:val="none"/>
              </w:rPr>
              <w:t>支持HTTP、SMTP、FTP、POP3、IMAP、SMB协议过滤；</w:t>
            </w:r>
          </w:p>
        </w:tc>
      </w:tr>
      <w:tr w14:paraId="1B850DA1">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1347" w:type="dxa"/>
            <w:vMerge w:val="continue"/>
            <w:tcBorders>
              <w:top w:val="single" w:color="000000" w:sz="6" w:space="0"/>
              <w:left w:val="single" w:color="000000" w:sz="6" w:space="0"/>
              <w:bottom w:val="nil"/>
              <w:right w:val="nil"/>
            </w:tcBorders>
            <w:vAlign w:val="center"/>
          </w:tcPr>
          <w:p w14:paraId="72ED25E2">
            <w:pPr>
              <w:rPr>
                <w:highlight w:val="none"/>
              </w:rPr>
            </w:pPr>
          </w:p>
        </w:tc>
        <w:tc>
          <w:tcPr>
            <w:tcW w:w="1678" w:type="dxa"/>
            <w:tcBorders>
              <w:top w:val="single" w:color="000000" w:sz="6" w:space="0"/>
              <w:left w:val="single" w:color="000000" w:sz="6" w:space="0"/>
              <w:right w:val="single" w:color="000000" w:sz="6" w:space="0"/>
            </w:tcBorders>
            <w:vAlign w:val="center"/>
          </w:tcPr>
          <w:p w14:paraId="196F2CFE">
            <w:pPr>
              <w:rPr>
                <w:highlight w:val="none"/>
              </w:rPr>
            </w:pPr>
            <w:r>
              <w:rPr>
                <w:rFonts w:hint="eastAsia"/>
                <w:highlight w:val="none"/>
              </w:rPr>
              <w:t>过滤要求</w:t>
            </w:r>
          </w:p>
        </w:tc>
        <w:tc>
          <w:tcPr>
            <w:tcW w:w="5285" w:type="dxa"/>
            <w:tcBorders>
              <w:top w:val="single" w:color="000000" w:sz="6" w:space="0"/>
              <w:left w:val="single" w:color="000000" w:sz="6" w:space="0"/>
              <w:right w:val="single" w:color="000000" w:sz="6" w:space="0"/>
            </w:tcBorders>
          </w:tcPr>
          <w:p w14:paraId="131244F6">
            <w:pPr>
              <w:pStyle w:val="62"/>
              <w:spacing w:line="360" w:lineRule="auto"/>
              <w:rPr>
                <w:rFonts w:hAnsi="宋体"/>
                <w:sz w:val="21"/>
                <w:szCs w:val="21"/>
                <w:highlight w:val="none"/>
              </w:rPr>
            </w:pPr>
            <w:r>
              <w:rPr>
                <w:rFonts w:hint="eastAsia" w:hAnsi="宋体"/>
                <w:sz w:val="21"/>
                <w:szCs w:val="21"/>
                <w:highlight w:val="none"/>
              </w:rPr>
              <w:t>在透明部署模式下，单台设备可实现非对称路由模式环境下的协议病毒阻断</w:t>
            </w:r>
          </w:p>
        </w:tc>
      </w:tr>
      <w:tr w14:paraId="0880CCC6">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695579C0">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0E28C3E5">
            <w:pPr>
              <w:rPr>
                <w:highlight w:val="none"/>
              </w:rPr>
            </w:pPr>
            <w:r>
              <w:rPr>
                <w:rFonts w:hint="eastAsia"/>
                <w:highlight w:val="none"/>
              </w:rPr>
              <w:t>协议支持模式</w:t>
            </w:r>
          </w:p>
        </w:tc>
        <w:tc>
          <w:tcPr>
            <w:tcW w:w="5285" w:type="dxa"/>
            <w:tcBorders>
              <w:top w:val="single" w:color="000000" w:sz="6" w:space="0"/>
              <w:left w:val="single" w:color="000000" w:sz="6" w:space="0"/>
              <w:bottom w:val="single" w:color="000000" w:sz="6" w:space="0"/>
              <w:right w:val="single" w:color="000000" w:sz="6" w:space="0"/>
            </w:tcBorders>
          </w:tcPr>
          <w:p w14:paraId="12EC4DC0">
            <w:pPr>
              <w:pStyle w:val="62"/>
              <w:spacing w:line="360" w:lineRule="auto"/>
              <w:rPr>
                <w:rFonts w:hAnsi="宋体"/>
                <w:sz w:val="21"/>
                <w:szCs w:val="21"/>
                <w:highlight w:val="none"/>
              </w:rPr>
            </w:pPr>
            <w:r>
              <w:rPr>
                <w:rFonts w:hint="eastAsia" w:hAnsi="宋体"/>
                <w:sz w:val="21"/>
                <w:szCs w:val="21"/>
                <w:highlight w:val="none"/>
              </w:rPr>
              <w:t>支持每项协议过滤的多种工作模式，且无需人工设定协议过滤端口，为自适应和自动识别模式；</w:t>
            </w:r>
          </w:p>
        </w:tc>
      </w:tr>
      <w:tr w14:paraId="6CAAAB83">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483C6E9A">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1E4A212B">
            <w:pPr>
              <w:rPr>
                <w:highlight w:val="none"/>
              </w:rPr>
            </w:pPr>
            <w:r>
              <w:rPr>
                <w:rFonts w:hint="eastAsia"/>
                <w:highlight w:val="none"/>
              </w:rPr>
              <w:t>病毒文件处理</w:t>
            </w:r>
          </w:p>
        </w:tc>
        <w:tc>
          <w:tcPr>
            <w:tcW w:w="5285" w:type="dxa"/>
            <w:tcBorders>
              <w:top w:val="single" w:color="000000" w:sz="6" w:space="0"/>
              <w:left w:val="single" w:color="000000" w:sz="6" w:space="0"/>
              <w:bottom w:val="single" w:color="000000" w:sz="6" w:space="0"/>
              <w:right w:val="single" w:color="000000" w:sz="6" w:space="0"/>
            </w:tcBorders>
          </w:tcPr>
          <w:p w14:paraId="55A4D552">
            <w:pPr>
              <w:pStyle w:val="62"/>
              <w:spacing w:line="360" w:lineRule="auto"/>
              <w:rPr>
                <w:rFonts w:hAnsi="宋体"/>
                <w:sz w:val="21"/>
                <w:szCs w:val="21"/>
                <w:highlight w:val="none"/>
              </w:rPr>
            </w:pPr>
            <w:r>
              <w:rPr>
                <w:rFonts w:hint="eastAsia" w:hAnsi="宋体"/>
                <w:sz w:val="21"/>
                <w:szCs w:val="21"/>
                <w:highlight w:val="none"/>
              </w:rPr>
              <w:t>支持对协议层病毒文件的放行、告警、破坏、隔离、阻断处理模式；且支持对每项协议病毒过滤策略的单独设定，且不影响其他协议过滤策略。</w:t>
            </w:r>
          </w:p>
        </w:tc>
      </w:tr>
      <w:tr w14:paraId="4130657D">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01BABB48">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274C9A30">
            <w:pPr>
              <w:rPr>
                <w:highlight w:val="none"/>
              </w:rPr>
            </w:pPr>
            <w:r>
              <w:rPr>
                <w:rFonts w:hint="eastAsia"/>
                <w:highlight w:val="none"/>
              </w:rPr>
              <w:t>病毒名称白名单</w:t>
            </w:r>
          </w:p>
        </w:tc>
        <w:tc>
          <w:tcPr>
            <w:tcW w:w="5285" w:type="dxa"/>
            <w:tcBorders>
              <w:top w:val="single" w:color="000000" w:sz="6" w:space="0"/>
              <w:left w:val="single" w:color="000000" w:sz="6" w:space="0"/>
              <w:bottom w:val="single" w:color="000000" w:sz="6" w:space="0"/>
              <w:right w:val="single" w:color="000000" w:sz="6" w:space="0"/>
            </w:tcBorders>
          </w:tcPr>
          <w:p w14:paraId="4975E66A">
            <w:pPr>
              <w:pStyle w:val="62"/>
              <w:spacing w:line="360" w:lineRule="auto"/>
              <w:rPr>
                <w:rFonts w:hAnsi="宋体"/>
                <w:sz w:val="21"/>
                <w:szCs w:val="21"/>
                <w:highlight w:val="none"/>
              </w:rPr>
            </w:pPr>
            <w:r>
              <w:rPr>
                <w:rFonts w:hint="eastAsia" w:hAnsi="宋体"/>
                <w:sz w:val="21"/>
                <w:szCs w:val="21"/>
                <w:highlight w:val="none"/>
              </w:rPr>
              <w:t>支持对病毒名称的白名单设定，设定后此类病毒名称将被放行。</w:t>
            </w:r>
          </w:p>
        </w:tc>
      </w:tr>
      <w:tr w14:paraId="1CE8601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0405DAC3">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50E96D95">
            <w:pPr>
              <w:rPr>
                <w:highlight w:val="none"/>
              </w:rPr>
            </w:pPr>
            <w:r>
              <w:rPr>
                <w:rFonts w:hint="eastAsia"/>
                <w:highlight w:val="none"/>
              </w:rPr>
              <w:t>协议过滤白名单</w:t>
            </w:r>
          </w:p>
        </w:tc>
        <w:tc>
          <w:tcPr>
            <w:tcW w:w="5285" w:type="dxa"/>
            <w:tcBorders>
              <w:top w:val="single" w:color="000000" w:sz="6" w:space="0"/>
              <w:left w:val="single" w:color="000000" w:sz="6" w:space="0"/>
              <w:bottom w:val="single" w:color="000000" w:sz="6" w:space="0"/>
              <w:right w:val="single" w:color="000000" w:sz="6" w:space="0"/>
            </w:tcBorders>
          </w:tcPr>
          <w:p w14:paraId="41E2EEDD">
            <w:pPr>
              <w:pStyle w:val="62"/>
              <w:spacing w:line="360" w:lineRule="auto"/>
              <w:rPr>
                <w:rFonts w:hAnsi="宋体"/>
                <w:sz w:val="21"/>
                <w:szCs w:val="21"/>
                <w:highlight w:val="none"/>
              </w:rPr>
            </w:pPr>
            <w:r>
              <w:rPr>
                <w:rFonts w:hint="eastAsia" w:hAnsi="宋体"/>
                <w:sz w:val="21"/>
                <w:szCs w:val="21"/>
                <w:highlight w:val="none"/>
              </w:rPr>
              <w:t>支持对域名地址放行，IP地址五元组细颗粒度的过滤控制。</w:t>
            </w:r>
          </w:p>
        </w:tc>
      </w:tr>
      <w:tr w14:paraId="22250F9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002380A3">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0568B8A1">
            <w:pPr>
              <w:rPr>
                <w:highlight w:val="none"/>
              </w:rPr>
            </w:pPr>
            <w:r>
              <w:rPr>
                <w:rFonts w:hint="eastAsia"/>
                <w:highlight w:val="none"/>
              </w:rPr>
              <w:t>文件格式过滤</w:t>
            </w:r>
          </w:p>
        </w:tc>
        <w:tc>
          <w:tcPr>
            <w:tcW w:w="5285" w:type="dxa"/>
            <w:tcBorders>
              <w:top w:val="single" w:color="000000" w:sz="6" w:space="0"/>
              <w:left w:val="single" w:color="000000" w:sz="6" w:space="0"/>
              <w:bottom w:val="single" w:color="000000" w:sz="6" w:space="0"/>
              <w:right w:val="single" w:color="000000" w:sz="6" w:space="0"/>
            </w:tcBorders>
          </w:tcPr>
          <w:p w14:paraId="52B320DC">
            <w:pPr>
              <w:pStyle w:val="62"/>
              <w:spacing w:line="360" w:lineRule="auto"/>
              <w:rPr>
                <w:rFonts w:hAnsi="宋体"/>
                <w:sz w:val="21"/>
                <w:szCs w:val="21"/>
                <w:highlight w:val="none"/>
              </w:rPr>
            </w:pPr>
            <w:r>
              <w:rPr>
                <w:rFonts w:hint="eastAsia" w:hAnsi="宋体"/>
                <w:sz w:val="21"/>
                <w:szCs w:val="21"/>
                <w:highlight w:val="none"/>
              </w:rPr>
              <w:t>支持对传输文件格式的后缀名自定义，实现文件格式的过滤功能。传输协议应支持http、ftp、imap、smtp、pop3。</w:t>
            </w:r>
          </w:p>
        </w:tc>
      </w:tr>
      <w:tr w14:paraId="45184076">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1756E500">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7AF3AF5B">
            <w:pPr>
              <w:rPr>
                <w:highlight w:val="none"/>
              </w:rPr>
            </w:pPr>
            <w:r>
              <w:rPr>
                <w:rFonts w:hint="eastAsia"/>
                <w:highlight w:val="none"/>
              </w:rPr>
              <w:t>恶意通讯威胁</w:t>
            </w:r>
          </w:p>
        </w:tc>
        <w:tc>
          <w:tcPr>
            <w:tcW w:w="5285" w:type="dxa"/>
            <w:tcBorders>
              <w:top w:val="single" w:color="000000" w:sz="6" w:space="0"/>
              <w:left w:val="single" w:color="000000" w:sz="6" w:space="0"/>
              <w:bottom w:val="single" w:color="000000" w:sz="6" w:space="0"/>
              <w:right w:val="single" w:color="000000" w:sz="6" w:space="0"/>
            </w:tcBorders>
          </w:tcPr>
          <w:p w14:paraId="724CF44B">
            <w:pPr>
              <w:pStyle w:val="62"/>
              <w:spacing w:line="360" w:lineRule="auto"/>
              <w:rPr>
                <w:rFonts w:hAnsi="宋体"/>
                <w:sz w:val="21"/>
                <w:szCs w:val="21"/>
                <w:highlight w:val="none"/>
              </w:rPr>
            </w:pPr>
            <w:r>
              <w:rPr>
                <w:rFonts w:hint="eastAsia" w:hAnsi="宋体"/>
                <w:sz w:val="21"/>
                <w:szCs w:val="21"/>
                <w:highlight w:val="none"/>
              </w:rPr>
              <w:t>支持处于活动状态下的蠕虫扩散、木马通讯、僵尸网络通讯、邮件蠕虫等恶意代码行为的识别及阻断；</w:t>
            </w:r>
          </w:p>
        </w:tc>
      </w:tr>
      <w:tr w14:paraId="5F12FE41">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0C083315">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19A2EDED">
            <w:pPr>
              <w:rPr>
                <w:highlight w:val="none"/>
              </w:rPr>
            </w:pPr>
            <w:r>
              <w:rPr>
                <w:rFonts w:hint="eastAsia"/>
                <w:highlight w:val="none"/>
              </w:rPr>
              <w:t>恶意网络威胁</w:t>
            </w:r>
          </w:p>
        </w:tc>
        <w:tc>
          <w:tcPr>
            <w:tcW w:w="5285" w:type="dxa"/>
            <w:tcBorders>
              <w:top w:val="single" w:color="000000" w:sz="6" w:space="0"/>
              <w:left w:val="single" w:color="000000" w:sz="6" w:space="0"/>
              <w:bottom w:val="single" w:color="000000" w:sz="6" w:space="0"/>
              <w:right w:val="single" w:color="000000" w:sz="6" w:space="0"/>
            </w:tcBorders>
          </w:tcPr>
          <w:p w14:paraId="0A2572CA">
            <w:pPr>
              <w:pStyle w:val="62"/>
              <w:spacing w:line="360" w:lineRule="auto"/>
              <w:rPr>
                <w:rFonts w:hAnsi="宋体"/>
                <w:sz w:val="21"/>
                <w:szCs w:val="21"/>
                <w:highlight w:val="none"/>
              </w:rPr>
            </w:pPr>
            <w:r>
              <w:rPr>
                <w:rFonts w:hint="eastAsia" w:hAnsi="宋体"/>
                <w:sz w:val="21"/>
                <w:szCs w:val="21"/>
                <w:highlight w:val="none"/>
              </w:rPr>
              <w:t>支持针对系统级的漏洞攻击、恶意站点、WEB攻击网络威胁的识别及阻断；</w:t>
            </w:r>
          </w:p>
        </w:tc>
      </w:tr>
      <w:tr w14:paraId="3508EE9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75867C06">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72EDF787">
            <w:pPr>
              <w:rPr>
                <w:highlight w:val="none"/>
              </w:rPr>
            </w:pPr>
            <w:r>
              <w:rPr>
                <w:rFonts w:hint="eastAsia"/>
                <w:highlight w:val="none"/>
              </w:rPr>
              <w:t>口令探测防御</w:t>
            </w:r>
          </w:p>
        </w:tc>
        <w:tc>
          <w:tcPr>
            <w:tcW w:w="5285" w:type="dxa"/>
            <w:tcBorders>
              <w:top w:val="single" w:color="000000" w:sz="6" w:space="0"/>
              <w:left w:val="single" w:color="000000" w:sz="6" w:space="0"/>
              <w:bottom w:val="single" w:color="000000" w:sz="6" w:space="0"/>
              <w:right w:val="single" w:color="000000" w:sz="6" w:space="0"/>
            </w:tcBorders>
          </w:tcPr>
          <w:p w14:paraId="363FC9B7">
            <w:pPr>
              <w:pStyle w:val="62"/>
              <w:spacing w:line="360" w:lineRule="auto"/>
              <w:rPr>
                <w:rFonts w:hAnsi="宋体"/>
                <w:sz w:val="21"/>
                <w:szCs w:val="21"/>
                <w:highlight w:val="none"/>
              </w:rPr>
            </w:pPr>
            <w:r>
              <w:rPr>
                <w:rFonts w:hint="eastAsia" w:hAnsi="宋体"/>
                <w:sz w:val="21"/>
                <w:szCs w:val="21"/>
                <w:highlight w:val="none"/>
              </w:rPr>
              <w:t>支持对具有认证机制的协议探测防御，如SMTP、POP3、IMAP、SMB、HTTP、FTP协议的探测扫描、暴力破解防护；</w:t>
            </w:r>
          </w:p>
        </w:tc>
      </w:tr>
      <w:tr w14:paraId="37528A2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71FD2E73">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660255B0">
            <w:pPr>
              <w:rPr>
                <w:highlight w:val="none"/>
              </w:rPr>
            </w:pPr>
            <w:r>
              <w:rPr>
                <w:rFonts w:hint="eastAsia"/>
                <w:highlight w:val="none"/>
              </w:rPr>
              <w:t>垃圾邮件过滤</w:t>
            </w:r>
          </w:p>
        </w:tc>
        <w:tc>
          <w:tcPr>
            <w:tcW w:w="5285" w:type="dxa"/>
            <w:tcBorders>
              <w:top w:val="single" w:color="000000" w:sz="6" w:space="0"/>
              <w:left w:val="single" w:color="000000" w:sz="6" w:space="0"/>
              <w:bottom w:val="single" w:color="000000" w:sz="6" w:space="0"/>
              <w:right w:val="single" w:color="000000" w:sz="6" w:space="0"/>
            </w:tcBorders>
          </w:tcPr>
          <w:p w14:paraId="23760251">
            <w:pPr>
              <w:pStyle w:val="62"/>
              <w:spacing w:line="360" w:lineRule="auto"/>
              <w:rPr>
                <w:rFonts w:hAnsi="宋体"/>
                <w:sz w:val="21"/>
                <w:szCs w:val="21"/>
                <w:highlight w:val="none"/>
              </w:rPr>
            </w:pPr>
            <w:r>
              <w:rPr>
                <w:rFonts w:hint="eastAsia" w:hAnsi="宋体"/>
                <w:sz w:val="21"/>
                <w:szCs w:val="21"/>
                <w:highlight w:val="none"/>
              </w:rPr>
              <w:t>支持对邮件服务器IP地址、邮件域、邮件地址的黑、白名单设定。以及对邮件主题关键字、附件名称、附件类型的过滤拦截功能。</w:t>
            </w:r>
          </w:p>
        </w:tc>
      </w:tr>
      <w:tr w14:paraId="3DF9A4B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468C243C">
            <w:pPr>
              <w:pStyle w:val="62"/>
              <w:spacing w:line="360" w:lineRule="auto"/>
              <w:rPr>
                <w:rFonts w:hAnsi="宋体"/>
                <w:color w:val="auto"/>
                <w:sz w:val="21"/>
                <w:szCs w:val="21"/>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7A5C229C">
            <w:pPr>
              <w:rPr>
                <w:highlight w:val="none"/>
              </w:rPr>
            </w:pPr>
            <w:r>
              <w:rPr>
                <w:rFonts w:hint="eastAsia"/>
                <w:highlight w:val="none"/>
              </w:rPr>
              <w:t>应用协议监控</w:t>
            </w:r>
          </w:p>
        </w:tc>
        <w:tc>
          <w:tcPr>
            <w:tcW w:w="5285" w:type="dxa"/>
            <w:tcBorders>
              <w:top w:val="single" w:color="000000" w:sz="6" w:space="0"/>
              <w:left w:val="single" w:color="000000" w:sz="6" w:space="0"/>
              <w:bottom w:val="single" w:color="000000" w:sz="6" w:space="0"/>
              <w:right w:val="single" w:color="000000" w:sz="6" w:space="0"/>
            </w:tcBorders>
          </w:tcPr>
          <w:p w14:paraId="100B975E">
            <w:pPr>
              <w:pStyle w:val="62"/>
              <w:spacing w:line="360" w:lineRule="auto"/>
              <w:rPr>
                <w:rFonts w:hAnsi="宋体"/>
                <w:sz w:val="21"/>
                <w:szCs w:val="21"/>
                <w:highlight w:val="none"/>
              </w:rPr>
            </w:pPr>
            <w:r>
              <w:rPr>
                <w:rFonts w:hint="eastAsia" w:hAnsi="宋体"/>
                <w:sz w:val="21"/>
                <w:szCs w:val="21"/>
                <w:highlight w:val="none"/>
              </w:rPr>
              <w:t>支持对RDP协议、Radmin远控工具、Teamviewer工具、SSH、P2P、Tor网络行为的审计与监控；实现远程操控威胁的综合监控；</w:t>
            </w:r>
          </w:p>
        </w:tc>
      </w:tr>
      <w:tr w14:paraId="33561883">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6919CA07">
            <w:pPr>
              <w:pStyle w:val="62"/>
              <w:spacing w:line="360" w:lineRule="auto"/>
              <w:rPr>
                <w:rFonts w:hAnsi="宋体"/>
                <w:color w:val="auto"/>
                <w:sz w:val="21"/>
                <w:szCs w:val="21"/>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56508F15">
            <w:pPr>
              <w:rPr>
                <w:highlight w:val="none"/>
              </w:rPr>
            </w:pPr>
            <w:r>
              <w:rPr>
                <w:rFonts w:hint="eastAsia"/>
                <w:highlight w:val="none"/>
              </w:rPr>
              <w:t>威胁防御策略</w:t>
            </w:r>
          </w:p>
        </w:tc>
        <w:tc>
          <w:tcPr>
            <w:tcW w:w="5285" w:type="dxa"/>
            <w:tcBorders>
              <w:top w:val="single" w:color="000000" w:sz="6" w:space="0"/>
              <w:left w:val="single" w:color="000000" w:sz="6" w:space="0"/>
              <w:bottom w:val="single" w:color="000000" w:sz="6" w:space="0"/>
              <w:right w:val="single" w:color="000000" w:sz="6" w:space="0"/>
            </w:tcBorders>
          </w:tcPr>
          <w:p w14:paraId="76D58BCA">
            <w:pPr>
              <w:pStyle w:val="62"/>
              <w:spacing w:line="360" w:lineRule="auto"/>
              <w:rPr>
                <w:rFonts w:hAnsi="宋体"/>
                <w:sz w:val="21"/>
                <w:szCs w:val="21"/>
                <w:highlight w:val="none"/>
              </w:rPr>
            </w:pPr>
            <w:r>
              <w:rPr>
                <w:rFonts w:hint="eastAsia" w:hAnsi="宋体"/>
                <w:sz w:val="21"/>
                <w:szCs w:val="21"/>
                <w:highlight w:val="none"/>
              </w:rPr>
              <w:t>支持对活动、通讯状态下的网络恶意行为的阻断功能、阻断时长、自动黑名单加入、白名单的参数设定。</w:t>
            </w:r>
          </w:p>
        </w:tc>
      </w:tr>
      <w:tr w14:paraId="5707CEF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top w:val="single" w:color="000000" w:sz="6" w:space="0"/>
              <w:left w:val="single" w:color="000000" w:sz="6" w:space="0"/>
              <w:bottom w:val="nil"/>
              <w:right w:val="nil"/>
            </w:tcBorders>
            <w:vAlign w:val="center"/>
          </w:tcPr>
          <w:p w14:paraId="2739976A">
            <w:pPr>
              <w:pStyle w:val="62"/>
              <w:spacing w:line="360" w:lineRule="auto"/>
              <w:rPr>
                <w:rFonts w:hAnsi="宋体"/>
                <w:color w:val="auto"/>
                <w:sz w:val="21"/>
                <w:szCs w:val="21"/>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2595A5E0">
            <w:pPr>
              <w:rPr>
                <w:highlight w:val="none"/>
              </w:rPr>
            </w:pPr>
            <w:r>
              <w:rPr>
                <w:rFonts w:hint="eastAsia"/>
                <w:highlight w:val="none"/>
              </w:rPr>
              <w:t>威胁保护对象</w:t>
            </w:r>
          </w:p>
        </w:tc>
        <w:tc>
          <w:tcPr>
            <w:tcW w:w="5285" w:type="dxa"/>
            <w:tcBorders>
              <w:top w:val="single" w:color="000000" w:sz="6" w:space="0"/>
              <w:left w:val="single" w:color="000000" w:sz="6" w:space="0"/>
              <w:bottom w:val="single" w:color="000000" w:sz="6" w:space="0"/>
              <w:right w:val="single" w:color="000000" w:sz="6" w:space="0"/>
            </w:tcBorders>
          </w:tcPr>
          <w:p w14:paraId="7871F0D0">
            <w:pPr>
              <w:pStyle w:val="62"/>
              <w:spacing w:line="360" w:lineRule="auto"/>
              <w:rPr>
                <w:rFonts w:hAnsi="宋体"/>
                <w:sz w:val="21"/>
                <w:szCs w:val="21"/>
                <w:highlight w:val="none"/>
              </w:rPr>
            </w:pPr>
            <w:r>
              <w:rPr>
                <w:rFonts w:hint="eastAsia" w:hAnsi="宋体"/>
                <w:sz w:val="21"/>
                <w:szCs w:val="21"/>
                <w:highlight w:val="none"/>
              </w:rPr>
              <w:t>支持在产生网络威胁攻击时，呈现当前正在遭受攻击的服务器地址及受威胁的服务端口。以此提醒管理员当前威胁状态；</w:t>
            </w:r>
          </w:p>
        </w:tc>
      </w:tr>
      <w:tr w14:paraId="130E905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restart"/>
            <w:tcBorders>
              <w:top w:val="single" w:color="000000" w:sz="6" w:space="0"/>
              <w:left w:val="single" w:color="000000" w:sz="6" w:space="0"/>
              <w:right w:val="nil"/>
            </w:tcBorders>
            <w:vAlign w:val="center"/>
          </w:tcPr>
          <w:p w14:paraId="1BF8E2A9">
            <w:pPr>
              <w:rPr>
                <w:highlight w:val="none"/>
              </w:rPr>
            </w:pPr>
            <w:r>
              <w:rPr>
                <w:rFonts w:hint="eastAsia"/>
                <w:highlight w:val="none"/>
              </w:rPr>
              <w:t>病毒库及系统版本</w:t>
            </w:r>
          </w:p>
        </w:tc>
        <w:tc>
          <w:tcPr>
            <w:tcW w:w="1678" w:type="dxa"/>
            <w:tcBorders>
              <w:top w:val="single" w:color="000000" w:sz="6" w:space="0"/>
              <w:left w:val="single" w:color="000000" w:sz="6" w:space="0"/>
              <w:bottom w:val="single" w:color="000000" w:sz="6" w:space="0"/>
              <w:right w:val="single" w:color="000000" w:sz="6" w:space="0"/>
            </w:tcBorders>
            <w:vAlign w:val="center"/>
          </w:tcPr>
          <w:p w14:paraId="57CDFDBA">
            <w:pPr>
              <w:rPr>
                <w:highlight w:val="none"/>
              </w:rPr>
            </w:pPr>
            <w:r>
              <w:rPr>
                <w:rFonts w:hint="eastAsia"/>
                <w:highlight w:val="none"/>
              </w:rPr>
              <w:t>恶意代码库更新</w:t>
            </w:r>
          </w:p>
        </w:tc>
        <w:tc>
          <w:tcPr>
            <w:tcW w:w="5285" w:type="dxa"/>
            <w:tcBorders>
              <w:top w:val="single" w:color="000000" w:sz="6" w:space="0"/>
              <w:left w:val="single" w:color="000000" w:sz="6" w:space="0"/>
              <w:bottom w:val="single" w:color="000000" w:sz="6" w:space="0"/>
              <w:right w:val="single" w:color="000000" w:sz="6" w:space="0"/>
            </w:tcBorders>
            <w:vAlign w:val="center"/>
          </w:tcPr>
          <w:p w14:paraId="2A58567A">
            <w:pPr>
              <w:pStyle w:val="62"/>
              <w:spacing w:line="360" w:lineRule="auto"/>
              <w:rPr>
                <w:rFonts w:hAnsi="宋体"/>
                <w:sz w:val="21"/>
                <w:szCs w:val="21"/>
                <w:highlight w:val="none"/>
              </w:rPr>
            </w:pPr>
            <w:r>
              <w:rPr>
                <w:rFonts w:hint="eastAsia" w:hAnsi="宋体"/>
                <w:sz w:val="21"/>
                <w:szCs w:val="21"/>
                <w:highlight w:val="none"/>
              </w:rPr>
              <w:t>支持在线更新、离线导入、指向升级、定时更新，更新途径必须采用加密协议，确保库更新过程的完整性和安全性；</w:t>
            </w:r>
          </w:p>
        </w:tc>
      </w:tr>
      <w:tr w14:paraId="2F0F5C4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30A6ADD3">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131A092C">
            <w:pPr>
              <w:rPr>
                <w:highlight w:val="none"/>
              </w:rPr>
            </w:pPr>
            <w:r>
              <w:rPr>
                <w:rFonts w:hint="eastAsia"/>
                <w:highlight w:val="none"/>
              </w:rPr>
              <w:t>恶意代码库回滚</w:t>
            </w:r>
          </w:p>
        </w:tc>
        <w:tc>
          <w:tcPr>
            <w:tcW w:w="5285" w:type="dxa"/>
            <w:tcBorders>
              <w:top w:val="single" w:color="000000" w:sz="6" w:space="0"/>
              <w:left w:val="single" w:color="000000" w:sz="6" w:space="0"/>
              <w:bottom w:val="single" w:color="000000" w:sz="6" w:space="0"/>
              <w:right w:val="single" w:color="000000" w:sz="6" w:space="0"/>
            </w:tcBorders>
          </w:tcPr>
          <w:p w14:paraId="270B929F">
            <w:pPr>
              <w:pStyle w:val="62"/>
              <w:spacing w:line="360" w:lineRule="auto"/>
              <w:rPr>
                <w:rFonts w:hAnsi="宋体"/>
                <w:sz w:val="21"/>
                <w:szCs w:val="21"/>
                <w:highlight w:val="none"/>
              </w:rPr>
            </w:pPr>
            <w:r>
              <w:rPr>
                <w:rFonts w:hint="eastAsia" w:hAnsi="宋体"/>
                <w:sz w:val="21"/>
                <w:szCs w:val="21"/>
                <w:highlight w:val="none"/>
              </w:rPr>
              <w:t>支持对恶意代码库的旧版本回滚功能，回滚版本应支持1个版本以上；</w:t>
            </w:r>
          </w:p>
        </w:tc>
      </w:tr>
      <w:tr w14:paraId="43F82BF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3401A667">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75DE6D4F">
            <w:pPr>
              <w:rPr>
                <w:highlight w:val="none"/>
              </w:rPr>
            </w:pPr>
            <w:r>
              <w:rPr>
                <w:rFonts w:hint="eastAsia"/>
                <w:highlight w:val="none"/>
              </w:rPr>
              <w:t>系统版本更新</w:t>
            </w:r>
          </w:p>
        </w:tc>
        <w:tc>
          <w:tcPr>
            <w:tcW w:w="5285" w:type="dxa"/>
            <w:tcBorders>
              <w:top w:val="single" w:color="000000" w:sz="6" w:space="0"/>
              <w:left w:val="single" w:color="000000" w:sz="6" w:space="0"/>
              <w:bottom w:val="single" w:color="000000" w:sz="6" w:space="0"/>
              <w:right w:val="single" w:color="000000" w:sz="6" w:space="0"/>
            </w:tcBorders>
            <w:vAlign w:val="center"/>
          </w:tcPr>
          <w:p w14:paraId="18398903">
            <w:pPr>
              <w:pStyle w:val="62"/>
              <w:spacing w:line="360" w:lineRule="auto"/>
              <w:rPr>
                <w:rFonts w:hAnsi="宋体"/>
                <w:sz w:val="21"/>
                <w:szCs w:val="21"/>
                <w:highlight w:val="none"/>
              </w:rPr>
            </w:pPr>
            <w:r>
              <w:rPr>
                <w:rFonts w:hint="eastAsia" w:hAnsi="宋体"/>
                <w:sz w:val="21"/>
                <w:szCs w:val="21"/>
                <w:highlight w:val="none"/>
              </w:rPr>
              <w:t>支持在线更新、离线导入、指向升级、定时更新，更新途径必须采用加密协议，确保系统更新过程的完整性和安全性；</w:t>
            </w:r>
          </w:p>
        </w:tc>
      </w:tr>
      <w:tr w14:paraId="2BA2E9E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bottom w:val="nil"/>
              <w:right w:val="nil"/>
            </w:tcBorders>
            <w:vAlign w:val="center"/>
          </w:tcPr>
          <w:p w14:paraId="7C336744">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590220CC">
            <w:pPr>
              <w:rPr>
                <w:highlight w:val="none"/>
              </w:rPr>
            </w:pPr>
            <w:r>
              <w:rPr>
                <w:rFonts w:hint="eastAsia"/>
                <w:highlight w:val="none"/>
              </w:rPr>
              <w:t>系统更新提示</w:t>
            </w:r>
          </w:p>
        </w:tc>
        <w:tc>
          <w:tcPr>
            <w:tcW w:w="5285" w:type="dxa"/>
            <w:tcBorders>
              <w:top w:val="single" w:color="000000" w:sz="6" w:space="0"/>
              <w:left w:val="single" w:color="000000" w:sz="6" w:space="0"/>
              <w:bottom w:val="single" w:color="000000" w:sz="6" w:space="0"/>
              <w:right w:val="single" w:color="000000" w:sz="6" w:space="0"/>
            </w:tcBorders>
            <w:vAlign w:val="center"/>
          </w:tcPr>
          <w:p w14:paraId="6B0EF1D2">
            <w:pPr>
              <w:pStyle w:val="62"/>
              <w:spacing w:line="360" w:lineRule="auto"/>
              <w:rPr>
                <w:rFonts w:hAnsi="宋体"/>
                <w:sz w:val="21"/>
                <w:szCs w:val="21"/>
                <w:highlight w:val="none"/>
              </w:rPr>
            </w:pPr>
            <w:r>
              <w:rPr>
                <w:rFonts w:hint="eastAsia" w:hAnsi="宋体"/>
                <w:sz w:val="21"/>
                <w:szCs w:val="21"/>
                <w:highlight w:val="none"/>
              </w:rPr>
              <w:t>支持系统版本更新完毕后系统重启提醒功能。禁止设备自动重启；</w:t>
            </w:r>
          </w:p>
        </w:tc>
      </w:tr>
      <w:tr w14:paraId="2915482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restart"/>
            <w:tcBorders>
              <w:top w:val="single" w:color="000000" w:sz="6" w:space="0"/>
              <w:left w:val="single" w:color="000000" w:sz="6" w:space="0"/>
              <w:right w:val="nil"/>
            </w:tcBorders>
            <w:vAlign w:val="center"/>
          </w:tcPr>
          <w:p w14:paraId="00B23BCE">
            <w:pPr>
              <w:rPr>
                <w:highlight w:val="none"/>
              </w:rPr>
            </w:pPr>
            <w:r>
              <w:rPr>
                <w:rFonts w:hint="eastAsia"/>
                <w:highlight w:val="none"/>
              </w:rPr>
              <w:t>设备管理</w:t>
            </w:r>
          </w:p>
        </w:tc>
        <w:tc>
          <w:tcPr>
            <w:tcW w:w="1678" w:type="dxa"/>
            <w:tcBorders>
              <w:top w:val="single" w:color="000000" w:sz="6" w:space="0"/>
              <w:left w:val="single" w:color="000000" w:sz="6" w:space="0"/>
              <w:bottom w:val="single" w:color="000000" w:sz="6" w:space="0"/>
              <w:right w:val="single" w:color="000000" w:sz="6" w:space="0"/>
            </w:tcBorders>
            <w:vAlign w:val="center"/>
          </w:tcPr>
          <w:p w14:paraId="234D7C09">
            <w:pPr>
              <w:rPr>
                <w:highlight w:val="none"/>
              </w:rPr>
            </w:pPr>
            <w:r>
              <w:rPr>
                <w:rFonts w:hint="eastAsia"/>
                <w:highlight w:val="none"/>
              </w:rPr>
              <w:t>管理方式</w:t>
            </w:r>
          </w:p>
        </w:tc>
        <w:tc>
          <w:tcPr>
            <w:tcW w:w="5285" w:type="dxa"/>
            <w:tcBorders>
              <w:top w:val="single" w:color="000000" w:sz="6" w:space="0"/>
              <w:left w:val="single" w:color="000000" w:sz="6" w:space="0"/>
              <w:bottom w:val="single" w:color="000000" w:sz="6" w:space="0"/>
              <w:right w:val="single" w:color="000000" w:sz="6" w:space="0"/>
            </w:tcBorders>
          </w:tcPr>
          <w:p w14:paraId="730ADEE0">
            <w:pPr>
              <w:pStyle w:val="62"/>
              <w:spacing w:line="360" w:lineRule="auto"/>
              <w:rPr>
                <w:rFonts w:hAnsi="宋体"/>
                <w:sz w:val="21"/>
                <w:szCs w:val="21"/>
                <w:highlight w:val="none"/>
              </w:rPr>
            </w:pPr>
            <w:r>
              <w:rPr>
                <w:rFonts w:hint="eastAsia" w:hAnsi="宋体"/>
                <w:sz w:val="21"/>
                <w:szCs w:val="21"/>
                <w:highlight w:val="none"/>
              </w:rPr>
              <w:t>支持HTTPS、SSH、Console登录管理，支持CLI下的SHELL操作；</w:t>
            </w:r>
          </w:p>
        </w:tc>
      </w:tr>
      <w:tr w14:paraId="2094036B">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4C79CBEE">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4E30FF2F">
            <w:pPr>
              <w:rPr>
                <w:highlight w:val="none"/>
              </w:rPr>
            </w:pPr>
            <w:r>
              <w:rPr>
                <w:rFonts w:hint="eastAsia"/>
                <w:highlight w:val="none"/>
              </w:rPr>
              <w:t>网络诊断</w:t>
            </w:r>
          </w:p>
        </w:tc>
        <w:tc>
          <w:tcPr>
            <w:tcW w:w="5285" w:type="dxa"/>
            <w:tcBorders>
              <w:top w:val="single" w:color="000000" w:sz="6" w:space="0"/>
              <w:left w:val="single" w:color="000000" w:sz="6" w:space="0"/>
              <w:bottom w:val="single" w:color="000000" w:sz="6" w:space="0"/>
              <w:right w:val="single" w:color="000000" w:sz="6" w:space="0"/>
            </w:tcBorders>
            <w:vAlign w:val="center"/>
          </w:tcPr>
          <w:p w14:paraId="2C6A3BFA">
            <w:pPr>
              <w:pStyle w:val="62"/>
              <w:spacing w:line="360" w:lineRule="auto"/>
              <w:rPr>
                <w:rFonts w:hAnsi="宋体"/>
                <w:sz w:val="21"/>
                <w:szCs w:val="21"/>
                <w:highlight w:val="none"/>
              </w:rPr>
            </w:pPr>
            <w:r>
              <w:rPr>
                <w:rFonts w:hint="eastAsia" w:hAnsi="宋体"/>
                <w:sz w:val="21"/>
                <w:szCs w:val="21"/>
                <w:highlight w:val="none"/>
              </w:rPr>
              <w:t>支持PING、Traceroute、DNS、TCP连接基础网络测试功能；</w:t>
            </w:r>
          </w:p>
        </w:tc>
      </w:tr>
      <w:tr w14:paraId="36ACAB51">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28807B01">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560B715B">
            <w:pPr>
              <w:rPr>
                <w:highlight w:val="none"/>
              </w:rPr>
            </w:pPr>
            <w:r>
              <w:rPr>
                <w:rFonts w:hint="eastAsia"/>
                <w:highlight w:val="none"/>
              </w:rPr>
              <w:t>温度告警</w:t>
            </w:r>
          </w:p>
        </w:tc>
        <w:tc>
          <w:tcPr>
            <w:tcW w:w="5285" w:type="dxa"/>
            <w:tcBorders>
              <w:top w:val="single" w:color="000000" w:sz="6" w:space="0"/>
              <w:left w:val="single" w:color="000000" w:sz="6" w:space="0"/>
              <w:bottom w:val="single" w:color="000000" w:sz="6" w:space="0"/>
              <w:right w:val="single" w:color="000000" w:sz="6" w:space="0"/>
            </w:tcBorders>
          </w:tcPr>
          <w:p w14:paraId="0829DA2C">
            <w:pPr>
              <w:pStyle w:val="62"/>
              <w:spacing w:line="360" w:lineRule="auto"/>
              <w:rPr>
                <w:rFonts w:hAnsi="宋体"/>
                <w:sz w:val="21"/>
                <w:szCs w:val="21"/>
                <w:highlight w:val="none"/>
              </w:rPr>
            </w:pPr>
            <w:r>
              <w:rPr>
                <w:rFonts w:hint="eastAsia" w:hAnsi="宋体"/>
                <w:sz w:val="21"/>
                <w:szCs w:val="21"/>
                <w:highlight w:val="none"/>
              </w:rPr>
              <w:t>支持对CPU温度的告警阀值设定及界面告警；</w:t>
            </w:r>
          </w:p>
        </w:tc>
      </w:tr>
      <w:tr w14:paraId="415339F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064D00DF">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513A35E0">
            <w:pPr>
              <w:rPr>
                <w:highlight w:val="none"/>
              </w:rPr>
            </w:pPr>
            <w:r>
              <w:rPr>
                <w:rFonts w:hint="eastAsia"/>
                <w:highlight w:val="none"/>
              </w:rPr>
              <w:t>配置向导</w:t>
            </w:r>
          </w:p>
        </w:tc>
        <w:tc>
          <w:tcPr>
            <w:tcW w:w="5285" w:type="dxa"/>
            <w:tcBorders>
              <w:top w:val="single" w:color="000000" w:sz="6" w:space="0"/>
              <w:left w:val="single" w:color="000000" w:sz="6" w:space="0"/>
              <w:bottom w:val="single" w:color="000000" w:sz="6" w:space="0"/>
              <w:right w:val="single" w:color="000000" w:sz="6" w:space="0"/>
            </w:tcBorders>
            <w:vAlign w:val="center"/>
          </w:tcPr>
          <w:p w14:paraId="524A9993">
            <w:pPr>
              <w:pStyle w:val="62"/>
              <w:spacing w:line="360" w:lineRule="auto"/>
              <w:rPr>
                <w:rFonts w:hAnsi="宋体"/>
                <w:sz w:val="21"/>
                <w:szCs w:val="21"/>
                <w:highlight w:val="none"/>
              </w:rPr>
            </w:pPr>
            <w:r>
              <w:rPr>
                <w:rFonts w:hint="eastAsia" w:hAnsi="宋体"/>
                <w:sz w:val="21"/>
                <w:szCs w:val="21"/>
                <w:highlight w:val="none"/>
              </w:rPr>
              <w:t>支持设备配置的引导式协助功能，实现产品的快速配置；</w:t>
            </w:r>
          </w:p>
        </w:tc>
      </w:tr>
      <w:tr w14:paraId="5576A1B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0DAFF628">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5B37ACF1">
            <w:pPr>
              <w:rPr>
                <w:highlight w:val="none"/>
              </w:rPr>
            </w:pPr>
            <w:r>
              <w:rPr>
                <w:rFonts w:hint="eastAsia"/>
                <w:highlight w:val="none"/>
              </w:rPr>
              <w:t>管理协议</w:t>
            </w:r>
          </w:p>
        </w:tc>
        <w:tc>
          <w:tcPr>
            <w:tcW w:w="5285" w:type="dxa"/>
            <w:tcBorders>
              <w:top w:val="single" w:color="000000" w:sz="6" w:space="0"/>
              <w:left w:val="single" w:color="000000" w:sz="6" w:space="0"/>
              <w:bottom w:val="single" w:color="000000" w:sz="6" w:space="0"/>
              <w:right w:val="single" w:color="000000" w:sz="6" w:space="0"/>
            </w:tcBorders>
            <w:vAlign w:val="center"/>
          </w:tcPr>
          <w:p w14:paraId="67E0AD9B">
            <w:pPr>
              <w:pStyle w:val="62"/>
              <w:spacing w:line="360" w:lineRule="auto"/>
              <w:rPr>
                <w:rFonts w:hAnsi="宋体"/>
                <w:sz w:val="21"/>
                <w:szCs w:val="21"/>
                <w:highlight w:val="none"/>
              </w:rPr>
            </w:pPr>
            <w:r>
              <w:rPr>
                <w:rFonts w:hint="eastAsia" w:hAnsi="宋体"/>
                <w:sz w:val="21"/>
                <w:szCs w:val="21"/>
                <w:highlight w:val="none"/>
              </w:rPr>
              <w:t>支持SNMP、SYSLOG、NTP、Radius协议；</w:t>
            </w:r>
          </w:p>
        </w:tc>
      </w:tr>
      <w:tr w14:paraId="251FEF2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7E3B4232">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03A1B2A9">
            <w:pPr>
              <w:rPr>
                <w:highlight w:val="none"/>
              </w:rPr>
            </w:pPr>
            <w:r>
              <w:rPr>
                <w:rFonts w:hint="eastAsia"/>
                <w:highlight w:val="none"/>
              </w:rPr>
              <w:t>日志转发</w:t>
            </w:r>
          </w:p>
        </w:tc>
        <w:tc>
          <w:tcPr>
            <w:tcW w:w="5285" w:type="dxa"/>
            <w:tcBorders>
              <w:top w:val="single" w:color="000000" w:sz="6" w:space="0"/>
              <w:left w:val="single" w:color="000000" w:sz="6" w:space="0"/>
              <w:bottom w:val="single" w:color="000000" w:sz="6" w:space="0"/>
              <w:right w:val="single" w:color="000000" w:sz="6" w:space="0"/>
            </w:tcBorders>
          </w:tcPr>
          <w:p w14:paraId="34146FA4">
            <w:pPr>
              <w:pStyle w:val="62"/>
              <w:spacing w:line="360" w:lineRule="auto"/>
              <w:rPr>
                <w:rFonts w:hAnsi="宋体"/>
                <w:sz w:val="21"/>
                <w:szCs w:val="21"/>
                <w:highlight w:val="none"/>
              </w:rPr>
            </w:pPr>
            <w:r>
              <w:rPr>
                <w:rFonts w:hint="eastAsia" w:hAnsi="宋体"/>
                <w:sz w:val="21"/>
                <w:szCs w:val="21"/>
                <w:highlight w:val="none"/>
              </w:rPr>
              <w:t>支持Syslog日志外发，外发节点不少于3个；</w:t>
            </w:r>
          </w:p>
        </w:tc>
      </w:tr>
      <w:tr w14:paraId="02018DE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75AA55EA">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4F232E8F">
            <w:pPr>
              <w:rPr>
                <w:highlight w:val="none"/>
              </w:rPr>
            </w:pPr>
            <w:r>
              <w:rPr>
                <w:rFonts w:hint="eastAsia"/>
                <w:highlight w:val="none"/>
              </w:rPr>
              <w:t>操作记录审计</w:t>
            </w:r>
          </w:p>
        </w:tc>
        <w:tc>
          <w:tcPr>
            <w:tcW w:w="5285" w:type="dxa"/>
            <w:tcBorders>
              <w:top w:val="single" w:color="000000" w:sz="6" w:space="0"/>
              <w:left w:val="single" w:color="000000" w:sz="6" w:space="0"/>
              <w:bottom w:val="single" w:color="000000" w:sz="6" w:space="0"/>
              <w:right w:val="single" w:color="000000" w:sz="6" w:space="0"/>
            </w:tcBorders>
            <w:vAlign w:val="center"/>
          </w:tcPr>
          <w:p w14:paraId="3ECB5DBE">
            <w:pPr>
              <w:pStyle w:val="62"/>
              <w:spacing w:line="360" w:lineRule="auto"/>
              <w:rPr>
                <w:rFonts w:hAnsi="宋体"/>
                <w:sz w:val="21"/>
                <w:szCs w:val="21"/>
                <w:highlight w:val="none"/>
              </w:rPr>
            </w:pPr>
            <w:r>
              <w:rPr>
                <w:rFonts w:hint="eastAsia" w:hAnsi="宋体"/>
                <w:sz w:val="21"/>
                <w:szCs w:val="21"/>
                <w:highlight w:val="none"/>
              </w:rPr>
              <w:t>支持对设备操作记录的审计、新旧操作对比功能。支持在线用户审计；</w:t>
            </w:r>
          </w:p>
        </w:tc>
      </w:tr>
      <w:tr w14:paraId="6AAAF71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6A7978B2">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584C6F26">
            <w:pPr>
              <w:rPr>
                <w:highlight w:val="none"/>
              </w:rPr>
            </w:pPr>
            <w:r>
              <w:rPr>
                <w:rFonts w:hint="eastAsia"/>
                <w:highlight w:val="none"/>
              </w:rPr>
              <w:t>地址对象定义</w:t>
            </w:r>
          </w:p>
        </w:tc>
        <w:tc>
          <w:tcPr>
            <w:tcW w:w="5285" w:type="dxa"/>
            <w:tcBorders>
              <w:top w:val="single" w:color="000000" w:sz="6" w:space="0"/>
              <w:left w:val="single" w:color="000000" w:sz="6" w:space="0"/>
              <w:bottom w:val="single" w:color="000000" w:sz="6" w:space="0"/>
              <w:right w:val="single" w:color="000000" w:sz="6" w:space="0"/>
            </w:tcBorders>
            <w:vAlign w:val="center"/>
          </w:tcPr>
          <w:p w14:paraId="04302691">
            <w:pPr>
              <w:pStyle w:val="62"/>
              <w:spacing w:line="360" w:lineRule="auto"/>
              <w:rPr>
                <w:rFonts w:hAnsi="宋体"/>
                <w:sz w:val="21"/>
                <w:szCs w:val="21"/>
                <w:highlight w:val="none"/>
              </w:rPr>
            </w:pPr>
            <w:r>
              <w:rPr>
                <w:rFonts w:hint="eastAsia" w:hAnsi="宋体"/>
                <w:sz w:val="21"/>
                <w:szCs w:val="21"/>
                <w:highlight w:val="none"/>
              </w:rPr>
              <w:t>支持对IP地址、IP网段、IP范围的对象设定；</w:t>
            </w:r>
          </w:p>
        </w:tc>
      </w:tr>
      <w:tr w14:paraId="7E15B1D0">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bottom w:val="nil"/>
              <w:right w:val="nil"/>
            </w:tcBorders>
            <w:vAlign w:val="center"/>
          </w:tcPr>
          <w:p w14:paraId="1031396D">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56450E35">
            <w:pPr>
              <w:rPr>
                <w:highlight w:val="none"/>
              </w:rPr>
            </w:pPr>
            <w:r>
              <w:rPr>
                <w:rFonts w:hint="eastAsia"/>
                <w:highlight w:val="none"/>
              </w:rPr>
              <w:t>系统访问</w:t>
            </w:r>
          </w:p>
        </w:tc>
        <w:tc>
          <w:tcPr>
            <w:tcW w:w="5285" w:type="dxa"/>
            <w:tcBorders>
              <w:top w:val="single" w:color="000000" w:sz="6" w:space="0"/>
              <w:left w:val="single" w:color="000000" w:sz="6" w:space="0"/>
              <w:bottom w:val="single" w:color="000000" w:sz="6" w:space="0"/>
              <w:right w:val="single" w:color="000000" w:sz="6" w:space="0"/>
            </w:tcBorders>
          </w:tcPr>
          <w:p w14:paraId="6DB1D4FA">
            <w:pPr>
              <w:pStyle w:val="62"/>
              <w:spacing w:line="360" w:lineRule="auto"/>
              <w:rPr>
                <w:rFonts w:hAnsi="宋体"/>
                <w:sz w:val="21"/>
                <w:szCs w:val="21"/>
                <w:highlight w:val="none"/>
              </w:rPr>
            </w:pPr>
            <w:r>
              <w:rPr>
                <w:rFonts w:hint="eastAsia" w:hAnsi="宋体"/>
                <w:sz w:val="21"/>
                <w:szCs w:val="21"/>
                <w:highlight w:val="none"/>
              </w:rPr>
              <w:t>支持对设备本机的细颗粒度访问控制。如五元组访问设定；</w:t>
            </w:r>
          </w:p>
        </w:tc>
      </w:tr>
      <w:tr w14:paraId="66094AB4">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restart"/>
            <w:tcBorders>
              <w:top w:val="single" w:color="000000" w:sz="6" w:space="0"/>
              <w:left w:val="single" w:color="000000" w:sz="6" w:space="0"/>
              <w:right w:val="nil"/>
            </w:tcBorders>
            <w:vAlign w:val="center"/>
          </w:tcPr>
          <w:p w14:paraId="1C343D5B">
            <w:pPr>
              <w:rPr>
                <w:highlight w:val="none"/>
              </w:rPr>
            </w:pPr>
            <w:r>
              <w:rPr>
                <w:rFonts w:hint="eastAsia"/>
                <w:highlight w:val="none"/>
              </w:rPr>
              <w:t>账号管理</w:t>
            </w:r>
          </w:p>
        </w:tc>
        <w:tc>
          <w:tcPr>
            <w:tcW w:w="1678" w:type="dxa"/>
            <w:tcBorders>
              <w:top w:val="single" w:color="000000" w:sz="6" w:space="0"/>
              <w:left w:val="single" w:color="000000" w:sz="6" w:space="0"/>
              <w:bottom w:val="single" w:color="000000" w:sz="6" w:space="0"/>
              <w:right w:val="single" w:color="000000" w:sz="6" w:space="0"/>
            </w:tcBorders>
            <w:vAlign w:val="center"/>
          </w:tcPr>
          <w:p w14:paraId="28A16B93">
            <w:pPr>
              <w:rPr>
                <w:highlight w:val="none"/>
              </w:rPr>
            </w:pPr>
            <w:r>
              <w:rPr>
                <w:rFonts w:hint="eastAsia"/>
                <w:highlight w:val="none"/>
              </w:rPr>
              <w:t>账户设定</w:t>
            </w:r>
          </w:p>
        </w:tc>
        <w:tc>
          <w:tcPr>
            <w:tcW w:w="5285" w:type="dxa"/>
            <w:tcBorders>
              <w:top w:val="single" w:color="000000" w:sz="6" w:space="0"/>
              <w:left w:val="single" w:color="000000" w:sz="6" w:space="0"/>
              <w:bottom w:val="single" w:color="000000" w:sz="6" w:space="0"/>
              <w:right w:val="single" w:color="000000" w:sz="6" w:space="0"/>
            </w:tcBorders>
            <w:vAlign w:val="center"/>
          </w:tcPr>
          <w:p w14:paraId="2719D1A0">
            <w:pPr>
              <w:pStyle w:val="62"/>
              <w:spacing w:line="360" w:lineRule="auto"/>
              <w:rPr>
                <w:rFonts w:hAnsi="宋体"/>
                <w:sz w:val="21"/>
                <w:szCs w:val="21"/>
                <w:highlight w:val="none"/>
              </w:rPr>
            </w:pPr>
            <w:r>
              <w:rPr>
                <w:rFonts w:hint="eastAsia" w:hAnsi="宋体"/>
                <w:sz w:val="21"/>
                <w:szCs w:val="21"/>
                <w:highlight w:val="none"/>
              </w:rPr>
              <w:t>支持账户的权限分离、本地账户操作、Radius账户同步下发、安全性检查操作等功能；</w:t>
            </w:r>
          </w:p>
        </w:tc>
      </w:tr>
      <w:tr w14:paraId="061408F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bottom w:val="nil"/>
              <w:right w:val="nil"/>
            </w:tcBorders>
            <w:vAlign w:val="center"/>
          </w:tcPr>
          <w:p w14:paraId="23964EF6">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79080E32">
            <w:pPr>
              <w:rPr>
                <w:highlight w:val="none"/>
              </w:rPr>
            </w:pPr>
            <w:r>
              <w:rPr>
                <w:rFonts w:hint="eastAsia"/>
                <w:highlight w:val="none"/>
              </w:rPr>
              <w:t>管理访问</w:t>
            </w:r>
          </w:p>
        </w:tc>
        <w:tc>
          <w:tcPr>
            <w:tcW w:w="5285" w:type="dxa"/>
            <w:tcBorders>
              <w:top w:val="single" w:color="000000" w:sz="6" w:space="0"/>
              <w:left w:val="single" w:color="000000" w:sz="6" w:space="0"/>
              <w:bottom w:val="single" w:color="000000" w:sz="6" w:space="0"/>
              <w:right w:val="single" w:color="000000" w:sz="6" w:space="0"/>
            </w:tcBorders>
          </w:tcPr>
          <w:p w14:paraId="2531CB99">
            <w:pPr>
              <w:pStyle w:val="62"/>
              <w:spacing w:line="360" w:lineRule="auto"/>
              <w:rPr>
                <w:rFonts w:hAnsi="宋体"/>
                <w:sz w:val="21"/>
                <w:szCs w:val="21"/>
                <w:highlight w:val="none"/>
              </w:rPr>
            </w:pPr>
            <w:r>
              <w:rPr>
                <w:rFonts w:hint="eastAsia" w:hAnsi="宋体"/>
                <w:sz w:val="21"/>
                <w:szCs w:val="21"/>
                <w:highlight w:val="none"/>
              </w:rPr>
              <w:t>支持对可信主机的设定，如IP限制、端口服务限制操作；</w:t>
            </w:r>
          </w:p>
        </w:tc>
      </w:tr>
      <w:tr w14:paraId="4CD6DCC5">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restart"/>
            <w:tcBorders>
              <w:top w:val="single" w:color="000000" w:sz="6" w:space="0"/>
              <w:left w:val="single" w:color="000000" w:sz="6" w:space="0"/>
              <w:right w:val="nil"/>
            </w:tcBorders>
            <w:vAlign w:val="center"/>
          </w:tcPr>
          <w:p w14:paraId="13CCAC42">
            <w:pPr>
              <w:rPr>
                <w:highlight w:val="none"/>
              </w:rPr>
            </w:pPr>
            <w:r>
              <w:rPr>
                <w:rFonts w:hint="eastAsia"/>
                <w:highlight w:val="none"/>
              </w:rPr>
              <w:t>数据分析</w:t>
            </w:r>
          </w:p>
        </w:tc>
        <w:tc>
          <w:tcPr>
            <w:tcW w:w="1678" w:type="dxa"/>
            <w:vMerge w:val="restart"/>
            <w:tcBorders>
              <w:top w:val="single" w:color="000000" w:sz="6" w:space="0"/>
              <w:left w:val="single" w:color="000000" w:sz="6" w:space="0"/>
              <w:right w:val="single" w:color="000000" w:sz="6" w:space="0"/>
            </w:tcBorders>
            <w:vAlign w:val="center"/>
          </w:tcPr>
          <w:p w14:paraId="695CB35D">
            <w:pPr>
              <w:rPr>
                <w:highlight w:val="none"/>
              </w:rPr>
            </w:pPr>
            <w:r>
              <w:rPr>
                <w:rFonts w:hint="eastAsia"/>
                <w:highlight w:val="none"/>
              </w:rPr>
              <w:t>风险分析</w:t>
            </w:r>
          </w:p>
        </w:tc>
        <w:tc>
          <w:tcPr>
            <w:tcW w:w="5285" w:type="dxa"/>
            <w:tcBorders>
              <w:top w:val="single" w:color="000000" w:sz="6" w:space="0"/>
              <w:left w:val="single" w:color="000000" w:sz="6" w:space="0"/>
              <w:bottom w:val="single" w:color="000000" w:sz="6" w:space="0"/>
              <w:right w:val="single" w:color="000000" w:sz="6" w:space="0"/>
            </w:tcBorders>
          </w:tcPr>
          <w:p w14:paraId="2B72FF40">
            <w:pPr>
              <w:pStyle w:val="62"/>
              <w:spacing w:line="360" w:lineRule="auto"/>
              <w:rPr>
                <w:rFonts w:hAnsi="宋体"/>
                <w:sz w:val="21"/>
                <w:szCs w:val="21"/>
                <w:highlight w:val="none"/>
              </w:rPr>
            </w:pPr>
            <w:r>
              <w:rPr>
                <w:rFonts w:hint="eastAsia" w:hAnsi="宋体"/>
                <w:sz w:val="21"/>
                <w:szCs w:val="21"/>
                <w:highlight w:val="none"/>
              </w:rPr>
              <w:t>支持对现有数据的风险分析功能，应区别于以TOP排名为主的安全报告。风险分析，重点体现已产生的威胁和潜在的安全风险。应实现对病毒、暴力破解类型的深度分析，和风险分析参数的灵活设定。</w:t>
            </w:r>
          </w:p>
        </w:tc>
      </w:tr>
      <w:tr w14:paraId="012C5E1E">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0FDAD4F9">
            <w:pPr>
              <w:rPr>
                <w:highlight w:val="none"/>
              </w:rPr>
            </w:pPr>
          </w:p>
        </w:tc>
        <w:tc>
          <w:tcPr>
            <w:tcW w:w="1678" w:type="dxa"/>
            <w:vMerge w:val="continue"/>
            <w:tcBorders>
              <w:left w:val="single" w:color="000000" w:sz="6" w:space="0"/>
              <w:bottom w:val="single" w:color="000000" w:sz="6" w:space="0"/>
              <w:right w:val="single" w:color="000000" w:sz="6" w:space="0"/>
            </w:tcBorders>
            <w:vAlign w:val="center"/>
          </w:tcPr>
          <w:p w14:paraId="60697B68">
            <w:pPr>
              <w:rPr>
                <w:highlight w:val="none"/>
              </w:rPr>
            </w:pPr>
          </w:p>
        </w:tc>
        <w:tc>
          <w:tcPr>
            <w:tcW w:w="5285" w:type="dxa"/>
            <w:tcBorders>
              <w:top w:val="single" w:color="000000" w:sz="6" w:space="0"/>
              <w:left w:val="single" w:color="000000" w:sz="6" w:space="0"/>
              <w:bottom w:val="single" w:color="000000" w:sz="6" w:space="0"/>
              <w:right w:val="single" w:color="000000" w:sz="6" w:space="0"/>
            </w:tcBorders>
            <w:vAlign w:val="center"/>
          </w:tcPr>
          <w:p w14:paraId="5C7DCD03">
            <w:pPr>
              <w:pStyle w:val="62"/>
              <w:spacing w:line="360" w:lineRule="auto"/>
              <w:rPr>
                <w:rFonts w:hAnsi="宋体"/>
                <w:sz w:val="21"/>
                <w:szCs w:val="21"/>
                <w:highlight w:val="none"/>
              </w:rPr>
            </w:pPr>
            <w:r>
              <w:rPr>
                <w:rFonts w:hint="eastAsia" w:hAnsi="宋体"/>
                <w:sz w:val="21"/>
                <w:szCs w:val="21"/>
                <w:highlight w:val="none"/>
              </w:rPr>
              <w:t>风险分析报告，应支持在线自动生成、手动生成、邮件定时发送功能，便于安全管理员及时获取相关风险提示。</w:t>
            </w:r>
          </w:p>
        </w:tc>
      </w:tr>
      <w:tr w14:paraId="797F2990">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87" w:hRule="atLeast"/>
        </w:trPr>
        <w:tc>
          <w:tcPr>
            <w:tcW w:w="1347" w:type="dxa"/>
            <w:vMerge w:val="continue"/>
            <w:tcBorders>
              <w:left w:val="single" w:color="000000" w:sz="6" w:space="0"/>
              <w:bottom w:val="nil"/>
              <w:right w:val="nil"/>
            </w:tcBorders>
            <w:vAlign w:val="center"/>
          </w:tcPr>
          <w:p w14:paraId="61D87CA9">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6E90F940">
            <w:pPr>
              <w:rPr>
                <w:highlight w:val="none"/>
              </w:rPr>
            </w:pPr>
            <w:r>
              <w:rPr>
                <w:rFonts w:hint="eastAsia"/>
                <w:highlight w:val="none"/>
              </w:rPr>
              <w:t>安全报告</w:t>
            </w:r>
          </w:p>
        </w:tc>
        <w:tc>
          <w:tcPr>
            <w:tcW w:w="5285" w:type="dxa"/>
            <w:tcBorders>
              <w:top w:val="single" w:color="000000" w:sz="6" w:space="0"/>
              <w:left w:val="single" w:color="000000" w:sz="6" w:space="0"/>
              <w:bottom w:val="single" w:color="000000" w:sz="6" w:space="0"/>
              <w:right w:val="single" w:color="000000" w:sz="6" w:space="0"/>
            </w:tcBorders>
          </w:tcPr>
          <w:p w14:paraId="5EE95CA9">
            <w:pPr>
              <w:pStyle w:val="62"/>
              <w:spacing w:line="360" w:lineRule="auto"/>
              <w:rPr>
                <w:rFonts w:hAnsi="宋体"/>
                <w:sz w:val="21"/>
                <w:szCs w:val="21"/>
                <w:highlight w:val="none"/>
              </w:rPr>
            </w:pPr>
            <w:r>
              <w:rPr>
                <w:rFonts w:hint="eastAsia" w:hAnsi="宋体"/>
                <w:sz w:val="21"/>
                <w:szCs w:val="21"/>
                <w:highlight w:val="none"/>
              </w:rPr>
              <w:t>支持对数据的安全报告生成，可定时生成，手动生成，定制化操</w:t>
            </w:r>
            <w:r>
              <w:rPr>
                <w:rFonts w:hint="eastAsia" w:hAnsi="宋体"/>
                <w:color w:val="auto"/>
                <w:sz w:val="21"/>
                <w:szCs w:val="21"/>
                <w:highlight w:val="none"/>
              </w:rPr>
              <w:t>作，导出格式至少支持PDF、DOC；</w:t>
            </w:r>
          </w:p>
        </w:tc>
      </w:tr>
      <w:tr w14:paraId="02CEC3B3">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1AE7DC89">
            <w:pPr>
              <w:rPr>
                <w:highlight w:val="none"/>
              </w:rPr>
            </w:pPr>
          </w:p>
        </w:tc>
        <w:tc>
          <w:tcPr>
            <w:tcW w:w="1678" w:type="dxa"/>
            <w:tcBorders>
              <w:top w:val="single" w:color="000000" w:sz="6" w:space="0"/>
              <w:left w:val="single" w:color="000000" w:sz="6" w:space="0"/>
              <w:bottom w:val="single" w:color="000000" w:sz="6" w:space="0"/>
              <w:right w:val="single" w:color="000000" w:sz="6" w:space="0"/>
            </w:tcBorders>
            <w:vAlign w:val="center"/>
          </w:tcPr>
          <w:p w14:paraId="23C2AC0F">
            <w:pPr>
              <w:rPr>
                <w:highlight w:val="none"/>
              </w:rPr>
            </w:pPr>
            <w:r>
              <w:rPr>
                <w:rFonts w:hint="eastAsia"/>
                <w:highlight w:val="none"/>
              </w:rPr>
              <w:t>数据审计</w:t>
            </w:r>
          </w:p>
        </w:tc>
        <w:tc>
          <w:tcPr>
            <w:tcW w:w="5285" w:type="dxa"/>
            <w:tcBorders>
              <w:top w:val="single" w:color="000000" w:sz="6" w:space="0"/>
              <w:left w:val="single" w:color="000000" w:sz="6" w:space="0"/>
              <w:bottom w:val="single" w:color="000000" w:sz="6" w:space="0"/>
              <w:right w:val="single" w:color="000000" w:sz="6" w:space="0"/>
            </w:tcBorders>
          </w:tcPr>
          <w:p w14:paraId="26D10BBD">
            <w:pPr>
              <w:pStyle w:val="62"/>
              <w:spacing w:line="360" w:lineRule="auto"/>
              <w:rPr>
                <w:rFonts w:hAnsi="宋体"/>
                <w:sz w:val="21"/>
                <w:szCs w:val="21"/>
                <w:highlight w:val="none"/>
              </w:rPr>
            </w:pPr>
            <w:r>
              <w:rPr>
                <w:rFonts w:hint="eastAsia" w:hAnsi="宋体"/>
                <w:color w:val="auto"/>
                <w:sz w:val="21"/>
                <w:szCs w:val="21"/>
                <w:highlight w:val="none"/>
              </w:rPr>
              <w:t>支持对通过http、ftp、smtp、pop3、imap、smb进行的上传、下载行为的数据审计，数据内容应显示文件的格式和文件名称。</w:t>
            </w:r>
          </w:p>
        </w:tc>
      </w:tr>
      <w:tr w14:paraId="6AE2997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3AB44AF5">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7E0431CC">
            <w:pPr>
              <w:rPr>
                <w:highlight w:val="none"/>
              </w:rPr>
            </w:pPr>
          </w:p>
          <w:p w14:paraId="5CED7B5F">
            <w:pPr>
              <w:rPr>
                <w:highlight w:val="none"/>
              </w:rPr>
            </w:pPr>
            <w:r>
              <w:rPr>
                <w:rFonts w:hint="eastAsia"/>
                <w:highlight w:val="none"/>
              </w:rPr>
              <w:t>类型查询</w:t>
            </w:r>
          </w:p>
        </w:tc>
        <w:tc>
          <w:tcPr>
            <w:tcW w:w="5285" w:type="dxa"/>
            <w:tcBorders>
              <w:top w:val="single" w:color="000000" w:sz="6" w:space="0"/>
              <w:left w:val="single" w:color="000000" w:sz="6" w:space="0"/>
              <w:bottom w:val="single" w:color="000000" w:sz="6" w:space="0"/>
              <w:right w:val="single" w:color="000000" w:sz="6" w:space="0"/>
            </w:tcBorders>
          </w:tcPr>
          <w:p w14:paraId="2582B3F7">
            <w:pPr>
              <w:pStyle w:val="62"/>
              <w:spacing w:line="360" w:lineRule="auto"/>
              <w:rPr>
                <w:rFonts w:hAnsi="宋体"/>
                <w:sz w:val="21"/>
                <w:szCs w:val="21"/>
                <w:highlight w:val="none"/>
              </w:rPr>
            </w:pPr>
            <w:r>
              <w:rPr>
                <w:rFonts w:hint="eastAsia" w:hAnsi="宋体"/>
                <w:color w:val="auto"/>
                <w:sz w:val="21"/>
                <w:szCs w:val="21"/>
                <w:highlight w:val="none"/>
              </w:rPr>
              <w:t>支持对病毒、木马、蠕虫、恶意代码、安全漏洞、口令探测、WEB攻击、垃圾邮件、内容过滤的综合条件查询。实现对恶意代码各层威胁数据的综合分析。</w:t>
            </w:r>
          </w:p>
        </w:tc>
      </w:tr>
      <w:tr w14:paraId="211E949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6E6CE698">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44ED1B89">
            <w:pPr>
              <w:rPr>
                <w:highlight w:val="none"/>
              </w:rPr>
            </w:pPr>
            <w:r>
              <w:rPr>
                <w:rFonts w:hint="eastAsia"/>
                <w:highlight w:val="none"/>
              </w:rPr>
              <w:t>日志分析展示</w:t>
            </w:r>
          </w:p>
        </w:tc>
        <w:tc>
          <w:tcPr>
            <w:tcW w:w="5285" w:type="dxa"/>
            <w:tcBorders>
              <w:top w:val="single" w:color="000000" w:sz="6" w:space="0"/>
              <w:left w:val="single" w:color="000000" w:sz="6" w:space="0"/>
              <w:bottom w:val="single" w:color="000000" w:sz="6" w:space="0"/>
              <w:right w:val="single" w:color="000000" w:sz="6" w:space="0"/>
            </w:tcBorders>
          </w:tcPr>
          <w:p w14:paraId="66B1AEEA">
            <w:pPr>
              <w:pStyle w:val="62"/>
              <w:spacing w:line="360" w:lineRule="auto"/>
              <w:rPr>
                <w:rFonts w:hAnsi="宋体"/>
                <w:sz w:val="21"/>
                <w:szCs w:val="21"/>
                <w:highlight w:val="none"/>
              </w:rPr>
            </w:pPr>
            <w:r>
              <w:rPr>
                <w:rFonts w:hint="eastAsia" w:hAnsi="宋体"/>
                <w:color w:val="auto"/>
                <w:sz w:val="21"/>
                <w:szCs w:val="21"/>
                <w:highlight w:val="none"/>
              </w:rPr>
              <w:t>支持趋势图、柱状图实现的威胁类型、IP地址、周期内的威胁展示；</w:t>
            </w:r>
          </w:p>
        </w:tc>
      </w:tr>
      <w:tr w14:paraId="6C386E7D">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right w:val="nil"/>
            </w:tcBorders>
            <w:vAlign w:val="center"/>
          </w:tcPr>
          <w:p w14:paraId="4DDA9585">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621F765F">
            <w:pPr>
              <w:rPr>
                <w:highlight w:val="none"/>
              </w:rPr>
            </w:pPr>
            <w:r>
              <w:rPr>
                <w:rFonts w:hint="eastAsia"/>
                <w:highlight w:val="none"/>
              </w:rPr>
              <w:t>日志保存</w:t>
            </w:r>
          </w:p>
        </w:tc>
        <w:tc>
          <w:tcPr>
            <w:tcW w:w="5285" w:type="dxa"/>
            <w:tcBorders>
              <w:top w:val="single" w:color="000000" w:sz="6" w:space="0"/>
              <w:left w:val="single" w:color="000000" w:sz="6" w:space="0"/>
              <w:bottom w:val="single" w:color="000000" w:sz="6" w:space="0"/>
              <w:right w:val="single" w:color="000000" w:sz="6" w:space="0"/>
            </w:tcBorders>
          </w:tcPr>
          <w:p w14:paraId="7D49B297">
            <w:pPr>
              <w:pStyle w:val="62"/>
              <w:spacing w:line="360" w:lineRule="auto"/>
              <w:rPr>
                <w:rFonts w:hAnsi="宋体"/>
                <w:sz w:val="21"/>
                <w:szCs w:val="21"/>
                <w:highlight w:val="none"/>
              </w:rPr>
            </w:pPr>
            <w:r>
              <w:rPr>
                <w:rFonts w:hint="eastAsia" w:hAnsi="宋体"/>
                <w:color w:val="auto"/>
                <w:sz w:val="21"/>
                <w:szCs w:val="21"/>
                <w:highlight w:val="none"/>
              </w:rPr>
              <w:t>本地存储空间满足日志保存不少于6个月的要求；</w:t>
            </w:r>
          </w:p>
        </w:tc>
      </w:tr>
      <w:tr w14:paraId="0CCAE467">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vMerge w:val="continue"/>
            <w:tcBorders>
              <w:left w:val="single" w:color="000000" w:sz="6" w:space="0"/>
              <w:bottom w:val="nil"/>
              <w:right w:val="nil"/>
            </w:tcBorders>
            <w:vAlign w:val="center"/>
          </w:tcPr>
          <w:p w14:paraId="0E3ECCDF">
            <w:pPr>
              <w:rPr>
                <w:highlight w:val="none"/>
              </w:rPr>
            </w:pPr>
          </w:p>
        </w:tc>
        <w:tc>
          <w:tcPr>
            <w:tcW w:w="1678" w:type="dxa"/>
            <w:tcBorders>
              <w:top w:val="single" w:color="000000" w:sz="6" w:space="0"/>
              <w:left w:val="single" w:color="000000" w:sz="6" w:space="0"/>
              <w:bottom w:val="single" w:color="000000" w:sz="6" w:space="0"/>
              <w:right w:val="single" w:color="000000" w:sz="6" w:space="0"/>
            </w:tcBorders>
          </w:tcPr>
          <w:p w14:paraId="4796E43C">
            <w:pPr>
              <w:rPr>
                <w:highlight w:val="none"/>
              </w:rPr>
            </w:pPr>
            <w:r>
              <w:rPr>
                <w:rFonts w:hint="eastAsia"/>
                <w:highlight w:val="none"/>
              </w:rPr>
              <w:t>日志查询</w:t>
            </w:r>
          </w:p>
        </w:tc>
        <w:tc>
          <w:tcPr>
            <w:tcW w:w="5285" w:type="dxa"/>
            <w:tcBorders>
              <w:top w:val="single" w:color="000000" w:sz="6" w:space="0"/>
              <w:left w:val="single" w:color="000000" w:sz="6" w:space="0"/>
              <w:bottom w:val="single" w:color="000000" w:sz="6" w:space="0"/>
              <w:right w:val="single" w:color="000000" w:sz="6" w:space="0"/>
            </w:tcBorders>
          </w:tcPr>
          <w:p w14:paraId="62061D45">
            <w:pPr>
              <w:pStyle w:val="62"/>
              <w:spacing w:line="360" w:lineRule="auto"/>
              <w:rPr>
                <w:rFonts w:hAnsi="宋体"/>
                <w:sz w:val="21"/>
                <w:szCs w:val="21"/>
                <w:highlight w:val="none"/>
              </w:rPr>
            </w:pPr>
            <w:r>
              <w:rPr>
                <w:rFonts w:hint="eastAsia" w:hAnsi="宋体"/>
                <w:color w:val="auto"/>
                <w:sz w:val="21"/>
                <w:szCs w:val="21"/>
                <w:highlight w:val="none"/>
              </w:rPr>
              <w:t>可实现对各项威胁数据的综合条件查询及结果的导出，格式为xls；</w:t>
            </w:r>
          </w:p>
        </w:tc>
      </w:tr>
      <w:tr w14:paraId="33CBDCC4">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000000" w:sz="6" w:space="0"/>
              <w:left w:val="single" w:color="000000" w:sz="6" w:space="0"/>
              <w:bottom w:val="single" w:color="auto" w:sz="4" w:space="0"/>
              <w:right w:val="nil"/>
            </w:tcBorders>
          </w:tcPr>
          <w:p w14:paraId="27F6DDCA">
            <w:pPr>
              <w:rPr>
                <w:highlight w:val="none"/>
              </w:rPr>
            </w:pPr>
            <w:r>
              <w:rPr>
                <w:rFonts w:hint="eastAsia"/>
                <w:highlight w:val="none"/>
              </w:rPr>
              <w:t>接入与集成要求</w:t>
            </w:r>
          </w:p>
        </w:tc>
        <w:tc>
          <w:tcPr>
            <w:tcW w:w="6963" w:type="dxa"/>
            <w:gridSpan w:val="2"/>
            <w:tcBorders>
              <w:top w:val="single" w:color="000000" w:sz="6" w:space="0"/>
              <w:left w:val="single" w:color="000000" w:sz="6" w:space="0"/>
              <w:bottom w:val="single" w:color="auto" w:sz="4" w:space="0"/>
              <w:right w:val="single" w:color="000000" w:sz="6" w:space="0"/>
            </w:tcBorders>
          </w:tcPr>
          <w:p w14:paraId="5B799705">
            <w:pPr>
              <w:pStyle w:val="62"/>
              <w:spacing w:line="360" w:lineRule="auto"/>
              <w:rPr>
                <w:rFonts w:hAnsi="宋体"/>
                <w:sz w:val="21"/>
                <w:szCs w:val="21"/>
                <w:highlight w:val="none"/>
              </w:rPr>
            </w:pPr>
            <w:r>
              <w:rPr>
                <w:rFonts w:hint="eastAsia" w:hAnsi="宋体"/>
                <w:sz w:val="21"/>
                <w:szCs w:val="21"/>
                <w:highlight w:val="none"/>
              </w:rPr>
              <w:t>▲提供接口完成与云盾、安全管控工具等系统的接入与集成。（需提供加盖原厂公章的承诺函）</w:t>
            </w:r>
          </w:p>
        </w:tc>
      </w:tr>
      <w:tr w14:paraId="3E9644F8">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347" w:type="dxa"/>
            <w:tcBorders>
              <w:top w:val="single" w:color="auto" w:sz="4" w:space="0"/>
              <w:left w:val="single" w:color="auto" w:sz="4" w:space="0"/>
              <w:bottom w:val="single" w:color="auto" w:sz="4" w:space="0"/>
              <w:right w:val="nil"/>
            </w:tcBorders>
            <w:vAlign w:val="center"/>
          </w:tcPr>
          <w:p w14:paraId="1E59B12C">
            <w:pPr>
              <w:rPr>
                <w:highlight w:val="none"/>
              </w:rPr>
            </w:pPr>
            <w:r>
              <w:rPr>
                <w:rFonts w:hint="eastAsia"/>
                <w:highlight w:val="none"/>
              </w:rPr>
              <w:t>质保要求</w:t>
            </w:r>
          </w:p>
        </w:tc>
        <w:tc>
          <w:tcPr>
            <w:tcW w:w="6963" w:type="dxa"/>
            <w:gridSpan w:val="2"/>
            <w:tcBorders>
              <w:top w:val="single" w:color="auto" w:sz="4" w:space="0"/>
              <w:left w:val="single" w:color="000000" w:sz="6" w:space="0"/>
              <w:bottom w:val="single" w:color="auto" w:sz="4" w:space="0"/>
              <w:right w:val="single" w:color="auto" w:sz="4" w:space="0"/>
            </w:tcBorders>
          </w:tcPr>
          <w:p w14:paraId="4DCB39C8">
            <w:pPr>
              <w:pStyle w:val="62"/>
              <w:spacing w:line="360" w:lineRule="auto"/>
              <w:rPr>
                <w:rFonts w:hAnsi="宋体"/>
                <w:sz w:val="21"/>
                <w:szCs w:val="21"/>
                <w:highlight w:val="none"/>
              </w:rPr>
            </w:pPr>
            <w:r>
              <w:rPr>
                <w:rFonts w:hint="eastAsia" w:hAnsi="宋体"/>
                <w:sz w:val="21"/>
                <w:szCs w:val="21"/>
                <w:highlight w:val="none"/>
              </w:rPr>
              <w:t>质保期内免费提供规则库/病毒库升级、设备修理、系统版本升级、漏洞修复及原厂技术支持服务。</w:t>
            </w:r>
          </w:p>
        </w:tc>
      </w:tr>
    </w:tbl>
    <w:p w14:paraId="5947799C"/>
    <w:p w14:paraId="776AC772">
      <w:r>
        <w:rPr>
          <w:rFonts w:hint="eastAsia"/>
        </w:rPr>
        <w:br w:type="page"/>
      </w:r>
    </w:p>
    <w:p w14:paraId="46CF8BB2">
      <w:pPr>
        <w:pStyle w:val="5"/>
      </w:pPr>
      <w:bookmarkStart w:id="12" w:name="_Toc2539"/>
      <w:r>
        <w:rPr>
          <w:rFonts w:hint="eastAsia"/>
        </w:rPr>
        <w:t>安全运营管理平台</w:t>
      </w:r>
      <w:bookmarkEnd w:id="12"/>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7161"/>
      </w:tblGrid>
      <w:tr w14:paraId="16EA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477472A9">
            <w:pPr>
              <w:jc w:val="center"/>
              <w:rPr>
                <w:b/>
              </w:rPr>
            </w:pPr>
            <w:r>
              <w:rPr>
                <w:rFonts w:hint="eastAsia"/>
                <w:b/>
              </w:rPr>
              <w:t>功能</w:t>
            </w:r>
          </w:p>
        </w:tc>
        <w:tc>
          <w:tcPr>
            <w:tcW w:w="7161" w:type="dxa"/>
            <w:tcBorders>
              <w:top w:val="single" w:color="auto" w:sz="4" w:space="0"/>
              <w:left w:val="single" w:color="auto" w:sz="4" w:space="0"/>
              <w:bottom w:val="single" w:color="auto" w:sz="4" w:space="0"/>
              <w:right w:val="single" w:color="auto" w:sz="4" w:space="0"/>
            </w:tcBorders>
            <w:vAlign w:val="center"/>
          </w:tcPr>
          <w:p w14:paraId="7277DF6F">
            <w:pPr>
              <w:jc w:val="center"/>
              <w:rPr>
                <w:b/>
              </w:rPr>
            </w:pPr>
            <w:r>
              <w:rPr>
                <w:rFonts w:hint="eastAsia"/>
                <w:b/>
              </w:rPr>
              <w:t>参数</w:t>
            </w:r>
          </w:p>
        </w:tc>
      </w:tr>
      <w:tr w14:paraId="1975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02BF93DF">
            <w:r>
              <w:rPr>
                <w:rFonts w:hint="eastAsia"/>
              </w:rPr>
              <w:t>安全要求</w:t>
            </w:r>
          </w:p>
        </w:tc>
        <w:tc>
          <w:tcPr>
            <w:tcW w:w="7161" w:type="dxa"/>
            <w:tcBorders>
              <w:top w:val="single" w:color="auto" w:sz="4" w:space="0"/>
              <w:left w:val="single" w:color="auto" w:sz="4" w:space="0"/>
              <w:bottom w:val="single" w:color="auto" w:sz="4" w:space="0"/>
              <w:right w:val="single" w:color="auto" w:sz="4" w:space="0"/>
            </w:tcBorders>
            <w:vAlign w:val="center"/>
          </w:tcPr>
          <w:p w14:paraId="7DB44B77">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0609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4FCB8FCA">
            <w:r>
              <w:rPr>
                <w:rFonts w:hint="eastAsia"/>
              </w:rPr>
              <w:t>规格参数</w:t>
            </w:r>
          </w:p>
        </w:tc>
        <w:tc>
          <w:tcPr>
            <w:tcW w:w="7161" w:type="dxa"/>
            <w:tcBorders>
              <w:top w:val="single" w:color="auto" w:sz="4" w:space="0"/>
              <w:left w:val="single" w:color="auto" w:sz="4" w:space="0"/>
              <w:bottom w:val="single" w:color="auto" w:sz="4" w:space="0"/>
              <w:right w:val="single" w:color="auto" w:sz="4" w:space="0"/>
            </w:tcBorders>
            <w:vAlign w:val="center"/>
          </w:tcPr>
          <w:p w14:paraId="7D2843CA">
            <w:r>
              <w:rPr>
                <w:rFonts w:hint="eastAsia"/>
              </w:rPr>
              <w:t>▲安全管理平台由软硬一体式设备组建集群，平台性能需满足≥2亿/天日志量接入</w:t>
            </w:r>
          </w:p>
          <w:p w14:paraId="6D1C5401">
            <w:r>
              <w:rPr>
                <w:rFonts w:hint="eastAsia"/>
              </w:rPr>
              <w:t>单台配置需满足：</w:t>
            </w:r>
          </w:p>
          <w:p w14:paraId="349B5215">
            <w:r>
              <w:rPr>
                <w:rFonts w:hint="eastAsia"/>
              </w:rPr>
              <w:t>▲CPU：CPU核数≥16核*2</w:t>
            </w:r>
          </w:p>
          <w:p w14:paraId="7426D888">
            <w:r>
              <w:rPr>
                <w:rFonts w:ascii="Arial" w:hAnsi="Arial" w:cs="Arial"/>
              </w:rPr>
              <w:t>▲</w:t>
            </w:r>
            <w:r>
              <w:rPr>
                <w:rFonts w:hint="eastAsia"/>
              </w:rPr>
              <w:t>内存：内存≥256GB</w:t>
            </w:r>
          </w:p>
          <w:p w14:paraId="29E2E64B">
            <w:r>
              <w:rPr>
                <w:rFonts w:hint="eastAsia"/>
              </w:rPr>
              <w:t>▲存储：企业级硬盘，总容量≥80TB</w:t>
            </w:r>
          </w:p>
          <w:p w14:paraId="7D3D6472">
            <w:r>
              <w:rPr>
                <w:rFonts w:hint="eastAsia"/>
              </w:rPr>
              <w:t>▲网络：千兆电口≥6个，万兆电口≥2个</w:t>
            </w:r>
          </w:p>
          <w:p w14:paraId="67BA5EAE">
            <w:pPr>
              <w:ind w:firstLine="210" w:firstLineChars="100"/>
            </w:pPr>
            <w:r>
              <w:rPr>
                <w:rFonts w:hint="eastAsia"/>
              </w:rPr>
              <w:t>电源：电源≥500W冗余电源</w:t>
            </w:r>
          </w:p>
        </w:tc>
      </w:tr>
      <w:tr w14:paraId="7DC6C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3548125A">
            <w:r>
              <w:rPr>
                <w:rFonts w:hint="eastAsia"/>
              </w:rPr>
              <w:t>数据采集</w:t>
            </w:r>
          </w:p>
        </w:tc>
        <w:tc>
          <w:tcPr>
            <w:tcW w:w="7161" w:type="dxa"/>
            <w:tcBorders>
              <w:top w:val="single" w:color="auto" w:sz="4" w:space="0"/>
              <w:left w:val="single" w:color="auto" w:sz="4" w:space="0"/>
              <w:bottom w:val="single" w:color="auto" w:sz="4" w:space="0"/>
              <w:right w:val="single" w:color="auto" w:sz="4" w:space="0"/>
            </w:tcBorders>
            <w:vAlign w:val="center"/>
          </w:tcPr>
          <w:p w14:paraId="6B32B547">
            <w:r>
              <w:rPr>
                <w:rFonts w:hint="eastAsia"/>
              </w:rPr>
              <w:t>▲支持对网络安全设备、防火墙、WAF、终端 DLP、堡垒机、DNS、VPN、负载均衡、NTA、蜜罐、防病毒等多种日志源的采集与分析。</w:t>
            </w:r>
          </w:p>
        </w:tc>
      </w:tr>
      <w:tr w14:paraId="37B66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0438FA9F"/>
        </w:tc>
        <w:tc>
          <w:tcPr>
            <w:tcW w:w="7161" w:type="dxa"/>
            <w:tcBorders>
              <w:top w:val="single" w:color="auto" w:sz="4" w:space="0"/>
              <w:left w:val="single" w:color="auto" w:sz="4" w:space="0"/>
              <w:bottom w:val="single" w:color="auto" w:sz="4" w:space="0"/>
              <w:right w:val="single" w:color="auto" w:sz="4" w:space="0"/>
            </w:tcBorders>
            <w:vAlign w:val="center"/>
          </w:tcPr>
          <w:p w14:paraId="7CC27EC8">
            <w:r>
              <w:rPr>
                <w:rFonts w:hint="eastAsia"/>
              </w:rPr>
              <w:t>支持自定义数据采集，可根据需求筛选需要采集的数据。</w:t>
            </w:r>
          </w:p>
        </w:tc>
      </w:tr>
      <w:tr w14:paraId="75F1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3261CE8F"/>
        </w:tc>
        <w:tc>
          <w:tcPr>
            <w:tcW w:w="7161" w:type="dxa"/>
            <w:tcBorders>
              <w:top w:val="single" w:color="auto" w:sz="4" w:space="0"/>
              <w:left w:val="single" w:color="auto" w:sz="4" w:space="0"/>
              <w:bottom w:val="single" w:color="auto" w:sz="4" w:space="0"/>
              <w:right w:val="single" w:color="auto" w:sz="4" w:space="0"/>
            </w:tcBorders>
          </w:tcPr>
          <w:p w14:paraId="1583D6A4">
            <w:r>
              <w:rPr>
                <w:rFonts w:hint="eastAsia"/>
              </w:rPr>
              <w:t>支持采集接口管理，可用于采集接口可视化管理，包括查看采集数量、状态、资源消耗配置等。</w:t>
            </w:r>
          </w:p>
        </w:tc>
      </w:tr>
      <w:tr w14:paraId="3C3E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18C13348"/>
        </w:tc>
        <w:tc>
          <w:tcPr>
            <w:tcW w:w="7161" w:type="dxa"/>
            <w:tcBorders>
              <w:top w:val="single" w:color="auto" w:sz="4" w:space="0"/>
              <w:left w:val="single" w:color="auto" w:sz="4" w:space="0"/>
              <w:bottom w:val="single" w:color="auto" w:sz="4" w:space="0"/>
              <w:right w:val="single" w:color="auto" w:sz="4" w:space="0"/>
            </w:tcBorders>
          </w:tcPr>
          <w:p w14:paraId="47BD64FA">
            <w:r>
              <w:rPr>
                <w:rFonts w:hint="eastAsia"/>
              </w:rPr>
              <w:t>支持采集通道管理，支撑采集任务的正常运行，包括采集器列表查询、检索和维护等。</w:t>
            </w:r>
          </w:p>
        </w:tc>
      </w:tr>
      <w:tr w14:paraId="5CC7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587B00E5"/>
        </w:tc>
        <w:tc>
          <w:tcPr>
            <w:tcW w:w="7161" w:type="dxa"/>
            <w:tcBorders>
              <w:top w:val="single" w:color="auto" w:sz="4" w:space="0"/>
              <w:left w:val="single" w:color="auto" w:sz="4" w:space="0"/>
              <w:bottom w:val="single" w:color="auto" w:sz="4" w:space="0"/>
              <w:right w:val="single" w:color="auto" w:sz="4" w:space="0"/>
            </w:tcBorders>
          </w:tcPr>
          <w:p w14:paraId="59AB4E75">
            <w:r>
              <w:rPr>
                <w:rFonts w:hint="eastAsia"/>
              </w:rPr>
              <w:t>支持补采管理，在采集任务异常或数据异常时，可通过补采管理对数据进行采集操作。</w:t>
            </w:r>
          </w:p>
        </w:tc>
      </w:tr>
      <w:tr w14:paraId="5F2E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3ED7EAA7"/>
        </w:tc>
        <w:tc>
          <w:tcPr>
            <w:tcW w:w="7161" w:type="dxa"/>
            <w:tcBorders>
              <w:top w:val="single" w:color="auto" w:sz="4" w:space="0"/>
              <w:left w:val="single" w:color="auto" w:sz="4" w:space="0"/>
              <w:bottom w:val="single" w:color="auto" w:sz="4" w:space="0"/>
              <w:right w:val="single" w:color="auto" w:sz="4" w:space="0"/>
            </w:tcBorders>
          </w:tcPr>
          <w:p w14:paraId="4F61F149">
            <w:r>
              <w:rPr>
                <w:rFonts w:hint="eastAsia"/>
              </w:rPr>
              <w:t>支持常用采集协议，包括FTP/SFTP、SNMP、kafka、syslog、tcp、udp、http等，能兼容及接收安全设备、网络设备、操作系统、应用系统、中间件、域控、桌面管理设备等各类主流厂商或第三方设备日志并存储。</w:t>
            </w:r>
          </w:p>
        </w:tc>
      </w:tr>
      <w:tr w14:paraId="682A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5E36ECEC">
            <w:r>
              <w:rPr>
                <w:rFonts w:hint="eastAsia"/>
              </w:rPr>
              <w:t>数据处理</w:t>
            </w:r>
          </w:p>
        </w:tc>
        <w:tc>
          <w:tcPr>
            <w:tcW w:w="7161" w:type="dxa"/>
            <w:tcBorders>
              <w:top w:val="single" w:color="auto" w:sz="4" w:space="0"/>
              <w:left w:val="single" w:color="auto" w:sz="4" w:space="0"/>
              <w:bottom w:val="single" w:color="auto" w:sz="4" w:space="0"/>
              <w:right w:val="single" w:color="auto" w:sz="4" w:space="0"/>
            </w:tcBorders>
            <w:vAlign w:val="center"/>
          </w:tcPr>
          <w:p w14:paraId="401895B9">
            <w:r>
              <w:rPr>
                <w:rFonts w:hint="eastAsia"/>
              </w:rPr>
              <w:t>▲支持日志或流量解析、数据加载对采集到的数据实施清洗/过滤、标准化、关联补齐、添加标签等处理，可满足审计分析对数据的要求。</w:t>
            </w:r>
          </w:p>
        </w:tc>
      </w:tr>
      <w:tr w14:paraId="4259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7F60BB5D"/>
        </w:tc>
        <w:tc>
          <w:tcPr>
            <w:tcW w:w="7161" w:type="dxa"/>
            <w:tcBorders>
              <w:top w:val="single" w:color="auto" w:sz="4" w:space="0"/>
              <w:left w:val="single" w:color="auto" w:sz="4" w:space="0"/>
              <w:bottom w:val="single" w:color="auto" w:sz="4" w:space="0"/>
              <w:right w:val="single" w:color="auto" w:sz="4" w:space="0"/>
            </w:tcBorders>
            <w:vAlign w:val="center"/>
          </w:tcPr>
          <w:p w14:paraId="54777858">
            <w:r>
              <w:rPr>
                <w:rFonts w:hint="eastAsia"/>
              </w:rPr>
              <w:t>支持对安全日志进行攻击结果识别、威胁定性、告警聚合、融合、消减处理等，输出标准化的安全告警事件。</w:t>
            </w:r>
          </w:p>
        </w:tc>
      </w:tr>
      <w:tr w14:paraId="1343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0B6B1956"/>
        </w:tc>
        <w:tc>
          <w:tcPr>
            <w:tcW w:w="7161" w:type="dxa"/>
            <w:tcBorders>
              <w:top w:val="single" w:color="auto" w:sz="4" w:space="0"/>
              <w:left w:val="single" w:color="auto" w:sz="4" w:space="0"/>
              <w:bottom w:val="single" w:color="auto" w:sz="4" w:space="0"/>
              <w:right w:val="single" w:color="auto" w:sz="4" w:space="0"/>
            </w:tcBorders>
          </w:tcPr>
          <w:p w14:paraId="4B739F2E">
            <w:r>
              <w:rPr>
                <w:rFonts w:hint="eastAsia"/>
              </w:rPr>
              <w:t>支持正则表达式解析，可配置每个字段的解析正则。</w:t>
            </w:r>
          </w:p>
        </w:tc>
      </w:tr>
      <w:tr w14:paraId="3B7D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2673D152"/>
        </w:tc>
        <w:tc>
          <w:tcPr>
            <w:tcW w:w="7161" w:type="dxa"/>
            <w:tcBorders>
              <w:top w:val="single" w:color="auto" w:sz="4" w:space="0"/>
              <w:left w:val="single" w:color="auto" w:sz="4" w:space="0"/>
              <w:bottom w:val="single" w:color="auto" w:sz="4" w:space="0"/>
              <w:right w:val="single" w:color="auto" w:sz="4" w:space="0"/>
            </w:tcBorders>
          </w:tcPr>
          <w:p w14:paraId="6F61DF54">
            <w:r>
              <w:rPr>
                <w:rFonts w:hint="eastAsia"/>
              </w:rPr>
              <w:t>支持json解析，可配置每个字段的解析key，如：平台操作日志。</w:t>
            </w:r>
          </w:p>
        </w:tc>
      </w:tr>
      <w:tr w14:paraId="535F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5ABBF60A"/>
        </w:tc>
        <w:tc>
          <w:tcPr>
            <w:tcW w:w="7161" w:type="dxa"/>
            <w:tcBorders>
              <w:top w:val="single" w:color="auto" w:sz="4" w:space="0"/>
              <w:left w:val="single" w:color="auto" w:sz="4" w:space="0"/>
              <w:bottom w:val="single" w:color="auto" w:sz="4" w:space="0"/>
              <w:right w:val="single" w:color="auto" w:sz="4" w:space="0"/>
            </w:tcBorders>
          </w:tcPr>
          <w:p w14:paraId="200FDDAF">
            <w:r>
              <w:rPr>
                <w:rFonts w:hint="eastAsia"/>
              </w:rPr>
              <w:t>支持xml解析，可配置每个字段的解析key，如：设备信息。</w:t>
            </w:r>
          </w:p>
        </w:tc>
      </w:tr>
      <w:tr w14:paraId="46AB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023D7192"/>
        </w:tc>
        <w:tc>
          <w:tcPr>
            <w:tcW w:w="7161" w:type="dxa"/>
            <w:tcBorders>
              <w:top w:val="single" w:color="auto" w:sz="4" w:space="0"/>
              <w:left w:val="single" w:color="auto" w:sz="4" w:space="0"/>
              <w:bottom w:val="single" w:color="auto" w:sz="4" w:space="0"/>
              <w:right w:val="single" w:color="auto" w:sz="4" w:space="0"/>
            </w:tcBorders>
          </w:tcPr>
          <w:p w14:paraId="336C8A7D">
            <w:r>
              <w:rPr>
                <w:rFonts w:hint="eastAsia"/>
              </w:rPr>
              <w:t>支持混合解析，如结合正则表达式和键值对两种解析方式，可配置键值对的构成方式，及每个字段的解析正则或解析key。</w:t>
            </w:r>
          </w:p>
        </w:tc>
      </w:tr>
      <w:tr w14:paraId="69B6A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4D2C41E6"/>
        </w:tc>
        <w:tc>
          <w:tcPr>
            <w:tcW w:w="7161" w:type="dxa"/>
            <w:tcBorders>
              <w:top w:val="single" w:color="auto" w:sz="4" w:space="0"/>
              <w:left w:val="single" w:color="auto" w:sz="4" w:space="0"/>
              <w:bottom w:val="single" w:color="auto" w:sz="4" w:space="0"/>
              <w:right w:val="single" w:color="auto" w:sz="4" w:space="0"/>
            </w:tcBorders>
          </w:tcPr>
          <w:p w14:paraId="4909388A">
            <w:r>
              <w:rPr>
                <w:rFonts w:hint="eastAsia"/>
              </w:rPr>
              <w:t>支持数据过滤，可用于过滤不符合统计要求数据、脏数据等，并将过滤后的剩余数据提供给后续节点进行数据预处理。</w:t>
            </w:r>
          </w:p>
        </w:tc>
      </w:tr>
      <w:tr w14:paraId="341F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4BD19F6B"/>
        </w:tc>
        <w:tc>
          <w:tcPr>
            <w:tcW w:w="7161" w:type="dxa"/>
            <w:tcBorders>
              <w:top w:val="single" w:color="auto" w:sz="4" w:space="0"/>
              <w:left w:val="single" w:color="auto" w:sz="4" w:space="0"/>
              <w:bottom w:val="single" w:color="auto" w:sz="4" w:space="0"/>
              <w:right w:val="single" w:color="auto" w:sz="4" w:space="0"/>
            </w:tcBorders>
          </w:tcPr>
          <w:p w14:paraId="722093E9">
            <w:r>
              <w:rPr>
                <w:rFonts w:hint="eastAsia"/>
              </w:rPr>
              <w:t>支持数据校验，可用于对多种数据格式进行校验等。</w:t>
            </w:r>
          </w:p>
        </w:tc>
      </w:tr>
      <w:tr w14:paraId="7CC7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59E71508"/>
        </w:tc>
        <w:tc>
          <w:tcPr>
            <w:tcW w:w="7161" w:type="dxa"/>
            <w:tcBorders>
              <w:top w:val="single" w:color="auto" w:sz="4" w:space="0"/>
              <w:left w:val="single" w:color="auto" w:sz="4" w:space="0"/>
              <w:bottom w:val="single" w:color="auto" w:sz="4" w:space="0"/>
              <w:right w:val="single" w:color="auto" w:sz="4" w:space="0"/>
            </w:tcBorders>
          </w:tcPr>
          <w:p w14:paraId="1974D468">
            <w:r>
              <w:rPr>
                <w:rFonts w:hint="eastAsia"/>
              </w:rPr>
              <w:t>支持将日志字段映射为系统内置的统一的表字段，实现数据的归一化。</w:t>
            </w:r>
          </w:p>
        </w:tc>
      </w:tr>
      <w:tr w14:paraId="7F92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75310853"/>
        </w:tc>
        <w:tc>
          <w:tcPr>
            <w:tcW w:w="7161" w:type="dxa"/>
            <w:tcBorders>
              <w:top w:val="single" w:color="auto" w:sz="4" w:space="0"/>
              <w:left w:val="single" w:color="auto" w:sz="4" w:space="0"/>
              <w:bottom w:val="single" w:color="auto" w:sz="4" w:space="0"/>
              <w:right w:val="single" w:color="auto" w:sz="4" w:space="0"/>
            </w:tcBorders>
          </w:tcPr>
          <w:p w14:paraId="7A401B92">
            <w:r>
              <w:rPr>
                <w:rFonts w:hint="eastAsia"/>
              </w:rPr>
              <w:t>支持数据格式转换，可用于对多类型数据进行格式转换，并将转换后的数据提供给后续节点进行数据预处理。格式转换节点包功能包括：转换类型配置、转换前格式配置、转换后格式配置等。</w:t>
            </w:r>
          </w:p>
        </w:tc>
      </w:tr>
      <w:tr w14:paraId="1C3F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3DF58784"/>
        </w:tc>
        <w:tc>
          <w:tcPr>
            <w:tcW w:w="7161" w:type="dxa"/>
            <w:tcBorders>
              <w:top w:val="single" w:color="auto" w:sz="4" w:space="0"/>
              <w:left w:val="single" w:color="auto" w:sz="4" w:space="0"/>
              <w:bottom w:val="single" w:color="auto" w:sz="4" w:space="0"/>
              <w:right w:val="single" w:color="auto" w:sz="4" w:space="0"/>
            </w:tcBorders>
          </w:tcPr>
          <w:p w14:paraId="2D54E274">
            <w:r>
              <w:rPr>
                <w:rFonts w:hint="eastAsia"/>
              </w:rPr>
              <w:t>支持数据补齐，可用于对解析后的数据进行补齐处理，可根据关联补齐规则对数据进行字段补齐以及字段值补齐。数据补齐节点功能包括补齐规则配置等。</w:t>
            </w:r>
          </w:p>
        </w:tc>
      </w:tr>
      <w:tr w14:paraId="551B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0F3174D4"/>
        </w:tc>
        <w:tc>
          <w:tcPr>
            <w:tcW w:w="7161" w:type="dxa"/>
            <w:tcBorders>
              <w:top w:val="single" w:color="auto" w:sz="4" w:space="0"/>
              <w:left w:val="single" w:color="auto" w:sz="4" w:space="0"/>
              <w:bottom w:val="single" w:color="auto" w:sz="4" w:space="0"/>
              <w:right w:val="single" w:color="auto" w:sz="4" w:space="0"/>
            </w:tcBorders>
          </w:tcPr>
          <w:p w14:paraId="26849740">
            <w:r>
              <w:rPr>
                <w:rFonts w:hint="eastAsia"/>
              </w:rPr>
              <w:t>支持数据标签，可用于对采集的数据按照不同维度添加数据标签，使存储的数据可按照各个标签维度进行分类和分权分域。数据标签功能包括：标签类型配置、标签关联方式配置、关联规则字段配置等。</w:t>
            </w:r>
          </w:p>
        </w:tc>
      </w:tr>
      <w:tr w14:paraId="3B692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770AC37D">
            <w:r>
              <w:rPr>
                <w:rFonts w:hint="eastAsia"/>
              </w:rPr>
              <w:t>安全分析引擎</w:t>
            </w:r>
          </w:p>
        </w:tc>
        <w:tc>
          <w:tcPr>
            <w:tcW w:w="7161" w:type="dxa"/>
            <w:tcBorders>
              <w:top w:val="single" w:color="auto" w:sz="4" w:space="0"/>
              <w:left w:val="single" w:color="auto" w:sz="4" w:space="0"/>
              <w:bottom w:val="single" w:color="auto" w:sz="4" w:space="0"/>
              <w:right w:val="single" w:color="auto" w:sz="4" w:space="0"/>
            </w:tcBorders>
            <w:vAlign w:val="center"/>
          </w:tcPr>
          <w:p w14:paraId="12CF7CE1">
            <w:r>
              <w:rPr>
                <w:rFonts w:ascii="Arial" w:hAnsi="Arial" w:cs="Arial"/>
              </w:rPr>
              <w:t>▲</w:t>
            </w:r>
            <w:r>
              <w:rPr>
                <w:rFonts w:hint="eastAsia"/>
              </w:rPr>
              <w:t>支持分析检测引擎，为场景分析提供分析计算能力。</w:t>
            </w:r>
          </w:p>
        </w:tc>
      </w:tr>
      <w:tr w14:paraId="69A7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5F967508"/>
        </w:tc>
        <w:tc>
          <w:tcPr>
            <w:tcW w:w="7161" w:type="dxa"/>
            <w:tcBorders>
              <w:top w:val="single" w:color="auto" w:sz="4" w:space="0"/>
              <w:left w:val="single" w:color="auto" w:sz="4" w:space="0"/>
              <w:bottom w:val="single" w:color="auto" w:sz="4" w:space="0"/>
              <w:right w:val="single" w:color="auto" w:sz="4" w:space="0"/>
            </w:tcBorders>
            <w:vAlign w:val="center"/>
          </w:tcPr>
          <w:p w14:paraId="5F4C71AE">
            <w:r>
              <w:rPr>
                <w:rFonts w:hint="eastAsia"/>
              </w:rPr>
              <w:t>支持事件监测和分析，如监测和分析网络流量、系统日志、安全事件等，通过分析数据检测异常活动或潜在的安全威胁。</w:t>
            </w:r>
          </w:p>
        </w:tc>
      </w:tr>
      <w:tr w14:paraId="23BC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75AD83C4"/>
        </w:tc>
        <w:tc>
          <w:tcPr>
            <w:tcW w:w="7161" w:type="dxa"/>
            <w:tcBorders>
              <w:top w:val="single" w:color="auto" w:sz="4" w:space="0"/>
              <w:left w:val="single" w:color="auto" w:sz="4" w:space="0"/>
              <w:bottom w:val="single" w:color="auto" w:sz="4" w:space="0"/>
              <w:right w:val="single" w:color="auto" w:sz="4" w:space="0"/>
            </w:tcBorders>
            <w:vAlign w:val="center"/>
          </w:tcPr>
          <w:p w14:paraId="7DBBCC19">
            <w:r>
              <w:rPr>
                <w:rFonts w:hint="eastAsia"/>
              </w:rPr>
              <w:t>支持通过安全分析展示攻击位置或者攻击链过程。</w:t>
            </w:r>
          </w:p>
        </w:tc>
      </w:tr>
      <w:tr w14:paraId="201F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44101B03">
            <w:r>
              <w:rPr>
                <w:rFonts w:hint="eastAsia"/>
              </w:rPr>
              <w:t>安全分析场景</w:t>
            </w:r>
          </w:p>
        </w:tc>
        <w:tc>
          <w:tcPr>
            <w:tcW w:w="7161" w:type="dxa"/>
            <w:tcBorders>
              <w:top w:val="single" w:color="auto" w:sz="4" w:space="0"/>
              <w:left w:val="single" w:color="auto" w:sz="4" w:space="0"/>
              <w:bottom w:val="single" w:color="auto" w:sz="4" w:space="0"/>
              <w:right w:val="single" w:color="auto" w:sz="4" w:space="0"/>
            </w:tcBorders>
            <w:vAlign w:val="center"/>
          </w:tcPr>
          <w:p w14:paraId="4BF21C7F">
            <w:r>
              <w:rPr>
                <w:rFonts w:ascii="Arial" w:hAnsi="Arial" w:cs="Arial"/>
              </w:rPr>
              <w:t>▲</w:t>
            </w:r>
            <w:r>
              <w:rPr>
                <w:rFonts w:hint="eastAsia"/>
              </w:rPr>
              <w:t>支持快速的安全场景用户定制，如用户和账号安全类场景、数据泄露类场景、攻击检测相关类场景等。</w:t>
            </w:r>
          </w:p>
        </w:tc>
      </w:tr>
      <w:tr w14:paraId="7BC4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0BE9F926"/>
        </w:tc>
        <w:tc>
          <w:tcPr>
            <w:tcW w:w="7161" w:type="dxa"/>
            <w:tcBorders>
              <w:top w:val="single" w:color="auto" w:sz="4" w:space="0"/>
              <w:left w:val="single" w:color="auto" w:sz="4" w:space="0"/>
              <w:bottom w:val="single" w:color="auto" w:sz="4" w:space="0"/>
              <w:right w:val="single" w:color="auto" w:sz="4" w:space="0"/>
            </w:tcBorders>
            <w:vAlign w:val="center"/>
          </w:tcPr>
          <w:p w14:paraId="6124DAA9">
            <w:r>
              <w:rPr>
                <w:rFonts w:hint="eastAsia"/>
              </w:rPr>
              <w:t>支持内置安全分析场景，可覆盖Web服务分析、挖矿主机分析、勒索病毒分析等常见场景，支持免费更新分析场景。</w:t>
            </w:r>
          </w:p>
        </w:tc>
      </w:tr>
      <w:tr w14:paraId="4FE0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0E9BB145">
            <w:r>
              <w:rPr>
                <w:rFonts w:hint="eastAsia"/>
              </w:rPr>
              <w:t>监测告警</w:t>
            </w:r>
          </w:p>
        </w:tc>
        <w:tc>
          <w:tcPr>
            <w:tcW w:w="7161" w:type="dxa"/>
            <w:tcBorders>
              <w:top w:val="single" w:color="auto" w:sz="4" w:space="0"/>
              <w:left w:val="single" w:color="auto" w:sz="4" w:space="0"/>
              <w:bottom w:val="single" w:color="auto" w:sz="4" w:space="0"/>
              <w:right w:val="single" w:color="auto" w:sz="4" w:space="0"/>
            </w:tcBorders>
            <w:vAlign w:val="center"/>
          </w:tcPr>
          <w:p w14:paraId="54BAC495">
            <w:r>
              <w:rPr>
                <w:rFonts w:ascii="Arial" w:hAnsi="Arial" w:cs="Arial"/>
              </w:rPr>
              <w:t>▲</w:t>
            </w:r>
            <w:r>
              <w:rPr>
                <w:rFonts w:hint="eastAsia"/>
              </w:rPr>
              <w:t>支持数据以图表、图形、指标等形式进行展示，直观地理解数据和趋势，包括实时监控、告警关系、告警相关事件、历史趋势分析等。</w:t>
            </w:r>
          </w:p>
        </w:tc>
      </w:tr>
      <w:tr w14:paraId="5AEB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17A76330"/>
        </w:tc>
        <w:tc>
          <w:tcPr>
            <w:tcW w:w="7161" w:type="dxa"/>
            <w:tcBorders>
              <w:top w:val="single" w:color="auto" w:sz="4" w:space="0"/>
              <w:left w:val="single" w:color="auto" w:sz="4" w:space="0"/>
              <w:bottom w:val="single" w:color="auto" w:sz="4" w:space="0"/>
              <w:right w:val="single" w:color="auto" w:sz="4" w:space="0"/>
            </w:tcBorders>
            <w:vAlign w:val="center"/>
          </w:tcPr>
          <w:p w14:paraId="0015A2FF">
            <w:r>
              <w:rPr>
                <w:rFonts w:hint="eastAsia"/>
              </w:rPr>
              <w:t>支持安全告警的高级筛选功能，可对告警的名称、告警等级、告警定性、主机IP、源IP、目的IP等进行告警筛选。</w:t>
            </w:r>
          </w:p>
        </w:tc>
      </w:tr>
      <w:tr w14:paraId="0BEF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17876C50"/>
        </w:tc>
        <w:tc>
          <w:tcPr>
            <w:tcW w:w="7161" w:type="dxa"/>
            <w:tcBorders>
              <w:top w:val="single" w:color="auto" w:sz="4" w:space="0"/>
              <w:left w:val="single" w:color="auto" w:sz="4" w:space="0"/>
              <w:bottom w:val="single" w:color="auto" w:sz="4" w:space="0"/>
              <w:right w:val="single" w:color="auto" w:sz="4" w:space="0"/>
            </w:tcBorders>
            <w:vAlign w:val="center"/>
          </w:tcPr>
          <w:p w14:paraId="33C95022">
            <w:r>
              <w:rPr>
                <w:rFonts w:hint="eastAsia"/>
              </w:rPr>
              <w:t>支持对告警进行自动化归并，支持查看归并告警基本信息、规则详情、原始告警列表。</w:t>
            </w:r>
          </w:p>
        </w:tc>
      </w:tr>
      <w:tr w14:paraId="6EEF7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4494F75F"/>
        </w:tc>
        <w:tc>
          <w:tcPr>
            <w:tcW w:w="7161" w:type="dxa"/>
            <w:tcBorders>
              <w:top w:val="single" w:color="auto" w:sz="4" w:space="0"/>
              <w:left w:val="single" w:color="auto" w:sz="4" w:space="0"/>
              <w:bottom w:val="single" w:color="auto" w:sz="4" w:space="0"/>
              <w:right w:val="single" w:color="auto" w:sz="4" w:space="0"/>
            </w:tcBorders>
            <w:vAlign w:val="center"/>
          </w:tcPr>
          <w:p w14:paraId="6FF4E9BD">
            <w:r>
              <w:rPr>
                <w:rFonts w:hint="eastAsia"/>
              </w:rPr>
              <w:t>支持对原始日志、关联事件进行自定义图表，支持通过表格、趋势图、单值图等图表进行数据的可视化呈现。</w:t>
            </w:r>
          </w:p>
        </w:tc>
      </w:tr>
      <w:tr w14:paraId="41764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64AF8446"/>
        </w:tc>
        <w:tc>
          <w:tcPr>
            <w:tcW w:w="7161" w:type="dxa"/>
            <w:tcBorders>
              <w:top w:val="single" w:color="auto" w:sz="4" w:space="0"/>
              <w:left w:val="single" w:color="auto" w:sz="4" w:space="0"/>
              <w:bottom w:val="single" w:color="auto" w:sz="4" w:space="0"/>
              <w:right w:val="single" w:color="auto" w:sz="4" w:space="0"/>
            </w:tcBorders>
            <w:vAlign w:val="center"/>
          </w:tcPr>
          <w:p w14:paraId="04CF93F3">
            <w:r>
              <w:rPr>
                <w:rFonts w:hint="eastAsia"/>
              </w:rPr>
              <w:t>支持检索关联规则及对应的关联事件、日志等，支持溯源到原始日志、事件。</w:t>
            </w:r>
          </w:p>
        </w:tc>
      </w:tr>
      <w:tr w14:paraId="7661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3050CA5B"/>
        </w:tc>
        <w:tc>
          <w:tcPr>
            <w:tcW w:w="7161" w:type="dxa"/>
            <w:tcBorders>
              <w:top w:val="single" w:color="auto" w:sz="4" w:space="0"/>
              <w:left w:val="single" w:color="auto" w:sz="4" w:space="0"/>
              <w:bottom w:val="single" w:color="auto" w:sz="4" w:space="0"/>
              <w:right w:val="single" w:color="auto" w:sz="4" w:space="0"/>
            </w:tcBorders>
            <w:vAlign w:val="center"/>
          </w:tcPr>
          <w:p w14:paraId="5BB9BFF6">
            <w:r>
              <w:rPr>
                <w:rFonts w:ascii="Arial" w:hAnsi="Arial" w:cs="Arial"/>
              </w:rPr>
              <w:t>▲</w:t>
            </w:r>
            <w:r>
              <w:rPr>
                <w:rFonts w:hint="eastAsia"/>
              </w:rPr>
              <w:t>支持链接到相关IP、情报、原始日志、资产、漏洞等，并下钻查看关联详情，支持对关联事件调查分析。</w:t>
            </w:r>
          </w:p>
        </w:tc>
      </w:tr>
      <w:tr w14:paraId="18E4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2F072F98"/>
        </w:tc>
        <w:tc>
          <w:tcPr>
            <w:tcW w:w="7161" w:type="dxa"/>
            <w:tcBorders>
              <w:top w:val="single" w:color="auto" w:sz="4" w:space="0"/>
              <w:left w:val="single" w:color="auto" w:sz="4" w:space="0"/>
              <w:bottom w:val="single" w:color="auto" w:sz="4" w:space="0"/>
              <w:right w:val="single" w:color="auto" w:sz="4" w:space="0"/>
            </w:tcBorders>
            <w:vAlign w:val="center"/>
          </w:tcPr>
          <w:p w14:paraId="7CA90E84">
            <w:r>
              <w:rPr>
                <w:rFonts w:hint="eastAsia"/>
              </w:rPr>
              <w:t>支持通过离线导入或手动编辑添加的方式，形成本地威胁情报，支持情报库的增删改查、导入、导出等功能。</w:t>
            </w:r>
          </w:p>
        </w:tc>
      </w:tr>
      <w:tr w14:paraId="4C93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left w:val="single" w:color="auto" w:sz="4" w:space="0"/>
              <w:right w:val="single" w:color="auto" w:sz="4" w:space="0"/>
            </w:tcBorders>
            <w:vAlign w:val="center"/>
          </w:tcPr>
          <w:p w14:paraId="4292F953">
            <w:r>
              <w:rPr>
                <w:rFonts w:hint="eastAsia"/>
              </w:rPr>
              <w:t>响应处置</w:t>
            </w:r>
          </w:p>
        </w:tc>
        <w:tc>
          <w:tcPr>
            <w:tcW w:w="7161" w:type="dxa"/>
            <w:tcBorders>
              <w:top w:val="single" w:color="auto" w:sz="4" w:space="0"/>
              <w:left w:val="single" w:color="auto" w:sz="4" w:space="0"/>
              <w:bottom w:val="single" w:color="auto" w:sz="4" w:space="0"/>
              <w:right w:val="single" w:color="auto" w:sz="4" w:space="0"/>
            </w:tcBorders>
            <w:vAlign w:val="center"/>
          </w:tcPr>
          <w:p w14:paraId="5691A982">
            <w:r>
              <w:rPr>
                <w:rFonts w:hint="eastAsia"/>
              </w:rPr>
              <w:t>支持自动化响应或联动第三方设备，进行对应的处置动作。</w:t>
            </w:r>
          </w:p>
        </w:tc>
      </w:tr>
      <w:tr w14:paraId="0F9F3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14615A16"/>
        </w:tc>
        <w:tc>
          <w:tcPr>
            <w:tcW w:w="7161" w:type="dxa"/>
            <w:tcBorders>
              <w:top w:val="single" w:color="auto" w:sz="4" w:space="0"/>
              <w:left w:val="single" w:color="auto" w:sz="4" w:space="0"/>
              <w:bottom w:val="single" w:color="auto" w:sz="4" w:space="0"/>
              <w:right w:val="single" w:color="auto" w:sz="4" w:space="0"/>
            </w:tcBorders>
            <w:vAlign w:val="center"/>
          </w:tcPr>
          <w:p w14:paraId="66DC4C58">
            <w:r>
              <w:rPr>
                <w:rFonts w:hint="eastAsia"/>
              </w:rPr>
              <w:t>支持工单管理，支持从安全告警、安全事件发起工单，并选择流程节点处置人。</w:t>
            </w:r>
          </w:p>
        </w:tc>
      </w:tr>
      <w:tr w14:paraId="45DA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left w:val="single" w:color="auto" w:sz="4" w:space="0"/>
              <w:bottom w:val="single" w:color="auto" w:sz="4" w:space="0"/>
              <w:right w:val="single" w:color="auto" w:sz="4" w:space="0"/>
            </w:tcBorders>
            <w:vAlign w:val="center"/>
          </w:tcPr>
          <w:p w14:paraId="4F1FC11A">
            <w:r>
              <w:rPr>
                <w:rFonts w:hint="eastAsia"/>
              </w:rPr>
              <w:t>数据共享</w:t>
            </w:r>
          </w:p>
        </w:tc>
        <w:tc>
          <w:tcPr>
            <w:tcW w:w="7161" w:type="dxa"/>
            <w:tcBorders>
              <w:top w:val="single" w:color="auto" w:sz="4" w:space="0"/>
              <w:left w:val="single" w:color="auto" w:sz="4" w:space="0"/>
              <w:bottom w:val="single" w:color="auto" w:sz="4" w:space="0"/>
              <w:right w:val="single" w:color="auto" w:sz="4" w:space="0"/>
            </w:tcBorders>
            <w:vAlign w:val="center"/>
          </w:tcPr>
          <w:p w14:paraId="7F5EA682">
            <w:r>
              <w:rPr>
                <w:rFonts w:hint="eastAsia"/>
              </w:rPr>
              <w:t>支持将平台中的安全数据，包括告警数据、资产数据、工单数据等，共享给第三方系统，实现数据共享和交换。</w:t>
            </w:r>
          </w:p>
        </w:tc>
      </w:tr>
      <w:tr w14:paraId="3EFCB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left w:val="single" w:color="auto" w:sz="4" w:space="0"/>
              <w:bottom w:val="single" w:color="auto" w:sz="4" w:space="0"/>
              <w:right w:val="single" w:color="auto" w:sz="4" w:space="0"/>
            </w:tcBorders>
            <w:vAlign w:val="center"/>
          </w:tcPr>
          <w:p w14:paraId="7C62121C">
            <w:r>
              <w:rPr>
                <w:rFonts w:hint="eastAsia"/>
              </w:rPr>
              <w:t>威胁情报</w:t>
            </w:r>
          </w:p>
        </w:tc>
        <w:tc>
          <w:tcPr>
            <w:tcW w:w="7161" w:type="dxa"/>
            <w:tcBorders>
              <w:top w:val="single" w:color="auto" w:sz="4" w:space="0"/>
              <w:left w:val="single" w:color="auto" w:sz="4" w:space="0"/>
              <w:bottom w:val="single" w:color="auto" w:sz="4" w:space="0"/>
              <w:right w:val="single" w:color="auto" w:sz="4" w:space="0"/>
            </w:tcBorders>
            <w:vAlign w:val="center"/>
          </w:tcPr>
          <w:p w14:paraId="3F76EDB5">
            <w:r>
              <w:rPr>
                <w:rFonts w:hint="eastAsia"/>
              </w:rPr>
              <w:t>支持通过离线导入或手动编辑添加的方式，形成本地威胁情报，实现情报库的增删改查、导入、导出功能。</w:t>
            </w:r>
          </w:p>
        </w:tc>
      </w:tr>
      <w:tr w14:paraId="1C0A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1109AF07">
            <w:r>
              <w:rPr>
                <w:rFonts w:hint="eastAsia"/>
              </w:rPr>
              <w:t>系统可用性</w:t>
            </w:r>
          </w:p>
        </w:tc>
        <w:tc>
          <w:tcPr>
            <w:tcW w:w="7161" w:type="dxa"/>
            <w:tcBorders>
              <w:top w:val="single" w:color="auto" w:sz="4" w:space="0"/>
              <w:left w:val="single" w:color="auto" w:sz="4" w:space="0"/>
              <w:bottom w:val="single" w:color="auto" w:sz="4" w:space="0"/>
              <w:right w:val="single" w:color="auto" w:sz="4" w:space="0"/>
            </w:tcBorders>
            <w:vAlign w:val="center"/>
          </w:tcPr>
          <w:p w14:paraId="095C783D">
            <w:r>
              <w:rPr>
                <w:rFonts w:hint="eastAsia"/>
              </w:rPr>
              <w:t>支持自动清理或覆盖历史数据，避免因磁盘空间耗尽导致系统无法访问、无法采集新数据等，保证系统正常稳定运行。</w:t>
            </w:r>
          </w:p>
        </w:tc>
      </w:tr>
      <w:tr w14:paraId="4CD5E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bottom w:val="single" w:color="auto" w:sz="4" w:space="0"/>
              <w:right w:val="single" w:color="auto" w:sz="4" w:space="0"/>
            </w:tcBorders>
            <w:vAlign w:val="center"/>
          </w:tcPr>
          <w:p w14:paraId="5C956B8F"/>
        </w:tc>
        <w:tc>
          <w:tcPr>
            <w:tcW w:w="7161" w:type="dxa"/>
            <w:tcBorders>
              <w:top w:val="single" w:color="auto" w:sz="4" w:space="0"/>
              <w:left w:val="single" w:color="auto" w:sz="4" w:space="0"/>
              <w:bottom w:val="single" w:color="auto" w:sz="4" w:space="0"/>
              <w:right w:val="single" w:color="auto" w:sz="4" w:space="0"/>
            </w:tcBorders>
            <w:vAlign w:val="center"/>
          </w:tcPr>
          <w:p w14:paraId="0339BDAF">
            <w:r>
              <w:rPr>
                <w:rFonts w:hint="eastAsia"/>
              </w:rPr>
              <w:t>系统应易于维护，包括但不限于系统升级、规则库更新等。</w:t>
            </w:r>
          </w:p>
        </w:tc>
      </w:tr>
      <w:tr w14:paraId="21EF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restart"/>
            <w:tcBorders>
              <w:top w:val="single" w:color="auto" w:sz="4" w:space="0"/>
              <w:left w:val="single" w:color="auto" w:sz="4" w:space="0"/>
              <w:right w:val="single" w:color="auto" w:sz="4" w:space="0"/>
            </w:tcBorders>
            <w:vAlign w:val="center"/>
          </w:tcPr>
          <w:p w14:paraId="1D5D7894">
            <w:r>
              <w:rPr>
                <w:rFonts w:hint="eastAsia"/>
              </w:rPr>
              <w:t>系统管理</w:t>
            </w:r>
          </w:p>
        </w:tc>
        <w:tc>
          <w:tcPr>
            <w:tcW w:w="7161" w:type="dxa"/>
            <w:tcBorders>
              <w:top w:val="single" w:color="auto" w:sz="4" w:space="0"/>
              <w:left w:val="single" w:color="auto" w:sz="4" w:space="0"/>
              <w:bottom w:val="single" w:color="auto" w:sz="4" w:space="0"/>
              <w:right w:val="single" w:color="auto" w:sz="4" w:space="0"/>
            </w:tcBorders>
            <w:vAlign w:val="center"/>
          </w:tcPr>
          <w:p w14:paraId="5A9BBF56">
            <w:r>
              <w:rPr>
                <w:rFonts w:hint="eastAsia"/>
              </w:rPr>
              <w:t>支持系统日志分类展示、查询及下载。</w:t>
            </w:r>
          </w:p>
        </w:tc>
      </w:tr>
      <w:tr w14:paraId="1C82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07215680"/>
        </w:tc>
        <w:tc>
          <w:tcPr>
            <w:tcW w:w="7161" w:type="dxa"/>
            <w:tcBorders>
              <w:top w:val="single" w:color="auto" w:sz="4" w:space="0"/>
              <w:left w:val="single" w:color="auto" w:sz="4" w:space="0"/>
              <w:bottom w:val="single" w:color="auto" w:sz="4" w:space="0"/>
              <w:right w:val="single" w:color="auto" w:sz="4" w:space="0"/>
            </w:tcBorders>
            <w:vAlign w:val="center"/>
          </w:tcPr>
          <w:p w14:paraId="31B80CB6">
            <w:r>
              <w:rPr>
                <w:rFonts w:hint="eastAsia"/>
              </w:rPr>
              <w:t>支持用户角色管理，可以为不同角色赋予不同系统功能模块的权限控制。</w:t>
            </w:r>
          </w:p>
        </w:tc>
      </w:tr>
      <w:tr w14:paraId="2388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6953E690"/>
        </w:tc>
        <w:tc>
          <w:tcPr>
            <w:tcW w:w="7161" w:type="dxa"/>
            <w:tcBorders>
              <w:top w:val="single" w:color="auto" w:sz="4" w:space="0"/>
              <w:left w:val="single" w:color="auto" w:sz="4" w:space="0"/>
              <w:bottom w:val="single" w:color="auto" w:sz="4" w:space="0"/>
              <w:right w:val="single" w:color="auto" w:sz="4" w:space="0"/>
            </w:tcBorders>
            <w:vAlign w:val="center"/>
          </w:tcPr>
          <w:p w14:paraId="11631B59">
            <w:r>
              <w:rPr>
                <w:rFonts w:hint="eastAsia"/>
              </w:rPr>
              <w:t>支持对操作行为进行审计，能够记录各个账号对系统的操作，包括登入登出、新建、修改、删除、启用、停用和导入导出等。</w:t>
            </w:r>
          </w:p>
        </w:tc>
      </w:tr>
      <w:tr w14:paraId="5860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vMerge w:val="continue"/>
            <w:tcBorders>
              <w:left w:val="single" w:color="auto" w:sz="4" w:space="0"/>
              <w:right w:val="single" w:color="auto" w:sz="4" w:space="0"/>
            </w:tcBorders>
            <w:vAlign w:val="center"/>
          </w:tcPr>
          <w:p w14:paraId="2F32EA7D"/>
        </w:tc>
        <w:tc>
          <w:tcPr>
            <w:tcW w:w="7161" w:type="dxa"/>
            <w:tcBorders>
              <w:top w:val="single" w:color="auto" w:sz="4" w:space="0"/>
              <w:left w:val="single" w:color="auto" w:sz="4" w:space="0"/>
              <w:bottom w:val="single" w:color="auto" w:sz="4" w:space="0"/>
              <w:right w:val="single" w:color="auto" w:sz="4" w:space="0"/>
            </w:tcBorders>
            <w:vAlign w:val="center"/>
          </w:tcPr>
          <w:p w14:paraId="29F1C02C">
            <w:r>
              <w:rPr>
                <w:rFonts w:hint="eastAsia"/>
              </w:rPr>
              <w:t>支持自定义日志数据的存储策略，包括存储容量、周期、日志清理优先级等。</w:t>
            </w:r>
          </w:p>
        </w:tc>
      </w:tr>
      <w:tr w14:paraId="06CE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left w:val="single" w:color="auto" w:sz="4" w:space="0"/>
              <w:right w:val="single" w:color="auto" w:sz="4" w:space="0"/>
            </w:tcBorders>
            <w:vAlign w:val="top"/>
          </w:tcPr>
          <w:p w14:paraId="70F6F999">
            <w:pPr>
              <w:rPr>
                <w:rFonts w:hint="eastAsia"/>
                <w:highlight w:val="none"/>
              </w:rPr>
            </w:pPr>
            <w:r>
              <w:rPr>
                <w:rFonts w:hint="eastAsia"/>
                <w:highlight w:val="none"/>
              </w:rPr>
              <w:t>接入与集成要求</w:t>
            </w:r>
          </w:p>
        </w:tc>
        <w:tc>
          <w:tcPr>
            <w:tcW w:w="7161" w:type="dxa"/>
            <w:tcBorders>
              <w:top w:val="single" w:color="auto" w:sz="4" w:space="0"/>
              <w:left w:val="single" w:color="auto" w:sz="4" w:space="0"/>
              <w:bottom w:val="single" w:color="auto" w:sz="4" w:space="0"/>
              <w:right w:val="single" w:color="auto" w:sz="4" w:space="0"/>
            </w:tcBorders>
            <w:vAlign w:val="top"/>
          </w:tcPr>
          <w:p w14:paraId="1C394A6E">
            <w:pPr>
              <w:pStyle w:val="62"/>
              <w:spacing w:line="360" w:lineRule="auto"/>
              <w:rPr>
                <w:rFonts w:hint="eastAsia"/>
                <w:highlight w:val="none"/>
              </w:rPr>
            </w:pPr>
            <w:r>
              <w:rPr>
                <w:rFonts w:hint="eastAsia" w:hAnsi="宋体"/>
                <w:sz w:val="21"/>
                <w:szCs w:val="21"/>
                <w:highlight w:val="none"/>
              </w:rPr>
              <w:t>▲提供接口完成与云盾、安全管控工具等系统的接入与集成。（需提供加盖原厂公章的承诺函）</w:t>
            </w:r>
          </w:p>
        </w:tc>
      </w:tr>
      <w:tr w14:paraId="0DA6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left w:val="single" w:color="auto" w:sz="4" w:space="0"/>
              <w:right w:val="single" w:color="auto" w:sz="4" w:space="0"/>
            </w:tcBorders>
            <w:vAlign w:val="center"/>
          </w:tcPr>
          <w:p w14:paraId="1FD766BA">
            <w:r>
              <w:rPr>
                <w:rFonts w:hint="eastAsia"/>
              </w:rPr>
              <w:t>质保要求</w:t>
            </w:r>
          </w:p>
        </w:tc>
        <w:tc>
          <w:tcPr>
            <w:tcW w:w="7161" w:type="dxa"/>
            <w:tcBorders>
              <w:top w:val="single" w:color="auto" w:sz="4" w:space="0"/>
              <w:left w:val="single" w:color="auto" w:sz="4" w:space="0"/>
              <w:bottom w:val="single" w:color="auto" w:sz="4" w:space="0"/>
              <w:right w:val="single" w:color="auto" w:sz="4" w:space="0"/>
            </w:tcBorders>
            <w:vAlign w:val="center"/>
          </w:tcPr>
          <w:p w14:paraId="17F76A25">
            <w:r>
              <w:rPr>
                <w:rFonts w:hint="eastAsia"/>
              </w:rPr>
              <w:t>质保期间免费提供原厂软件升级、规则库升级、技术服务支持及设备保修服务。</w:t>
            </w:r>
            <w:r>
              <w:t>硬盘质保更换不返还。</w:t>
            </w:r>
          </w:p>
        </w:tc>
      </w:tr>
      <w:tr w14:paraId="1CF67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61" w:type="dxa"/>
            <w:tcBorders>
              <w:left w:val="single" w:color="auto" w:sz="4" w:space="0"/>
              <w:right w:val="single" w:color="auto" w:sz="4" w:space="0"/>
            </w:tcBorders>
            <w:vAlign w:val="center"/>
          </w:tcPr>
          <w:p w14:paraId="7C221E84">
            <w:r>
              <w:rPr>
                <w:rFonts w:hint="eastAsia"/>
              </w:rPr>
              <w:t>产品资质</w:t>
            </w:r>
          </w:p>
        </w:tc>
        <w:tc>
          <w:tcPr>
            <w:tcW w:w="7161" w:type="dxa"/>
            <w:tcBorders>
              <w:top w:val="single" w:color="auto" w:sz="4" w:space="0"/>
              <w:left w:val="single" w:color="auto" w:sz="4" w:space="0"/>
              <w:bottom w:val="single" w:color="auto" w:sz="4" w:space="0"/>
              <w:right w:val="single" w:color="auto" w:sz="4" w:space="0"/>
            </w:tcBorders>
            <w:vAlign w:val="center"/>
          </w:tcPr>
          <w:p w14:paraId="3B680A4B">
            <w:r>
              <w:rPr>
                <w:rFonts w:ascii="Arial" w:hAnsi="Arial" w:cs="Arial"/>
              </w:rPr>
              <w:t>▲</w:t>
            </w:r>
            <w:r>
              <w:rPr>
                <w:rFonts w:hint="eastAsia"/>
              </w:rPr>
              <w:t>产品具备由中华人民共和国国家版权局颁发的计算机软件著作权登记证书</w:t>
            </w:r>
          </w:p>
        </w:tc>
      </w:tr>
    </w:tbl>
    <w:p w14:paraId="5DCCFB50">
      <w:pPr>
        <w:pStyle w:val="5"/>
      </w:pPr>
      <w:bookmarkStart w:id="13" w:name="_Toc19033"/>
      <w:r>
        <w:rPr>
          <w:rFonts w:hint="eastAsia"/>
        </w:rPr>
        <w:t>分布式存储</w:t>
      </w:r>
      <w:bookmarkEnd w:id="13"/>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261"/>
        <w:gridCol w:w="1487"/>
        <w:gridCol w:w="4711"/>
      </w:tblGrid>
      <w:tr w14:paraId="56B9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8522" w:type="dxa"/>
            <w:gridSpan w:val="4"/>
            <w:vAlign w:val="center"/>
          </w:tcPr>
          <w:p w14:paraId="7D0D0E97">
            <w:pPr>
              <w:rPr>
                <w:lang w:bidi="ar"/>
              </w:rPr>
            </w:pPr>
            <w:r>
              <w:rPr>
                <w:rFonts w:hint="eastAsia"/>
                <w:lang w:bidi="ar"/>
              </w:rPr>
              <w:t>产品规格及性能要求</w:t>
            </w:r>
          </w:p>
        </w:tc>
      </w:tr>
      <w:tr w14:paraId="63EF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63" w:type="dxa"/>
            <w:vAlign w:val="center"/>
          </w:tcPr>
          <w:p w14:paraId="11F088F9">
            <w:r>
              <w:rPr>
                <w:rFonts w:hint="eastAsia"/>
                <w:lang w:bidi="ar"/>
              </w:rPr>
              <w:t>指标分类</w:t>
            </w:r>
          </w:p>
        </w:tc>
        <w:tc>
          <w:tcPr>
            <w:tcW w:w="1261" w:type="dxa"/>
            <w:vAlign w:val="center"/>
          </w:tcPr>
          <w:p w14:paraId="0B54DA15">
            <w:r>
              <w:rPr>
                <w:rFonts w:hint="eastAsia"/>
                <w:lang w:bidi="ar"/>
              </w:rPr>
              <w:t>一级指标</w:t>
            </w:r>
          </w:p>
        </w:tc>
        <w:tc>
          <w:tcPr>
            <w:tcW w:w="1487" w:type="dxa"/>
            <w:vAlign w:val="center"/>
          </w:tcPr>
          <w:p w14:paraId="1900923C">
            <w:r>
              <w:rPr>
                <w:rFonts w:hint="eastAsia"/>
                <w:lang w:bidi="ar"/>
              </w:rPr>
              <w:t>二级指标</w:t>
            </w:r>
          </w:p>
        </w:tc>
        <w:tc>
          <w:tcPr>
            <w:tcW w:w="4711" w:type="dxa"/>
            <w:vAlign w:val="center"/>
          </w:tcPr>
          <w:p w14:paraId="053B465E">
            <w:r>
              <w:rPr>
                <w:rFonts w:hint="eastAsia"/>
                <w:lang w:bidi="ar"/>
              </w:rPr>
              <w:t>指标要求</w:t>
            </w:r>
          </w:p>
        </w:tc>
      </w:tr>
      <w:tr w14:paraId="62EC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restart"/>
            <w:vAlign w:val="center"/>
          </w:tcPr>
          <w:p w14:paraId="1F58E53F">
            <w:r>
              <w:rPr>
                <w:rFonts w:hint="eastAsia"/>
              </w:rPr>
              <w:t>产品规格</w:t>
            </w:r>
          </w:p>
        </w:tc>
        <w:tc>
          <w:tcPr>
            <w:tcW w:w="1261" w:type="dxa"/>
            <w:vMerge w:val="restart"/>
            <w:vAlign w:val="center"/>
          </w:tcPr>
          <w:p w14:paraId="34A9CC56">
            <w:r>
              <w:rPr>
                <w:rFonts w:hint="eastAsia"/>
              </w:rPr>
              <w:t>CPU规格</w:t>
            </w:r>
          </w:p>
        </w:tc>
        <w:tc>
          <w:tcPr>
            <w:tcW w:w="1487" w:type="dxa"/>
            <w:vAlign w:val="center"/>
          </w:tcPr>
          <w:p w14:paraId="22210829">
            <w:r>
              <w:rPr>
                <w:rFonts w:ascii="Arial" w:hAnsi="Arial" w:cs="Arial"/>
              </w:rPr>
              <w:t>▲</w:t>
            </w:r>
            <w:r>
              <w:rPr>
                <w:rFonts w:hint="eastAsia"/>
              </w:rPr>
              <w:t>CPU实配数量</w:t>
            </w:r>
          </w:p>
        </w:tc>
        <w:tc>
          <w:tcPr>
            <w:tcW w:w="4711" w:type="dxa"/>
            <w:vAlign w:val="center"/>
          </w:tcPr>
          <w:p w14:paraId="738359F4">
            <w:r>
              <w:rPr>
                <w:rFonts w:hint="eastAsia"/>
                <w:lang w:bidi="ar"/>
              </w:rPr>
              <w:t>≥2颗</w:t>
            </w:r>
          </w:p>
        </w:tc>
      </w:tr>
      <w:tr w14:paraId="283D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0418963A"/>
        </w:tc>
        <w:tc>
          <w:tcPr>
            <w:tcW w:w="1261" w:type="dxa"/>
            <w:vMerge w:val="continue"/>
            <w:vAlign w:val="center"/>
          </w:tcPr>
          <w:p w14:paraId="29E7C37C"/>
        </w:tc>
        <w:tc>
          <w:tcPr>
            <w:tcW w:w="1487" w:type="dxa"/>
            <w:vAlign w:val="center"/>
          </w:tcPr>
          <w:p w14:paraId="17252EC8">
            <w:r>
              <w:rPr>
                <w:rFonts w:hint="eastAsia"/>
              </w:rPr>
              <w:t>CPU信息</w:t>
            </w:r>
          </w:p>
        </w:tc>
        <w:tc>
          <w:tcPr>
            <w:tcW w:w="4711" w:type="dxa"/>
            <w:vAlign w:val="center"/>
          </w:tcPr>
          <w:p w14:paraId="6B91B663">
            <w:r>
              <w:rPr>
                <w:rFonts w:hint="eastAsia"/>
                <w:lang w:bidi="ar"/>
              </w:rPr>
              <w:t>供应商给出CPU信息，包含CPU型号、物理核心数、主频、末级缓存容量、线程数、热设计功耗及支持内存的最高速率；</w:t>
            </w:r>
          </w:p>
        </w:tc>
      </w:tr>
      <w:tr w14:paraId="2E6A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4443A9EF"/>
        </w:tc>
        <w:tc>
          <w:tcPr>
            <w:tcW w:w="1261" w:type="dxa"/>
            <w:vMerge w:val="continue"/>
            <w:vAlign w:val="center"/>
          </w:tcPr>
          <w:p w14:paraId="0A2DBD5F"/>
        </w:tc>
        <w:tc>
          <w:tcPr>
            <w:tcW w:w="1487" w:type="dxa"/>
            <w:vAlign w:val="center"/>
          </w:tcPr>
          <w:p w14:paraId="60157F40">
            <w:r>
              <w:rPr>
                <w:rFonts w:hint="eastAsia"/>
              </w:rPr>
              <w:t>主板内存槽数量</w:t>
            </w:r>
          </w:p>
        </w:tc>
        <w:tc>
          <w:tcPr>
            <w:tcW w:w="4711" w:type="dxa"/>
            <w:vAlign w:val="center"/>
          </w:tcPr>
          <w:p w14:paraId="26CA47AE">
            <w:r>
              <w:rPr>
                <w:rFonts w:hint="eastAsia"/>
                <w:lang w:bidi="ar"/>
              </w:rPr>
              <w:t>内存的可扩展插槽数量≥16个</w:t>
            </w:r>
          </w:p>
        </w:tc>
      </w:tr>
      <w:tr w14:paraId="4A9FA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72B0D543"/>
        </w:tc>
        <w:tc>
          <w:tcPr>
            <w:tcW w:w="1261" w:type="dxa"/>
            <w:vMerge w:val="continue"/>
            <w:vAlign w:val="center"/>
          </w:tcPr>
          <w:p w14:paraId="1DDF7C96"/>
        </w:tc>
        <w:tc>
          <w:tcPr>
            <w:tcW w:w="1487" w:type="dxa"/>
            <w:vAlign w:val="center"/>
          </w:tcPr>
          <w:p w14:paraId="18CEF274">
            <w:r>
              <w:rPr>
                <w:rFonts w:hint="eastAsia"/>
              </w:rPr>
              <w:t>主板存储接口</w:t>
            </w:r>
          </w:p>
        </w:tc>
        <w:tc>
          <w:tcPr>
            <w:tcW w:w="4711" w:type="dxa"/>
            <w:vAlign w:val="center"/>
          </w:tcPr>
          <w:p w14:paraId="0BF54F8B">
            <w:r>
              <w:rPr>
                <w:rFonts w:hint="eastAsia"/>
                <w:lang w:bidi="ar"/>
              </w:rPr>
              <w:t>支持SAS/SATA接口</w:t>
            </w:r>
          </w:p>
        </w:tc>
      </w:tr>
      <w:tr w14:paraId="61325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0D278E0"/>
        </w:tc>
        <w:tc>
          <w:tcPr>
            <w:tcW w:w="1261" w:type="dxa"/>
            <w:vMerge w:val="continue"/>
            <w:vAlign w:val="center"/>
          </w:tcPr>
          <w:p w14:paraId="3641438F"/>
        </w:tc>
        <w:tc>
          <w:tcPr>
            <w:tcW w:w="1487" w:type="dxa"/>
            <w:vAlign w:val="center"/>
          </w:tcPr>
          <w:p w14:paraId="693D97DC">
            <w:r>
              <w:rPr>
                <w:rFonts w:hint="eastAsia"/>
              </w:rPr>
              <w:t>PCIe插槽接口</w:t>
            </w:r>
          </w:p>
        </w:tc>
        <w:tc>
          <w:tcPr>
            <w:tcW w:w="4711" w:type="dxa"/>
            <w:vAlign w:val="center"/>
          </w:tcPr>
          <w:p w14:paraId="4D27CC5C">
            <w:r>
              <w:rPr>
                <w:rFonts w:hint="eastAsia"/>
                <w:lang w:bidi="ar"/>
              </w:rPr>
              <w:t>符合PCIe3.0或以上的高速串行计算机扩展总线标准，PCIe的接口速率与位宽需保证向下兼容</w:t>
            </w:r>
          </w:p>
        </w:tc>
      </w:tr>
      <w:tr w14:paraId="4484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0F52C519"/>
        </w:tc>
        <w:tc>
          <w:tcPr>
            <w:tcW w:w="1261" w:type="dxa"/>
            <w:vMerge w:val="continue"/>
            <w:vAlign w:val="center"/>
          </w:tcPr>
          <w:p w14:paraId="79E81C10"/>
        </w:tc>
        <w:tc>
          <w:tcPr>
            <w:tcW w:w="1487" w:type="dxa"/>
            <w:vAlign w:val="center"/>
          </w:tcPr>
          <w:p w14:paraId="678274EB">
            <w:r>
              <w:rPr>
                <w:rFonts w:hint="eastAsia"/>
              </w:rPr>
              <w:t>主板PCIe插槽数量及规格</w:t>
            </w:r>
          </w:p>
        </w:tc>
        <w:tc>
          <w:tcPr>
            <w:tcW w:w="4711" w:type="dxa"/>
            <w:vAlign w:val="center"/>
          </w:tcPr>
          <w:p w14:paraId="3DA6C307">
            <w:r>
              <w:rPr>
                <w:rFonts w:hint="eastAsia"/>
                <w:lang w:bidi="ar"/>
              </w:rPr>
              <w:t>标配4个及以上标准PCI插槽（不包括OCP插槽）</w:t>
            </w:r>
          </w:p>
        </w:tc>
      </w:tr>
      <w:tr w14:paraId="31844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1CE0E897"/>
        </w:tc>
        <w:tc>
          <w:tcPr>
            <w:tcW w:w="1261" w:type="dxa"/>
            <w:vMerge w:val="restart"/>
            <w:vAlign w:val="center"/>
          </w:tcPr>
          <w:p w14:paraId="0C0C7916">
            <w:r>
              <w:rPr>
                <w:rFonts w:hint="eastAsia"/>
              </w:rPr>
              <w:t>内存规格</w:t>
            </w:r>
          </w:p>
        </w:tc>
        <w:tc>
          <w:tcPr>
            <w:tcW w:w="1487" w:type="dxa"/>
            <w:vAlign w:val="center"/>
          </w:tcPr>
          <w:p w14:paraId="2A3CB9CB">
            <w:r>
              <w:rPr>
                <w:rFonts w:ascii="Arial" w:hAnsi="Arial" w:cs="Arial"/>
              </w:rPr>
              <w:t>▲</w:t>
            </w:r>
            <w:r>
              <w:rPr>
                <w:rFonts w:hint="eastAsia"/>
              </w:rPr>
              <w:t>内存数量</w:t>
            </w:r>
          </w:p>
        </w:tc>
        <w:tc>
          <w:tcPr>
            <w:tcW w:w="4711" w:type="dxa"/>
            <w:vAlign w:val="center"/>
          </w:tcPr>
          <w:p w14:paraId="4D67C0DF">
            <w:pPr>
              <w:rPr>
                <w:lang w:bidi="ar"/>
              </w:rPr>
            </w:pPr>
            <w:r>
              <w:rPr>
                <w:rFonts w:hint="eastAsia"/>
                <w:lang w:bidi="ar"/>
              </w:rPr>
              <w:t>实配总容量≥256GB</w:t>
            </w:r>
          </w:p>
          <w:p w14:paraId="546CF1DC">
            <w:pPr>
              <w:rPr>
                <w:lang w:bidi="ar"/>
              </w:rPr>
            </w:pPr>
            <w:r>
              <w:rPr>
                <w:rFonts w:hint="eastAsia"/>
                <w:lang w:bidi="ar"/>
              </w:rPr>
              <w:t>单内存模块容量为32GB时，配置内存数量≥8；</w:t>
            </w:r>
          </w:p>
          <w:p w14:paraId="17CF2653">
            <w:pPr>
              <w:rPr>
                <w:lang w:bidi="ar"/>
              </w:rPr>
            </w:pPr>
            <w:r>
              <w:rPr>
                <w:rFonts w:hint="eastAsia"/>
                <w:lang w:bidi="ar"/>
              </w:rPr>
              <w:t>单内存模块容量为64GB时，配置内存数量≥4；</w:t>
            </w:r>
          </w:p>
        </w:tc>
      </w:tr>
      <w:tr w14:paraId="08F3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12ACD234"/>
        </w:tc>
        <w:tc>
          <w:tcPr>
            <w:tcW w:w="1261" w:type="dxa"/>
            <w:vMerge w:val="continue"/>
            <w:vAlign w:val="center"/>
          </w:tcPr>
          <w:p w14:paraId="7D1D3D21"/>
        </w:tc>
        <w:tc>
          <w:tcPr>
            <w:tcW w:w="1487" w:type="dxa"/>
            <w:vAlign w:val="center"/>
          </w:tcPr>
          <w:p w14:paraId="64857109">
            <w:r>
              <w:rPr>
                <w:rFonts w:hint="eastAsia"/>
              </w:rPr>
              <w:t>内存规格</w:t>
            </w:r>
          </w:p>
        </w:tc>
        <w:tc>
          <w:tcPr>
            <w:tcW w:w="4711" w:type="dxa"/>
            <w:vAlign w:val="center"/>
          </w:tcPr>
          <w:p w14:paraId="389AFA69">
            <w:r>
              <w:rPr>
                <w:rFonts w:hint="eastAsia"/>
                <w:lang w:bidi="ar"/>
              </w:rPr>
              <w:t>≥DDR4</w:t>
            </w:r>
          </w:p>
        </w:tc>
      </w:tr>
      <w:tr w14:paraId="3AE4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8C702CE"/>
        </w:tc>
        <w:tc>
          <w:tcPr>
            <w:tcW w:w="1261" w:type="dxa"/>
            <w:vMerge w:val="restart"/>
            <w:vAlign w:val="center"/>
          </w:tcPr>
          <w:p w14:paraId="7B30DC9C">
            <w:r>
              <w:rPr>
                <w:rFonts w:hint="eastAsia"/>
              </w:rPr>
              <w:t>存储规格</w:t>
            </w:r>
          </w:p>
        </w:tc>
        <w:tc>
          <w:tcPr>
            <w:tcW w:w="1487" w:type="dxa"/>
            <w:vAlign w:val="center"/>
          </w:tcPr>
          <w:p w14:paraId="30365BF8">
            <w:r>
              <w:rPr>
                <w:rFonts w:ascii="Arial" w:hAnsi="Arial" w:cs="Arial"/>
              </w:rPr>
              <w:t>▲</w:t>
            </w:r>
            <w:r>
              <w:rPr>
                <w:rFonts w:hint="eastAsia"/>
              </w:rPr>
              <w:t>数据盘</w:t>
            </w:r>
          </w:p>
        </w:tc>
        <w:tc>
          <w:tcPr>
            <w:tcW w:w="4711" w:type="dxa"/>
            <w:vAlign w:val="center"/>
          </w:tcPr>
          <w:p w14:paraId="41B965FA">
            <w:r>
              <w:rPr>
                <w:rFonts w:hint="eastAsia"/>
                <w:lang w:bidi="ar"/>
              </w:rPr>
              <w:t>实配容量：25块SSD_7.68TB（≥6GTps）</w:t>
            </w:r>
          </w:p>
        </w:tc>
      </w:tr>
      <w:tr w14:paraId="7F0C4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3F68A9E5"/>
        </w:tc>
        <w:tc>
          <w:tcPr>
            <w:tcW w:w="1261" w:type="dxa"/>
            <w:vMerge w:val="continue"/>
            <w:vAlign w:val="center"/>
          </w:tcPr>
          <w:p w14:paraId="5EA33053"/>
        </w:tc>
        <w:tc>
          <w:tcPr>
            <w:tcW w:w="1487" w:type="dxa"/>
            <w:vAlign w:val="center"/>
          </w:tcPr>
          <w:p w14:paraId="5FD8E967">
            <w:r>
              <w:rPr>
                <w:rFonts w:ascii="Arial" w:hAnsi="Arial" w:cs="Arial"/>
              </w:rPr>
              <w:t>▲</w:t>
            </w:r>
            <w:r>
              <w:rPr>
                <w:rFonts w:hint="eastAsia"/>
              </w:rPr>
              <w:t>系统盘</w:t>
            </w:r>
          </w:p>
        </w:tc>
        <w:tc>
          <w:tcPr>
            <w:tcW w:w="4711" w:type="dxa"/>
            <w:vAlign w:val="center"/>
          </w:tcPr>
          <w:p w14:paraId="7CC33D03">
            <w:r>
              <w:rPr>
                <w:rFonts w:hint="eastAsia"/>
                <w:lang w:bidi="ar"/>
              </w:rPr>
              <w:t>实配容量：2块SSD_480GB（≥6GTps）</w:t>
            </w:r>
          </w:p>
        </w:tc>
      </w:tr>
      <w:tr w14:paraId="7FF3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9140504"/>
        </w:tc>
        <w:tc>
          <w:tcPr>
            <w:tcW w:w="1261" w:type="dxa"/>
            <w:vAlign w:val="center"/>
          </w:tcPr>
          <w:p w14:paraId="016B7B94">
            <w:r>
              <w:rPr>
                <w:rFonts w:hint="eastAsia"/>
              </w:rPr>
              <w:t>RAID卡规格</w:t>
            </w:r>
          </w:p>
        </w:tc>
        <w:tc>
          <w:tcPr>
            <w:tcW w:w="1487" w:type="dxa"/>
            <w:vAlign w:val="center"/>
          </w:tcPr>
          <w:p w14:paraId="5D38EF9D">
            <w:r>
              <w:rPr>
                <w:rFonts w:hint="eastAsia"/>
              </w:rPr>
              <w:t>RAID卡支持的SAS接口数</w:t>
            </w:r>
          </w:p>
        </w:tc>
        <w:tc>
          <w:tcPr>
            <w:tcW w:w="4711" w:type="dxa"/>
            <w:vAlign w:val="center"/>
          </w:tcPr>
          <w:p w14:paraId="5EEB06E7">
            <w:pPr>
              <w:rPr>
                <w:rFonts w:hint="eastAsia" w:eastAsia="宋体"/>
                <w:lang w:eastAsia="zh-CN"/>
              </w:rPr>
            </w:pPr>
            <w:r>
              <w:rPr>
                <w:rFonts w:hint="eastAsia"/>
                <w:lang w:bidi="ar"/>
              </w:rPr>
              <w:t>当前配置阵列卡1块，缓存≥2G；单阵列卡支SAS接口数≥</w:t>
            </w:r>
            <w:r>
              <w:rPr>
                <w:rFonts w:hint="eastAsia"/>
                <w:lang w:val="en-US" w:eastAsia="zh-CN" w:bidi="ar"/>
              </w:rPr>
              <w:t>8</w:t>
            </w:r>
          </w:p>
        </w:tc>
      </w:tr>
      <w:tr w14:paraId="0F09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5F5B796B"/>
        </w:tc>
        <w:tc>
          <w:tcPr>
            <w:tcW w:w="1261" w:type="dxa"/>
            <w:vAlign w:val="center"/>
          </w:tcPr>
          <w:p w14:paraId="35E59663">
            <w:r>
              <w:rPr>
                <w:rFonts w:hint="eastAsia"/>
              </w:rPr>
              <w:t>网络规格</w:t>
            </w:r>
          </w:p>
        </w:tc>
        <w:tc>
          <w:tcPr>
            <w:tcW w:w="1487" w:type="dxa"/>
            <w:vAlign w:val="center"/>
          </w:tcPr>
          <w:p w14:paraId="4414E198">
            <w:r>
              <w:rPr>
                <w:rFonts w:hint="eastAsia"/>
              </w:rPr>
              <w:t>网口速率和数量</w:t>
            </w:r>
          </w:p>
        </w:tc>
        <w:tc>
          <w:tcPr>
            <w:tcW w:w="4711" w:type="dxa"/>
            <w:vAlign w:val="center"/>
          </w:tcPr>
          <w:p w14:paraId="03A32D74">
            <w:r>
              <w:rPr>
                <w:rFonts w:hint="eastAsia"/>
                <w:lang w:bidi="ar"/>
              </w:rPr>
              <w:t>配置4端口千兆以太网卡，2*双端口万兆光纤以太网卡(含光模块)</w:t>
            </w:r>
          </w:p>
        </w:tc>
      </w:tr>
      <w:tr w14:paraId="6241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78CB581B"/>
        </w:tc>
        <w:tc>
          <w:tcPr>
            <w:tcW w:w="1261" w:type="dxa"/>
            <w:vMerge w:val="restart"/>
            <w:vAlign w:val="center"/>
          </w:tcPr>
          <w:p w14:paraId="14862782">
            <w:r>
              <w:rPr>
                <w:rFonts w:hint="eastAsia"/>
              </w:rPr>
              <w:t>电源规格</w:t>
            </w:r>
          </w:p>
        </w:tc>
        <w:tc>
          <w:tcPr>
            <w:tcW w:w="1487" w:type="dxa"/>
            <w:vAlign w:val="center"/>
          </w:tcPr>
          <w:p w14:paraId="608CB753">
            <w:r>
              <w:rPr>
                <w:rFonts w:hint="eastAsia"/>
              </w:rPr>
              <w:t>电源冗余模式</w:t>
            </w:r>
          </w:p>
        </w:tc>
        <w:tc>
          <w:tcPr>
            <w:tcW w:w="4711" w:type="dxa"/>
            <w:vAlign w:val="center"/>
          </w:tcPr>
          <w:p w14:paraId="175C83C0">
            <w:r>
              <w:rPr>
                <w:rFonts w:hint="eastAsia"/>
                <w:lang w:bidi="ar"/>
              </w:rPr>
              <w:t>整机电源模块按1+1冗余或N+1冗余配置</w:t>
            </w:r>
          </w:p>
        </w:tc>
      </w:tr>
      <w:tr w14:paraId="2F7DB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1A8ED2BE"/>
        </w:tc>
        <w:tc>
          <w:tcPr>
            <w:tcW w:w="1261" w:type="dxa"/>
            <w:vMerge w:val="continue"/>
            <w:vAlign w:val="center"/>
          </w:tcPr>
          <w:p w14:paraId="6729BE4C"/>
        </w:tc>
        <w:tc>
          <w:tcPr>
            <w:tcW w:w="1487" w:type="dxa"/>
            <w:vAlign w:val="center"/>
          </w:tcPr>
          <w:p w14:paraId="66E2B679">
            <w:r>
              <w:rPr>
                <w:rFonts w:ascii="Arial" w:hAnsi="Arial" w:cs="Arial"/>
              </w:rPr>
              <w:t>▲</w:t>
            </w:r>
            <w:r>
              <w:rPr>
                <w:rFonts w:hint="eastAsia"/>
              </w:rPr>
              <w:t>电源模块数量</w:t>
            </w:r>
          </w:p>
        </w:tc>
        <w:tc>
          <w:tcPr>
            <w:tcW w:w="4711" w:type="dxa"/>
            <w:vAlign w:val="center"/>
          </w:tcPr>
          <w:p w14:paraId="5F37B90C">
            <w:r>
              <w:rPr>
                <w:rFonts w:hint="eastAsia"/>
                <w:lang w:bidi="ar"/>
              </w:rPr>
              <w:t>≥2且满配</w:t>
            </w:r>
          </w:p>
        </w:tc>
      </w:tr>
      <w:tr w14:paraId="32022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E0A3227"/>
        </w:tc>
        <w:tc>
          <w:tcPr>
            <w:tcW w:w="1261" w:type="dxa"/>
            <w:vMerge w:val="continue"/>
            <w:vAlign w:val="center"/>
          </w:tcPr>
          <w:p w14:paraId="579B364E"/>
        </w:tc>
        <w:tc>
          <w:tcPr>
            <w:tcW w:w="1487" w:type="dxa"/>
            <w:vAlign w:val="center"/>
          </w:tcPr>
          <w:p w14:paraId="09FDCF6D">
            <w:r>
              <w:rPr>
                <w:rFonts w:hint="eastAsia"/>
              </w:rPr>
              <w:t>电源功率</w:t>
            </w:r>
          </w:p>
        </w:tc>
        <w:tc>
          <w:tcPr>
            <w:tcW w:w="4711" w:type="dxa"/>
            <w:vAlign w:val="center"/>
          </w:tcPr>
          <w:p w14:paraId="638FB2D4">
            <w:r>
              <w:rPr>
                <w:rFonts w:hint="eastAsia"/>
                <w:lang w:bidi="ar"/>
              </w:rPr>
              <w:t>电源模块功率应有一定冗余，满足处理器满载时的需求；整机满负载功率≤2600W</w:t>
            </w:r>
          </w:p>
        </w:tc>
      </w:tr>
      <w:tr w14:paraId="2909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restart"/>
            <w:vAlign w:val="center"/>
          </w:tcPr>
          <w:p w14:paraId="273F84E4">
            <w:r>
              <w:rPr>
                <w:rFonts w:hint="eastAsia"/>
              </w:rPr>
              <w:t>性能要求</w:t>
            </w:r>
          </w:p>
          <w:p w14:paraId="438CF88C"/>
        </w:tc>
        <w:tc>
          <w:tcPr>
            <w:tcW w:w="1261" w:type="dxa"/>
            <w:vMerge w:val="restart"/>
            <w:vAlign w:val="center"/>
          </w:tcPr>
          <w:p w14:paraId="3AE03228">
            <w:r>
              <w:rPr>
                <w:rFonts w:hint="eastAsia"/>
              </w:rPr>
              <w:t>CPU性能</w:t>
            </w:r>
          </w:p>
        </w:tc>
        <w:tc>
          <w:tcPr>
            <w:tcW w:w="1487" w:type="dxa"/>
            <w:vAlign w:val="center"/>
          </w:tcPr>
          <w:p w14:paraId="6442BFB0">
            <w:r>
              <w:rPr>
                <w:rFonts w:ascii="Arial" w:hAnsi="Arial" w:cs="Arial"/>
              </w:rPr>
              <w:t>▲</w:t>
            </w:r>
            <w:r>
              <w:rPr>
                <w:rFonts w:hint="eastAsia"/>
              </w:rPr>
              <w:t>CPU主频</w:t>
            </w:r>
          </w:p>
        </w:tc>
        <w:tc>
          <w:tcPr>
            <w:tcW w:w="4711" w:type="dxa"/>
            <w:vAlign w:val="center"/>
          </w:tcPr>
          <w:p w14:paraId="59243B0B">
            <w:r>
              <w:rPr>
                <w:rFonts w:hint="eastAsia"/>
                <w:lang w:bidi="ar"/>
              </w:rPr>
              <w:t>≥2.6GHz</w:t>
            </w:r>
          </w:p>
        </w:tc>
      </w:tr>
      <w:tr w14:paraId="710F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5E91F3D5"/>
        </w:tc>
        <w:tc>
          <w:tcPr>
            <w:tcW w:w="1261" w:type="dxa"/>
            <w:vMerge w:val="continue"/>
            <w:vAlign w:val="center"/>
          </w:tcPr>
          <w:p w14:paraId="7DBD1066"/>
        </w:tc>
        <w:tc>
          <w:tcPr>
            <w:tcW w:w="1487" w:type="dxa"/>
            <w:vAlign w:val="center"/>
          </w:tcPr>
          <w:p w14:paraId="2FDFDA1B">
            <w:r>
              <w:rPr>
                <w:rFonts w:ascii="Arial" w:hAnsi="Arial" w:cs="Arial"/>
              </w:rPr>
              <w:t>▲</w:t>
            </w:r>
            <w:r>
              <w:rPr>
                <w:rFonts w:hint="eastAsia"/>
              </w:rPr>
              <w:t>单CPU核数</w:t>
            </w:r>
          </w:p>
        </w:tc>
        <w:tc>
          <w:tcPr>
            <w:tcW w:w="4711" w:type="dxa"/>
            <w:vAlign w:val="center"/>
          </w:tcPr>
          <w:p w14:paraId="729EA1A7">
            <w:r>
              <w:rPr>
                <w:rFonts w:hint="eastAsia"/>
                <w:lang w:bidi="ar"/>
              </w:rPr>
              <w:t>≥32</w:t>
            </w:r>
          </w:p>
        </w:tc>
      </w:tr>
      <w:tr w14:paraId="4519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1AC60F5"/>
        </w:tc>
        <w:tc>
          <w:tcPr>
            <w:tcW w:w="1261" w:type="dxa"/>
            <w:vMerge w:val="continue"/>
            <w:vAlign w:val="center"/>
          </w:tcPr>
          <w:p w14:paraId="487E441C"/>
        </w:tc>
        <w:tc>
          <w:tcPr>
            <w:tcW w:w="1487" w:type="dxa"/>
            <w:vAlign w:val="center"/>
          </w:tcPr>
          <w:p w14:paraId="7A1DD639">
            <w:r>
              <w:rPr>
                <w:rFonts w:ascii="Arial" w:hAnsi="Arial" w:cs="Arial"/>
              </w:rPr>
              <w:t>▲</w:t>
            </w:r>
            <w:r>
              <w:rPr>
                <w:rFonts w:hint="eastAsia"/>
              </w:rPr>
              <w:t>单CPU末级缓存容量</w:t>
            </w:r>
          </w:p>
        </w:tc>
        <w:tc>
          <w:tcPr>
            <w:tcW w:w="4711" w:type="dxa"/>
            <w:vAlign w:val="center"/>
          </w:tcPr>
          <w:p w14:paraId="201B4F06">
            <w:r>
              <w:rPr>
                <w:rFonts w:hint="eastAsia"/>
                <w:lang w:bidi="ar"/>
              </w:rPr>
              <w:t>≥8MB</w:t>
            </w:r>
          </w:p>
        </w:tc>
      </w:tr>
      <w:tr w14:paraId="5177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AEDF478"/>
        </w:tc>
        <w:tc>
          <w:tcPr>
            <w:tcW w:w="1261" w:type="dxa"/>
            <w:vMerge w:val="restart"/>
            <w:vAlign w:val="center"/>
          </w:tcPr>
          <w:p w14:paraId="2C2DB822">
            <w:r>
              <w:rPr>
                <w:rFonts w:hint="eastAsia"/>
              </w:rPr>
              <w:t>内存性能</w:t>
            </w:r>
          </w:p>
        </w:tc>
        <w:tc>
          <w:tcPr>
            <w:tcW w:w="1487" w:type="dxa"/>
            <w:vAlign w:val="center"/>
          </w:tcPr>
          <w:p w14:paraId="532A506F">
            <w:r>
              <w:rPr>
                <w:rFonts w:hint="eastAsia"/>
              </w:rPr>
              <w:t>单内存模块容量</w:t>
            </w:r>
          </w:p>
        </w:tc>
        <w:tc>
          <w:tcPr>
            <w:tcW w:w="4711" w:type="dxa"/>
            <w:vAlign w:val="center"/>
          </w:tcPr>
          <w:p w14:paraId="0D28BB38">
            <w:r>
              <w:rPr>
                <w:rFonts w:hint="eastAsia"/>
                <w:lang w:bidi="ar"/>
              </w:rPr>
              <w:t>32GB或64GB（单内存模块容量根据用户需求提供）</w:t>
            </w:r>
          </w:p>
        </w:tc>
      </w:tr>
      <w:tr w14:paraId="5724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25172BE6"/>
        </w:tc>
        <w:tc>
          <w:tcPr>
            <w:tcW w:w="1261" w:type="dxa"/>
            <w:vMerge w:val="continue"/>
            <w:vAlign w:val="center"/>
          </w:tcPr>
          <w:p w14:paraId="6BB573EE"/>
        </w:tc>
        <w:tc>
          <w:tcPr>
            <w:tcW w:w="1487" w:type="dxa"/>
            <w:vAlign w:val="center"/>
          </w:tcPr>
          <w:p w14:paraId="6218C4FC">
            <w:r>
              <w:rPr>
                <w:rFonts w:hint="eastAsia"/>
              </w:rPr>
              <w:t>内存速率</w:t>
            </w:r>
          </w:p>
        </w:tc>
        <w:tc>
          <w:tcPr>
            <w:tcW w:w="4711" w:type="dxa"/>
            <w:vAlign w:val="center"/>
          </w:tcPr>
          <w:p w14:paraId="003244E6">
            <w:r>
              <w:rPr>
                <w:rFonts w:hint="eastAsia"/>
                <w:lang w:bidi="ar"/>
              </w:rPr>
              <w:t>≥2933MT/s</w:t>
            </w:r>
          </w:p>
        </w:tc>
      </w:tr>
      <w:tr w14:paraId="5E7AC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7E2ACCB1"/>
        </w:tc>
        <w:tc>
          <w:tcPr>
            <w:tcW w:w="1261" w:type="dxa"/>
            <w:vAlign w:val="center"/>
          </w:tcPr>
          <w:p w14:paraId="13177285">
            <w:r>
              <w:rPr>
                <w:rFonts w:hint="eastAsia"/>
              </w:rPr>
              <w:t>RAID卡性能</w:t>
            </w:r>
          </w:p>
        </w:tc>
        <w:tc>
          <w:tcPr>
            <w:tcW w:w="1487" w:type="dxa"/>
            <w:vAlign w:val="center"/>
          </w:tcPr>
          <w:p w14:paraId="3C5FCE9F">
            <w:r>
              <w:rPr>
                <w:rFonts w:ascii="Arial" w:hAnsi="Arial" w:cs="Arial"/>
              </w:rPr>
              <w:t>▲</w:t>
            </w:r>
            <w:r>
              <w:rPr>
                <w:rFonts w:hint="eastAsia"/>
              </w:rPr>
              <w:t>RAID卡缓存容量大小</w:t>
            </w:r>
          </w:p>
        </w:tc>
        <w:tc>
          <w:tcPr>
            <w:tcW w:w="4711" w:type="dxa"/>
            <w:vAlign w:val="center"/>
          </w:tcPr>
          <w:p w14:paraId="5E211C1D">
            <w:r>
              <w:rPr>
                <w:rFonts w:hint="eastAsia"/>
                <w:lang w:bidi="ar"/>
              </w:rPr>
              <w:t>RAID卡缓存≥2GB</w:t>
            </w:r>
          </w:p>
        </w:tc>
      </w:tr>
      <w:tr w14:paraId="1BE0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38ACDE00"/>
        </w:tc>
        <w:tc>
          <w:tcPr>
            <w:tcW w:w="1261" w:type="dxa"/>
            <w:vAlign w:val="center"/>
          </w:tcPr>
          <w:p w14:paraId="112DF542">
            <w:r>
              <w:rPr>
                <w:rFonts w:hint="eastAsia"/>
              </w:rPr>
              <w:t>电源能耗</w:t>
            </w:r>
          </w:p>
        </w:tc>
        <w:tc>
          <w:tcPr>
            <w:tcW w:w="1487" w:type="dxa"/>
            <w:vAlign w:val="center"/>
          </w:tcPr>
          <w:p w14:paraId="0AFEAB22">
            <w:r>
              <w:rPr>
                <w:rFonts w:ascii="Arial" w:hAnsi="Arial" w:cs="Arial"/>
              </w:rPr>
              <w:t>▲</w:t>
            </w:r>
            <w:r>
              <w:rPr>
                <w:rFonts w:hint="eastAsia"/>
              </w:rPr>
              <w:t>电源能耗</w:t>
            </w:r>
          </w:p>
        </w:tc>
        <w:tc>
          <w:tcPr>
            <w:tcW w:w="4711" w:type="dxa"/>
            <w:vAlign w:val="center"/>
          </w:tcPr>
          <w:p w14:paraId="05968476">
            <w:r>
              <w:rPr>
                <w:rFonts w:hint="eastAsia"/>
                <w:lang w:bidi="ar"/>
              </w:rPr>
              <w:t>符合GB/T9813.3的有关规定</w:t>
            </w:r>
          </w:p>
        </w:tc>
      </w:tr>
      <w:tr w14:paraId="6CF76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8522" w:type="dxa"/>
            <w:gridSpan w:val="4"/>
            <w:vAlign w:val="center"/>
          </w:tcPr>
          <w:p w14:paraId="37374746">
            <w:r>
              <w:rPr>
                <w:rFonts w:hint="eastAsia"/>
              </w:rPr>
              <w:t>功能要求</w:t>
            </w:r>
          </w:p>
        </w:tc>
      </w:tr>
      <w:tr w14:paraId="02D3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Align w:val="center"/>
          </w:tcPr>
          <w:p w14:paraId="54A7C908">
            <w:r>
              <w:rPr>
                <w:rFonts w:hint="eastAsia"/>
              </w:rPr>
              <w:t>安全要求</w:t>
            </w:r>
          </w:p>
        </w:tc>
        <w:tc>
          <w:tcPr>
            <w:tcW w:w="7459" w:type="dxa"/>
            <w:gridSpan w:val="3"/>
            <w:vAlign w:val="center"/>
          </w:tcPr>
          <w:p w14:paraId="442D93BA">
            <w:pPr>
              <w:rPr>
                <w:lang w:bidi="ar"/>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49E0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restart"/>
            <w:vAlign w:val="center"/>
          </w:tcPr>
          <w:p w14:paraId="58427AA0">
            <w:r>
              <w:rPr>
                <w:rFonts w:hint="eastAsia"/>
              </w:rPr>
              <w:t>存储架构</w:t>
            </w:r>
          </w:p>
        </w:tc>
        <w:tc>
          <w:tcPr>
            <w:tcW w:w="7459" w:type="dxa"/>
            <w:gridSpan w:val="3"/>
            <w:vAlign w:val="center"/>
          </w:tcPr>
          <w:p w14:paraId="3CDF4BBE">
            <w:r>
              <w:rPr>
                <w:rFonts w:hint="eastAsia"/>
              </w:rPr>
              <w:t>▲存储分为硬件和软件两个部分，软件部分按容量进行统一授权，同时提供块、文件、对象服务，软件一次授权终身使用，快照、缓存加速池等高级功能全部免费开放，无需重复付费。需提供承诺函并加盖厂家公章；</w:t>
            </w:r>
          </w:p>
        </w:tc>
      </w:tr>
      <w:tr w14:paraId="1608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208CBA8E"/>
        </w:tc>
        <w:tc>
          <w:tcPr>
            <w:tcW w:w="7459" w:type="dxa"/>
            <w:gridSpan w:val="3"/>
            <w:vAlign w:val="center"/>
          </w:tcPr>
          <w:p w14:paraId="4729706F">
            <w:r>
              <w:rPr>
                <w:rFonts w:hint="eastAsia"/>
              </w:rPr>
              <w:t>采用全对称分布式架构，元数据和数据的融合部署到存储节点上，不需要使用独立管理节点（元数据节点或索引节点）；元数据、数据均采用集群方式部署，任何一个节点出现故障，不影响数据的正常访问。</w:t>
            </w:r>
          </w:p>
        </w:tc>
      </w:tr>
      <w:tr w14:paraId="2F72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F65C9A3"/>
        </w:tc>
        <w:tc>
          <w:tcPr>
            <w:tcW w:w="7459" w:type="dxa"/>
            <w:gridSpan w:val="3"/>
            <w:vAlign w:val="center"/>
          </w:tcPr>
          <w:p w14:paraId="62BC4314">
            <w:r>
              <w:rPr>
                <w:rFonts w:hint="eastAsia"/>
              </w:rPr>
              <w:t>支持FC SCSI、iSCSI两种块存储接口。</w:t>
            </w:r>
          </w:p>
        </w:tc>
      </w:tr>
      <w:tr w14:paraId="6CE3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6A3E77FD"/>
        </w:tc>
        <w:tc>
          <w:tcPr>
            <w:tcW w:w="7459" w:type="dxa"/>
            <w:gridSpan w:val="3"/>
            <w:vAlign w:val="center"/>
          </w:tcPr>
          <w:p w14:paraId="36919CD0">
            <w:r>
              <w:rPr>
                <w:rFonts w:hint="eastAsia"/>
              </w:rPr>
              <w:t>同时提供NFS、CIFS、FTP三种存储接口，无须在应用层安装插件，减少业务系统改造成本，满足不同应用系统对存储接口的要求。</w:t>
            </w:r>
          </w:p>
        </w:tc>
      </w:tr>
      <w:tr w14:paraId="3EF6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704280E1"/>
        </w:tc>
        <w:tc>
          <w:tcPr>
            <w:tcW w:w="7459" w:type="dxa"/>
            <w:gridSpan w:val="3"/>
            <w:vAlign w:val="center"/>
          </w:tcPr>
          <w:p w14:paraId="0388047F">
            <w:r>
              <w:rPr>
                <w:rFonts w:hint="eastAsia"/>
              </w:rPr>
              <w:t>使用三个存储节点组建一个存储集群，同一系统中同时提供文件、块、对象三种存储服务，统一管理，资源灵活分配</w:t>
            </w:r>
          </w:p>
        </w:tc>
      </w:tr>
      <w:tr w14:paraId="7F621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restart"/>
            <w:vAlign w:val="center"/>
          </w:tcPr>
          <w:p w14:paraId="728563AD">
            <w:r>
              <w:rPr>
                <w:rFonts w:hint="eastAsia"/>
              </w:rPr>
              <w:t>存储数据保护</w:t>
            </w:r>
          </w:p>
        </w:tc>
        <w:tc>
          <w:tcPr>
            <w:tcW w:w="7459" w:type="dxa"/>
            <w:gridSpan w:val="3"/>
            <w:vAlign w:val="center"/>
          </w:tcPr>
          <w:p w14:paraId="5A36A544">
            <w:r>
              <w:rPr>
                <w:rFonts w:hint="eastAsia"/>
              </w:rPr>
              <w:t>节点内的数据盘具备自动均衡的能力，当集群使用率在80%以上时，数据盘的容量差异不超过0.1%</w:t>
            </w:r>
          </w:p>
        </w:tc>
      </w:tr>
      <w:tr w14:paraId="2AEC0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4DFD8787"/>
        </w:tc>
        <w:tc>
          <w:tcPr>
            <w:tcW w:w="7459" w:type="dxa"/>
            <w:gridSpan w:val="3"/>
            <w:vAlign w:val="center"/>
          </w:tcPr>
          <w:p w14:paraId="35A6EE79">
            <w:r>
              <w:rPr>
                <w:rFonts w:hint="eastAsia"/>
              </w:rPr>
              <w:t>支持为文件夹开启WORM保护功能，文件进入被保护状态后只能被读取，无法被修改或删除，对关键数据实行写保护，杜绝病毒破坏，非法篡改。内置WORM独立时钟系统，被保护文件不会因系统时间变化而提前退出保护状态。</w:t>
            </w:r>
          </w:p>
        </w:tc>
      </w:tr>
      <w:tr w14:paraId="6D5F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222962E9"/>
        </w:tc>
        <w:tc>
          <w:tcPr>
            <w:tcW w:w="7459" w:type="dxa"/>
            <w:gridSpan w:val="3"/>
            <w:vAlign w:val="center"/>
          </w:tcPr>
          <w:p w14:paraId="04873F57">
            <w:r>
              <w:rPr>
                <w:rFonts w:hint="eastAsia"/>
              </w:rPr>
              <w:t>支持配置Chap认证，支持单向认证、双向认证和不认证多种认证方式。</w:t>
            </w:r>
          </w:p>
        </w:tc>
      </w:tr>
      <w:tr w14:paraId="3116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2F6D1FCF"/>
        </w:tc>
        <w:tc>
          <w:tcPr>
            <w:tcW w:w="7459" w:type="dxa"/>
            <w:gridSpan w:val="3"/>
            <w:vAlign w:val="center"/>
          </w:tcPr>
          <w:p w14:paraId="0A8F738F">
            <w:r>
              <w:rPr>
                <w:rFonts w:hint="eastAsia"/>
              </w:rPr>
              <w:t>提供定时快照保护，支持按照时间点、时间段为LUN或一致性组设置定时快照策略，实现数据的本地定时备份</w:t>
            </w:r>
          </w:p>
        </w:tc>
      </w:tr>
      <w:tr w14:paraId="3C312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493D5A19"/>
        </w:tc>
        <w:tc>
          <w:tcPr>
            <w:tcW w:w="7459" w:type="dxa"/>
            <w:gridSpan w:val="3"/>
            <w:vAlign w:val="center"/>
          </w:tcPr>
          <w:p w14:paraId="787BC546">
            <w:r>
              <w:rPr>
                <w:rFonts w:hint="eastAsia"/>
              </w:rPr>
              <w:t>支持文件审计功能，通过该功能可以在管理平台方便的查看文件上传、复制、重命名和删除等相关操作的日志，从而在文件状态出现异常时，可以通过此功能进行追溯</w:t>
            </w:r>
          </w:p>
        </w:tc>
      </w:tr>
      <w:tr w14:paraId="21C2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restart"/>
            <w:vAlign w:val="center"/>
          </w:tcPr>
          <w:p w14:paraId="54090EAB">
            <w:r>
              <w:rPr>
                <w:rFonts w:hint="eastAsia"/>
              </w:rPr>
              <w:t>系统功能</w:t>
            </w:r>
          </w:p>
        </w:tc>
        <w:tc>
          <w:tcPr>
            <w:tcW w:w="7459" w:type="dxa"/>
            <w:gridSpan w:val="3"/>
            <w:vAlign w:val="center"/>
          </w:tcPr>
          <w:p w14:paraId="08CD6EED">
            <w:r>
              <w:rPr>
                <w:rFonts w:hint="eastAsia"/>
              </w:rPr>
              <w:t>支持卷克隆、卷拷贝、卷迁移，如从低性能资源池迁移至高性能池</w:t>
            </w:r>
          </w:p>
        </w:tc>
      </w:tr>
      <w:tr w14:paraId="5FF2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Merge w:val="continue"/>
            <w:vAlign w:val="center"/>
          </w:tcPr>
          <w:p w14:paraId="47E144F7"/>
        </w:tc>
        <w:tc>
          <w:tcPr>
            <w:tcW w:w="7459" w:type="dxa"/>
            <w:gridSpan w:val="3"/>
            <w:vAlign w:val="center"/>
          </w:tcPr>
          <w:p w14:paraId="1BA26DC0">
            <w:pPr>
              <w:rPr>
                <w:rStyle w:val="80"/>
              </w:rPr>
            </w:pPr>
            <w:r>
              <w:rPr>
                <w:rFonts w:hint="eastAsia"/>
              </w:rPr>
              <w:t>对象存储桶提供多版本能力，开启多版本后，桶中的对象都以多版本形式存储。同时，可自定策略删除多版本数据，从而清理过期数据，释放被占用空间。</w:t>
            </w:r>
          </w:p>
        </w:tc>
      </w:tr>
      <w:tr w14:paraId="1EDD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Align w:val="center"/>
          </w:tcPr>
          <w:p w14:paraId="6B501A2C">
            <w:r>
              <w:rPr>
                <w:rFonts w:hint="eastAsia"/>
              </w:rPr>
              <w:t>质保要求</w:t>
            </w:r>
          </w:p>
        </w:tc>
        <w:tc>
          <w:tcPr>
            <w:tcW w:w="7459" w:type="dxa"/>
            <w:gridSpan w:val="3"/>
            <w:vAlign w:val="center"/>
          </w:tcPr>
          <w:p w14:paraId="61D24B93">
            <w:r>
              <w:rPr>
                <w:rFonts w:hint="eastAsia"/>
              </w:rPr>
              <w:t>质保期间免费提供原厂软件升级、规则库升级、技术服务支持及设备保修服务。</w:t>
            </w:r>
            <w:r>
              <w:t>硬盘质保更换不返还。</w:t>
            </w:r>
          </w:p>
        </w:tc>
      </w:tr>
      <w:tr w14:paraId="56DD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63" w:type="dxa"/>
            <w:vAlign w:val="center"/>
          </w:tcPr>
          <w:p w14:paraId="1A6BC9A5">
            <w:r>
              <w:rPr>
                <w:rFonts w:hint="eastAsia"/>
              </w:rPr>
              <w:t>产品资质</w:t>
            </w:r>
          </w:p>
        </w:tc>
        <w:tc>
          <w:tcPr>
            <w:tcW w:w="7459" w:type="dxa"/>
            <w:gridSpan w:val="3"/>
            <w:vAlign w:val="center"/>
          </w:tcPr>
          <w:p w14:paraId="2345B951">
            <w:r>
              <w:rPr>
                <w:rFonts w:ascii="Arial" w:hAnsi="Arial" w:cs="Arial"/>
              </w:rPr>
              <w:t>▲</w:t>
            </w:r>
            <w:r>
              <w:rPr>
                <w:rFonts w:hint="eastAsia"/>
              </w:rPr>
              <w:t>产品具备由中华人民共和国国家版权局颁发的计算机软件著作权登记证书。</w:t>
            </w:r>
          </w:p>
        </w:tc>
      </w:tr>
    </w:tbl>
    <w:p w14:paraId="20A42805"/>
    <w:p w14:paraId="03658384"/>
    <w:p w14:paraId="07A31AE5">
      <w:pPr>
        <w:pStyle w:val="5"/>
      </w:pPr>
      <w:bookmarkStart w:id="14" w:name="_Toc6403"/>
      <w:r>
        <w:rPr>
          <w:rFonts w:hint="eastAsia"/>
        </w:rPr>
        <w:t>正向隔离装置</w:t>
      </w:r>
      <w:bookmarkEnd w:id="14"/>
    </w:p>
    <w:tbl>
      <w:tblPr>
        <w:tblStyle w:val="2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9"/>
        <w:gridCol w:w="1518"/>
        <w:gridCol w:w="5749"/>
      </w:tblGrid>
      <w:tr w14:paraId="63C52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47" w:type="dxa"/>
            <w:gridSpan w:val="2"/>
          </w:tcPr>
          <w:p w14:paraId="19C6E6DB">
            <w:pPr>
              <w:spacing w:before="156" w:after="156"/>
              <w:ind w:firstLine="0" w:firstLineChars="0"/>
              <w:jc w:val="center"/>
            </w:pPr>
            <w:r>
              <w:rPr>
                <w:rFonts w:hint="eastAsia"/>
              </w:rPr>
              <w:t>项目</w:t>
            </w:r>
          </w:p>
        </w:tc>
        <w:tc>
          <w:tcPr>
            <w:tcW w:w="5749" w:type="dxa"/>
          </w:tcPr>
          <w:p w14:paraId="6DE259AD">
            <w:pPr>
              <w:spacing w:before="156" w:after="156"/>
              <w:ind w:firstLine="0" w:firstLineChars="0"/>
            </w:pPr>
            <w:r>
              <w:rPr>
                <w:rFonts w:hint="eastAsia"/>
              </w:rPr>
              <w:t>技术指标（正向隔离装置）</w:t>
            </w:r>
          </w:p>
        </w:tc>
      </w:tr>
      <w:tr w14:paraId="46E20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9" w:type="dxa"/>
            <w:vMerge w:val="restart"/>
            <w:vAlign w:val="center"/>
          </w:tcPr>
          <w:p w14:paraId="350E27CD">
            <w:pPr>
              <w:spacing w:before="156" w:after="156"/>
              <w:ind w:firstLine="0" w:firstLineChars="0"/>
              <w:jc w:val="center"/>
            </w:pPr>
            <w:r>
              <w:rPr>
                <w:rFonts w:hint="eastAsia"/>
              </w:rPr>
              <w:t>基本要求</w:t>
            </w:r>
          </w:p>
        </w:tc>
        <w:tc>
          <w:tcPr>
            <w:tcW w:w="1518" w:type="dxa"/>
            <w:vMerge w:val="restart"/>
            <w:vAlign w:val="center"/>
          </w:tcPr>
          <w:p w14:paraId="47BAEE40">
            <w:pPr>
              <w:ind w:left="0" w:leftChars="0" w:firstLine="0" w:firstLineChars="0"/>
              <w:rPr>
                <w:rFonts w:hint="eastAsia"/>
              </w:rPr>
            </w:pPr>
            <w:r>
              <w:rPr>
                <w:rFonts w:hint="eastAsia"/>
              </w:rPr>
              <w:t>安全要求</w:t>
            </w:r>
          </w:p>
        </w:tc>
        <w:tc>
          <w:tcPr>
            <w:tcW w:w="5749" w:type="dxa"/>
            <w:shd w:val="clear" w:color="auto" w:fill="auto"/>
            <w:vAlign w:val="center"/>
          </w:tcPr>
          <w:p w14:paraId="3A8D0518">
            <w:pPr>
              <w:ind w:left="0" w:leftChars="0" w:firstLine="0" w:firstLineChars="0"/>
              <w:rPr>
                <w:rFonts w:hint="eastAsia" w:ascii="Times New Roman" w:hAnsi="Times New Roman" w:eastAsia="宋体" w:cs="Times New Roman"/>
                <w:b/>
                <w:bCs/>
                <w:kern w:val="2"/>
                <w:sz w:val="24"/>
                <w:szCs w:val="24"/>
                <w:lang w:val="en-US" w:eastAsia="zh-CN" w:bidi="ar-SA"/>
              </w:rPr>
            </w:pPr>
            <w:r>
              <w:rPr>
                <w:rFonts w:hint="eastAsia"/>
                <w:b/>
                <w:bCs/>
                <w:lang w:eastAsia="zh-CN"/>
              </w:rPr>
              <w:t>★安全可靠要求：</w:t>
            </w:r>
            <w:r>
              <w:rPr>
                <w:rFonts w:hint="eastAsia"/>
                <w:lang w:val="en-US" w:eastAsia="zh-CN"/>
              </w:rPr>
              <w:t>所有产品使用的CPU、DRAM颗粒、Flash、</w:t>
            </w:r>
            <w:r>
              <w:rPr>
                <w:rFonts w:hint="eastAsia"/>
                <w:lang w:eastAsia="zh-CN"/>
              </w:rPr>
              <w:t>网卡芯片</w:t>
            </w:r>
            <w:r>
              <w:rPr>
                <w:rFonts w:hint="eastAsia"/>
                <w:lang w:val="en-US" w:eastAsia="zh-CN"/>
              </w:rPr>
              <w:t>、</w:t>
            </w:r>
            <w:r>
              <w:rPr>
                <w:rFonts w:hint="eastAsia"/>
              </w:rPr>
              <w:t>加密芯片、FPGA</w:t>
            </w:r>
            <w:r>
              <w:rPr>
                <w:rFonts w:hint="eastAsia"/>
                <w:lang w:val="en-US" w:eastAsia="zh-CN"/>
              </w:rPr>
              <w:t>等配置信息须同时提供安全可靠芯片证明材料及承诺函</w:t>
            </w:r>
            <w:r>
              <w:rPr>
                <w:rFonts w:hint="eastAsia"/>
                <w:lang w:eastAsia="zh-CN"/>
              </w:rPr>
              <w:t>（见附件</w:t>
            </w:r>
            <w:r>
              <w:rPr>
                <w:rFonts w:hint="eastAsia"/>
                <w:lang w:val="en-US" w:eastAsia="zh-CN"/>
              </w:rPr>
              <w:t>一</w:t>
            </w:r>
            <w:r>
              <w:rPr>
                <w:rFonts w:hint="eastAsia"/>
                <w:lang w:eastAsia="zh-CN"/>
              </w:rPr>
              <w:t>及相关附表）。</w:t>
            </w:r>
          </w:p>
        </w:tc>
      </w:tr>
      <w:tr w14:paraId="636B3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9" w:type="dxa"/>
            <w:vMerge w:val="continue"/>
            <w:vAlign w:val="center"/>
          </w:tcPr>
          <w:p w14:paraId="1E167527">
            <w:pPr>
              <w:spacing w:before="156" w:after="156"/>
              <w:ind w:firstLine="0" w:firstLineChars="0"/>
              <w:jc w:val="center"/>
              <w:rPr>
                <w:rFonts w:hint="eastAsia"/>
              </w:rPr>
            </w:pPr>
          </w:p>
        </w:tc>
        <w:tc>
          <w:tcPr>
            <w:tcW w:w="1518" w:type="dxa"/>
            <w:vMerge w:val="continue"/>
            <w:vAlign w:val="center"/>
          </w:tcPr>
          <w:p w14:paraId="76EA7F28">
            <w:pPr>
              <w:ind w:firstLine="420" w:firstLineChars="200"/>
              <w:rPr>
                <w:rFonts w:hint="eastAsia"/>
              </w:rPr>
            </w:pPr>
          </w:p>
        </w:tc>
        <w:tc>
          <w:tcPr>
            <w:tcW w:w="5749" w:type="dxa"/>
            <w:shd w:val="clear" w:color="auto" w:fill="auto"/>
            <w:vAlign w:val="center"/>
          </w:tcPr>
          <w:p w14:paraId="741D1FC6">
            <w:pPr>
              <w:spacing w:before="156" w:after="156"/>
              <w:ind w:firstLine="0" w:firstLineChars="0"/>
              <w:rPr>
                <w:rFonts w:hint="eastAsia"/>
                <w:color w:val="auto"/>
                <w:highlight w:val="none"/>
                <w:lang w:val="en-US" w:eastAsia="zh-CN"/>
              </w:rPr>
            </w:pPr>
            <w:r>
              <w:rPr>
                <w:rFonts w:hint="eastAsia"/>
              </w:rPr>
              <w:t>▲</w:t>
            </w:r>
            <w:r>
              <w:rPr>
                <w:rFonts w:hint="eastAsia"/>
                <w:color w:val="auto"/>
                <w:highlight w:val="none"/>
                <w:lang w:val="en-US" w:eastAsia="zh-CN"/>
              </w:rPr>
              <w:t>装置运行环境必须为代码可控的国产操作系统，系统须通过安全等级鉴定，并提供检验检测报告。</w:t>
            </w:r>
          </w:p>
        </w:tc>
      </w:tr>
      <w:tr w14:paraId="012F0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9" w:type="dxa"/>
            <w:vMerge w:val="continue"/>
            <w:vAlign w:val="center"/>
          </w:tcPr>
          <w:p w14:paraId="340E2D66">
            <w:pPr>
              <w:spacing w:before="156" w:after="156"/>
              <w:ind w:firstLine="0" w:firstLineChars="0"/>
              <w:jc w:val="center"/>
            </w:pPr>
          </w:p>
        </w:tc>
        <w:tc>
          <w:tcPr>
            <w:tcW w:w="1518" w:type="dxa"/>
            <w:vAlign w:val="center"/>
          </w:tcPr>
          <w:p w14:paraId="213B56A2">
            <w:pPr>
              <w:spacing w:before="156" w:after="156"/>
              <w:ind w:firstLine="0" w:firstLineChars="0"/>
              <w:jc w:val="both"/>
              <w:rPr>
                <w:rFonts w:hint="default" w:eastAsia="宋体"/>
                <w:lang w:val="en-US" w:eastAsia="zh-CN"/>
              </w:rPr>
            </w:pPr>
            <w:r>
              <w:rPr>
                <w:rFonts w:hint="eastAsia"/>
                <w:lang w:val="en-US" w:eastAsia="zh-CN"/>
              </w:rPr>
              <w:t>硬件及功能要求</w:t>
            </w:r>
          </w:p>
        </w:tc>
        <w:tc>
          <w:tcPr>
            <w:tcW w:w="5749" w:type="dxa"/>
          </w:tcPr>
          <w:p w14:paraId="79DE388D">
            <w:pPr>
              <w:spacing w:before="156" w:after="156"/>
              <w:ind w:firstLine="0" w:firstLineChars="0"/>
            </w:pPr>
            <w:r>
              <w:rPr>
                <w:rFonts w:hint="eastAsia"/>
                <w:lang w:val="en-US" w:eastAsia="zh-CN"/>
              </w:rPr>
              <w:t>1</w:t>
            </w:r>
            <w:r>
              <w:rPr>
                <w:rFonts w:hint="eastAsia"/>
              </w:rPr>
              <w:t xml:space="preserve">、千兆物理隔离； </w:t>
            </w:r>
          </w:p>
          <w:p w14:paraId="5E2A937E">
            <w:pPr>
              <w:spacing w:before="156" w:after="156"/>
              <w:ind w:firstLine="0" w:firstLineChars="0"/>
            </w:pPr>
            <w:r>
              <w:rPr>
                <w:rFonts w:hint="eastAsia"/>
                <w:lang w:val="en-US" w:eastAsia="zh-CN"/>
              </w:rPr>
              <w:t>2</w:t>
            </w:r>
            <w:r>
              <w:rPr>
                <w:rFonts w:hint="eastAsia"/>
              </w:rPr>
              <w:t>、机架式安装；</w:t>
            </w:r>
          </w:p>
          <w:p w14:paraId="76C92C61">
            <w:pPr>
              <w:spacing w:before="156" w:after="156"/>
              <w:ind w:firstLine="0" w:firstLineChars="0"/>
              <w:rPr>
                <w:highlight w:val="none"/>
              </w:rPr>
            </w:pPr>
            <w:bookmarkStart w:id="33" w:name="_GoBack"/>
            <w:r>
              <w:rPr>
                <w:rFonts w:hint="eastAsia"/>
                <w:highlight w:val="none"/>
                <w:lang w:val="en-US" w:eastAsia="zh-CN"/>
              </w:rPr>
              <w:t>3</w:t>
            </w:r>
            <w:r>
              <w:rPr>
                <w:rFonts w:hint="eastAsia"/>
                <w:highlight w:val="none"/>
              </w:rPr>
              <w:t>、具备电力专用安全防护设备的检测证明；</w:t>
            </w:r>
          </w:p>
          <w:bookmarkEnd w:id="33"/>
          <w:p w14:paraId="0BDB6A6E">
            <w:pPr>
              <w:ind w:left="0" w:leftChars="0" w:firstLine="0" w:firstLineChars="0"/>
            </w:pPr>
            <w:r>
              <w:rPr>
                <w:rFonts w:hint="eastAsia"/>
              </w:rPr>
              <w:t>★</w:t>
            </w:r>
            <w:r>
              <w:rPr>
                <w:rFonts w:hint="eastAsia"/>
                <w:lang w:val="en-US" w:eastAsia="zh-CN"/>
              </w:rPr>
              <w:t>4</w:t>
            </w:r>
            <w:r>
              <w:rPr>
                <w:rFonts w:hint="eastAsia"/>
              </w:rPr>
              <w:t>、具备公安部颁发的网络安全专用产品安全检测证书</w:t>
            </w:r>
          </w:p>
          <w:p w14:paraId="180ACCA3">
            <w:pPr>
              <w:spacing w:before="156" w:after="156"/>
              <w:ind w:firstLine="0" w:firstLineChars="0"/>
            </w:pPr>
            <w:r>
              <w:rPr>
                <w:rFonts w:hint="eastAsia"/>
              </w:rPr>
              <w:t>▲</w:t>
            </w:r>
            <w:r>
              <w:rPr>
                <w:rFonts w:hint="eastAsia"/>
                <w:lang w:val="en-US" w:eastAsia="zh-CN"/>
              </w:rPr>
              <w:t>5</w:t>
            </w:r>
            <w:r>
              <w:rPr>
                <w:rFonts w:hint="eastAsia"/>
              </w:rPr>
              <w:t>、采用非INTE指令系统（及兼容）的国产化微处理器芯片构筑内外网隔离系统；</w:t>
            </w:r>
          </w:p>
          <w:p w14:paraId="7ED9B2A9">
            <w:pPr>
              <w:spacing w:before="156" w:after="156"/>
              <w:ind w:firstLine="0" w:firstLineChars="0"/>
            </w:pPr>
            <w:r>
              <w:rPr>
                <w:rFonts w:ascii="Arial" w:hAnsi="Arial" w:cs="Arial"/>
              </w:rPr>
              <w:t>▲</w:t>
            </w:r>
            <w:r>
              <w:rPr>
                <w:rFonts w:hint="eastAsia"/>
                <w:lang w:val="en-US" w:eastAsia="zh-CN"/>
              </w:rPr>
              <w:t>6</w:t>
            </w:r>
            <w:r>
              <w:rPr>
                <w:rFonts w:hint="eastAsia"/>
              </w:rPr>
              <w:t>、嵌入式安全操作系统，去除TCP/IP协议栈及其他不需要的系统服务；</w:t>
            </w:r>
          </w:p>
          <w:p w14:paraId="7B316AA6">
            <w:pPr>
              <w:spacing w:before="156" w:after="156"/>
              <w:ind w:firstLine="0" w:firstLineChars="0"/>
            </w:pPr>
            <w:r>
              <w:rPr>
                <w:rFonts w:hint="eastAsia"/>
                <w:lang w:val="en-US" w:eastAsia="zh-CN"/>
              </w:rPr>
              <w:t>7</w:t>
            </w:r>
            <w:r>
              <w:rPr>
                <w:rFonts w:hint="eastAsia"/>
              </w:rPr>
              <w:t>、能抵御除DoS以外的已知的网络攻击；</w:t>
            </w:r>
          </w:p>
          <w:p w14:paraId="606C44DD">
            <w:pPr>
              <w:spacing w:before="156" w:after="156"/>
              <w:ind w:firstLine="0" w:firstLineChars="0"/>
            </w:pPr>
            <w:r>
              <w:rPr>
                <w:rFonts w:hint="eastAsia"/>
                <w:lang w:val="en-US" w:eastAsia="zh-CN"/>
              </w:rPr>
              <w:t>8</w:t>
            </w:r>
            <w:r>
              <w:rPr>
                <w:rFonts w:hint="eastAsia"/>
              </w:rPr>
              <w:t>、数据单向传输，1bit返回信息；</w:t>
            </w:r>
          </w:p>
          <w:p w14:paraId="0BFECC06">
            <w:pPr>
              <w:spacing w:before="156" w:after="156"/>
              <w:ind w:firstLine="0" w:firstLineChars="0"/>
            </w:pPr>
            <w:r>
              <w:rPr>
                <w:rFonts w:hint="eastAsia"/>
                <w:lang w:val="en-US" w:eastAsia="zh-CN"/>
              </w:rPr>
              <w:t>9、</w:t>
            </w:r>
            <w:r>
              <w:rPr>
                <w:rFonts w:hint="eastAsia"/>
              </w:rPr>
              <w:t>透明工作方式：虚拟主机IP地址、隐藏MAC地址；</w:t>
            </w:r>
          </w:p>
          <w:p w14:paraId="33999273">
            <w:pPr>
              <w:spacing w:before="156" w:after="156"/>
              <w:ind w:firstLine="0" w:firstLineChars="0"/>
            </w:pPr>
            <w:r>
              <w:rPr>
                <w:rFonts w:hint="eastAsia"/>
              </w:rPr>
              <w:t>1</w:t>
            </w:r>
            <w:r>
              <w:rPr>
                <w:rFonts w:hint="eastAsia"/>
                <w:lang w:val="en-US" w:eastAsia="zh-CN"/>
              </w:rPr>
              <w:t>0</w:t>
            </w:r>
            <w:r>
              <w:rPr>
                <w:rFonts w:hint="eastAsia"/>
              </w:rPr>
              <w:t>、基于MAC、IP、传输协议、传输端口及通信方向的综合报文过滤与访问控制；</w:t>
            </w:r>
          </w:p>
          <w:p w14:paraId="6CCEB016">
            <w:pPr>
              <w:spacing w:before="156" w:after="156"/>
              <w:ind w:firstLine="0" w:firstLineChars="0"/>
            </w:pPr>
            <w:r>
              <w:rPr>
                <w:rFonts w:hint="eastAsia"/>
              </w:rPr>
              <w:t>1</w:t>
            </w:r>
            <w:r>
              <w:rPr>
                <w:rFonts w:hint="eastAsia"/>
                <w:lang w:val="en-US" w:eastAsia="zh-CN"/>
              </w:rPr>
              <w:t>1</w:t>
            </w:r>
            <w:r>
              <w:rPr>
                <w:rFonts w:hint="eastAsia"/>
              </w:rPr>
              <w:t>、支持NAT；</w:t>
            </w:r>
          </w:p>
          <w:p w14:paraId="6A3632D8">
            <w:pPr>
              <w:spacing w:before="156" w:after="156"/>
              <w:ind w:firstLine="0" w:firstLineChars="0"/>
            </w:pPr>
            <w:r>
              <w:rPr>
                <w:rFonts w:hint="eastAsia"/>
              </w:rPr>
              <w:t>1</w:t>
            </w:r>
            <w:r>
              <w:rPr>
                <w:rFonts w:hint="eastAsia"/>
                <w:lang w:val="en-US" w:eastAsia="zh-CN"/>
              </w:rPr>
              <w:t>2</w:t>
            </w:r>
            <w:r>
              <w:rPr>
                <w:rFonts w:hint="eastAsia"/>
              </w:rPr>
              <w:t>、防止穿透性TCP联接；</w:t>
            </w:r>
          </w:p>
          <w:p w14:paraId="0BB19834">
            <w:pPr>
              <w:spacing w:before="156" w:after="156"/>
              <w:ind w:firstLine="0" w:firstLineChars="0"/>
            </w:pPr>
            <w:r>
              <w:rPr>
                <w:rFonts w:hint="eastAsia"/>
              </w:rPr>
              <w:t>1</w:t>
            </w:r>
            <w:r>
              <w:rPr>
                <w:rFonts w:hint="eastAsia"/>
                <w:lang w:val="en-US" w:eastAsia="zh-CN"/>
              </w:rPr>
              <w:t>3</w:t>
            </w:r>
            <w:r>
              <w:rPr>
                <w:rFonts w:hint="eastAsia"/>
              </w:rPr>
              <w:t>、具有可定制的应用层解析功能，支持应用层特殊标记识别；</w:t>
            </w:r>
          </w:p>
          <w:p w14:paraId="7B7853AE">
            <w:pPr>
              <w:spacing w:before="156" w:after="156"/>
              <w:ind w:firstLine="0" w:firstLineChars="0"/>
            </w:pPr>
            <w:r>
              <w:rPr>
                <w:rFonts w:hint="eastAsia"/>
              </w:rPr>
              <w:t>1</w:t>
            </w:r>
            <w:r>
              <w:rPr>
                <w:rFonts w:hint="eastAsia"/>
                <w:lang w:val="en-US" w:eastAsia="zh-CN"/>
              </w:rPr>
              <w:t>4</w:t>
            </w:r>
            <w:r>
              <w:rPr>
                <w:rFonts w:hint="eastAsia"/>
              </w:rPr>
              <w:t>、配置冗余电源，支持双机热备；</w:t>
            </w:r>
          </w:p>
          <w:p w14:paraId="7B8DD026">
            <w:pPr>
              <w:spacing w:before="156" w:after="156"/>
              <w:ind w:firstLine="0" w:firstLineChars="0"/>
              <w:rPr>
                <w:rFonts w:hint="eastAsia"/>
                <w:highlight w:val="none"/>
              </w:rPr>
            </w:pPr>
            <w:r>
              <w:rPr>
                <w:rFonts w:hint="eastAsia"/>
              </w:rPr>
              <w:t>1</w:t>
            </w:r>
            <w:r>
              <w:rPr>
                <w:rFonts w:hint="eastAsia"/>
                <w:lang w:val="en-US" w:eastAsia="zh-CN"/>
              </w:rPr>
              <w:t>5</w:t>
            </w:r>
            <w:r>
              <w:rPr>
                <w:rFonts w:hint="eastAsia"/>
              </w:rPr>
              <w:t>、支持“单进单出”、“双进单出”、“双进双出”等多种</w:t>
            </w:r>
            <w:r>
              <w:rPr>
                <w:rFonts w:hint="eastAsia"/>
                <w:highlight w:val="none"/>
              </w:rPr>
              <w:t>连接方式；</w:t>
            </w:r>
          </w:p>
          <w:p w14:paraId="5EEAF35B">
            <w:pPr>
              <w:spacing w:before="156" w:after="156"/>
              <w:ind w:firstLine="0" w:firstLineChars="0"/>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、并发联接数≥3000；</w:t>
            </w:r>
          </w:p>
          <w:p w14:paraId="3CC4F76C">
            <w:pPr>
              <w:spacing w:before="156" w:after="156"/>
              <w:ind w:firstLine="0" w:firstLineChars="0"/>
              <w:rPr>
                <w:rFonts w:hint="eastAsia"/>
                <w:highlight w:val="none"/>
              </w:rPr>
            </w:pPr>
            <w:r>
              <w:rPr>
                <w:rFonts w:ascii="Arial" w:hAnsi="Arial" w:cs="Arial"/>
                <w:highlight w:val="none"/>
              </w:rPr>
              <w:t>▲</w:t>
            </w:r>
            <w:r>
              <w:rPr>
                <w:rFonts w:hint="eastAsia"/>
                <w:color w:val="auto"/>
                <w:highlight w:val="none"/>
              </w:rPr>
              <w:t>1</w:t>
            </w:r>
            <w:r>
              <w:rPr>
                <w:rFonts w:hint="eastAsia"/>
                <w:color w:val="auto"/>
                <w:highlight w:val="none"/>
                <w:lang w:val="en-US" w:eastAsia="zh-CN"/>
              </w:rPr>
              <w:t>8</w:t>
            </w:r>
            <w:r>
              <w:rPr>
                <w:rFonts w:hint="eastAsia"/>
                <w:color w:val="auto"/>
                <w:highlight w:val="none"/>
              </w:rPr>
              <w:t>、数据包吞吐</w:t>
            </w:r>
            <w:r>
              <w:rPr>
                <w:rFonts w:hint="eastAsia"/>
                <w:color w:val="auto"/>
                <w:highlight w:val="none"/>
                <w:lang w:val="en-US" w:eastAsia="zh-CN"/>
              </w:rPr>
              <w:t>率</w:t>
            </w:r>
            <w:r>
              <w:rPr>
                <w:rFonts w:hint="eastAsia"/>
                <w:color w:val="auto"/>
                <w:highlight w:val="none"/>
              </w:rPr>
              <w:t>≥</w:t>
            </w:r>
            <w:r>
              <w:rPr>
                <w:rFonts w:hint="eastAsia"/>
                <w:color w:val="auto"/>
                <w:highlight w:val="none"/>
                <w:lang w:val="en-US" w:eastAsia="zh-CN"/>
              </w:rPr>
              <w:t>1</w:t>
            </w:r>
            <w:r>
              <w:rPr>
                <w:rFonts w:hint="eastAsia"/>
                <w:color w:val="auto"/>
                <w:highlight w:val="none"/>
              </w:rPr>
              <w:t xml:space="preserve">000Mbps </w:t>
            </w:r>
            <w:r>
              <w:rPr>
                <w:rFonts w:hint="eastAsia"/>
                <w:color w:val="auto"/>
                <w:highlight w:val="none"/>
                <w:lang w:eastAsia="zh-CN"/>
              </w:rPr>
              <w:t>；</w:t>
            </w:r>
          </w:p>
          <w:p w14:paraId="0A1A375B">
            <w:pPr>
              <w:spacing w:before="156" w:after="156"/>
              <w:ind w:firstLine="0" w:firstLineChars="0"/>
            </w:pPr>
            <w:r>
              <w:rPr>
                <w:rFonts w:hint="eastAsia"/>
                <w:lang w:val="en-US" w:eastAsia="zh-CN"/>
              </w:rPr>
              <w:t>19</w:t>
            </w:r>
            <w:r>
              <w:rPr>
                <w:rFonts w:hint="eastAsia"/>
              </w:rPr>
              <w:t>、数据包转发延迟：＜1ms；</w:t>
            </w:r>
          </w:p>
          <w:p w14:paraId="35FABE38">
            <w:pPr>
              <w:spacing w:before="156" w:after="156"/>
              <w:ind w:firstLine="0" w:firstLineChars="0"/>
            </w:pPr>
            <w:r>
              <w:rPr>
                <w:rFonts w:hint="eastAsia"/>
              </w:rPr>
              <w:t>▲</w:t>
            </w:r>
            <w:r>
              <w:rPr>
                <w:rFonts w:hint="eastAsia"/>
                <w:lang w:val="en-US" w:eastAsia="zh-CN"/>
              </w:rPr>
              <w:t>20</w:t>
            </w:r>
            <w:r>
              <w:rPr>
                <w:rFonts w:hint="eastAsia"/>
              </w:rPr>
              <w:t>、网络接口：1000M接口≥2个（内网）</w:t>
            </w:r>
            <w:r>
              <w:rPr>
                <w:rFonts w:hint="eastAsia"/>
                <w:lang w:eastAsia="zh-CN"/>
              </w:rPr>
              <w:t>；</w:t>
            </w:r>
            <w:r>
              <w:rPr>
                <w:rFonts w:hint="eastAsia"/>
              </w:rPr>
              <w:t>1000M接口≥2个（外网）</w:t>
            </w:r>
            <w:r>
              <w:rPr>
                <w:rFonts w:hint="eastAsia"/>
                <w:lang w:eastAsia="zh-CN"/>
              </w:rPr>
              <w:t>；</w:t>
            </w:r>
            <w:r>
              <w:rPr>
                <w:rFonts w:hint="eastAsia"/>
              </w:rPr>
              <w:t>1000M双机热备接口≥1个；</w:t>
            </w:r>
          </w:p>
          <w:p w14:paraId="739C76F6">
            <w:pPr>
              <w:spacing w:before="156" w:after="156"/>
              <w:ind w:firstLine="0" w:firstLineChars="0"/>
              <w:rPr>
                <w:rFonts w:hint="eastAsia" w:eastAsia="宋体"/>
                <w:highlight w:val="none"/>
                <w:lang w:eastAsia="zh-CN"/>
              </w:rPr>
            </w:pPr>
            <w:r>
              <w:rPr>
                <w:rFonts w:hint="eastAsia"/>
                <w:highlight w:val="none"/>
                <w:lang w:val="en-US" w:eastAsia="zh-CN"/>
              </w:rPr>
              <w:t>21</w:t>
            </w:r>
            <w:r>
              <w:rPr>
                <w:rFonts w:hint="eastAsia"/>
                <w:highlight w:val="none"/>
              </w:rPr>
              <w:t>、外设接口：RS232接口≥</w:t>
            </w:r>
            <w:r>
              <w:rPr>
                <w:rFonts w:hint="eastAsia"/>
                <w:highlight w:val="none"/>
                <w:lang w:val="en-US" w:eastAsia="zh-CN"/>
              </w:rPr>
              <w:t>1</w:t>
            </w:r>
            <w:r>
              <w:rPr>
                <w:rFonts w:hint="eastAsia"/>
                <w:highlight w:val="none"/>
              </w:rPr>
              <w:t>个</w:t>
            </w:r>
            <w:r>
              <w:rPr>
                <w:rFonts w:hint="eastAsia"/>
                <w:highlight w:val="none"/>
                <w:lang w:eastAsia="zh-CN"/>
              </w:rPr>
              <w:t>；</w:t>
            </w:r>
          </w:p>
          <w:p w14:paraId="0E75BF18">
            <w:pPr>
              <w:spacing w:before="156" w:after="156"/>
              <w:ind w:firstLine="0" w:firstLineChars="0"/>
            </w:pPr>
            <w:r>
              <w:rPr>
                <w:rFonts w:hint="eastAsia"/>
              </w:rPr>
              <w:t>2</w:t>
            </w:r>
            <w:r>
              <w:rPr>
                <w:rFonts w:hint="eastAsia"/>
                <w:lang w:val="en-US" w:eastAsia="zh-CN"/>
              </w:rPr>
              <w:t>2</w:t>
            </w:r>
            <w:r>
              <w:rPr>
                <w:rFonts w:hint="eastAsia"/>
              </w:rPr>
              <w:t>、数据包转发延迟小于10ms(100%负荷)；</w:t>
            </w:r>
          </w:p>
          <w:p w14:paraId="5C949CC8">
            <w:pPr>
              <w:spacing w:before="156" w:after="156"/>
              <w:ind w:firstLine="0" w:firstLineChars="0"/>
            </w:pPr>
            <w:r>
              <w:rPr>
                <w:rFonts w:hint="eastAsia"/>
              </w:rPr>
              <w:t>2</w:t>
            </w:r>
            <w:r>
              <w:rPr>
                <w:rFonts w:hint="eastAsia"/>
                <w:lang w:val="en-US" w:eastAsia="zh-CN"/>
              </w:rPr>
              <w:t>3</w:t>
            </w:r>
            <w:r>
              <w:rPr>
                <w:rFonts w:hint="eastAsia"/>
              </w:rPr>
              <w:t>、满负荷数据包丢弃率为0；</w:t>
            </w:r>
          </w:p>
          <w:p w14:paraId="33681A4D">
            <w:pPr>
              <w:spacing w:before="156" w:after="156"/>
              <w:ind w:firstLine="0" w:firstLineChars="0"/>
            </w:pPr>
            <w:r>
              <w:rPr>
                <w:rFonts w:hint="eastAsia"/>
              </w:rPr>
              <w:t>2</w:t>
            </w:r>
            <w:r>
              <w:rPr>
                <w:rFonts w:hint="eastAsia"/>
                <w:lang w:val="en-US" w:eastAsia="zh-CN"/>
              </w:rPr>
              <w:t>4</w:t>
            </w:r>
            <w:r>
              <w:rPr>
                <w:rFonts w:hint="eastAsia"/>
              </w:rPr>
              <w:t>、平均无故障时间大于60000小时（100％负荷）；</w:t>
            </w:r>
          </w:p>
          <w:p w14:paraId="24A934F1">
            <w:pPr>
              <w:spacing w:before="156" w:after="156"/>
              <w:ind w:firstLine="0" w:firstLineChars="0"/>
            </w:pPr>
            <w:r>
              <w:rPr>
                <w:rFonts w:hint="eastAsia"/>
              </w:rPr>
              <w:t>2</w:t>
            </w:r>
            <w:r>
              <w:rPr>
                <w:rFonts w:hint="eastAsia"/>
                <w:lang w:val="en-US" w:eastAsia="zh-CN"/>
              </w:rPr>
              <w:t>5</w:t>
            </w:r>
            <w:r>
              <w:rPr>
                <w:rFonts w:hint="eastAsia"/>
              </w:rPr>
              <w:t>、电源：220V±30% 50HZ±0.5%；</w:t>
            </w:r>
          </w:p>
        </w:tc>
      </w:tr>
      <w:tr w14:paraId="62F4D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9" w:type="dxa"/>
            <w:vAlign w:val="center"/>
          </w:tcPr>
          <w:p w14:paraId="6E9A1233">
            <w:pPr>
              <w:ind w:left="0" w:leftChars="0" w:firstLine="0" w:firstLineChars="0"/>
              <w:jc w:val="center"/>
              <w:rPr>
                <w:rFonts w:hint="eastAsia"/>
              </w:rPr>
            </w:pPr>
            <w:r>
              <w:rPr>
                <w:rFonts w:hint="eastAsia"/>
              </w:rPr>
              <w:t>质保要求</w:t>
            </w:r>
          </w:p>
        </w:tc>
        <w:tc>
          <w:tcPr>
            <w:tcW w:w="1518" w:type="dxa"/>
            <w:vAlign w:val="center"/>
          </w:tcPr>
          <w:p w14:paraId="74C9B0CF">
            <w:pPr>
              <w:ind w:firstLine="420" w:firstLineChars="200"/>
              <w:rPr>
                <w:rFonts w:hint="eastAsia"/>
              </w:rPr>
            </w:pPr>
            <w:r>
              <w:rPr>
                <w:rFonts w:hint="eastAsia"/>
              </w:rPr>
              <w:t>质保要求</w:t>
            </w:r>
          </w:p>
        </w:tc>
        <w:tc>
          <w:tcPr>
            <w:tcW w:w="5749" w:type="dxa"/>
          </w:tcPr>
          <w:p w14:paraId="2903E2D7">
            <w:pPr>
              <w:numPr>
                <w:ilvl w:val="0"/>
                <w:numId w:val="0"/>
              </w:numPr>
              <w:spacing w:before="156" w:after="156"/>
              <w:ind w:leftChars="0"/>
              <w:rPr>
                <w:rFonts w:hint="eastAsia"/>
              </w:rPr>
            </w:pPr>
            <w:r>
              <w:rPr>
                <w:rFonts w:hint="eastAsia" w:hAnsi="宋体"/>
                <w:sz w:val="21"/>
                <w:szCs w:val="21"/>
              </w:rPr>
              <w:t>质保期内免费提供规则库升级、设备修理、系统版本升级、漏洞修复及原厂技术支持服务。</w:t>
            </w:r>
          </w:p>
        </w:tc>
      </w:tr>
    </w:tbl>
    <w:p w14:paraId="3C59EF26"/>
    <w:p w14:paraId="7F5107EF">
      <w:pPr>
        <w:pStyle w:val="5"/>
      </w:pPr>
      <w:bookmarkStart w:id="15" w:name="_Toc25111"/>
      <w:r>
        <w:rPr>
          <w:rFonts w:hint="eastAsia"/>
        </w:rPr>
        <w:t>反向隔离装置</w:t>
      </w:r>
      <w:bookmarkEnd w:id="15"/>
    </w:p>
    <w:tbl>
      <w:tblPr>
        <w:tblStyle w:val="2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9"/>
        <w:gridCol w:w="1508"/>
        <w:gridCol w:w="5749"/>
      </w:tblGrid>
      <w:tr w14:paraId="7EED2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47" w:type="dxa"/>
            <w:gridSpan w:val="2"/>
          </w:tcPr>
          <w:p w14:paraId="12920C39">
            <w:pPr>
              <w:spacing w:before="156" w:after="156"/>
              <w:ind w:firstLine="0" w:firstLineChars="0"/>
            </w:pPr>
            <w:r>
              <w:rPr>
                <w:rFonts w:hint="eastAsia"/>
              </w:rPr>
              <w:t>项目</w:t>
            </w:r>
          </w:p>
        </w:tc>
        <w:tc>
          <w:tcPr>
            <w:tcW w:w="5749" w:type="dxa"/>
          </w:tcPr>
          <w:p w14:paraId="12B9F15E">
            <w:pPr>
              <w:spacing w:before="156" w:after="156"/>
              <w:ind w:firstLine="0" w:firstLineChars="0"/>
            </w:pPr>
            <w:r>
              <w:t>技术要求</w:t>
            </w:r>
            <w:r>
              <w:rPr>
                <w:rFonts w:hint="eastAsia"/>
              </w:rPr>
              <w:t>（</w:t>
            </w:r>
            <w:r>
              <w:rPr>
                <w:rFonts w:hint="eastAsia"/>
                <w:lang w:val="en-US" w:eastAsia="zh-CN"/>
              </w:rPr>
              <w:t>反</w:t>
            </w:r>
            <w:r>
              <w:rPr>
                <w:rFonts w:hint="eastAsia"/>
              </w:rPr>
              <w:t>向隔离装置）</w:t>
            </w:r>
          </w:p>
        </w:tc>
      </w:tr>
      <w:tr w14:paraId="61933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9" w:type="dxa"/>
            <w:vMerge w:val="restart"/>
            <w:vAlign w:val="center"/>
          </w:tcPr>
          <w:p w14:paraId="42396A61">
            <w:pPr>
              <w:spacing w:before="156" w:after="156"/>
              <w:ind w:firstLine="0" w:firstLineChars="0"/>
              <w:jc w:val="center"/>
              <w:rPr>
                <w:rFonts w:hint="default" w:eastAsia="宋体"/>
                <w:lang w:val="en-US" w:eastAsia="zh-CN"/>
              </w:rPr>
            </w:pPr>
            <w:r>
              <w:rPr>
                <w:rFonts w:hint="eastAsia"/>
                <w:lang w:val="en-US" w:eastAsia="zh-CN"/>
              </w:rPr>
              <w:t>基本要求</w:t>
            </w:r>
          </w:p>
        </w:tc>
        <w:tc>
          <w:tcPr>
            <w:tcW w:w="1508" w:type="dxa"/>
            <w:vMerge w:val="restart"/>
            <w:vAlign w:val="center"/>
          </w:tcPr>
          <w:p w14:paraId="769FA3D1">
            <w:pPr>
              <w:spacing w:before="156" w:after="156"/>
              <w:ind w:firstLine="0" w:firstLineChars="0"/>
              <w:jc w:val="both"/>
              <w:rPr>
                <w:rFonts w:hint="eastAsia"/>
              </w:rPr>
            </w:pPr>
            <w:r>
              <w:rPr>
                <w:rFonts w:hint="eastAsia"/>
              </w:rPr>
              <w:t>安全要求</w:t>
            </w:r>
          </w:p>
        </w:tc>
        <w:tc>
          <w:tcPr>
            <w:tcW w:w="5749" w:type="dxa"/>
          </w:tcPr>
          <w:p w14:paraId="00F192CD">
            <w:pPr>
              <w:spacing w:before="156" w:after="156"/>
              <w:ind w:firstLine="0" w:firstLineChars="0"/>
              <w:rPr>
                <w:rFonts w:hint="eastAsia"/>
              </w:rPr>
            </w:pPr>
            <w:r>
              <w:rPr>
                <w:rFonts w:hint="eastAsia"/>
                <w:b/>
                <w:bCs/>
                <w:lang w:eastAsia="zh-CN"/>
              </w:rPr>
              <w:t>★安全可靠要求：</w:t>
            </w:r>
            <w:r>
              <w:rPr>
                <w:rFonts w:hint="eastAsia"/>
                <w:lang w:val="en-US" w:eastAsia="zh-CN"/>
              </w:rPr>
              <w:t>所有产品使用的CPU、DRAM颗粒、Flash、</w:t>
            </w:r>
            <w:r>
              <w:rPr>
                <w:rFonts w:hint="eastAsia"/>
                <w:lang w:eastAsia="zh-CN"/>
              </w:rPr>
              <w:t>网卡芯片</w:t>
            </w:r>
            <w:r>
              <w:rPr>
                <w:rFonts w:hint="eastAsia"/>
                <w:lang w:val="en-US" w:eastAsia="zh-CN"/>
              </w:rPr>
              <w:t>、</w:t>
            </w:r>
            <w:r>
              <w:rPr>
                <w:rFonts w:hint="eastAsia"/>
              </w:rPr>
              <w:t>加密芯片、FPGA</w:t>
            </w:r>
            <w:r>
              <w:rPr>
                <w:rFonts w:hint="eastAsia"/>
                <w:lang w:val="en-US" w:eastAsia="zh-CN"/>
              </w:rPr>
              <w:t>等配置信息须同时提供安全可靠芯片证明材料及承诺函</w:t>
            </w:r>
            <w:r>
              <w:rPr>
                <w:rFonts w:hint="eastAsia"/>
                <w:lang w:eastAsia="zh-CN"/>
              </w:rPr>
              <w:t>（见附件</w:t>
            </w:r>
            <w:r>
              <w:rPr>
                <w:rFonts w:hint="eastAsia"/>
                <w:lang w:val="en-US" w:eastAsia="zh-CN"/>
              </w:rPr>
              <w:t>一</w:t>
            </w:r>
            <w:r>
              <w:rPr>
                <w:rFonts w:hint="eastAsia"/>
                <w:lang w:eastAsia="zh-CN"/>
              </w:rPr>
              <w:t>及相关附表）。</w:t>
            </w:r>
          </w:p>
        </w:tc>
      </w:tr>
      <w:tr w14:paraId="3922D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9" w:type="dxa"/>
            <w:vMerge w:val="continue"/>
          </w:tcPr>
          <w:p w14:paraId="44E2402B">
            <w:pPr>
              <w:spacing w:before="156" w:after="156"/>
              <w:ind w:firstLine="0" w:firstLineChars="0"/>
              <w:rPr>
                <w:rFonts w:hint="eastAsia"/>
              </w:rPr>
            </w:pPr>
          </w:p>
        </w:tc>
        <w:tc>
          <w:tcPr>
            <w:tcW w:w="1508" w:type="dxa"/>
            <w:vMerge w:val="continue"/>
          </w:tcPr>
          <w:p w14:paraId="6009CAEA">
            <w:pPr>
              <w:spacing w:before="156" w:after="156"/>
              <w:ind w:firstLine="0" w:firstLineChars="0"/>
              <w:rPr>
                <w:rFonts w:hint="eastAsia"/>
              </w:rPr>
            </w:pPr>
          </w:p>
        </w:tc>
        <w:tc>
          <w:tcPr>
            <w:tcW w:w="5749" w:type="dxa"/>
          </w:tcPr>
          <w:p w14:paraId="74EAF19F">
            <w:pPr>
              <w:spacing w:before="156" w:after="156"/>
              <w:ind w:firstLine="0" w:firstLineChars="0"/>
              <w:rPr>
                <w:rFonts w:hint="eastAsia"/>
              </w:rPr>
            </w:pPr>
            <w:r>
              <w:rPr>
                <w:rFonts w:hint="eastAsia"/>
              </w:rPr>
              <w:t>▲</w:t>
            </w:r>
            <w:r>
              <w:rPr>
                <w:rFonts w:hint="eastAsia"/>
                <w:color w:val="auto"/>
                <w:highlight w:val="none"/>
                <w:lang w:val="en-US" w:eastAsia="zh-CN"/>
              </w:rPr>
              <w:t>装置运行环境必须为代码可控的国产操作系统，系统须通过安全等级鉴定，并提供检验检测报告。</w:t>
            </w:r>
          </w:p>
        </w:tc>
      </w:tr>
      <w:tr w14:paraId="67A83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9" w:type="dxa"/>
            <w:vMerge w:val="continue"/>
          </w:tcPr>
          <w:p w14:paraId="5541D361">
            <w:pPr>
              <w:spacing w:before="156" w:after="156"/>
              <w:ind w:firstLine="0" w:firstLineChars="0"/>
            </w:pPr>
          </w:p>
        </w:tc>
        <w:tc>
          <w:tcPr>
            <w:tcW w:w="1508" w:type="dxa"/>
            <w:vAlign w:val="center"/>
          </w:tcPr>
          <w:p w14:paraId="6E1A09FF">
            <w:pPr>
              <w:spacing w:before="156" w:after="156"/>
              <w:ind w:firstLine="0" w:firstLineChars="0"/>
              <w:jc w:val="both"/>
            </w:pPr>
            <w:r>
              <w:rPr>
                <w:rFonts w:hint="eastAsia" w:ascii="Times New Roman" w:eastAsia="宋体"/>
                <w:lang w:val="en-US" w:eastAsia="zh-CN"/>
              </w:rPr>
              <w:t>硬件及功能要求</w:t>
            </w:r>
          </w:p>
        </w:tc>
        <w:tc>
          <w:tcPr>
            <w:tcW w:w="5749" w:type="dxa"/>
          </w:tcPr>
          <w:p w14:paraId="38FF1787">
            <w:pPr>
              <w:spacing w:before="156" w:after="156"/>
              <w:ind w:firstLine="0" w:firstLineChars="0"/>
            </w:pPr>
            <w:r>
              <w:rPr>
                <w:rFonts w:hint="eastAsia"/>
                <w:lang w:val="en-US" w:eastAsia="zh-CN"/>
              </w:rPr>
              <w:t>1</w:t>
            </w:r>
            <w:r>
              <w:rPr>
                <w:rFonts w:hint="eastAsia"/>
              </w:rPr>
              <w:t>、千兆物理隔离；</w:t>
            </w:r>
          </w:p>
          <w:p w14:paraId="11841E71">
            <w:pPr>
              <w:spacing w:before="156" w:after="156"/>
              <w:ind w:firstLine="0" w:firstLineChars="0"/>
            </w:pPr>
            <w:r>
              <w:rPr>
                <w:rFonts w:hint="eastAsia"/>
                <w:lang w:val="en-US" w:eastAsia="zh-CN"/>
              </w:rPr>
              <w:t>2</w:t>
            </w:r>
            <w:r>
              <w:rPr>
                <w:rFonts w:hint="eastAsia"/>
              </w:rPr>
              <w:t>、机架式安装；</w:t>
            </w:r>
          </w:p>
          <w:p w14:paraId="5601951F">
            <w:pPr>
              <w:spacing w:before="156" w:after="156"/>
              <w:ind w:firstLine="0" w:firstLineChars="0"/>
            </w:pPr>
            <w:r>
              <w:rPr>
                <w:rFonts w:hint="eastAsia"/>
                <w:lang w:val="en-US" w:eastAsia="zh-CN"/>
              </w:rPr>
              <w:t>3</w:t>
            </w:r>
            <w:r>
              <w:rPr>
                <w:rFonts w:hint="eastAsia"/>
              </w:rPr>
              <w:t>、具备电力专用安全防护设备的检测证明；</w:t>
            </w:r>
          </w:p>
          <w:p w14:paraId="701973E6">
            <w:pPr>
              <w:spacing w:before="156" w:after="156"/>
              <w:ind w:firstLine="0" w:firstLineChars="0"/>
              <w:rPr>
                <w:rFonts w:hint="eastAsia" w:eastAsia="宋体"/>
                <w:lang w:eastAsia="zh-CN"/>
              </w:rPr>
            </w:pPr>
            <w:r>
              <w:rPr>
                <w:rFonts w:hint="eastAsia"/>
              </w:rPr>
              <w:t>★</w:t>
            </w:r>
            <w:r>
              <w:rPr>
                <w:rFonts w:hint="eastAsia"/>
                <w:lang w:val="en-US" w:eastAsia="zh-CN"/>
              </w:rPr>
              <w:t>4</w:t>
            </w:r>
            <w:r>
              <w:rPr>
                <w:rFonts w:hint="eastAsia"/>
              </w:rPr>
              <w:t>、具备公安部颁发的网络安全专用产品安全检测证书</w:t>
            </w:r>
            <w:r>
              <w:rPr>
                <w:rFonts w:hint="eastAsia"/>
                <w:lang w:eastAsia="zh-CN"/>
              </w:rPr>
              <w:t>；</w:t>
            </w:r>
          </w:p>
          <w:p w14:paraId="02335DB8">
            <w:pPr>
              <w:spacing w:before="156" w:after="156"/>
              <w:ind w:firstLine="0" w:firstLineChars="0"/>
              <w:rPr>
                <w:rFonts w:hint="eastAsia" w:eastAsia="宋体"/>
                <w:lang w:eastAsia="zh-CN"/>
              </w:rPr>
            </w:pPr>
            <w:r>
              <w:rPr>
                <w:rFonts w:hint="eastAsia"/>
              </w:rPr>
              <w:t>★</w:t>
            </w:r>
            <w:r>
              <w:rPr>
                <w:rFonts w:hint="eastAsia"/>
                <w:lang w:val="en-US" w:eastAsia="zh-CN"/>
              </w:rPr>
              <w:t>5</w:t>
            </w:r>
            <w:r>
              <w:rPr>
                <w:rFonts w:hint="eastAsia"/>
              </w:rPr>
              <w:t>、反向隔离装置必须具备国家密码管理局颁发的密 码检测证书</w:t>
            </w:r>
            <w:r>
              <w:rPr>
                <w:rFonts w:hint="eastAsia"/>
                <w:lang w:eastAsia="zh-CN"/>
              </w:rPr>
              <w:t>；</w:t>
            </w:r>
          </w:p>
          <w:p w14:paraId="77F33FF0">
            <w:pPr>
              <w:spacing w:before="156" w:after="156"/>
              <w:ind w:firstLine="0" w:firstLineChars="0"/>
            </w:pPr>
            <w:r>
              <w:rPr>
                <w:rFonts w:hint="eastAsia"/>
              </w:rPr>
              <w:t>▲</w:t>
            </w:r>
            <w:r>
              <w:rPr>
                <w:rFonts w:hint="eastAsia"/>
                <w:lang w:val="en-US" w:eastAsia="zh-CN"/>
              </w:rPr>
              <w:t>6</w:t>
            </w:r>
            <w:r>
              <w:rPr>
                <w:rFonts w:hint="eastAsia"/>
              </w:rPr>
              <w:t>、采用非INTEL指令系统（及兼容）的RISC微处理器构筑内外网隔离系统；</w:t>
            </w:r>
          </w:p>
          <w:p w14:paraId="2CB10139">
            <w:pPr>
              <w:spacing w:before="156" w:after="156"/>
              <w:ind w:firstLine="0" w:firstLineChars="0"/>
            </w:pPr>
            <w:r>
              <w:rPr>
                <w:rFonts w:ascii="Arial" w:hAnsi="Arial" w:cs="Arial"/>
              </w:rPr>
              <w:t>▲</w:t>
            </w:r>
            <w:r>
              <w:rPr>
                <w:rFonts w:hint="eastAsia"/>
                <w:lang w:val="en-US" w:eastAsia="zh-CN"/>
              </w:rPr>
              <w:t>7</w:t>
            </w:r>
            <w:r>
              <w:rPr>
                <w:rFonts w:hint="eastAsia"/>
              </w:rPr>
              <w:t>、嵌入式安全操作系统，去除TCP/IP协议栈及其他不需要的系统服务；</w:t>
            </w:r>
          </w:p>
          <w:p w14:paraId="2D20A081">
            <w:pPr>
              <w:spacing w:before="156" w:after="156"/>
              <w:ind w:firstLine="0" w:firstLineChars="0"/>
            </w:pPr>
            <w:r>
              <w:rPr>
                <w:rFonts w:hint="eastAsia"/>
                <w:lang w:val="en-US" w:eastAsia="zh-CN"/>
              </w:rPr>
              <w:t>8</w:t>
            </w:r>
            <w:r>
              <w:rPr>
                <w:rFonts w:hint="eastAsia"/>
              </w:rPr>
              <w:t>、能抵御除DoS以外的已知的网络攻击；</w:t>
            </w:r>
          </w:p>
          <w:p w14:paraId="13F35256">
            <w:pPr>
              <w:spacing w:before="156" w:after="156"/>
              <w:ind w:firstLine="0" w:firstLineChars="0"/>
            </w:pPr>
            <w:r>
              <w:rPr>
                <w:rFonts w:hint="eastAsia"/>
                <w:lang w:val="en-US" w:eastAsia="zh-CN"/>
              </w:rPr>
              <w:t>9</w:t>
            </w:r>
            <w:r>
              <w:rPr>
                <w:rFonts w:hint="eastAsia"/>
              </w:rPr>
              <w:t>、具有应用网关功能，实现应用数据的接收与转发；</w:t>
            </w:r>
          </w:p>
          <w:p w14:paraId="13E9659E">
            <w:pPr>
              <w:spacing w:before="156" w:after="156"/>
              <w:ind w:firstLine="0" w:firstLineChars="0"/>
            </w:pPr>
            <w:r>
              <w:rPr>
                <w:rFonts w:hint="eastAsia"/>
              </w:rPr>
              <w:t>1</w:t>
            </w:r>
            <w:r>
              <w:rPr>
                <w:rFonts w:hint="eastAsia"/>
                <w:lang w:val="en-US" w:eastAsia="zh-CN"/>
              </w:rPr>
              <w:t>0</w:t>
            </w:r>
            <w:r>
              <w:rPr>
                <w:rFonts w:hint="eastAsia"/>
              </w:rPr>
              <w:t>、具有基于数字证书的数据签名/解签名功能，具有电力加密算法进行数字加密功能；</w:t>
            </w:r>
          </w:p>
          <w:p w14:paraId="58D62E07">
            <w:pPr>
              <w:spacing w:before="156" w:after="156"/>
              <w:ind w:firstLine="0" w:firstLineChars="0"/>
            </w:pPr>
            <w:r>
              <w:rPr>
                <w:rFonts w:hint="eastAsia"/>
              </w:rPr>
              <w:t>1</w:t>
            </w:r>
            <w:r>
              <w:rPr>
                <w:rFonts w:hint="eastAsia"/>
                <w:lang w:val="en-US" w:eastAsia="zh-CN"/>
              </w:rPr>
              <w:t>1</w:t>
            </w:r>
            <w:r>
              <w:rPr>
                <w:rFonts w:hint="eastAsia"/>
              </w:rPr>
              <w:t>、具有应用数据内容有效性检查功能；</w:t>
            </w:r>
          </w:p>
          <w:p w14:paraId="765AE5BB">
            <w:pPr>
              <w:spacing w:before="156" w:after="156"/>
              <w:ind w:firstLine="0" w:firstLineChars="0"/>
            </w:pPr>
            <w:r>
              <w:rPr>
                <w:rFonts w:hint="eastAsia"/>
              </w:rPr>
              <w:t>1</w:t>
            </w:r>
            <w:r>
              <w:rPr>
                <w:rFonts w:hint="eastAsia"/>
                <w:lang w:val="en-US" w:eastAsia="zh-CN"/>
              </w:rPr>
              <w:t>2</w:t>
            </w:r>
            <w:r>
              <w:rPr>
                <w:rFonts w:hint="eastAsia"/>
              </w:rPr>
              <w:t>、具有纯文本编码检查功能；</w:t>
            </w:r>
          </w:p>
          <w:p w14:paraId="668425F1">
            <w:pPr>
              <w:spacing w:before="156" w:after="156"/>
              <w:ind w:firstLine="0" w:firstLineChars="0"/>
            </w:pPr>
            <w:r>
              <w:rPr>
                <w:rFonts w:hint="eastAsia"/>
              </w:rPr>
              <w:t>1</w:t>
            </w:r>
            <w:r>
              <w:rPr>
                <w:rFonts w:hint="eastAsia"/>
                <w:lang w:val="en-US" w:eastAsia="zh-CN"/>
              </w:rPr>
              <w:t>3</w:t>
            </w:r>
            <w:r>
              <w:rPr>
                <w:rFonts w:hint="eastAsia"/>
              </w:rPr>
              <w:t>、实现两个安全区之间的非网络方式的安全的数据传递；</w:t>
            </w:r>
          </w:p>
          <w:p w14:paraId="1F4A364F">
            <w:pPr>
              <w:spacing w:before="156" w:after="156"/>
              <w:ind w:firstLine="0" w:firstLineChars="0"/>
            </w:pPr>
            <w:r>
              <w:rPr>
                <w:rFonts w:ascii="Arial" w:hAnsi="Arial" w:cs="Arial"/>
              </w:rPr>
              <w:t>▲</w:t>
            </w:r>
            <w:r>
              <w:rPr>
                <w:rFonts w:hint="eastAsia"/>
              </w:rPr>
              <w:t>1</w:t>
            </w:r>
            <w:r>
              <w:rPr>
                <w:rFonts w:hint="eastAsia"/>
                <w:lang w:val="en-US" w:eastAsia="zh-CN"/>
              </w:rPr>
              <w:t>4</w:t>
            </w:r>
            <w:r>
              <w:rPr>
                <w:rFonts w:hint="eastAsia"/>
              </w:rPr>
              <w:t>、支持SM2等国密算法；</w:t>
            </w:r>
          </w:p>
          <w:p w14:paraId="35D71D6C">
            <w:pPr>
              <w:spacing w:before="156" w:after="156"/>
              <w:ind w:firstLine="0" w:firstLineChars="0"/>
            </w:pPr>
            <w:r>
              <w:rPr>
                <w:rFonts w:hint="eastAsia"/>
              </w:rPr>
              <w:t>1</w:t>
            </w:r>
            <w:r>
              <w:rPr>
                <w:rFonts w:hint="eastAsia"/>
                <w:lang w:val="en-US" w:eastAsia="zh-CN"/>
              </w:rPr>
              <w:t>5</w:t>
            </w:r>
            <w:r>
              <w:rPr>
                <w:rFonts w:hint="eastAsia"/>
              </w:rPr>
              <w:t>、透明工作方式：虚拟主机IP地址、隐藏MAC地址；</w:t>
            </w:r>
          </w:p>
          <w:p w14:paraId="683A1F25">
            <w:pPr>
              <w:spacing w:before="156" w:after="156"/>
              <w:ind w:firstLine="0" w:firstLineChars="0"/>
            </w:pPr>
            <w:r>
              <w:rPr>
                <w:rFonts w:hint="eastAsia"/>
              </w:rPr>
              <w:t>1</w:t>
            </w:r>
            <w:r>
              <w:rPr>
                <w:rFonts w:hint="eastAsia"/>
                <w:lang w:val="en-US" w:eastAsia="zh-CN"/>
              </w:rPr>
              <w:t>6</w:t>
            </w:r>
            <w:r>
              <w:rPr>
                <w:rFonts w:hint="eastAsia"/>
              </w:rPr>
              <w:t>、支持NAT；</w:t>
            </w:r>
          </w:p>
          <w:p w14:paraId="58998474">
            <w:pPr>
              <w:spacing w:before="156" w:after="156"/>
              <w:ind w:firstLine="0" w:firstLineChars="0"/>
            </w:pPr>
            <w:r>
              <w:rPr>
                <w:rFonts w:hint="eastAsia"/>
              </w:rPr>
              <w:t>1</w:t>
            </w:r>
            <w:r>
              <w:rPr>
                <w:rFonts w:hint="eastAsia"/>
                <w:lang w:val="en-US" w:eastAsia="zh-CN"/>
              </w:rPr>
              <w:t>7</w:t>
            </w:r>
            <w:r>
              <w:rPr>
                <w:rFonts w:hint="eastAsia"/>
              </w:rPr>
              <w:t>、基于MAC、IP、传输协议、传输端口及通信方向的综合报文过滤与访问控制；</w:t>
            </w:r>
          </w:p>
          <w:p w14:paraId="3AA8AC56">
            <w:pPr>
              <w:spacing w:before="156" w:after="156"/>
              <w:ind w:firstLine="0" w:firstLineChars="0"/>
            </w:pPr>
            <w:r>
              <w:rPr>
                <w:rFonts w:hint="eastAsia"/>
              </w:rPr>
              <w:t>1</w:t>
            </w:r>
            <w:r>
              <w:rPr>
                <w:rFonts w:hint="eastAsia"/>
                <w:lang w:val="en-US" w:eastAsia="zh-CN"/>
              </w:rPr>
              <w:t>8</w:t>
            </w:r>
            <w:r>
              <w:rPr>
                <w:rFonts w:hint="eastAsia"/>
              </w:rPr>
              <w:t>、防止穿透性TCP联接；</w:t>
            </w:r>
          </w:p>
          <w:p w14:paraId="59ECC58B">
            <w:pPr>
              <w:spacing w:before="156" w:after="156"/>
              <w:ind w:firstLine="0" w:firstLineChars="0"/>
            </w:pPr>
            <w:r>
              <w:rPr>
                <w:rFonts w:hint="eastAsia"/>
                <w:lang w:val="en-US" w:eastAsia="zh-CN"/>
              </w:rPr>
              <w:t>19</w:t>
            </w:r>
            <w:r>
              <w:rPr>
                <w:rFonts w:hint="eastAsia"/>
              </w:rPr>
              <w:t>、数据单向传输，1bit返回信息；</w:t>
            </w:r>
          </w:p>
          <w:p w14:paraId="0D411350">
            <w:pPr>
              <w:spacing w:before="156" w:after="156"/>
              <w:ind w:firstLine="0" w:firstLineChars="0"/>
            </w:pPr>
            <w:r>
              <w:rPr>
                <w:rFonts w:hint="eastAsia"/>
              </w:rPr>
              <w:t>2</w:t>
            </w:r>
            <w:r>
              <w:rPr>
                <w:rFonts w:hint="eastAsia"/>
                <w:lang w:val="en-US" w:eastAsia="zh-CN"/>
              </w:rPr>
              <w:t>0</w:t>
            </w:r>
            <w:r>
              <w:rPr>
                <w:rFonts w:hint="eastAsia"/>
              </w:rPr>
              <w:t>、配置冗余电源，支持双机热备；</w:t>
            </w:r>
          </w:p>
          <w:p w14:paraId="7D2895A8">
            <w:pPr>
              <w:spacing w:before="156" w:after="156"/>
              <w:ind w:firstLine="0" w:firstLineChars="0"/>
            </w:pPr>
            <w:r>
              <w:rPr>
                <w:rFonts w:hint="eastAsia"/>
              </w:rPr>
              <w:t>2</w:t>
            </w:r>
            <w:r>
              <w:rPr>
                <w:rFonts w:hint="eastAsia"/>
                <w:lang w:val="en-US" w:eastAsia="zh-CN"/>
              </w:rPr>
              <w:t>1</w:t>
            </w:r>
            <w:r>
              <w:rPr>
                <w:rFonts w:hint="eastAsia"/>
              </w:rPr>
              <w:t>、支持“单进单出”、“双进单出”、“双进双出”等多种连接方式；</w:t>
            </w:r>
          </w:p>
          <w:p w14:paraId="3F03B3F6">
            <w:pPr>
              <w:spacing w:before="156" w:after="156"/>
              <w:ind w:firstLine="0" w:firstLineChars="0"/>
            </w:pPr>
            <w:r>
              <w:rPr>
                <w:rFonts w:ascii="Arial" w:hAnsi="Arial" w:cs="Arial"/>
              </w:rPr>
              <w:t>▲</w:t>
            </w:r>
            <w:r>
              <w:rPr>
                <w:rFonts w:hint="eastAsia"/>
              </w:rPr>
              <w:t>2</w:t>
            </w:r>
            <w:r>
              <w:rPr>
                <w:rFonts w:hint="eastAsia"/>
                <w:lang w:val="en-US" w:eastAsia="zh-CN"/>
              </w:rPr>
              <w:t>2</w:t>
            </w:r>
            <w:r>
              <w:rPr>
                <w:rFonts w:hint="eastAsia"/>
              </w:rPr>
              <w:t>、网络接口：10/100M/1000M接口≥2个（内网）</w:t>
            </w:r>
            <w:r>
              <w:rPr>
                <w:rFonts w:hint="eastAsia"/>
                <w:lang w:eastAsia="zh-CN"/>
              </w:rPr>
              <w:t>；</w:t>
            </w:r>
            <w:r>
              <w:rPr>
                <w:rFonts w:hint="eastAsia"/>
              </w:rPr>
              <w:t>10/100M/1000M接口≥2个（外网）</w:t>
            </w:r>
            <w:r>
              <w:rPr>
                <w:rFonts w:hint="eastAsia"/>
                <w:lang w:eastAsia="zh-CN"/>
              </w:rPr>
              <w:t>；</w:t>
            </w:r>
            <w:r>
              <w:rPr>
                <w:rFonts w:hint="eastAsia"/>
              </w:rPr>
              <w:t>10/100M/1000M双机热备接口≥1个；</w:t>
            </w:r>
          </w:p>
          <w:p w14:paraId="28160752">
            <w:pPr>
              <w:spacing w:before="156" w:after="156"/>
              <w:ind w:firstLine="0" w:firstLineChars="0"/>
              <w:rPr>
                <w:highlight w:val="none"/>
              </w:rPr>
            </w:pPr>
            <w:r>
              <w:rPr>
                <w:rFonts w:hint="eastAsia"/>
                <w:highlight w:val="none"/>
              </w:rPr>
              <w:t>2</w:t>
            </w:r>
            <w:r>
              <w:rPr>
                <w:rFonts w:hint="eastAsia"/>
                <w:highlight w:val="none"/>
                <w:lang w:val="en-US" w:eastAsia="zh-CN"/>
              </w:rPr>
              <w:t>3</w:t>
            </w:r>
            <w:r>
              <w:rPr>
                <w:rFonts w:hint="eastAsia"/>
                <w:highlight w:val="none"/>
              </w:rPr>
              <w:t>、外设接口：RS232接口≥</w:t>
            </w:r>
            <w:r>
              <w:rPr>
                <w:rFonts w:hint="eastAsia"/>
                <w:highlight w:val="none"/>
                <w:lang w:val="en-US" w:eastAsia="zh-CN"/>
              </w:rPr>
              <w:t>1</w:t>
            </w:r>
            <w:r>
              <w:rPr>
                <w:rFonts w:hint="eastAsia"/>
                <w:highlight w:val="none"/>
              </w:rPr>
              <w:t>个；</w:t>
            </w:r>
          </w:p>
          <w:p w14:paraId="5D104296">
            <w:pPr>
              <w:spacing w:before="156" w:after="156"/>
              <w:ind w:firstLine="0" w:firstLineChars="0"/>
              <w:rPr>
                <w:rFonts w:hint="eastAsia" w:eastAsiaTheme="minorEastAsia"/>
                <w:lang w:eastAsia="zh-CN"/>
              </w:rPr>
            </w:pPr>
            <w:r>
              <w:rPr>
                <w:rFonts w:ascii="Arial" w:hAnsi="Arial" w:cs="Arial"/>
              </w:rPr>
              <w:t>▲</w:t>
            </w:r>
            <w:r>
              <w:rPr>
                <w:rFonts w:hint="eastAsia"/>
              </w:rPr>
              <w:t>2</w:t>
            </w:r>
            <w:r>
              <w:rPr>
                <w:rFonts w:hint="eastAsia"/>
                <w:lang w:val="en-US" w:eastAsia="zh-CN"/>
              </w:rPr>
              <w:t>4</w:t>
            </w:r>
            <w:r>
              <w:rPr>
                <w:rFonts w:hint="eastAsia"/>
              </w:rPr>
              <w:t>、数</w:t>
            </w:r>
            <w:r>
              <w:rPr>
                <w:rFonts w:hint="eastAsia" w:ascii="宋体" w:hAnsi="宋体" w:eastAsia="宋体" w:cs="宋体"/>
              </w:rPr>
              <w:t>据包吞吐量≥5</w:t>
            </w:r>
            <w:r>
              <w:rPr>
                <w:rFonts w:hint="eastAsia" w:ascii="宋体" w:hAnsi="宋体" w:eastAsia="宋体" w:cs="宋体"/>
                <w:lang w:val="en-US" w:eastAsia="zh-CN"/>
              </w:rPr>
              <w:t>00</w:t>
            </w:r>
            <w:r>
              <w:rPr>
                <w:rFonts w:hint="eastAsia" w:ascii="宋体" w:hAnsi="宋体" w:eastAsia="宋体" w:cs="宋体"/>
              </w:rPr>
              <w:t>Mbps</w:t>
            </w:r>
            <w:r>
              <w:rPr>
                <w:rFonts w:hint="eastAsia" w:ascii="宋体" w:hAnsi="宋体" w:eastAsia="宋体" w:cs="宋体"/>
                <w:lang w:eastAsia="zh-CN"/>
              </w:rPr>
              <w:t>；</w:t>
            </w:r>
          </w:p>
          <w:p w14:paraId="5571117A">
            <w:pPr>
              <w:spacing w:before="156" w:after="156"/>
              <w:ind w:firstLine="0" w:firstLineChars="0"/>
              <w:rPr>
                <w:rFonts w:hint="eastAsia" w:eastAsia="宋体"/>
                <w:lang w:eastAsia="zh-CN"/>
              </w:rPr>
            </w:pPr>
            <w:r>
              <w:rPr>
                <w:rFonts w:ascii="Arial" w:hAnsi="Arial" w:cs="Arial"/>
              </w:rPr>
              <w:t>▲</w:t>
            </w:r>
            <w:r>
              <w:rPr>
                <w:rFonts w:hint="eastAsia"/>
              </w:rPr>
              <w:t>2</w:t>
            </w:r>
            <w:r>
              <w:rPr>
                <w:rFonts w:hint="eastAsia"/>
                <w:lang w:val="en-US" w:eastAsia="zh-CN"/>
              </w:rPr>
              <w:t>5</w:t>
            </w:r>
            <w:r>
              <w:rPr>
                <w:rFonts w:hint="eastAsia"/>
              </w:rPr>
              <w:t>、数字签名速率≥300次/s</w:t>
            </w:r>
            <w:r>
              <w:rPr>
                <w:rFonts w:hint="eastAsia"/>
                <w:lang w:eastAsia="zh-CN"/>
              </w:rPr>
              <w:t>；</w:t>
            </w:r>
          </w:p>
          <w:p w14:paraId="79C36051">
            <w:pPr>
              <w:spacing w:before="156" w:after="156"/>
              <w:ind w:firstLine="0" w:firstLineChars="0"/>
            </w:pPr>
            <w:r>
              <w:rPr>
                <w:rFonts w:hint="eastAsia"/>
              </w:rPr>
              <w:t>2</w:t>
            </w:r>
            <w:r>
              <w:rPr>
                <w:rFonts w:hint="eastAsia"/>
                <w:lang w:val="en-US" w:eastAsia="zh-CN"/>
              </w:rPr>
              <w:t>6</w:t>
            </w:r>
            <w:r>
              <w:rPr>
                <w:rFonts w:hint="eastAsia"/>
              </w:rPr>
              <w:t>、数据包转发延迟小于10ms（100%负荷）；</w:t>
            </w:r>
          </w:p>
          <w:p w14:paraId="43D176F3">
            <w:pPr>
              <w:spacing w:before="156" w:after="156"/>
              <w:ind w:firstLine="0" w:firstLineChars="0"/>
            </w:pPr>
            <w:r>
              <w:rPr>
                <w:rFonts w:hint="eastAsia"/>
              </w:rPr>
              <w:t>2</w:t>
            </w:r>
            <w:r>
              <w:rPr>
                <w:rFonts w:hint="eastAsia"/>
                <w:lang w:val="en-US" w:eastAsia="zh-CN"/>
              </w:rPr>
              <w:t>7</w:t>
            </w:r>
            <w:r>
              <w:rPr>
                <w:rFonts w:hint="eastAsia"/>
              </w:rPr>
              <w:t>、满负荷数据包丢弃率为0；</w:t>
            </w:r>
          </w:p>
          <w:p w14:paraId="766EE07A">
            <w:pPr>
              <w:spacing w:before="156" w:after="156"/>
              <w:ind w:firstLine="0" w:firstLineChars="0"/>
            </w:pPr>
            <w:r>
              <w:rPr>
                <w:rFonts w:hint="eastAsia"/>
              </w:rPr>
              <w:t>2</w:t>
            </w:r>
            <w:r>
              <w:rPr>
                <w:rFonts w:hint="eastAsia"/>
                <w:lang w:val="en-US" w:eastAsia="zh-CN"/>
              </w:rPr>
              <w:t>8</w:t>
            </w:r>
            <w:r>
              <w:rPr>
                <w:rFonts w:hint="eastAsia"/>
              </w:rPr>
              <w:t>、平均无故障时间大于60000小时；</w:t>
            </w:r>
          </w:p>
        </w:tc>
      </w:tr>
      <w:tr w14:paraId="46BA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39" w:type="dxa"/>
            <w:vAlign w:val="center"/>
          </w:tcPr>
          <w:p w14:paraId="014D8E9E">
            <w:pPr>
              <w:ind w:left="0" w:leftChars="0" w:firstLine="0" w:firstLineChars="0"/>
              <w:jc w:val="center"/>
            </w:pPr>
            <w:r>
              <w:rPr>
                <w:rFonts w:hint="eastAsia"/>
              </w:rPr>
              <w:t>质保要求</w:t>
            </w:r>
          </w:p>
        </w:tc>
        <w:tc>
          <w:tcPr>
            <w:tcW w:w="1508" w:type="dxa"/>
            <w:vAlign w:val="center"/>
          </w:tcPr>
          <w:p w14:paraId="7E40B219">
            <w:pPr>
              <w:ind w:left="0" w:leftChars="0" w:firstLine="0" w:firstLineChars="0"/>
            </w:pPr>
            <w:r>
              <w:rPr>
                <w:rFonts w:hint="eastAsia"/>
              </w:rPr>
              <w:t>质保要求</w:t>
            </w:r>
          </w:p>
        </w:tc>
        <w:tc>
          <w:tcPr>
            <w:tcW w:w="5749" w:type="dxa"/>
            <w:vAlign w:val="top"/>
          </w:tcPr>
          <w:p w14:paraId="3CD35A9E">
            <w:pPr>
              <w:numPr>
                <w:ilvl w:val="0"/>
                <w:numId w:val="0"/>
              </w:numPr>
              <w:spacing w:before="156" w:after="156"/>
              <w:ind w:left="0" w:leftChars="0" w:firstLine="0" w:firstLineChars="0"/>
            </w:pPr>
            <w:r>
              <w:rPr>
                <w:rFonts w:hint="eastAsia" w:hAnsi="宋体"/>
                <w:sz w:val="21"/>
                <w:szCs w:val="21"/>
              </w:rPr>
              <w:t>质保期内免费提供规则库升级、设备修理、系统版本升级、漏洞修复及原厂技术支持服务。</w:t>
            </w:r>
          </w:p>
        </w:tc>
      </w:tr>
    </w:tbl>
    <w:p w14:paraId="34759532"/>
    <w:p w14:paraId="4D72547F"/>
    <w:p w14:paraId="12A8FF5B">
      <w:pPr>
        <w:pStyle w:val="5"/>
      </w:pPr>
      <w:bookmarkStart w:id="16" w:name="_Toc30931"/>
      <w:r>
        <w:rPr>
          <w:rFonts w:hint="eastAsia"/>
        </w:rPr>
        <w:t>纵向加密装置</w:t>
      </w:r>
      <w:bookmarkEnd w:id="16"/>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2"/>
        <w:gridCol w:w="1495"/>
        <w:gridCol w:w="5749"/>
      </w:tblGrid>
      <w:tr w14:paraId="3ADD1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47" w:type="dxa"/>
            <w:gridSpan w:val="2"/>
          </w:tcPr>
          <w:p w14:paraId="5148BF2E">
            <w:pPr>
              <w:spacing w:before="156" w:after="156"/>
              <w:ind w:firstLine="0" w:firstLineChars="0"/>
            </w:pPr>
            <w:r>
              <w:rPr>
                <w:rFonts w:hint="eastAsia"/>
                <w:lang w:bidi="ar"/>
              </w:rPr>
              <w:t>项目</w:t>
            </w:r>
          </w:p>
        </w:tc>
        <w:tc>
          <w:tcPr>
            <w:tcW w:w="5749" w:type="dxa"/>
          </w:tcPr>
          <w:p w14:paraId="4E1D2592">
            <w:pPr>
              <w:spacing w:before="156" w:after="156"/>
              <w:ind w:firstLine="0" w:firstLineChars="0"/>
            </w:pPr>
            <w:r>
              <w:rPr>
                <w:rFonts w:hint="eastAsia"/>
                <w:lang w:bidi="ar"/>
              </w:rPr>
              <w:t>技术指标（纵向加密</w:t>
            </w:r>
            <w:r>
              <w:rPr>
                <w:rFonts w:hint="eastAsia"/>
                <w:lang w:val="en-US" w:eastAsia="zh-CN" w:bidi="ar"/>
              </w:rPr>
              <w:t>装置</w:t>
            </w:r>
            <w:r>
              <w:rPr>
                <w:rFonts w:hint="eastAsia"/>
                <w:lang w:bidi="ar"/>
              </w:rPr>
              <w:t>）</w:t>
            </w:r>
          </w:p>
        </w:tc>
      </w:tr>
      <w:tr w14:paraId="00BEE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2" w:type="dxa"/>
            <w:vMerge w:val="restart"/>
            <w:vAlign w:val="center"/>
          </w:tcPr>
          <w:p w14:paraId="5444D2E4">
            <w:pPr>
              <w:spacing w:before="156" w:after="156"/>
              <w:ind w:firstLine="0" w:firstLineChars="0"/>
              <w:jc w:val="center"/>
              <w:rPr>
                <w:rFonts w:hint="eastAsia"/>
              </w:rPr>
            </w:pPr>
            <w:r>
              <w:rPr>
                <w:rFonts w:hint="eastAsia"/>
                <w:lang w:bidi="ar"/>
              </w:rPr>
              <w:t>基本要求</w:t>
            </w:r>
          </w:p>
        </w:tc>
        <w:tc>
          <w:tcPr>
            <w:tcW w:w="1495" w:type="dxa"/>
            <w:vMerge w:val="restart"/>
            <w:vAlign w:val="center"/>
          </w:tcPr>
          <w:p w14:paraId="497AFD7A">
            <w:pPr>
              <w:spacing w:before="156" w:after="156"/>
              <w:ind w:firstLine="0" w:firstLineChars="0"/>
              <w:jc w:val="both"/>
              <w:rPr>
                <w:rFonts w:hint="eastAsia"/>
              </w:rPr>
            </w:pPr>
            <w:r>
              <w:rPr>
                <w:rFonts w:hint="eastAsia"/>
              </w:rPr>
              <w:t>安全要求</w:t>
            </w:r>
          </w:p>
        </w:tc>
        <w:tc>
          <w:tcPr>
            <w:tcW w:w="5749" w:type="dxa"/>
            <w:vAlign w:val="top"/>
          </w:tcPr>
          <w:p w14:paraId="2B444098">
            <w:pPr>
              <w:spacing w:before="156" w:after="156"/>
              <w:ind w:firstLine="0" w:firstLineChars="0"/>
              <w:rPr>
                <w:rFonts w:hint="eastAsia"/>
              </w:rPr>
            </w:pPr>
            <w:r>
              <w:rPr>
                <w:rFonts w:hint="eastAsia"/>
                <w:b/>
                <w:bCs/>
                <w:lang w:eastAsia="zh-CN"/>
              </w:rPr>
              <w:t>★安全可靠要求：</w:t>
            </w:r>
            <w:r>
              <w:rPr>
                <w:rFonts w:hint="eastAsia"/>
                <w:lang w:val="en-US" w:eastAsia="zh-CN"/>
              </w:rPr>
              <w:t>所有产品使用的CPU、DRAM颗粒、Flash、</w:t>
            </w:r>
            <w:r>
              <w:rPr>
                <w:rFonts w:hint="eastAsia"/>
                <w:lang w:eastAsia="zh-CN"/>
              </w:rPr>
              <w:t>网卡芯片</w:t>
            </w:r>
            <w:r>
              <w:rPr>
                <w:rFonts w:hint="eastAsia"/>
                <w:lang w:val="en-US" w:eastAsia="zh-CN"/>
              </w:rPr>
              <w:t>、</w:t>
            </w:r>
            <w:r>
              <w:rPr>
                <w:rFonts w:hint="eastAsia"/>
              </w:rPr>
              <w:t>加密芯片、FPGA</w:t>
            </w:r>
            <w:r>
              <w:rPr>
                <w:rFonts w:hint="eastAsia"/>
                <w:lang w:val="en-US" w:eastAsia="zh-CN"/>
              </w:rPr>
              <w:t>等配置信息须同时提供安全可靠芯片证明材料及承诺函</w:t>
            </w:r>
            <w:r>
              <w:rPr>
                <w:rFonts w:hint="eastAsia"/>
                <w:lang w:eastAsia="zh-CN"/>
              </w:rPr>
              <w:t>（见附件</w:t>
            </w:r>
            <w:r>
              <w:rPr>
                <w:rFonts w:hint="eastAsia"/>
                <w:lang w:val="en-US" w:eastAsia="zh-CN"/>
              </w:rPr>
              <w:t>一</w:t>
            </w:r>
            <w:r>
              <w:rPr>
                <w:rFonts w:hint="eastAsia"/>
                <w:lang w:eastAsia="zh-CN"/>
              </w:rPr>
              <w:t>及相关附表）。</w:t>
            </w:r>
          </w:p>
        </w:tc>
      </w:tr>
      <w:tr w14:paraId="5BA33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2" w:type="dxa"/>
            <w:vMerge w:val="continue"/>
          </w:tcPr>
          <w:p w14:paraId="5ED1BD44">
            <w:pPr>
              <w:spacing w:before="156" w:after="156"/>
              <w:ind w:firstLine="0" w:firstLineChars="0"/>
              <w:rPr>
                <w:rFonts w:hint="eastAsia"/>
              </w:rPr>
            </w:pPr>
          </w:p>
        </w:tc>
        <w:tc>
          <w:tcPr>
            <w:tcW w:w="1495" w:type="dxa"/>
            <w:vMerge w:val="continue"/>
            <w:vAlign w:val="center"/>
          </w:tcPr>
          <w:p w14:paraId="21C9FD7D">
            <w:pPr>
              <w:spacing w:before="156" w:after="156"/>
              <w:ind w:firstLine="0" w:firstLineChars="0"/>
              <w:jc w:val="both"/>
              <w:rPr>
                <w:rFonts w:hint="eastAsia"/>
              </w:rPr>
            </w:pPr>
          </w:p>
        </w:tc>
        <w:tc>
          <w:tcPr>
            <w:tcW w:w="5749" w:type="dxa"/>
            <w:vAlign w:val="top"/>
          </w:tcPr>
          <w:p w14:paraId="1980D773">
            <w:pPr>
              <w:spacing w:before="156" w:after="156"/>
              <w:ind w:firstLine="0" w:firstLineChars="0"/>
              <w:rPr>
                <w:rFonts w:hint="eastAsia"/>
              </w:rPr>
            </w:pPr>
            <w:r>
              <w:rPr>
                <w:rFonts w:hint="eastAsia"/>
              </w:rPr>
              <w:t>▲</w:t>
            </w:r>
            <w:r>
              <w:rPr>
                <w:rFonts w:hint="eastAsia"/>
                <w:color w:val="auto"/>
                <w:highlight w:val="none"/>
                <w:lang w:val="en-US" w:eastAsia="zh-CN"/>
              </w:rPr>
              <w:t>装置运行环境必须为代码可控的国产操作系统，系统须通过安全等级鉴定，并提供检验检测报告。</w:t>
            </w:r>
          </w:p>
        </w:tc>
      </w:tr>
      <w:tr w14:paraId="12D1D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2" w:type="dxa"/>
            <w:vMerge w:val="continue"/>
          </w:tcPr>
          <w:p w14:paraId="6B8F8798">
            <w:pPr>
              <w:spacing w:before="156" w:after="156"/>
              <w:ind w:firstLine="0" w:firstLineChars="0"/>
            </w:pPr>
          </w:p>
        </w:tc>
        <w:tc>
          <w:tcPr>
            <w:tcW w:w="1495" w:type="dxa"/>
            <w:vAlign w:val="center"/>
          </w:tcPr>
          <w:p w14:paraId="0EB61CF4">
            <w:pPr>
              <w:spacing w:before="156" w:after="156"/>
              <w:ind w:firstLine="0" w:firstLineChars="0"/>
              <w:jc w:val="both"/>
            </w:pPr>
            <w:r>
              <w:rPr>
                <w:rFonts w:hint="eastAsia" w:ascii="Times New Roman" w:eastAsia="宋体"/>
                <w:lang w:val="en-US" w:eastAsia="zh-CN"/>
              </w:rPr>
              <w:t>硬件及功能要求</w:t>
            </w:r>
          </w:p>
        </w:tc>
        <w:tc>
          <w:tcPr>
            <w:tcW w:w="5749" w:type="dxa"/>
          </w:tcPr>
          <w:p w14:paraId="1511D24C">
            <w:pPr>
              <w:spacing w:before="156" w:after="156"/>
              <w:ind w:firstLine="0" w:firstLineChars="0"/>
            </w:pPr>
            <w:r>
              <w:rPr>
                <w:rFonts w:hint="eastAsia"/>
              </w:rPr>
              <w:t>★</w:t>
            </w:r>
            <w:r>
              <w:rPr>
                <w:rFonts w:hint="eastAsia"/>
                <w:lang w:val="en-US" w:eastAsia="zh-CN"/>
              </w:rPr>
              <w:t>1</w:t>
            </w:r>
            <w:r>
              <w:rPr>
                <w:rFonts w:hint="eastAsia"/>
              </w:rPr>
              <w:t>、具备国家密码管理局颁发的密码检测证书</w:t>
            </w:r>
            <w:r>
              <w:rPr>
                <w:rFonts w:hint="eastAsia"/>
                <w:lang w:eastAsia="zh-CN"/>
              </w:rPr>
              <w:t>；</w:t>
            </w:r>
          </w:p>
          <w:p w14:paraId="5419EA2E">
            <w:pPr>
              <w:spacing w:before="156" w:after="156"/>
              <w:ind w:firstLine="0" w:firstLineChars="0"/>
            </w:pPr>
            <w:r>
              <w:rPr>
                <w:rFonts w:hint="eastAsia"/>
              </w:rPr>
              <w:t>▲</w:t>
            </w:r>
            <w:r>
              <w:rPr>
                <w:rFonts w:hint="eastAsia"/>
                <w:lang w:val="en-US" w:eastAsia="zh-CN"/>
              </w:rPr>
              <w:t>2</w:t>
            </w:r>
            <w:r>
              <w:rPr>
                <w:rFonts w:hint="eastAsia"/>
              </w:rPr>
              <w:t>、具有公安部计算机信息安全产品质量监督检验中心出具的《检验报告》；</w:t>
            </w:r>
          </w:p>
          <w:p w14:paraId="0FA9D2E8">
            <w:pPr>
              <w:spacing w:before="156" w:after="156"/>
              <w:ind w:firstLine="0" w:firstLineChars="0"/>
            </w:pPr>
            <w:r>
              <w:rPr>
                <w:rFonts w:hint="eastAsia"/>
              </w:rPr>
              <w:t>★</w:t>
            </w:r>
            <w:r>
              <w:rPr>
                <w:rFonts w:hint="eastAsia"/>
                <w:lang w:val="en-US" w:eastAsia="zh-CN"/>
              </w:rPr>
              <w:t>3</w:t>
            </w:r>
            <w:r>
              <w:rPr>
                <w:rFonts w:hint="eastAsia"/>
              </w:rPr>
              <w:t>、具备公安部颁发的网络安全专用产品安全检测证书</w:t>
            </w:r>
          </w:p>
          <w:p w14:paraId="7297E9F3">
            <w:pPr>
              <w:spacing w:before="156" w:after="156"/>
              <w:ind w:firstLine="0" w:firstLineChars="0"/>
            </w:pPr>
            <w:r>
              <w:rPr>
                <w:rFonts w:hint="eastAsia"/>
                <w:lang w:val="en-US" w:eastAsia="zh-CN"/>
              </w:rPr>
              <w:t>4</w:t>
            </w:r>
            <w:r>
              <w:rPr>
                <w:rFonts w:hint="eastAsia"/>
              </w:rPr>
              <w:t>、本身应能够一定程度防御常见的网络攻击，包括ARP Attack、Ping Attack、Ping of Death Attack、Smurf Attack、Unreachable Host Attack、Land Attack、Teardrop Attack、Syn Attack等；</w:t>
            </w:r>
          </w:p>
          <w:p w14:paraId="0737800D">
            <w:pPr>
              <w:spacing w:before="156" w:after="156"/>
              <w:ind w:firstLine="0" w:firstLineChars="0"/>
              <w:rPr>
                <w:rFonts w:hint="eastAsia" w:eastAsia="宋体"/>
                <w:lang w:eastAsia="zh-CN"/>
              </w:rPr>
            </w:pPr>
            <w:r>
              <w:rPr>
                <w:rFonts w:hint="eastAsia"/>
                <w:lang w:val="en-US" w:eastAsia="zh-CN"/>
              </w:rPr>
              <w:t>5</w:t>
            </w:r>
            <w:r>
              <w:rPr>
                <w:rFonts w:hint="eastAsia"/>
              </w:rPr>
              <w:t>、支持设备钥匙、工作参数的备份与恢复</w:t>
            </w:r>
            <w:r>
              <w:rPr>
                <w:rFonts w:hint="eastAsia"/>
                <w:lang w:eastAsia="zh-CN"/>
              </w:rPr>
              <w:t>；</w:t>
            </w:r>
          </w:p>
          <w:p w14:paraId="42A60A04">
            <w:pPr>
              <w:spacing w:before="156" w:after="156"/>
              <w:ind w:firstLine="0" w:firstLineChars="0"/>
            </w:pPr>
            <w:r>
              <w:rPr>
                <w:rFonts w:hint="eastAsia"/>
                <w:lang w:val="en-US" w:eastAsia="zh-CN"/>
              </w:rPr>
              <w:t>6</w:t>
            </w:r>
            <w:r>
              <w:rPr>
                <w:rFonts w:hint="eastAsia"/>
              </w:rPr>
              <w:t>、应通过有关部门组织的电磁兼容性检测；</w:t>
            </w:r>
          </w:p>
          <w:p w14:paraId="00D783C8">
            <w:pPr>
              <w:spacing w:before="156" w:after="156"/>
              <w:ind w:firstLine="0" w:firstLineChars="0"/>
            </w:pPr>
            <w:r>
              <w:rPr>
                <w:rFonts w:hint="eastAsia"/>
                <w:lang w:val="en-US" w:eastAsia="zh-CN"/>
              </w:rPr>
              <w:t>7</w:t>
            </w:r>
            <w:r>
              <w:rPr>
                <w:rFonts w:hint="eastAsia"/>
              </w:rPr>
              <w:t>、应支持双机热备功能，在任一设备出现故障时能自动切换；</w:t>
            </w:r>
          </w:p>
          <w:p w14:paraId="318D76F3">
            <w:pPr>
              <w:spacing w:before="156" w:after="156"/>
              <w:ind w:firstLine="0" w:firstLineChars="0"/>
            </w:pPr>
            <w:r>
              <w:rPr>
                <w:rFonts w:hint="eastAsia"/>
                <w:lang w:val="en-US" w:eastAsia="zh-CN"/>
              </w:rPr>
              <w:t>8</w:t>
            </w:r>
            <w:r>
              <w:rPr>
                <w:rFonts w:hint="eastAsia"/>
              </w:rPr>
              <w:t>、应具有可配置自动旁路功能，在紧急故障状态下，用户可以通过配置使得旁路所有安全策略或部分链路的安全策略的功能，使之作为透明桥接设备工作，必要时允许通过网线旁路。</w:t>
            </w:r>
          </w:p>
          <w:p w14:paraId="7AE72BB8">
            <w:pPr>
              <w:spacing w:before="156" w:after="156"/>
              <w:ind w:firstLine="0" w:firstLineChars="0"/>
            </w:pPr>
            <w:r>
              <w:rPr>
                <w:rFonts w:hint="eastAsia"/>
                <w:lang w:val="en-US" w:eastAsia="zh-CN"/>
              </w:rPr>
              <w:t>9</w:t>
            </w:r>
            <w:r>
              <w:rPr>
                <w:rFonts w:hint="eastAsia"/>
              </w:rPr>
              <w:t>、采用国家密码管理局批准的电力专用密码算法对传输的数据进行保护，保证数据的真实性、机密性和完整性；</w:t>
            </w:r>
          </w:p>
          <w:p w14:paraId="26B0676C">
            <w:pPr>
              <w:spacing w:before="156" w:after="156"/>
              <w:ind w:firstLine="0" w:firstLineChars="0"/>
            </w:pPr>
            <w:r>
              <w:rPr>
                <w:rFonts w:ascii="Arial" w:hAnsi="Arial" w:cs="Arial"/>
              </w:rPr>
              <w:t>▲</w:t>
            </w:r>
            <w:r>
              <w:rPr>
                <w:rFonts w:hint="eastAsia"/>
              </w:rPr>
              <w:t>1</w:t>
            </w:r>
            <w:r>
              <w:rPr>
                <w:rFonts w:hint="eastAsia"/>
                <w:lang w:val="en-US" w:eastAsia="zh-CN"/>
              </w:rPr>
              <w:t>0</w:t>
            </w:r>
            <w:r>
              <w:rPr>
                <w:rFonts w:hint="eastAsia"/>
              </w:rPr>
              <w:t>、支持SM2、SM3等国密算法；</w:t>
            </w:r>
          </w:p>
          <w:p w14:paraId="1E615362">
            <w:pPr>
              <w:spacing w:before="156" w:after="156"/>
              <w:ind w:firstLine="0" w:firstLineChars="0"/>
            </w:pPr>
            <w:r>
              <w:rPr>
                <w:rFonts w:hint="eastAsia"/>
              </w:rPr>
              <w:t>1</w:t>
            </w:r>
            <w:r>
              <w:rPr>
                <w:rFonts w:hint="eastAsia"/>
                <w:lang w:val="en-US" w:eastAsia="zh-CN"/>
              </w:rPr>
              <w:t>1</w:t>
            </w:r>
            <w:r>
              <w:rPr>
                <w:rFonts w:hint="eastAsia"/>
              </w:rPr>
              <w:t>、加密认证装置或加密认证网关之间支持基于电力数字证书的认证；</w:t>
            </w:r>
          </w:p>
          <w:p w14:paraId="78BFD37B">
            <w:pPr>
              <w:spacing w:before="156" w:after="156"/>
              <w:ind w:firstLine="0" w:firstLineChars="0"/>
            </w:pPr>
            <w:r>
              <w:rPr>
                <w:rFonts w:hint="eastAsia"/>
              </w:rPr>
              <w:t>1</w:t>
            </w:r>
            <w:r>
              <w:rPr>
                <w:rFonts w:hint="eastAsia"/>
                <w:lang w:val="en-US" w:eastAsia="zh-CN"/>
              </w:rPr>
              <w:t>2</w:t>
            </w:r>
            <w:r>
              <w:rPr>
                <w:rFonts w:hint="eastAsia"/>
              </w:rPr>
              <w:t xml:space="preserve">、支持透明工作方式与网关工作方式，支持NAT； </w:t>
            </w:r>
          </w:p>
          <w:p w14:paraId="116317C2">
            <w:pPr>
              <w:spacing w:before="156" w:after="156"/>
              <w:ind w:firstLine="0" w:firstLineChars="0"/>
            </w:pPr>
            <w:r>
              <w:rPr>
                <w:rFonts w:hint="eastAsia"/>
              </w:rPr>
              <w:t>1</w:t>
            </w:r>
            <w:r>
              <w:rPr>
                <w:rFonts w:hint="eastAsia"/>
                <w:lang w:val="en-US" w:eastAsia="zh-CN"/>
              </w:rPr>
              <w:t>3</w:t>
            </w:r>
            <w:r>
              <w:rPr>
                <w:rFonts w:hint="eastAsia"/>
              </w:rPr>
              <w:t>、具有基于IP、传输协议、应用端口号和方向的综合报文过滤与访问控制功能；</w:t>
            </w:r>
          </w:p>
          <w:p w14:paraId="0754C49A">
            <w:pPr>
              <w:spacing w:before="156" w:after="156"/>
              <w:ind w:firstLine="0" w:firstLineChars="0"/>
            </w:pPr>
            <w:r>
              <w:rPr>
                <w:rFonts w:hint="eastAsia"/>
              </w:rPr>
              <w:t>1</w:t>
            </w:r>
            <w:r>
              <w:rPr>
                <w:rFonts w:hint="eastAsia"/>
                <w:lang w:val="en-US" w:eastAsia="zh-CN"/>
              </w:rPr>
              <w:t>4</w:t>
            </w:r>
            <w:r>
              <w:rPr>
                <w:rFonts w:hint="eastAsia"/>
              </w:rPr>
              <w:t>、符合《IP加密认证装置技术规范》的技术要求，支持不同厂家设备的互通互联；支持由不同厂家主站侧二次系统安全防护之纵向加密认证装置设备管理中心进行远程监控和管理。</w:t>
            </w:r>
          </w:p>
          <w:p w14:paraId="71E6F561">
            <w:pPr>
              <w:spacing w:before="156" w:after="156"/>
              <w:ind w:firstLine="0" w:firstLineChars="0"/>
            </w:pPr>
            <w:r>
              <w:rPr>
                <w:rFonts w:hint="eastAsia"/>
              </w:rPr>
              <w:t>1</w:t>
            </w:r>
            <w:r>
              <w:rPr>
                <w:rFonts w:hint="eastAsia"/>
                <w:lang w:val="en-US" w:eastAsia="zh-CN"/>
              </w:rPr>
              <w:t>5</w:t>
            </w:r>
            <w:r>
              <w:rPr>
                <w:rFonts w:hint="eastAsia"/>
              </w:rPr>
              <w:t>、装置必须能够识别、处理网络正常运行所需要的路由协议报文及其他协议报文；</w:t>
            </w:r>
          </w:p>
          <w:p w14:paraId="7291D8C7">
            <w:pPr>
              <w:spacing w:before="156" w:after="156"/>
              <w:ind w:firstLine="0" w:firstLineChars="0"/>
            </w:pPr>
            <w:r>
              <w:rPr>
                <w:rFonts w:hint="eastAsia"/>
                <w:lang w:val="en-US" w:eastAsia="zh-CN"/>
              </w:rPr>
              <w:t>16</w:t>
            </w:r>
            <w:r>
              <w:rPr>
                <w:rFonts w:hint="eastAsia"/>
              </w:rPr>
              <w:t>、装置必须能够识别、过滤、转发Trunk协议的报文，装置本地配置功能必须支持配置VLanID。</w:t>
            </w:r>
          </w:p>
          <w:p w14:paraId="6F275C0E">
            <w:pPr>
              <w:spacing w:before="156" w:after="156"/>
              <w:ind w:firstLine="0" w:firstLineChars="0"/>
            </w:pPr>
            <w:r>
              <w:rPr>
                <w:rFonts w:ascii="Arial" w:hAnsi="Arial" w:cs="Arial"/>
              </w:rPr>
              <w:t>▲</w:t>
            </w:r>
            <w:r>
              <w:rPr>
                <w:rFonts w:hint="eastAsia"/>
                <w:lang w:val="en-US" w:eastAsia="zh-CN"/>
              </w:rPr>
              <w:t>17</w:t>
            </w:r>
            <w:r>
              <w:rPr>
                <w:rFonts w:hint="eastAsia"/>
              </w:rPr>
              <w:t>、网络接口：10/100/1000M网络接口</w:t>
            </w:r>
            <w:r>
              <w:rPr>
                <w:rFonts w:hint="eastAsia" w:asciiTheme="minorEastAsia" w:hAnsiTheme="minorEastAsia" w:eastAsiaTheme="minorEastAsia"/>
                <w:lang w:bidi="ar"/>
              </w:rPr>
              <w:t>≥</w:t>
            </w:r>
            <w:r>
              <w:rPr>
                <w:rFonts w:hint="eastAsia"/>
              </w:rPr>
              <w:t>4个</w:t>
            </w:r>
            <w:r>
              <w:rPr>
                <w:rFonts w:hint="eastAsia" w:ascii="宋体" w:hAnsi="宋体" w:eastAsia="宋体" w:cs="宋体"/>
              </w:rPr>
              <w:t>；1000M光纤接口≥2个</w:t>
            </w:r>
          </w:p>
          <w:p w14:paraId="3B9D902D">
            <w:pPr>
              <w:spacing w:before="156" w:after="156"/>
              <w:ind w:firstLine="0" w:firstLineChars="0"/>
            </w:pPr>
            <w:r>
              <w:rPr>
                <w:rFonts w:hint="eastAsia"/>
                <w:lang w:val="en-US" w:eastAsia="zh-CN"/>
              </w:rPr>
              <w:t>18</w:t>
            </w:r>
            <w:r>
              <w:rPr>
                <w:rFonts w:hint="eastAsia"/>
              </w:rPr>
              <w:t>、热备接口：具备双机热互备接口及相关软件；</w:t>
            </w:r>
          </w:p>
          <w:p w14:paraId="7B5504BA">
            <w:pPr>
              <w:spacing w:before="156" w:after="156"/>
              <w:ind w:firstLine="0" w:firstLineChars="0"/>
            </w:pPr>
            <w:r>
              <w:rPr>
                <w:rFonts w:hint="eastAsia"/>
                <w:lang w:val="en-US" w:eastAsia="zh-CN"/>
              </w:rPr>
              <w:t>19</w:t>
            </w:r>
            <w:r>
              <w:rPr>
                <w:rFonts w:hint="eastAsia"/>
              </w:rPr>
              <w:t>、外设接口：RS232配置接口</w:t>
            </w:r>
            <w:r>
              <w:rPr>
                <w:rFonts w:hint="eastAsia" w:asciiTheme="minorEastAsia" w:hAnsiTheme="minorEastAsia" w:eastAsiaTheme="minorEastAsia"/>
                <w:lang w:bidi="ar"/>
              </w:rPr>
              <w:t>≥</w:t>
            </w:r>
            <w:r>
              <w:rPr>
                <w:rFonts w:hint="eastAsia"/>
              </w:rPr>
              <w:t>1个</w:t>
            </w:r>
            <w:r>
              <w:rPr>
                <w:rFonts w:hint="eastAsia"/>
                <w:lang w:eastAsia="zh-CN"/>
              </w:rPr>
              <w:t>；</w:t>
            </w:r>
            <w:r>
              <w:rPr>
                <w:rFonts w:hint="eastAsia"/>
              </w:rPr>
              <w:t>IC卡读卡器接口或USBkey接口</w:t>
            </w:r>
            <w:r>
              <w:rPr>
                <w:rFonts w:hint="eastAsia" w:asciiTheme="minorEastAsia" w:hAnsiTheme="minorEastAsia" w:eastAsiaTheme="minorEastAsia"/>
                <w:lang w:bidi="ar"/>
              </w:rPr>
              <w:t>≥</w:t>
            </w:r>
            <w:r>
              <w:rPr>
                <w:rFonts w:hint="eastAsia"/>
              </w:rPr>
              <w:t>1个；</w:t>
            </w:r>
          </w:p>
          <w:p w14:paraId="4D088A91">
            <w:pPr>
              <w:spacing w:before="156" w:after="156"/>
              <w:ind w:firstLine="0" w:firstLineChars="0"/>
            </w:pPr>
            <w:r>
              <w:rPr>
                <w:rFonts w:hint="eastAsia"/>
              </w:rPr>
              <w:t>2</w:t>
            </w:r>
            <w:r>
              <w:rPr>
                <w:rFonts w:hint="eastAsia"/>
                <w:lang w:val="en-US" w:eastAsia="zh-CN"/>
              </w:rPr>
              <w:t>0</w:t>
            </w:r>
            <w:r>
              <w:rPr>
                <w:rFonts w:hint="eastAsia"/>
              </w:rPr>
              <w:t>、最大并发加密隧道数：</w:t>
            </w:r>
            <w:r>
              <w:rPr>
                <w:rFonts w:hint="eastAsia" w:asciiTheme="minorEastAsia" w:hAnsiTheme="minorEastAsia" w:eastAsiaTheme="minorEastAsia"/>
                <w:lang w:bidi="ar"/>
              </w:rPr>
              <w:t>≥</w:t>
            </w:r>
            <w:r>
              <w:rPr>
                <w:rFonts w:hint="eastAsia"/>
              </w:rPr>
              <w:t>2000条</w:t>
            </w:r>
          </w:p>
          <w:p w14:paraId="398826F3">
            <w:pPr>
              <w:spacing w:before="156" w:after="156"/>
              <w:ind w:firstLine="0" w:firstLineChars="0"/>
            </w:pPr>
            <w:r>
              <w:rPr>
                <w:rFonts w:hint="eastAsia"/>
              </w:rPr>
              <w:t>2</w:t>
            </w:r>
            <w:r>
              <w:rPr>
                <w:rFonts w:hint="eastAsia"/>
                <w:lang w:val="en-US" w:eastAsia="zh-CN"/>
              </w:rPr>
              <w:t>1</w:t>
            </w:r>
            <w:r>
              <w:rPr>
                <w:rFonts w:hint="eastAsia"/>
              </w:rPr>
              <w:t>、1000M LAN 环境下，加密隧道建立延迟：&lt;1s</w:t>
            </w:r>
          </w:p>
          <w:p w14:paraId="7B7D49C2">
            <w:pPr>
              <w:spacing w:before="156" w:after="156"/>
              <w:ind w:firstLine="0" w:firstLineChars="0"/>
              <w:rPr>
                <w:rFonts w:hint="eastAsia" w:eastAsia="宋体"/>
                <w:highlight w:val="none"/>
                <w:lang w:eastAsia="zh-CN"/>
              </w:rPr>
            </w:pPr>
            <w:r>
              <w:rPr>
                <w:rFonts w:ascii="Arial" w:hAnsi="Arial" w:cs="Arial"/>
                <w:highlight w:val="none"/>
              </w:rPr>
              <w:t>▲</w:t>
            </w:r>
            <w:r>
              <w:rPr>
                <w:rFonts w:hint="eastAsia"/>
                <w:highlight w:val="none"/>
              </w:rPr>
              <w:t>2</w:t>
            </w:r>
            <w:r>
              <w:rPr>
                <w:rFonts w:hint="eastAsia"/>
                <w:highlight w:val="none"/>
                <w:lang w:val="en-US" w:eastAsia="zh-CN"/>
              </w:rPr>
              <w:t>2</w:t>
            </w:r>
            <w:r>
              <w:rPr>
                <w:rFonts w:hint="eastAsia"/>
                <w:highlight w:val="none"/>
              </w:rPr>
              <w:t>、明文数据包吞吐量：≥</w:t>
            </w:r>
            <w:r>
              <w:rPr>
                <w:rFonts w:hint="eastAsia"/>
                <w:highlight w:val="none"/>
                <w:lang w:val="en-US" w:eastAsia="zh-CN"/>
              </w:rPr>
              <w:t>10</w:t>
            </w:r>
            <w:r>
              <w:rPr>
                <w:rFonts w:hint="eastAsia"/>
                <w:highlight w:val="none"/>
              </w:rPr>
              <w:t>00Mbps</w:t>
            </w:r>
            <w:r>
              <w:rPr>
                <w:rFonts w:hint="eastAsia"/>
                <w:highlight w:val="none"/>
                <w:lang w:eastAsia="zh-CN"/>
              </w:rPr>
              <w:t>（</w:t>
            </w:r>
            <w:r>
              <w:rPr>
                <w:rFonts w:hint="eastAsia"/>
                <w:highlight w:val="none"/>
                <w:lang w:val="en-US" w:eastAsia="zh-CN"/>
              </w:rPr>
              <w:t>50 条安全策略，1024字节报文长度</w:t>
            </w:r>
            <w:r>
              <w:rPr>
                <w:rFonts w:hint="eastAsia"/>
                <w:highlight w:val="none"/>
                <w:lang w:eastAsia="zh-CN"/>
              </w:rPr>
              <w:t>）</w:t>
            </w:r>
          </w:p>
          <w:p w14:paraId="2E8B6D7A">
            <w:pPr>
              <w:spacing w:before="156" w:after="156"/>
              <w:ind w:firstLine="0" w:firstLineChars="0"/>
              <w:rPr>
                <w:rFonts w:hint="eastAsia"/>
                <w:highlight w:val="none"/>
              </w:rPr>
            </w:pPr>
            <w:r>
              <w:rPr>
                <w:rFonts w:ascii="Arial" w:hAnsi="Arial" w:cs="Arial"/>
                <w:highlight w:val="none"/>
              </w:rPr>
              <w:t>▲</w:t>
            </w:r>
            <w:r>
              <w:rPr>
                <w:rFonts w:hint="eastAsia"/>
                <w:highlight w:val="none"/>
              </w:rPr>
              <w:t>2</w:t>
            </w:r>
            <w:r>
              <w:rPr>
                <w:rFonts w:hint="eastAsia"/>
                <w:highlight w:val="none"/>
                <w:lang w:val="en-US" w:eastAsia="zh-CN"/>
              </w:rPr>
              <w:t>3</w:t>
            </w:r>
            <w:r>
              <w:rPr>
                <w:rFonts w:hint="eastAsia"/>
                <w:highlight w:val="none"/>
              </w:rPr>
              <w:t>、密文数据包吞吐量：≥</w:t>
            </w:r>
            <w:r>
              <w:rPr>
                <w:rFonts w:hint="eastAsia"/>
                <w:highlight w:val="none"/>
                <w:lang w:val="en-US" w:eastAsia="zh-CN"/>
              </w:rPr>
              <w:t>10</w:t>
            </w:r>
            <w:r>
              <w:rPr>
                <w:rFonts w:hint="eastAsia"/>
                <w:highlight w:val="none"/>
              </w:rPr>
              <w:t>00Mbps</w:t>
            </w:r>
            <w:r>
              <w:rPr>
                <w:rFonts w:hint="eastAsia"/>
                <w:highlight w:val="none"/>
                <w:lang w:eastAsia="zh-CN"/>
              </w:rPr>
              <w:t>（</w:t>
            </w:r>
            <w:r>
              <w:rPr>
                <w:rFonts w:hint="eastAsia"/>
                <w:highlight w:val="none"/>
                <w:lang w:val="en-US" w:eastAsia="zh-CN"/>
              </w:rPr>
              <w:t>50 条安全策略，1024字节报文长度</w:t>
            </w:r>
            <w:r>
              <w:rPr>
                <w:rFonts w:hint="eastAsia"/>
                <w:highlight w:val="none"/>
                <w:lang w:eastAsia="zh-CN"/>
              </w:rPr>
              <w:t>）</w:t>
            </w:r>
          </w:p>
          <w:p w14:paraId="37FB6CA4">
            <w:pPr>
              <w:spacing w:before="156" w:after="156"/>
              <w:ind w:firstLine="0" w:firstLineChars="0"/>
            </w:pPr>
            <w:r>
              <w:rPr>
                <w:rFonts w:hint="eastAsia"/>
              </w:rPr>
              <w:t>2</w:t>
            </w:r>
            <w:r>
              <w:rPr>
                <w:rFonts w:hint="eastAsia"/>
                <w:lang w:val="en-US" w:eastAsia="zh-CN"/>
              </w:rPr>
              <w:t>4</w:t>
            </w:r>
            <w:r>
              <w:rPr>
                <w:rFonts w:hint="eastAsia"/>
              </w:rPr>
              <w:t>、数据包转发延迟：&lt; 2ms （50%密文数据包吞吐量）</w:t>
            </w:r>
          </w:p>
          <w:p w14:paraId="704E23DD">
            <w:pPr>
              <w:spacing w:before="156" w:after="156"/>
              <w:ind w:firstLine="0" w:firstLineChars="0"/>
            </w:pPr>
            <w:r>
              <w:rPr>
                <w:rFonts w:hint="eastAsia"/>
              </w:rPr>
              <w:t>2</w:t>
            </w:r>
            <w:r>
              <w:rPr>
                <w:rFonts w:hint="eastAsia"/>
                <w:lang w:val="en-US" w:eastAsia="zh-CN"/>
              </w:rPr>
              <w:t>5</w:t>
            </w:r>
            <w:r>
              <w:rPr>
                <w:rFonts w:hint="eastAsia"/>
              </w:rPr>
              <w:t>、满负荷数据包丢弃率：0</w:t>
            </w:r>
          </w:p>
          <w:p w14:paraId="0CAA2E4E">
            <w:pPr>
              <w:spacing w:before="156" w:after="156"/>
              <w:ind w:firstLine="0" w:firstLineChars="0"/>
            </w:pPr>
            <w:r>
              <w:rPr>
                <w:rFonts w:hint="eastAsia"/>
                <w:lang w:val="en-US" w:eastAsia="zh-CN"/>
              </w:rPr>
              <w:t>26</w:t>
            </w:r>
            <w:r>
              <w:rPr>
                <w:rFonts w:hint="eastAsia"/>
              </w:rPr>
              <w:t>、设备电源：双电源；</w:t>
            </w:r>
          </w:p>
          <w:p w14:paraId="19EE63B8">
            <w:pPr>
              <w:spacing w:before="156" w:after="156"/>
              <w:ind w:firstLine="0" w:firstLineChars="0"/>
            </w:pPr>
            <w:r>
              <w:rPr>
                <w:rFonts w:hint="eastAsia"/>
                <w:lang w:val="en-US" w:eastAsia="zh-CN"/>
              </w:rPr>
              <w:t>27</w:t>
            </w:r>
            <w:r>
              <w:rPr>
                <w:rFonts w:hint="eastAsia"/>
              </w:rPr>
              <w:t>、装置可安装于19英寸标准机柜。</w:t>
            </w:r>
          </w:p>
        </w:tc>
      </w:tr>
      <w:tr w14:paraId="3CB9B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2" w:type="dxa"/>
            <w:vAlign w:val="center"/>
          </w:tcPr>
          <w:p w14:paraId="116F126C">
            <w:pPr>
              <w:ind w:left="0" w:leftChars="0" w:firstLine="0" w:firstLineChars="0"/>
              <w:jc w:val="center"/>
            </w:pPr>
            <w:r>
              <w:rPr>
                <w:rFonts w:hint="eastAsia"/>
              </w:rPr>
              <w:t>质保要求</w:t>
            </w:r>
          </w:p>
        </w:tc>
        <w:tc>
          <w:tcPr>
            <w:tcW w:w="1495" w:type="dxa"/>
            <w:vAlign w:val="center"/>
          </w:tcPr>
          <w:p w14:paraId="6C6D94E7">
            <w:pPr>
              <w:ind w:left="0" w:leftChars="0" w:firstLine="0" w:firstLineChars="0"/>
              <w:rPr>
                <w:rFonts w:hint="eastAsia"/>
              </w:rPr>
            </w:pPr>
            <w:r>
              <w:rPr>
                <w:rFonts w:hint="eastAsia"/>
              </w:rPr>
              <w:t>质保要求</w:t>
            </w:r>
          </w:p>
        </w:tc>
        <w:tc>
          <w:tcPr>
            <w:tcW w:w="5749" w:type="dxa"/>
            <w:vAlign w:val="top"/>
          </w:tcPr>
          <w:p w14:paraId="10C3040A">
            <w:pPr>
              <w:numPr>
                <w:ilvl w:val="0"/>
                <w:numId w:val="0"/>
              </w:numPr>
              <w:spacing w:before="156" w:after="156"/>
              <w:ind w:left="0" w:leftChars="0" w:firstLine="0" w:firstLineChars="0"/>
              <w:rPr>
                <w:rFonts w:hint="eastAsia"/>
              </w:rPr>
            </w:pPr>
            <w:r>
              <w:rPr>
                <w:rFonts w:hint="eastAsia" w:hAnsi="宋体"/>
                <w:sz w:val="21"/>
                <w:szCs w:val="21"/>
              </w:rPr>
              <w:t>质保期内免费提供规则库升级、设备修理、系统版本升级、漏洞修复及原厂技术支持服务。</w:t>
            </w:r>
          </w:p>
        </w:tc>
      </w:tr>
    </w:tbl>
    <w:p w14:paraId="06993E5B"/>
    <w:p w14:paraId="1487654A">
      <w:pPr>
        <w:pStyle w:val="5"/>
      </w:pPr>
      <w:bookmarkStart w:id="17" w:name="_Toc27429"/>
      <w:r>
        <w:rPr>
          <w:rFonts w:hint="eastAsia"/>
        </w:rPr>
        <w:t>WAF</w:t>
      </w:r>
      <w:bookmarkEnd w:id="17"/>
    </w:p>
    <w:tbl>
      <w:tblPr>
        <w:tblStyle w:val="27"/>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7455"/>
      </w:tblGrid>
      <w:tr w14:paraId="15231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pct"/>
            <w:vAlign w:val="center"/>
          </w:tcPr>
          <w:p w14:paraId="029E9B2F">
            <w:r>
              <w:rPr>
                <w:rFonts w:hint="eastAsia"/>
              </w:rPr>
              <w:t>参数项</w:t>
            </w:r>
          </w:p>
        </w:tc>
        <w:tc>
          <w:tcPr>
            <w:tcW w:w="4334" w:type="pct"/>
            <w:vAlign w:val="center"/>
          </w:tcPr>
          <w:p w14:paraId="5853DE1F">
            <w:r>
              <w:rPr>
                <w:rFonts w:hint="eastAsia"/>
              </w:rPr>
              <w:t>参数要求</w:t>
            </w:r>
          </w:p>
        </w:tc>
      </w:tr>
      <w:tr w14:paraId="3D70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65" w:type="pct"/>
            <w:vAlign w:val="center"/>
          </w:tcPr>
          <w:p w14:paraId="4965EE10">
            <w:r>
              <w:rPr>
                <w:rFonts w:hint="eastAsia"/>
              </w:rPr>
              <w:t>安全要求</w:t>
            </w:r>
          </w:p>
        </w:tc>
        <w:tc>
          <w:tcPr>
            <w:tcW w:w="4334" w:type="pct"/>
            <w:shd w:val="clear" w:color="auto" w:fill="auto"/>
            <w:vAlign w:val="center"/>
          </w:tcPr>
          <w:p w14:paraId="69A1FD8B">
            <w:pPr>
              <w:rPr>
                <w:rFonts w:hint="eastAsia" w:ascii="宋体" w:hAnsi="宋体" w:eastAsia="宋体" w:cs="宋体"/>
                <w:kern w:val="2"/>
                <w:sz w:val="21"/>
                <w:szCs w:val="21"/>
                <w:lang w:val="en-US" w:eastAsia="zh-CN" w:bidi="ar-SA"/>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0375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65" w:type="pct"/>
            <w:vAlign w:val="center"/>
          </w:tcPr>
          <w:p w14:paraId="5CF7A0D0">
            <w:r>
              <w:rPr>
                <w:rFonts w:hint="eastAsia"/>
              </w:rPr>
              <w:t>硬件要求</w:t>
            </w:r>
          </w:p>
        </w:tc>
        <w:tc>
          <w:tcPr>
            <w:tcW w:w="4334" w:type="pct"/>
            <w:vAlign w:val="center"/>
          </w:tcPr>
          <w:p w14:paraId="58D99BB8">
            <w:pPr>
              <w:rPr>
                <w:highlight w:val="none"/>
              </w:rPr>
            </w:pPr>
            <w:r>
              <w:rPr>
                <w:rFonts w:ascii="Arial" w:hAnsi="Arial" w:cs="Arial"/>
                <w:highlight w:val="none"/>
              </w:rPr>
              <w:t>▲</w:t>
            </w:r>
            <w:r>
              <w:rPr>
                <w:rFonts w:hint="eastAsia" w:ascii="宋体" w:hAnsi="宋体" w:cs="宋体"/>
                <w:color w:val="000000"/>
                <w:kern w:val="0"/>
                <w:szCs w:val="21"/>
                <w:highlight w:val="none"/>
              </w:rPr>
              <w:t>含</w:t>
            </w:r>
            <w:r>
              <w:rPr>
                <w:rFonts w:hint="eastAsia"/>
                <w:highlight w:val="none"/>
              </w:rPr>
              <w:t>≥4个千兆电口, ≥</w:t>
            </w:r>
            <w:r>
              <w:rPr>
                <w:rFonts w:hint="eastAsia"/>
                <w:highlight w:val="none"/>
                <w:lang w:val="en-US" w:eastAsia="zh-CN"/>
              </w:rPr>
              <w:t>2</w:t>
            </w:r>
            <w:r>
              <w:rPr>
                <w:rFonts w:hint="eastAsia"/>
                <w:highlight w:val="none"/>
              </w:rPr>
              <w:t>个千兆光口, ≥2个万兆光口</w:t>
            </w:r>
            <w:r>
              <w:rPr>
                <w:rFonts w:hint="eastAsia" w:ascii="宋体" w:hAnsi="宋体" w:cs="宋体"/>
                <w:color w:val="000000"/>
                <w:kern w:val="0"/>
                <w:szCs w:val="21"/>
                <w:highlight w:val="none"/>
              </w:rPr>
              <w:t>，提供带外管理接口，并配置光模块；配置双电源；标准机架式专业硬件设备；</w:t>
            </w:r>
          </w:p>
        </w:tc>
      </w:tr>
      <w:tr w14:paraId="4EA4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65" w:type="pct"/>
            <w:vAlign w:val="center"/>
          </w:tcPr>
          <w:p w14:paraId="6716D265">
            <w:pPr>
              <w:rPr>
                <w:highlight w:val="none"/>
              </w:rPr>
            </w:pPr>
            <w:r>
              <w:rPr>
                <w:rFonts w:hint="eastAsia"/>
                <w:highlight w:val="none"/>
              </w:rPr>
              <w:t>性能要求</w:t>
            </w:r>
          </w:p>
        </w:tc>
        <w:tc>
          <w:tcPr>
            <w:tcW w:w="4334" w:type="pct"/>
            <w:vAlign w:val="center"/>
          </w:tcPr>
          <w:p w14:paraId="4A753B7C">
            <w:pPr>
              <w:rPr>
                <w:highlight w:val="none"/>
              </w:rPr>
            </w:pPr>
            <w:r>
              <w:rPr>
                <w:rFonts w:ascii="Arial" w:hAnsi="Arial" w:cs="Arial"/>
                <w:highlight w:val="none"/>
              </w:rPr>
              <w:t>▲</w:t>
            </w:r>
            <w:r>
              <w:rPr>
                <w:rFonts w:hint="eastAsia"/>
                <w:highlight w:val="none"/>
              </w:rPr>
              <w:t>HTTP吞吐量≥8000Mbps，HTTP并发连接数≥</w:t>
            </w:r>
            <w:r>
              <w:rPr>
                <w:rFonts w:hint="eastAsia"/>
                <w:highlight w:val="none"/>
                <w:lang w:val="en-US" w:eastAsia="zh-CN"/>
              </w:rPr>
              <w:t>5</w:t>
            </w:r>
            <w:r>
              <w:rPr>
                <w:rFonts w:hint="eastAsia"/>
                <w:highlight w:val="none"/>
              </w:rPr>
              <w:t>00万，HTTP请求速率≥</w:t>
            </w:r>
            <w:r>
              <w:rPr>
                <w:rFonts w:hint="eastAsia"/>
                <w:highlight w:val="none"/>
                <w:lang w:val="en-US" w:eastAsia="zh-CN"/>
              </w:rPr>
              <w:t>6</w:t>
            </w:r>
            <w:r>
              <w:rPr>
                <w:rFonts w:hint="eastAsia"/>
                <w:highlight w:val="none"/>
              </w:rPr>
              <w:t>万/秒</w:t>
            </w:r>
          </w:p>
        </w:tc>
      </w:tr>
      <w:tr w14:paraId="6D6A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pct"/>
            <w:vMerge w:val="restart"/>
            <w:vAlign w:val="center"/>
          </w:tcPr>
          <w:p w14:paraId="153D6201">
            <w:r>
              <w:rPr>
                <w:rFonts w:hint="eastAsia"/>
              </w:rPr>
              <w:t>部署方式</w:t>
            </w:r>
          </w:p>
        </w:tc>
        <w:tc>
          <w:tcPr>
            <w:tcW w:w="4334" w:type="pct"/>
            <w:vAlign w:val="center"/>
          </w:tcPr>
          <w:p w14:paraId="727ADB37">
            <w:r>
              <w:rPr>
                <w:rFonts w:hint="eastAsia"/>
              </w:rPr>
              <w:t>无IP纯透明模式串联部署、反向代理模式部署、旁路监测模式部署</w:t>
            </w:r>
          </w:p>
        </w:tc>
      </w:tr>
      <w:tr w14:paraId="4854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4D394869"/>
        </w:tc>
        <w:tc>
          <w:tcPr>
            <w:tcW w:w="4334" w:type="pct"/>
            <w:vAlign w:val="center"/>
          </w:tcPr>
          <w:p w14:paraId="77C0712B">
            <w:r>
              <w:rPr>
                <w:rFonts w:hint="eastAsia"/>
              </w:rPr>
              <w:t>支持基于域名和IP多种方式提供网站防护。</w:t>
            </w:r>
          </w:p>
        </w:tc>
      </w:tr>
      <w:tr w14:paraId="6800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65" w:type="pct"/>
            <w:vMerge w:val="restart"/>
            <w:vAlign w:val="center"/>
          </w:tcPr>
          <w:p w14:paraId="38089320">
            <w:r>
              <w:rPr>
                <w:rFonts w:hint="eastAsia"/>
              </w:rPr>
              <w:t>网络适应性</w:t>
            </w:r>
          </w:p>
        </w:tc>
        <w:tc>
          <w:tcPr>
            <w:tcW w:w="4334" w:type="pct"/>
            <w:vAlign w:val="center"/>
          </w:tcPr>
          <w:p w14:paraId="7E7FDD91">
            <w:r>
              <w:rPr>
                <w:rFonts w:hint="eastAsia"/>
              </w:rPr>
              <w:t>对于任意物理接口，可设置其功能类型，包括设置为管理口、业务口、HA口。</w:t>
            </w:r>
          </w:p>
        </w:tc>
      </w:tr>
      <w:tr w14:paraId="67D9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65" w:type="pct"/>
            <w:vMerge w:val="continue"/>
            <w:vAlign w:val="center"/>
          </w:tcPr>
          <w:p w14:paraId="3A65E55A"/>
        </w:tc>
        <w:tc>
          <w:tcPr>
            <w:tcW w:w="4334" w:type="pct"/>
            <w:vAlign w:val="center"/>
          </w:tcPr>
          <w:p w14:paraId="1F37CB3A">
            <w:r>
              <w:rPr>
                <w:rFonts w:hint="eastAsia"/>
              </w:rPr>
              <w:t>支持链路聚合(Channel)部署，提高链路带宽。</w:t>
            </w:r>
          </w:p>
        </w:tc>
      </w:tr>
      <w:tr w14:paraId="1217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55B1FE3D"/>
        </w:tc>
        <w:tc>
          <w:tcPr>
            <w:tcW w:w="4334" w:type="pct"/>
            <w:vAlign w:val="center"/>
          </w:tcPr>
          <w:p w14:paraId="146AF6E0">
            <w:r>
              <w:rPr>
                <w:rFonts w:hint="eastAsia"/>
              </w:rPr>
              <w:t>支持HTTP/HTTPS站点防护，在代理模式下支持HTTPS流量解析，支持SSL卸载功能。</w:t>
            </w:r>
          </w:p>
        </w:tc>
      </w:tr>
      <w:tr w14:paraId="62D4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restart"/>
            <w:vAlign w:val="center"/>
          </w:tcPr>
          <w:p w14:paraId="6A7AA923">
            <w:r>
              <w:rPr>
                <w:rFonts w:hint="eastAsia"/>
              </w:rPr>
              <w:t>访问控制</w:t>
            </w:r>
          </w:p>
        </w:tc>
        <w:tc>
          <w:tcPr>
            <w:tcW w:w="4334" w:type="pct"/>
          </w:tcPr>
          <w:p w14:paraId="1DECA8D3">
            <w:r>
              <w:rPr>
                <w:rFonts w:hint="eastAsia"/>
              </w:rPr>
              <w:t>支持网络层访问控制，支持基于源IP 地址、目的IP 地址、协议类型及区域等条件的访问控制。</w:t>
            </w:r>
          </w:p>
        </w:tc>
      </w:tr>
      <w:tr w14:paraId="17A15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7F5C8861"/>
        </w:tc>
        <w:tc>
          <w:tcPr>
            <w:tcW w:w="4334" w:type="pct"/>
          </w:tcPr>
          <w:p w14:paraId="029D51D9">
            <w:r>
              <w:rPr>
                <w:rFonts w:hint="eastAsia"/>
              </w:rPr>
              <w:t>支持IP黑白名单配置。</w:t>
            </w:r>
          </w:p>
        </w:tc>
      </w:tr>
      <w:tr w14:paraId="4E41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139D7107"/>
        </w:tc>
        <w:tc>
          <w:tcPr>
            <w:tcW w:w="4334" w:type="pct"/>
            <w:vAlign w:val="center"/>
          </w:tcPr>
          <w:p w14:paraId="46267E81">
            <w:r>
              <w:rPr>
                <w:rFonts w:hint="eastAsia"/>
              </w:rPr>
              <w:t>支持应用层访问控制功能，针对 HTTP请求字段进行过滤，包括HTTP协议版本，请求方法，Cookie信息等。</w:t>
            </w:r>
          </w:p>
        </w:tc>
      </w:tr>
      <w:tr w14:paraId="72D29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restart"/>
            <w:vAlign w:val="center"/>
          </w:tcPr>
          <w:p w14:paraId="558B371D">
            <w:r>
              <w:rPr>
                <w:rFonts w:hint="eastAsia"/>
              </w:rPr>
              <w:t>WEB攻击防护</w:t>
            </w:r>
          </w:p>
        </w:tc>
        <w:tc>
          <w:tcPr>
            <w:tcW w:w="4334" w:type="pct"/>
            <w:vAlign w:val="center"/>
          </w:tcPr>
          <w:p w14:paraId="55F1732E">
            <w:r>
              <w:rPr>
                <w:rFonts w:hint="eastAsia"/>
              </w:rPr>
              <w:t>应能识别和阻断SQL注入攻击,Cookie 注入攻击，命令注入攻击</w:t>
            </w:r>
          </w:p>
        </w:tc>
      </w:tr>
      <w:tr w14:paraId="488B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3784B0CF"/>
        </w:tc>
        <w:tc>
          <w:tcPr>
            <w:tcW w:w="4334" w:type="pct"/>
            <w:vAlign w:val="center"/>
          </w:tcPr>
          <w:p w14:paraId="29DB4D1D">
            <w:r>
              <w:rPr>
                <w:rFonts w:hint="eastAsia"/>
              </w:rPr>
              <w:t>应能识别和阻断跨站脚本(XSS)攻击</w:t>
            </w:r>
          </w:p>
        </w:tc>
      </w:tr>
      <w:tr w14:paraId="124D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31535ECA"/>
        </w:tc>
        <w:tc>
          <w:tcPr>
            <w:tcW w:w="4334" w:type="pct"/>
            <w:vAlign w:val="center"/>
          </w:tcPr>
          <w:p w14:paraId="650ADB1D">
            <w:r>
              <w:rPr>
                <w:rFonts w:hint="eastAsia"/>
              </w:rPr>
              <w:t>具备WebShell攻击，文件包含漏洞利用、目录遍历等攻击的防护功能</w:t>
            </w:r>
          </w:p>
        </w:tc>
      </w:tr>
      <w:tr w14:paraId="30D5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6738846C"/>
        </w:tc>
        <w:tc>
          <w:tcPr>
            <w:tcW w:w="4334" w:type="pct"/>
            <w:vAlign w:val="center"/>
          </w:tcPr>
          <w:p w14:paraId="4DD9B1E3">
            <w:r>
              <w:rPr>
                <w:rFonts w:hint="eastAsia"/>
              </w:rPr>
              <w:t>支持XML防护，XML攻击行为包括XML外部实体注入、XML Bomb攻击</w:t>
            </w:r>
          </w:p>
        </w:tc>
      </w:tr>
      <w:tr w14:paraId="0F0C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14ADCE38"/>
        </w:tc>
        <w:tc>
          <w:tcPr>
            <w:tcW w:w="4334" w:type="pct"/>
            <w:vAlign w:val="center"/>
          </w:tcPr>
          <w:p w14:paraId="3CB42C19">
            <w:r>
              <w:rPr>
                <w:rFonts w:hint="eastAsia"/>
              </w:rPr>
              <w:t>具备盗链防护功能，防止服务器资源被滥用。</w:t>
            </w:r>
          </w:p>
        </w:tc>
      </w:tr>
      <w:tr w14:paraId="1CA9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58E770EF"/>
        </w:tc>
        <w:tc>
          <w:tcPr>
            <w:tcW w:w="4334" w:type="pct"/>
            <w:vAlign w:val="center"/>
          </w:tcPr>
          <w:p w14:paraId="1A2EFE05">
            <w:r>
              <w:rPr>
                <w:rFonts w:hint="eastAsia"/>
              </w:rPr>
              <w:t>支持Cookie安全防护，通过对cookie进行加密签名，保障cookie信息安全可信。</w:t>
            </w:r>
          </w:p>
        </w:tc>
      </w:tr>
      <w:tr w14:paraId="7EB7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21994929">
            <w:r>
              <w:rPr>
                <w:rFonts w:hint="eastAsia"/>
              </w:rPr>
              <w:t>防护动作</w:t>
            </w:r>
          </w:p>
        </w:tc>
        <w:tc>
          <w:tcPr>
            <w:tcW w:w="4334" w:type="pct"/>
            <w:vAlign w:val="center"/>
          </w:tcPr>
          <w:p w14:paraId="15E63D4E">
            <w:r>
              <w:rPr>
                <w:rFonts w:hint="eastAsia"/>
              </w:rPr>
              <w:t>支持防护动作自定义，包括告警、阻断、重定向，错误页面等多种防护动作，同时支持阻断码可自定义，阻断页面可自定义。</w:t>
            </w:r>
          </w:p>
        </w:tc>
      </w:tr>
      <w:tr w14:paraId="407A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11AEBD0A">
            <w:r>
              <w:rPr>
                <w:rFonts w:hint="eastAsia"/>
              </w:rPr>
              <w:t>协议合规检查</w:t>
            </w:r>
          </w:p>
        </w:tc>
        <w:tc>
          <w:tcPr>
            <w:tcW w:w="4334" w:type="pct"/>
            <w:vAlign w:val="center"/>
          </w:tcPr>
          <w:p w14:paraId="1F063DB2">
            <w:r>
              <w:rPr>
                <w:rFonts w:hint="eastAsia"/>
              </w:rPr>
              <w:t>支持对HTTP协议合规性进行验证，提供HTTP协议规范化功能，支持对HTTP头部进行限制，应包括请求头部名称长度限制、请求头部个数限制、请求Cookie个数限制的HTTP请求、阻止请求文件获取时使用异常的分段范围指示等。</w:t>
            </w:r>
          </w:p>
        </w:tc>
      </w:tr>
      <w:tr w14:paraId="2892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65" w:type="pct"/>
            <w:vAlign w:val="center"/>
          </w:tcPr>
          <w:p w14:paraId="69406B4A">
            <w:r>
              <w:rPr>
                <w:rFonts w:hint="eastAsia"/>
              </w:rPr>
              <w:t>网页篡改防护</w:t>
            </w:r>
          </w:p>
        </w:tc>
        <w:tc>
          <w:tcPr>
            <w:tcW w:w="4334" w:type="pct"/>
            <w:vAlign w:val="center"/>
          </w:tcPr>
          <w:p w14:paraId="4E1DDF0A">
            <w:r>
              <w:rPr>
                <w:rFonts w:hint="eastAsia"/>
              </w:rPr>
              <w:t>支持网页防篡改，对网站文件内容进行篡改防护，检测到篡改后通过将缓存的网站页面返回给客户端，保证客户端无法看到被非法篡改的页面。</w:t>
            </w:r>
          </w:p>
        </w:tc>
      </w:tr>
      <w:tr w14:paraId="3FF5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restart"/>
            <w:vAlign w:val="center"/>
          </w:tcPr>
          <w:p w14:paraId="3E66956A">
            <w:r>
              <w:rPr>
                <w:rFonts w:hint="eastAsia"/>
              </w:rPr>
              <w:t>WEB漏洞扫描</w:t>
            </w:r>
          </w:p>
        </w:tc>
        <w:tc>
          <w:tcPr>
            <w:tcW w:w="4334" w:type="pct"/>
          </w:tcPr>
          <w:p w14:paraId="5CAFB0C7">
            <w:r>
              <w:rPr>
                <w:rFonts w:hint="eastAsia"/>
              </w:rPr>
              <w:t>支持对不少于100种的web服务器漏洞、软件漏洞进行防护。</w:t>
            </w:r>
          </w:p>
        </w:tc>
      </w:tr>
      <w:tr w14:paraId="31FBF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tcPr>
          <w:p w14:paraId="1F91C619"/>
        </w:tc>
        <w:tc>
          <w:tcPr>
            <w:tcW w:w="4334" w:type="pct"/>
          </w:tcPr>
          <w:p w14:paraId="4F7EEBD1">
            <w:r>
              <w:rPr>
                <w:rFonts w:hint="eastAsia"/>
              </w:rPr>
              <w:t>支持虚拟补丁功能，支持导入WAF内置扫描器及第三方扫描器的扫描结果生成防护规则。</w:t>
            </w:r>
          </w:p>
        </w:tc>
      </w:tr>
      <w:tr w14:paraId="05E9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364CF817">
            <w:r>
              <w:rPr>
                <w:rFonts w:hint="eastAsia"/>
              </w:rPr>
              <w:t>IPv6/IPv4双栈</w:t>
            </w:r>
          </w:p>
        </w:tc>
        <w:tc>
          <w:tcPr>
            <w:tcW w:w="4334" w:type="pct"/>
            <w:vAlign w:val="center"/>
          </w:tcPr>
          <w:p w14:paraId="2C252494">
            <w:r>
              <w:rPr>
                <w:rFonts w:hint="eastAsia"/>
              </w:rPr>
              <w:t>支持IPv4/IPv6双栈方式</w:t>
            </w:r>
            <w:r>
              <w:rPr>
                <w:rFonts w:hint="eastAsia"/>
                <w:lang w:eastAsia="zh-CN"/>
              </w:rPr>
              <w:t>。</w:t>
            </w:r>
          </w:p>
        </w:tc>
      </w:tr>
      <w:tr w14:paraId="722C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5" w:type="pct"/>
            <w:vMerge w:val="restart"/>
            <w:vAlign w:val="center"/>
          </w:tcPr>
          <w:p w14:paraId="305886E3">
            <w:r>
              <w:rPr>
                <w:rFonts w:hint="eastAsia"/>
              </w:rPr>
              <w:t>设备管理</w:t>
            </w:r>
          </w:p>
        </w:tc>
        <w:tc>
          <w:tcPr>
            <w:tcW w:w="4334" w:type="pct"/>
            <w:vAlign w:val="center"/>
          </w:tcPr>
          <w:p w14:paraId="3B62BCE3">
            <w:r>
              <w:rPr>
                <w:rFonts w:hint="eastAsia"/>
              </w:rPr>
              <w:t>支持WEB界面、SSH等多种方式进行设备配置管理；支持设置客户端IP限制、客户端MAC限制。</w:t>
            </w:r>
          </w:p>
        </w:tc>
      </w:tr>
      <w:tr w14:paraId="4C5E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65" w:type="pct"/>
            <w:vMerge w:val="continue"/>
            <w:vAlign w:val="center"/>
          </w:tcPr>
          <w:p w14:paraId="5CCD2BF1"/>
        </w:tc>
        <w:tc>
          <w:tcPr>
            <w:tcW w:w="4334" w:type="pct"/>
            <w:vAlign w:val="center"/>
          </w:tcPr>
          <w:p w14:paraId="63DFA20F">
            <w:r>
              <w:rPr>
                <w:rFonts w:hint="eastAsia"/>
              </w:rPr>
              <w:t>支持NTP服务器同步时间配置。</w:t>
            </w:r>
          </w:p>
        </w:tc>
      </w:tr>
      <w:tr w14:paraId="5F94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65" w:type="pct"/>
            <w:vMerge w:val="continue"/>
            <w:vAlign w:val="center"/>
          </w:tcPr>
          <w:p w14:paraId="08BAB987"/>
        </w:tc>
        <w:tc>
          <w:tcPr>
            <w:tcW w:w="4334" w:type="pct"/>
            <w:vAlign w:val="center"/>
          </w:tcPr>
          <w:p w14:paraId="4CDAE3AC">
            <w:r>
              <w:rPr>
                <w:rFonts w:hint="eastAsia"/>
              </w:rPr>
              <w:t>支持ping、TRACEROUTE、TCP、HTTP、DNS、抓包工具等多种故障诊断方式。</w:t>
            </w:r>
          </w:p>
        </w:tc>
      </w:tr>
      <w:tr w14:paraId="0BC0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665" w:type="pct"/>
            <w:vMerge w:val="restart"/>
            <w:vAlign w:val="center"/>
          </w:tcPr>
          <w:p w14:paraId="4BB5FEE8">
            <w:r>
              <w:rPr>
                <w:rFonts w:hint="eastAsia"/>
              </w:rPr>
              <w:t>访问及用户管理</w:t>
            </w:r>
          </w:p>
        </w:tc>
        <w:tc>
          <w:tcPr>
            <w:tcW w:w="4334" w:type="pct"/>
            <w:vAlign w:val="center"/>
          </w:tcPr>
          <w:p w14:paraId="2B57B0FF">
            <w:r>
              <w:rPr>
                <w:rFonts w:hint="eastAsia"/>
              </w:rPr>
              <w:t>支持历史密码检查个数。支持是否开启多端登录，开启后，可在多个客户端访问设备管理界面。关闭后，仅允许单个账户在单点进行登录。支持是否开启ssh服务。</w:t>
            </w:r>
          </w:p>
        </w:tc>
      </w:tr>
      <w:tr w14:paraId="5BD5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tcPr>
          <w:p w14:paraId="06C114F6"/>
        </w:tc>
        <w:tc>
          <w:tcPr>
            <w:tcW w:w="4334" w:type="pct"/>
          </w:tcPr>
          <w:p w14:paraId="303C645D">
            <w:r>
              <w:rPr>
                <w:rFonts w:hint="eastAsia"/>
              </w:rPr>
              <w:t>用户认证支持本地密码、RADIUS、LDAP等认证方式，并三种方式均可结合令牌的方式实现双因子认证。</w:t>
            </w:r>
          </w:p>
        </w:tc>
      </w:tr>
      <w:tr w14:paraId="7697B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70811CDC">
            <w:r>
              <w:rPr>
                <w:rFonts w:hint="eastAsia"/>
              </w:rPr>
              <w:t>集中管理</w:t>
            </w:r>
          </w:p>
        </w:tc>
        <w:tc>
          <w:tcPr>
            <w:tcW w:w="4334" w:type="pct"/>
            <w:vAlign w:val="center"/>
          </w:tcPr>
          <w:p w14:paraId="7BF9C296">
            <w:r>
              <w:rPr>
                <w:rFonts w:hint="eastAsia"/>
              </w:rPr>
              <w:t>支持集中管理功能，管理中心支持节点信息监控，节点管理，节点策略配置等功能。</w:t>
            </w:r>
          </w:p>
        </w:tc>
      </w:tr>
      <w:tr w14:paraId="3A35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restart"/>
            <w:vAlign w:val="center"/>
          </w:tcPr>
          <w:p w14:paraId="24FC49F7">
            <w:r>
              <w:rPr>
                <w:rFonts w:hint="eastAsia"/>
              </w:rPr>
              <w:t>日志</w:t>
            </w:r>
          </w:p>
        </w:tc>
        <w:tc>
          <w:tcPr>
            <w:tcW w:w="4334" w:type="pct"/>
            <w:vAlign w:val="center"/>
          </w:tcPr>
          <w:p w14:paraId="5C5ACBE0">
            <w:r>
              <w:rPr>
                <w:rFonts w:hint="eastAsia"/>
              </w:rPr>
              <w:t>支持以syslog格式向远端日志服务器发送日志。</w:t>
            </w:r>
          </w:p>
        </w:tc>
      </w:tr>
      <w:tr w14:paraId="61113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vAlign w:val="center"/>
          </w:tcPr>
          <w:p w14:paraId="4BBD2F7B"/>
        </w:tc>
        <w:tc>
          <w:tcPr>
            <w:tcW w:w="4334" w:type="pct"/>
            <w:vAlign w:val="center"/>
          </w:tcPr>
          <w:p w14:paraId="13CD6BCB">
            <w:r>
              <w:rPr>
                <w:rFonts w:hint="eastAsia"/>
              </w:rPr>
              <w:t>支持记录应用防护日志、网络防护日志、访问日志、慢攻击日志、防篡改日志、系统操作日志</w:t>
            </w:r>
          </w:p>
        </w:tc>
      </w:tr>
      <w:tr w14:paraId="07177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restart"/>
            <w:vAlign w:val="center"/>
          </w:tcPr>
          <w:p w14:paraId="03E94285">
            <w:r>
              <w:rPr>
                <w:rFonts w:hint="eastAsia"/>
              </w:rPr>
              <w:t>双机热备</w:t>
            </w:r>
          </w:p>
        </w:tc>
        <w:tc>
          <w:tcPr>
            <w:tcW w:w="4334" w:type="pct"/>
            <w:vAlign w:val="center"/>
          </w:tcPr>
          <w:p w14:paraId="376389CF">
            <w:r>
              <w:rPr>
                <w:rFonts w:hint="eastAsia"/>
              </w:rPr>
              <w:t>支持双机热备，包括主备、主主等模式。</w:t>
            </w:r>
          </w:p>
        </w:tc>
      </w:tr>
      <w:tr w14:paraId="4747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Merge w:val="continue"/>
          </w:tcPr>
          <w:p w14:paraId="0BC20C5B"/>
        </w:tc>
        <w:tc>
          <w:tcPr>
            <w:tcW w:w="4334" w:type="pct"/>
            <w:vAlign w:val="center"/>
          </w:tcPr>
          <w:p w14:paraId="111B3D8A">
            <w:r>
              <w:rPr>
                <w:rFonts w:hint="eastAsia"/>
              </w:rPr>
              <w:t>支持两台WAF配置同步。</w:t>
            </w:r>
          </w:p>
        </w:tc>
      </w:tr>
      <w:tr w14:paraId="11F6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02929A29">
            <w:r>
              <w:rPr>
                <w:rFonts w:hint="eastAsia"/>
              </w:rPr>
              <w:t>Bypass功能</w:t>
            </w:r>
          </w:p>
        </w:tc>
        <w:tc>
          <w:tcPr>
            <w:tcW w:w="4334" w:type="pct"/>
            <w:vAlign w:val="center"/>
          </w:tcPr>
          <w:p w14:paraId="0D855806">
            <w:r>
              <w:rPr>
                <w:rFonts w:ascii="Arial" w:hAnsi="Arial" w:cs="Arial"/>
              </w:rPr>
              <w:t>▲</w:t>
            </w:r>
            <w:r>
              <w:rPr>
                <w:rFonts w:hint="eastAsia"/>
              </w:rPr>
              <w:t>支持软硬件BYPASS。当业务流量过载，设备进入紧急模式，保障业务稳定性和连续性</w:t>
            </w:r>
          </w:p>
        </w:tc>
      </w:tr>
      <w:tr w14:paraId="6959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561BFE04">
            <w:r>
              <w:rPr>
                <w:rFonts w:hint="eastAsia"/>
              </w:rPr>
              <w:t>高可用</w:t>
            </w:r>
          </w:p>
        </w:tc>
        <w:tc>
          <w:tcPr>
            <w:tcW w:w="4334" w:type="pct"/>
            <w:vAlign w:val="center"/>
          </w:tcPr>
          <w:p w14:paraId="64259662">
            <w:r>
              <w:rPr>
                <w:rFonts w:hint="eastAsia"/>
              </w:rPr>
              <w:t>中心机支持主备形式部署，以保证单台中心机出现故障时可以由备机承担集中管理任务。</w:t>
            </w:r>
          </w:p>
        </w:tc>
      </w:tr>
      <w:tr w14:paraId="02E4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4010E1FD">
            <w:r>
              <w:rPr>
                <w:rFonts w:hint="eastAsia"/>
              </w:rPr>
              <w:t>产品资质</w:t>
            </w:r>
          </w:p>
        </w:tc>
        <w:tc>
          <w:tcPr>
            <w:tcW w:w="4334" w:type="pct"/>
            <w:vAlign w:val="center"/>
          </w:tcPr>
          <w:p w14:paraId="17D404C5">
            <w:r>
              <w:rPr>
                <w:rFonts w:hint="eastAsia"/>
                <w:kern w:val="0"/>
              </w:rPr>
              <w:t>★</w:t>
            </w:r>
            <w:r>
              <w:rPr>
                <w:rFonts w:hint="eastAsia"/>
              </w:rPr>
              <w:t>产品具备中国网络安全审查技术与认证中心颁发的《网络关键设备和网络安全专用产品安全认证证书》</w:t>
            </w:r>
          </w:p>
        </w:tc>
      </w:tr>
      <w:tr w14:paraId="789C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4" w:type="dxa"/>
            <w:vAlign w:val="top"/>
          </w:tcPr>
          <w:p w14:paraId="6A357F13">
            <w:pPr>
              <w:rPr>
                <w:rFonts w:hint="eastAsia"/>
                <w:highlight w:val="none"/>
              </w:rPr>
            </w:pPr>
            <w:r>
              <w:rPr>
                <w:rFonts w:hint="eastAsia"/>
                <w:highlight w:val="none"/>
              </w:rPr>
              <w:t>接入与集成要求</w:t>
            </w:r>
          </w:p>
        </w:tc>
        <w:tc>
          <w:tcPr>
            <w:tcW w:w="7456" w:type="dxa"/>
            <w:vAlign w:val="top"/>
          </w:tcPr>
          <w:p w14:paraId="501CA2A6">
            <w:pPr>
              <w:pStyle w:val="62"/>
              <w:spacing w:line="360" w:lineRule="auto"/>
              <w:rPr>
                <w:rFonts w:hint="eastAsia" w:hAnsi="宋体"/>
                <w:sz w:val="21"/>
                <w:szCs w:val="21"/>
                <w:highlight w:val="none"/>
              </w:rPr>
            </w:pPr>
            <w:r>
              <w:rPr>
                <w:rFonts w:hint="eastAsia" w:hAnsi="宋体"/>
                <w:sz w:val="21"/>
                <w:szCs w:val="21"/>
                <w:highlight w:val="none"/>
              </w:rPr>
              <w:t>▲提供接口完成与云盾、安全管控工具等系统的接入与集成。（需提供加盖原厂公章的承诺函）</w:t>
            </w:r>
          </w:p>
        </w:tc>
      </w:tr>
      <w:tr w14:paraId="0EBE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pct"/>
            <w:vAlign w:val="center"/>
          </w:tcPr>
          <w:p w14:paraId="3CB92116">
            <w:r>
              <w:rPr>
                <w:rFonts w:hint="eastAsia"/>
              </w:rPr>
              <w:t>质保要求</w:t>
            </w:r>
          </w:p>
        </w:tc>
        <w:tc>
          <w:tcPr>
            <w:tcW w:w="4334" w:type="pct"/>
          </w:tcPr>
          <w:p w14:paraId="35423829">
            <w:pPr>
              <w:pStyle w:val="62"/>
              <w:spacing w:line="360" w:lineRule="auto"/>
              <w:rPr>
                <w:rFonts w:hAnsi="宋体"/>
                <w:sz w:val="21"/>
                <w:szCs w:val="21"/>
              </w:rPr>
            </w:pPr>
            <w:r>
              <w:rPr>
                <w:rFonts w:hint="eastAsia" w:hAnsi="宋体"/>
                <w:sz w:val="21"/>
                <w:szCs w:val="21"/>
              </w:rPr>
              <w:t>质保期内免费提供规则库升级、设备修理、系统版本升级、漏洞修复及原厂技术支持服务。</w:t>
            </w:r>
          </w:p>
        </w:tc>
      </w:tr>
    </w:tbl>
    <w:p w14:paraId="1AF71237">
      <w:pPr>
        <w:pStyle w:val="5"/>
      </w:pPr>
      <w:bookmarkStart w:id="18" w:name="_Toc2890"/>
      <w:r>
        <w:rPr>
          <w:rFonts w:hint="eastAsia"/>
        </w:rPr>
        <w:t>IPS</w:t>
      </w:r>
      <w:bookmarkEnd w:id="18"/>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7421"/>
      </w:tblGrid>
      <w:tr w14:paraId="35EB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342275E">
            <w:r>
              <w:rPr>
                <w:rFonts w:hint="eastAsia"/>
              </w:rPr>
              <w:t>安全要求</w:t>
            </w:r>
          </w:p>
        </w:tc>
        <w:tc>
          <w:tcPr>
            <w:tcW w:w="7421" w:type="dxa"/>
            <w:shd w:val="clear" w:color="auto" w:fill="auto"/>
            <w:vAlign w:val="center"/>
          </w:tcPr>
          <w:p w14:paraId="3CDA5848">
            <w:pPr>
              <w:rPr>
                <w:rFonts w:hint="eastAsia" w:ascii="宋体" w:hAnsi="宋体" w:eastAsia="宋体" w:cs="宋体"/>
                <w:kern w:val="2"/>
                <w:sz w:val="21"/>
                <w:szCs w:val="21"/>
                <w:lang w:val="en-US" w:eastAsia="zh-CN" w:bidi="ar-SA"/>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31FD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544C57C">
            <w:pPr>
              <w:rPr>
                <w:kern w:val="0"/>
              </w:rPr>
            </w:pPr>
            <w:r>
              <w:rPr>
                <w:rFonts w:hint="eastAsia"/>
              </w:rPr>
              <w:t>硬件要求</w:t>
            </w:r>
          </w:p>
        </w:tc>
        <w:tc>
          <w:tcPr>
            <w:tcW w:w="7421" w:type="dxa"/>
          </w:tcPr>
          <w:p w14:paraId="34FC74C2">
            <w:pPr>
              <w:rPr>
                <w:rFonts w:hint="eastAsia" w:eastAsia="宋体"/>
                <w:highlight w:val="none"/>
                <w:lang w:eastAsia="zh-CN"/>
              </w:rPr>
            </w:pPr>
            <w:r>
              <w:rPr>
                <w:rFonts w:ascii="Arial" w:hAnsi="Arial" w:cs="Arial"/>
                <w:highlight w:val="none"/>
              </w:rPr>
              <w:t>▲</w:t>
            </w:r>
            <w:r>
              <w:rPr>
                <w:rFonts w:hint="eastAsia" w:ascii="宋体" w:hAnsi="宋体" w:eastAsia="宋体" w:cs="宋体"/>
                <w:highlight w:val="none"/>
              </w:rPr>
              <w:t>8个10/100/1000M自适应电口（支持4对Bypass），万兆光口≥</w:t>
            </w:r>
            <w:r>
              <w:rPr>
                <w:rFonts w:hint="eastAsia" w:ascii="宋体" w:hAnsi="宋体" w:eastAsia="宋体" w:cs="宋体"/>
                <w:highlight w:val="none"/>
                <w:lang w:val="en-US" w:eastAsia="zh-CN"/>
              </w:rPr>
              <w:t>4</w:t>
            </w:r>
            <w:r>
              <w:rPr>
                <w:rFonts w:hint="eastAsia" w:ascii="宋体" w:hAnsi="宋体" w:eastAsia="宋体" w:cs="宋体"/>
                <w:highlight w:val="none"/>
              </w:rPr>
              <w:t>个</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lang w:val="en-US" w:eastAsia="zh-CN"/>
              </w:rPr>
              <w:t>带光模块</w:t>
            </w:r>
            <w:r>
              <w:rPr>
                <w:rFonts w:hint="eastAsia" w:cs="宋体"/>
                <w:kern w:val="2"/>
                <w:sz w:val="21"/>
                <w:szCs w:val="21"/>
                <w:highlight w:val="none"/>
                <w:lang w:val="en-US" w:eastAsia="zh-CN"/>
              </w:rPr>
              <w:t>）</w:t>
            </w:r>
            <w:r>
              <w:rPr>
                <w:rFonts w:hint="eastAsia" w:ascii="宋体" w:hAnsi="宋体" w:eastAsia="宋体" w:cs="宋体"/>
                <w:highlight w:val="none"/>
              </w:rPr>
              <w:t>，可用扩展槽≥2个，双交流电源</w:t>
            </w:r>
            <w:r>
              <w:rPr>
                <w:rFonts w:hint="eastAsia" w:ascii="宋体" w:hAnsi="宋体" w:eastAsia="宋体" w:cs="宋体"/>
                <w:highlight w:val="none"/>
                <w:lang w:eastAsia="zh-CN"/>
              </w:rPr>
              <w:t>。</w:t>
            </w:r>
          </w:p>
        </w:tc>
      </w:tr>
      <w:tr w14:paraId="0C4B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A70CD55">
            <w:r>
              <w:rPr>
                <w:rFonts w:hint="eastAsia"/>
              </w:rPr>
              <w:t>性能要求</w:t>
            </w:r>
          </w:p>
        </w:tc>
        <w:tc>
          <w:tcPr>
            <w:tcW w:w="7421" w:type="dxa"/>
          </w:tcPr>
          <w:p w14:paraId="32915798">
            <w:r>
              <w:rPr>
                <w:rFonts w:ascii="Arial" w:hAnsi="Arial" w:cs="Arial"/>
              </w:rPr>
              <w:t>▲</w:t>
            </w:r>
            <w:r>
              <w:t>吞吐量≥20Gbps，并发连接≥300万,每秒新建连接数≥5万；</w:t>
            </w:r>
          </w:p>
        </w:tc>
      </w:tr>
      <w:tr w14:paraId="1527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restart"/>
          </w:tcPr>
          <w:p w14:paraId="29CE3C08">
            <w:r>
              <w:t>功能需求</w:t>
            </w:r>
          </w:p>
        </w:tc>
        <w:tc>
          <w:tcPr>
            <w:tcW w:w="7421" w:type="dxa"/>
          </w:tcPr>
          <w:p w14:paraId="7EACA90E">
            <w:pPr>
              <w:rPr>
                <w:rFonts w:hint="eastAsia" w:eastAsia="宋体"/>
                <w:lang w:eastAsia="zh-CN"/>
              </w:rPr>
            </w:pPr>
            <w:r>
              <w:t>支持丰富的路由协议，包括但不限于，静态路由、策略路由（路由前策略、路由后策略、本地报文发包策略）、RIP、OSPF、ISIS、BGP等（提供产品配置截图证明）</w:t>
            </w:r>
            <w:r>
              <w:rPr>
                <w:rFonts w:hint="eastAsia"/>
                <w:lang w:eastAsia="zh-CN"/>
              </w:rPr>
              <w:t>；</w:t>
            </w:r>
          </w:p>
        </w:tc>
      </w:tr>
      <w:tr w14:paraId="3C254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0706E5B3"/>
        </w:tc>
        <w:tc>
          <w:tcPr>
            <w:tcW w:w="7421" w:type="dxa"/>
          </w:tcPr>
          <w:p w14:paraId="5F0CA523">
            <w:r>
              <w:t>支持攻击检测与防护、病毒检测与防护</w:t>
            </w:r>
            <w:r>
              <w:rPr>
                <w:rFonts w:hint="eastAsia"/>
                <w:lang w:eastAsia="zh-CN"/>
              </w:rPr>
              <w:t>；</w:t>
            </w:r>
          </w:p>
        </w:tc>
      </w:tr>
      <w:tr w14:paraId="278E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72D163C6"/>
        </w:tc>
        <w:tc>
          <w:tcPr>
            <w:tcW w:w="7421" w:type="dxa"/>
          </w:tcPr>
          <w:p w14:paraId="752A1F16">
            <w:pPr>
              <w:rPr>
                <w:rFonts w:hint="eastAsia" w:eastAsia="宋体"/>
                <w:lang w:eastAsia="zh-CN"/>
              </w:rPr>
            </w:pPr>
            <w:r>
              <w:t>支持隧道报文检测，可以识别并检测VLAN，QINQ，MPLS，GRE，VXLAN，PPPOE等常见协议封装的网络报文（提供第三方佐证材料）</w:t>
            </w:r>
            <w:r>
              <w:rPr>
                <w:rFonts w:hint="eastAsia"/>
                <w:lang w:eastAsia="zh-CN"/>
              </w:rPr>
              <w:t>；</w:t>
            </w:r>
          </w:p>
        </w:tc>
      </w:tr>
      <w:tr w14:paraId="58D1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377FCD13"/>
        </w:tc>
        <w:tc>
          <w:tcPr>
            <w:tcW w:w="7421" w:type="dxa"/>
          </w:tcPr>
          <w:p w14:paraId="5BC547BD">
            <w:pPr>
              <w:rPr>
                <w:rFonts w:hint="eastAsia" w:eastAsia="宋体"/>
                <w:lang w:eastAsia="zh-CN"/>
              </w:rPr>
            </w:pPr>
            <w:r>
              <w:rPr>
                <w:rFonts w:ascii="Arial" w:hAnsi="Arial" w:cs="Arial"/>
              </w:rPr>
              <w:t>▲</w:t>
            </w:r>
            <w:r>
              <w:t>内置丰富的IPS特征库，可针对SQL注入、木马后门、漏洞利用等恶意攻击进行检测和阻断，特征规则数量不少于9000条（提供第三方佐证材料）</w:t>
            </w:r>
            <w:r>
              <w:rPr>
                <w:rFonts w:hint="eastAsia"/>
                <w:lang w:eastAsia="zh-CN"/>
              </w:rPr>
              <w:t>；</w:t>
            </w:r>
          </w:p>
        </w:tc>
      </w:tr>
      <w:tr w14:paraId="758F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0B420EA6"/>
        </w:tc>
        <w:tc>
          <w:tcPr>
            <w:tcW w:w="7421" w:type="dxa"/>
          </w:tcPr>
          <w:p w14:paraId="5273CCF3">
            <w:pPr>
              <w:rPr>
                <w:rFonts w:hint="eastAsia" w:eastAsia="宋体"/>
                <w:lang w:eastAsia="zh-CN"/>
              </w:rPr>
            </w:pPr>
            <w:r>
              <w:t>入侵防御支持基于IT资源、攻击类型、协议、源用户组、目的用户组、报文入接口、VLAN ID、有效时间等维度进行策略配置，IT资源应支持:操作系统、办公软件、应用软件、数据库、WEB应用、浏览器、邮件服务器、网络爬虫等不少于8种分类，攻击类型应支持主机漏洞利用、木马远控、系统扫描探测、网路爬虫等不少于25种分类，支持策略批量导入导出</w:t>
            </w:r>
            <w:r>
              <w:rPr>
                <w:rFonts w:hint="eastAsia"/>
                <w:lang w:eastAsia="zh-CN"/>
              </w:rPr>
              <w:t>；</w:t>
            </w:r>
          </w:p>
        </w:tc>
      </w:tr>
      <w:tr w14:paraId="00C16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4B339209"/>
        </w:tc>
        <w:tc>
          <w:tcPr>
            <w:tcW w:w="7421" w:type="dxa"/>
          </w:tcPr>
          <w:p w14:paraId="245F97FE">
            <w:r>
              <w:t>入侵防御白名单至少支持配置IP白名单、URL白名单、规则白名单以及相应的组合，可展示白名单命中技术</w:t>
            </w:r>
            <w:r>
              <w:rPr>
                <w:rFonts w:hint="eastAsia"/>
                <w:lang w:eastAsia="zh-CN"/>
              </w:rPr>
              <w:t>。</w:t>
            </w:r>
          </w:p>
        </w:tc>
      </w:tr>
      <w:tr w14:paraId="5C6E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2AA8B5B2"/>
        </w:tc>
        <w:tc>
          <w:tcPr>
            <w:tcW w:w="7421" w:type="dxa"/>
          </w:tcPr>
          <w:p w14:paraId="778B8654">
            <w:pPr>
              <w:rPr>
                <w:rFonts w:hint="eastAsia" w:eastAsia="宋体"/>
                <w:lang w:eastAsia="zh-CN"/>
              </w:rPr>
            </w:pPr>
            <w:r>
              <w:t>入侵防御日志支持聚合发送，聚合条件包括源IP聚合、目的IP聚合、源端口聚合、目的端口聚合、协议聚合</w:t>
            </w:r>
            <w:r>
              <w:rPr>
                <w:rFonts w:hint="eastAsia"/>
                <w:lang w:eastAsia="zh-CN"/>
              </w:rPr>
              <w:t>。</w:t>
            </w:r>
          </w:p>
        </w:tc>
      </w:tr>
      <w:tr w14:paraId="7BB39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66CB8F2D"/>
        </w:tc>
        <w:tc>
          <w:tcPr>
            <w:tcW w:w="7421" w:type="dxa"/>
          </w:tcPr>
          <w:p w14:paraId="799C6A73">
            <w:r>
              <w:t>防病毒策略支持基于报文入接口、病毒类型、协议、源用户组、目的用户组、高/中/低流行度（不同流行度支持不同的处置策略），有效时间进行配置，动作至少包含告警、阻断、邮件病毒替换、阻断+源TCP Reset、阻断+目的TCP Reset、阻断+双向TCP Reset、阻断+双向TCP Reset+告警推送、邮件病毒替换+阻断+双向TCP Reset、邮件病毒替换+阻断+双向TCP Reset+告警推送</w:t>
            </w:r>
          </w:p>
        </w:tc>
      </w:tr>
      <w:tr w14:paraId="63F4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6789765A"/>
        </w:tc>
        <w:tc>
          <w:tcPr>
            <w:tcW w:w="7421" w:type="dxa"/>
          </w:tcPr>
          <w:p w14:paraId="69F0C256">
            <w:r>
              <w:t>防病毒白名单至少支持设定源用户组、目的用户组、HOST、URL、攻击ID、有效时间等元素，并且支持批量导入、导出操作</w:t>
            </w:r>
          </w:p>
        </w:tc>
      </w:tr>
      <w:tr w14:paraId="2E28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1752EA34"/>
        </w:tc>
        <w:tc>
          <w:tcPr>
            <w:tcW w:w="7421" w:type="dxa"/>
          </w:tcPr>
          <w:p w14:paraId="4BBFD835">
            <w:r>
              <w:t>病毒日志支持聚合发送，聚合条件包括源IP聚合、目的IP聚合、源端口聚合、目的端口聚合、协议聚合</w:t>
            </w:r>
          </w:p>
        </w:tc>
      </w:tr>
      <w:tr w14:paraId="630B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1" w:type="dxa"/>
            <w:vMerge w:val="continue"/>
          </w:tcPr>
          <w:p w14:paraId="3014CC6E"/>
        </w:tc>
        <w:tc>
          <w:tcPr>
            <w:tcW w:w="7421" w:type="dxa"/>
          </w:tcPr>
          <w:p w14:paraId="216C8E23">
            <w:r>
              <w:t>支持对HTTP协议进行访问管控，过滤JAVA Applets、ActiveX等插件，自定义禁止文件类型，支持自定义关键字过滤（提供第三方佐证材料）</w:t>
            </w:r>
          </w:p>
        </w:tc>
      </w:tr>
      <w:tr w14:paraId="6959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398D9901"/>
        </w:tc>
        <w:tc>
          <w:tcPr>
            <w:tcW w:w="7421" w:type="dxa"/>
          </w:tcPr>
          <w:p w14:paraId="589FBB12">
            <w:r>
              <w:t>支持对FTP协议进行访问管控，可以对ABOR、ACCT、APPE、CDUP、CWD、DELE、STOR、RETR、RMD、RNTO等动作进行控制，并支持自定义禁止文件类型（提供第三方佐证材料）</w:t>
            </w:r>
          </w:p>
        </w:tc>
      </w:tr>
      <w:tr w14:paraId="2D0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Merge w:val="continue"/>
          </w:tcPr>
          <w:p w14:paraId="063A0440"/>
        </w:tc>
        <w:tc>
          <w:tcPr>
            <w:tcW w:w="7421" w:type="dxa"/>
          </w:tcPr>
          <w:p w14:paraId="57EBC793">
            <w:r>
              <w:t>支持指纹方式的DDoS防护，可以根据报文长度、报文ID、TTL值、源IP、目的IP、端口号、序列号等指纹进行防护设定（提供第三方佐证材料）</w:t>
            </w:r>
          </w:p>
        </w:tc>
      </w:tr>
      <w:tr w14:paraId="5647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58FDD5CC"/>
        </w:tc>
        <w:tc>
          <w:tcPr>
            <w:tcW w:w="7421" w:type="dxa"/>
          </w:tcPr>
          <w:p w14:paraId="7934A17D">
            <w:r>
              <w:t>支持主动识别和防御恶意扫描行为，在不影响资产探活的情况下实现屏蔽漏洞被暴露的风险，并且可以针对Apache等服务版本号进行替换，迷惑攻击者，增加攻击难度（提供第三方佐证材料）</w:t>
            </w:r>
          </w:p>
        </w:tc>
      </w:tr>
      <w:tr w14:paraId="6FBE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6C1DCCE3"/>
        </w:tc>
        <w:tc>
          <w:tcPr>
            <w:tcW w:w="7421" w:type="dxa"/>
          </w:tcPr>
          <w:p w14:paraId="4FB311E7">
            <w:r>
              <w:t>支持ICMP不可达报文、ICMP重定向报文 、超大ICMP报文、TcpFlag攻击 、ICMP MTU欺骗报文、IP地址扫描、端口扫描、漏洞扫描等行为的检测，可以根据设定的阈值进行阻断，并记录攻击次数</w:t>
            </w:r>
          </w:p>
        </w:tc>
      </w:tr>
      <w:tr w14:paraId="7390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5675FB5C"/>
        </w:tc>
        <w:tc>
          <w:tcPr>
            <w:tcW w:w="7421" w:type="dxa"/>
          </w:tcPr>
          <w:p w14:paraId="75B8B5DD">
            <w:r>
              <w:t>支持通过telnet/ssh的形式登录设备抓取数据流的交互过程，展示信息包括但不限于报文源/目的IP、协议、源/目的端口、源/目的MAC、入出接口、报文长度以及经过设备内部各个功能模块的匹配过程，方便进行故障定位</w:t>
            </w:r>
          </w:p>
        </w:tc>
      </w:tr>
      <w:tr w14:paraId="1B5A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529CEFC6"/>
        </w:tc>
        <w:tc>
          <w:tcPr>
            <w:tcW w:w="7421" w:type="dxa"/>
          </w:tcPr>
          <w:p w14:paraId="6284D315">
            <w:r>
              <w:rPr>
                <w:rFonts w:ascii="Arial" w:hAnsi="Arial" w:cs="Arial"/>
              </w:rPr>
              <w:t>▲</w:t>
            </w:r>
            <w:r>
              <w:t>支持设备虚拟化部署，实现设备一体化管理，资源共用（提供第三方佐证材料）</w:t>
            </w:r>
          </w:p>
        </w:tc>
      </w:tr>
      <w:tr w14:paraId="469D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tcPr>
          <w:p w14:paraId="19B5BB62">
            <w:pPr>
              <w:jc w:val="both"/>
            </w:pPr>
            <w:r>
              <w:rPr>
                <w:rFonts w:hint="eastAsia"/>
              </w:rPr>
              <w:t>产品资质</w:t>
            </w:r>
          </w:p>
        </w:tc>
        <w:tc>
          <w:tcPr>
            <w:tcW w:w="7421" w:type="dxa"/>
          </w:tcPr>
          <w:p w14:paraId="732BFD22">
            <w:r>
              <w:rPr>
                <w:rFonts w:hint="eastAsia"/>
                <w:kern w:val="0"/>
              </w:rPr>
              <w:t>★</w:t>
            </w:r>
            <w:r>
              <w:rPr>
                <w:rFonts w:hint="eastAsia"/>
              </w:rPr>
              <w:t>产品具备中国网络安全审查技术与认证中心颁发的《网络关键设备和网络安全专用产品安全认证证书》</w:t>
            </w:r>
          </w:p>
        </w:tc>
      </w:tr>
      <w:tr w14:paraId="7966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top"/>
          </w:tcPr>
          <w:p w14:paraId="4B012CE0">
            <w:pPr>
              <w:rPr>
                <w:rFonts w:hint="eastAsia"/>
              </w:rPr>
            </w:pPr>
            <w:r>
              <w:rPr>
                <w:rFonts w:hint="eastAsia"/>
              </w:rPr>
              <w:t>接入与集成要求</w:t>
            </w:r>
          </w:p>
        </w:tc>
        <w:tc>
          <w:tcPr>
            <w:tcW w:w="7421" w:type="dxa"/>
            <w:vAlign w:val="top"/>
          </w:tcPr>
          <w:p w14:paraId="2BE4C833">
            <w:pPr>
              <w:pStyle w:val="62"/>
              <w:spacing w:line="360" w:lineRule="auto"/>
              <w:rPr>
                <w:rFonts w:hint="eastAsia" w:hAnsi="宋体"/>
                <w:sz w:val="21"/>
                <w:szCs w:val="21"/>
              </w:rPr>
            </w:pPr>
            <w:r>
              <w:rPr>
                <w:rFonts w:hint="eastAsia" w:hAnsi="宋体"/>
                <w:sz w:val="21"/>
                <w:szCs w:val="21"/>
                <w:highlight w:val="none"/>
              </w:rPr>
              <w:t>▲提供接口完成与云盾、安全管控工具等系统的接入与集成。（需提供加盖原厂公章的承诺函）</w:t>
            </w:r>
          </w:p>
        </w:tc>
      </w:tr>
      <w:tr w14:paraId="1CBE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4DA51CC5">
            <w:r>
              <w:rPr>
                <w:rFonts w:hint="eastAsia"/>
              </w:rPr>
              <w:t>质保要求</w:t>
            </w:r>
          </w:p>
        </w:tc>
        <w:tc>
          <w:tcPr>
            <w:tcW w:w="7421" w:type="dxa"/>
          </w:tcPr>
          <w:p w14:paraId="36CAAFB5">
            <w:pPr>
              <w:pStyle w:val="62"/>
              <w:spacing w:line="360" w:lineRule="auto"/>
              <w:rPr>
                <w:rFonts w:hAnsi="宋体"/>
                <w:sz w:val="21"/>
                <w:szCs w:val="21"/>
              </w:rPr>
            </w:pPr>
            <w:r>
              <w:rPr>
                <w:rFonts w:hint="eastAsia" w:hAnsi="宋体"/>
                <w:sz w:val="21"/>
                <w:szCs w:val="21"/>
              </w:rPr>
              <w:t>质保期内免费提供规则库升级、设备修理、系统版本升级、漏洞修复及原厂技术支持服务。</w:t>
            </w:r>
          </w:p>
        </w:tc>
      </w:tr>
    </w:tbl>
    <w:p w14:paraId="0A264CB9"/>
    <w:p w14:paraId="08C28E3B"/>
    <w:p w14:paraId="670E301E">
      <w:pPr>
        <w:pStyle w:val="5"/>
      </w:pPr>
      <w:bookmarkStart w:id="19" w:name="_Toc13690"/>
      <w:r>
        <w:rPr>
          <w:rFonts w:hint="eastAsia"/>
        </w:rPr>
        <w:t>抗DDOS</w:t>
      </w:r>
      <w:bookmarkEnd w:id="19"/>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7151"/>
      </w:tblGrid>
      <w:tr w14:paraId="3F28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092BDB5">
            <w:r>
              <w:rPr>
                <w:rFonts w:hint="eastAsia"/>
              </w:rPr>
              <w:t>安全要求</w:t>
            </w:r>
          </w:p>
        </w:tc>
        <w:tc>
          <w:tcPr>
            <w:tcW w:w="7421" w:type="dxa"/>
            <w:shd w:val="clear" w:color="auto" w:fill="auto"/>
            <w:vAlign w:val="center"/>
          </w:tcPr>
          <w:p w14:paraId="70E72C2D">
            <w:pPr>
              <w:rPr>
                <w:rFonts w:hint="eastAsia" w:ascii="宋体" w:hAnsi="宋体" w:eastAsia="宋体" w:cs="宋体"/>
                <w:kern w:val="2"/>
                <w:sz w:val="21"/>
                <w:szCs w:val="21"/>
                <w:lang w:val="en-US" w:eastAsia="zh-CN" w:bidi="ar-SA"/>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20EB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55E5F152">
            <w:pPr>
              <w:rPr>
                <w:kern w:val="0"/>
                <w:highlight w:val="none"/>
              </w:rPr>
            </w:pPr>
            <w:r>
              <w:rPr>
                <w:rFonts w:hint="eastAsia"/>
                <w:highlight w:val="none"/>
              </w:rPr>
              <w:t>硬件要求</w:t>
            </w:r>
          </w:p>
        </w:tc>
        <w:tc>
          <w:tcPr>
            <w:tcW w:w="7421" w:type="dxa"/>
          </w:tcPr>
          <w:p w14:paraId="78CBEC10">
            <w:pPr>
              <w:rPr>
                <w:highlight w:val="none"/>
              </w:rPr>
            </w:pPr>
            <w:r>
              <w:rPr>
                <w:rFonts w:ascii="Arial" w:hAnsi="Arial" w:cs="Arial"/>
                <w:highlight w:val="none"/>
              </w:rPr>
              <w:t>▲</w:t>
            </w:r>
            <w:r>
              <w:rPr>
                <w:rFonts w:hint="eastAsia" w:ascii="Arial" w:hAnsi="Arial" w:cs="Arial"/>
                <w:highlight w:val="none"/>
              </w:rPr>
              <w:t>业务接口：万兆光口≥4个，千兆电口≥8个，千兆光口≥8个</w:t>
            </w:r>
            <w:r>
              <w:rPr>
                <w:rFonts w:hint="eastAsia" w:ascii="Arial" w:hAnsi="Arial" w:cs="Arial"/>
                <w:highlight w:val="none"/>
                <w:lang w:eastAsia="zh-CN"/>
              </w:rPr>
              <w:t>，</w:t>
            </w:r>
            <w:r>
              <w:rPr>
                <w:rFonts w:hint="eastAsia" w:ascii="Arial" w:hAnsi="Arial" w:cs="Arial"/>
                <w:highlight w:val="none"/>
                <w:lang w:val="en-US" w:eastAsia="zh-CN"/>
              </w:rPr>
              <w:t>光口均</w:t>
            </w:r>
            <w:r>
              <w:rPr>
                <w:rFonts w:hint="eastAsia" w:ascii="宋体" w:hAnsi="宋体"/>
                <w:highlight w:val="none"/>
              </w:rPr>
              <w:t>配置光模块</w:t>
            </w:r>
            <w:r>
              <w:rPr>
                <w:rFonts w:hint="eastAsia" w:ascii="Arial" w:hAnsi="Arial" w:cs="Arial"/>
                <w:highlight w:val="none"/>
              </w:rPr>
              <w:t>。</w:t>
            </w:r>
            <w:r>
              <w:rPr>
                <w:highlight w:val="none"/>
              </w:rPr>
              <w:t>额外提供可用扩展槽≥2个，双交流电源；</w:t>
            </w:r>
          </w:p>
        </w:tc>
      </w:tr>
      <w:tr w14:paraId="400FE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200FAE7">
            <w:pPr>
              <w:rPr>
                <w:highlight w:val="none"/>
              </w:rPr>
            </w:pPr>
            <w:r>
              <w:rPr>
                <w:rFonts w:hint="eastAsia"/>
                <w:highlight w:val="none"/>
              </w:rPr>
              <w:t>性能要求</w:t>
            </w:r>
          </w:p>
        </w:tc>
        <w:tc>
          <w:tcPr>
            <w:tcW w:w="7421" w:type="dxa"/>
          </w:tcPr>
          <w:p w14:paraId="21531956">
            <w:pPr>
              <w:rPr>
                <w:highlight w:val="none"/>
              </w:rPr>
            </w:pPr>
            <w:r>
              <w:rPr>
                <w:rFonts w:ascii="Arial" w:hAnsi="Arial" w:cs="Arial"/>
                <w:highlight w:val="none"/>
              </w:rPr>
              <w:t>▲</w:t>
            </w:r>
            <w:r>
              <w:rPr>
                <w:highlight w:val="none"/>
              </w:rPr>
              <w:t>网络层吞吐量≥20Gbps，最大并发连接数≥800w，最大每秒新建连接数≥25w；</w:t>
            </w:r>
          </w:p>
        </w:tc>
      </w:tr>
      <w:tr w14:paraId="32D0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restart"/>
          </w:tcPr>
          <w:p w14:paraId="172270CA">
            <w:r>
              <w:t>功能需求</w:t>
            </w:r>
          </w:p>
        </w:tc>
        <w:tc>
          <w:tcPr>
            <w:tcW w:w="7421" w:type="dxa"/>
          </w:tcPr>
          <w:p w14:paraId="6DC68728">
            <w:r>
              <w:t>支持基本的网络层攻击检测，包括但不限于：SYN Flood、UDP Flood、ICMP Flood等；（提供第三方佐证材料）</w:t>
            </w:r>
          </w:p>
        </w:tc>
      </w:tr>
      <w:tr w14:paraId="1F89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17347BEF"/>
        </w:tc>
        <w:tc>
          <w:tcPr>
            <w:tcW w:w="7421" w:type="dxa"/>
          </w:tcPr>
          <w:p w14:paraId="68AA82E4">
            <w:r>
              <w:t>支持防御主流的DDoS攻击，有效防范如SYN Flood、UDP Flood、ICMP Flood 、HTTP Flood、CC、DNS Flood、DNS 反射攻击、NTP 反射攻击等；</w:t>
            </w:r>
          </w:p>
        </w:tc>
      </w:tr>
      <w:tr w14:paraId="71B5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2631164D"/>
        </w:tc>
        <w:tc>
          <w:tcPr>
            <w:tcW w:w="7421" w:type="dxa"/>
          </w:tcPr>
          <w:p w14:paraId="691FB691">
            <w:r>
              <w:t>支持抓包溯源功能，支持抓取清洗前、清洗后、清洗丢弃的报文进行分析；针对抓包文件可以进行攻击源IP溯源，并提取攻击报文中的攻击特征下发到清洗设备过滤；</w:t>
            </w:r>
          </w:p>
        </w:tc>
      </w:tr>
      <w:tr w14:paraId="7240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434E0165"/>
        </w:tc>
        <w:tc>
          <w:tcPr>
            <w:tcW w:w="7421" w:type="dxa"/>
          </w:tcPr>
          <w:p w14:paraId="1E5AD054">
            <w:r>
              <w:t>支持针对网络层、应用层分别设置清洗策略;支持针对不同防护对象，分别设置不同的异常流量清洗参数、算法等；</w:t>
            </w:r>
          </w:p>
        </w:tc>
      </w:tr>
      <w:tr w14:paraId="6C7C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0AD2698F"/>
        </w:tc>
        <w:tc>
          <w:tcPr>
            <w:tcW w:w="7421" w:type="dxa"/>
          </w:tcPr>
          <w:p w14:paraId="25187817">
            <w:r>
              <w:t>支持会话数限制，可对源地址/目的地址做会话数限制，设置维度包括：服务类型（可定义服务类型）、用户、新建速率、总会话数、每IP会话数、生效时间等。（须提供产品功能界面截图）</w:t>
            </w:r>
          </w:p>
        </w:tc>
      </w:tr>
      <w:tr w14:paraId="1205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47060D26"/>
        </w:tc>
        <w:tc>
          <w:tcPr>
            <w:tcW w:w="7421" w:type="dxa"/>
          </w:tcPr>
          <w:p w14:paraId="3A8F2A97">
            <w:pPr>
              <w:rPr>
                <w:highlight w:val="none"/>
              </w:rPr>
            </w:pPr>
            <w:r>
              <w:rPr>
                <w:highlight w:val="none"/>
              </w:rPr>
              <w:t>支持针对协议头中各字段配置自定义策略</w:t>
            </w:r>
          </w:p>
        </w:tc>
      </w:tr>
      <w:tr w14:paraId="4536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494EAF18">
            <w:r>
              <w:rPr>
                <w:rFonts w:hint="eastAsia"/>
                <w:lang w:val="en-US" w:eastAsia="zh-CN"/>
              </w:rPr>
              <w:t xml:space="preserve"> </w:t>
            </w:r>
            <w:r>
              <w:rPr>
                <w:rFonts w:hint="eastAsia"/>
                <w:lang w:eastAsia="zh-CN"/>
              </w:rPr>
              <w:t>。、。。。</w:t>
            </w:r>
          </w:p>
        </w:tc>
        <w:tc>
          <w:tcPr>
            <w:tcW w:w="7421" w:type="dxa"/>
          </w:tcPr>
          <w:p w14:paraId="1998A961">
            <w:r>
              <w:t>支持HTTPS流量解密源认证防护功能，支持导入SSL证书配置SSL策略(须提供产品功能界面截图及第三方佐证材料）</w:t>
            </w:r>
          </w:p>
        </w:tc>
      </w:tr>
      <w:tr w14:paraId="2974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6F56CB43"/>
        </w:tc>
        <w:tc>
          <w:tcPr>
            <w:tcW w:w="7421" w:type="dxa"/>
          </w:tcPr>
          <w:p w14:paraId="7435A716">
            <w:r>
              <w:t>具备单独的DNS防护模块，支持DNS访问控制功能、同时具备域名黑白名单、DNS访问控制、状态防护、每源IP防护、每域名防护、二级域名防护、DNS 应答防护等功能模块，能够全面防御DNS攻击；（提供对应功能截图及第三方佐证材料）</w:t>
            </w:r>
          </w:p>
        </w:tc>
      </w:tr>
      <w:tr w14:paraId="60194347">
        <w:tblPrEx>
          <w:tblCellMar>
            <w:top w:w="0" w:type="dxa"/>
            <w:left w:w="108" w:type="dxa"/>
            <w:bottom w:w="0" w:type="dxa"/>
            <w:right w:w="108" w:type="dxa"/>
          </w:tblCellMar>
        </w:tblPrEx>
        <w:tc>
          <w:tcPr>
            <w:tcW w:w="1101" w:type="dxa"/>
            <w:vMerge w:val="continue"/>
          </w:tcPr>
          <w:p w14:paraId="2DACB3A2"/>
        </w:tc>
        <w:tc>
          <w:tcPr>
            <w:tcW w:w="7421" w:type="dxa"/>
          </w:tcPr>
          <w:p w14:paraId="631FF3B4">
            <w:pPr>
              <w:rPr>
                <w:highlight w:val="none"/>
              </w:rPr>
            </w:pPr>
            <w:r>
              <w:rPr>
                <w:highlight w:val="none"/>
              </w:rPr>
              <w:t>支持DNS CNAME校验防护，可配置防护策略</w:t>
            </w:r>
          </w:p>
        </w:tc>
      </w:tr>
      <w:tr w14:paraId="1AE87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1AE0CCEF">
            <w:r>
              <w:rPr>
                <w:rFonts w:hint="eastAsia"/>
                <w:lang w:eastAsia="zh-CN"/>
              </w:rPr>
              <w:t>。。</w:t>
            </w:r>
          </w:p>
        </w:tc>
        <w:tc>
          <w:tcPr>
            <w:tcW w:w="7421" w:type="dxa"/>
          </w:tcPr>
          <w:p w14:paraId="14BED0FA">
            <w:r>
              <w:t>支持自定义放大攻击防护功能。支持对DNS、SSDP、NTP、CLADP、MEMCACHED等常见反射放大攻击进行识别防护，同时支持用户自定义攻击端口号进行反射放大攻击防护；（提供第三方佐证材料）</w:t>
            </w:r>
          </w:p>
        </w:tc>
      </w:tr>
      <w:tr w14:paraId="7BF65CEA">
        <w:tblPrEx>
          <w:tblCellMar>
            <w:top w:w="0" w:type="dxa"/>
            <w:left w:w="108" w:type="dxa"/>
            <w:bottom w:w="0" w:type="dxa"/>
            <w:right w:w="108" w:type="dxa"/>
          </w:tblCellMar>
        </w:tblPrEx>
        <w:tc>
          <w:tcPr>
            <w:tcW w:w="1101" w:type="dxa"/>
            <w:vMerge w:val="continue"/>
          </w:tcPr>
          <w:p w14:paraId="66D7F6F9"/>
        </w:tc>
        <w:tc>
          <w:tcPr>
            <w:tcW w:w="7421" w:type="dxa"/>
          </w:tcPr>
          <w:p w14:paraId="5E3DF882">
            <w:r>
              <w:t>支持对数据包Payload自定义策略。支持启用Payload重复内容过滤，可配置相关的Payload策略，包括防护阈值、Payload字段检查范围等（须提供产品配置截图证明）</w:t>
            </w:r>
          </w:p>
        </w:tc>
      </w:tr>
      <w:tr w14:paraId="7635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28656018"/>
        </w:tc>
        <w:tc>
          <w:tcPr>
            <w:tcW w:w="7421" w:type="dxa"/>
          </w:tcPr>
          <w:p w14:paraId="30B7AC34">
            <w:r>
              <w:t>在一个界面中可对以下网络行为进行配置：对ICMP重定向报文、Tracert报文、源路由选项IP报文、路由记录选项IP报文、超大ICMP报文、反向路由检测、TcpFlag攻击、ICMP MTU欺骗报文等网络行为阻断，并发送日志和统计攻击次数；对IP地址扫描、端口扫描、漏洞扫描等行为识别，并加入黑名单，黑名单可自主设置周期。（须提供产品配置截图证明）</w:t>
            </w:r>
          </w:p>
        </w:tc>
      </w:tr>
      <w:tr w14:paraId="62A1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tcPr>
          <w:p w14:paraId="608950ED"/>
        </w:tc>
        <w:tc>
          <w:tcPr>
            <w:tcW w:w="7421" w:type="dxa"/>
          </w:tcPr>
          <w:p w14:paraId="1A4A03D7">
            <w:r>
              <w:t>免费提供管理清洗设备的管理平台软件及授权。</w:t>
            </w:r>
          </w:p>
        </w:tc>
      </w:tr>
      <w:tr w14:paraId="222C6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15205FA">
            <w:r>
              <w:rPr>
                <w:rFonts w:hint="eastAsia"/>
              </w:rPr>
              <w:t>产品资质</w:t>
            </w:r>
          </w:p>
        </w:tc>
        <w:tc>
          <w:tcPr>
            <w:tcW w:w="7421" w:type="dxa"/>
          </w:tcPr>
          <w:p w14:paraId="2BD3BC39">
            <w:r>
              <w:rPr>
                <w:rFonts w:hint="eastAsia"/>
                <w:kern w:val="0"/>
              </w:rPr>
              <w:t>★</w:t>
            </w:r>
            <w:r>
              <w:rPr>
                <w:rFonts w:hint="eastAsia"/>
              </w:rPr>
              <w:t>产品具备中国网络安全审查技术与认证中心颁发的《网络关键设备和网络安全专用产品安全认证证书》</w:t>
            </w:r>
          </w:p>
        </w:tc>
      </w:tr>
      <w:tr w14:paraId="05FB1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top"/>
          </w:tcPr>
          <w:p w14:paraId="2D2CE82F">
            <w:pPr>
              <w:rPr>
                <w:rFonts w:hint="eastAsia"/>
                <w:highlight w:val="none"/>
              </w:rPr>
            </w:pPr>
            <w:r>
              <w:rPr>
                <w:rFonts w:hint="eastAsia"/>
                <w:highlight w:val="none"/>
              </w:rPr>
              <w:t>接入与集成要求</w:t>
            </w:r>
          </w:p>
        </w:tc>
        <w:tc>
          <w:tcPr>
            <w:tcW w:w="7421" w:type="dxa"/>
            <w:vAlign w:val="top"/>
          </w:tcPr>
          <w:p w14:paraId="2282B66A">
            <w:pPr>
              <w:pStyle w:val="62"/>
              <w:spacing w:line="360" w:lineRule="auto"/>
              <w:rPr>
                <w:rFonts w:hint="eastAsia" w:hAnsi="宋体"/>
                <w:sz w:val="21"/>
                <w:szCs w:val="21"/>
                <w:highlight w:val="none"/>
              </w:rPr>
            </w:pPr>
            <w:r>
              <w:rPr>
                <w:rFonts w:hint="eastAsia" w:hAnsi="宋体"/>
                <w:sz w:val="21"/>
                <w:szCs w:val="21"/>
                <w:highlight w:val="none"/>
              </w:rPr>
              <w:t>▲提供接口完成与云盾、安全管控工具等系统的接入与集成。（需提供加盖原厂公章的承诺函）</w:t>
            </w:r>
          </w:p>
        </w:tc>
      </w:tr>
      <w:tr w14:paraId="4FE3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E7306A8">
            <w:r>
              <w:rPr>
                <w:rFonts w:hint="eastAsia"/>
              </w:rPr>
              <w:t>质保要求</w:t>
            </w:r>
          </w:p>
        </w:tc>
        <w:tc>
          <w:tcPr>
            <w:tcW w:w="7421" w:type="dxa"/>
          </w:tcPr>
          <w:p w14:paraId="74CC7AB0">
            <w:pPr>
              <w:pStyle w:val="62"/>
              <w:spacing w:line="360" w:lineRule="auto"/>
              <w:rPr>
                <w:rFonts w:hAnsi="宋体"/>
                <w:sz w:val="21"/>
                <w:szCs w:val="21"/>
              </w:rPr>
            </w:pPr>
            <w:r>
              <w:rPr>
                <w:rFonts w:hint="eastAsia" w:hAnsi="宋体"/>
                <w:sz w:val="21"/>
                <w:szCs w:val="21"/>
              </w:rPr>
              <w:t>质保期内免费提供规则库升级、设备修理、系统版本升级、漏洞修复及原厂技术支持服务。</w:t>
            </w:r>
          </w:p>
        </w:tc>
      </w:tr>
    </w:tbl>
    <w:p w14:paraId="16582A0D"/>
    <w:p w14:paraId="17D69B9F"/>
    <w:p w14:paraId="4729FCCF">
      <w:pPr>
        <w:pStyle w:val="5"/>
      </w:pPr>
      <w:bookmarkStart w:id="20" w:name="_Toc1854"/>
      <w:r>
        <w:rPr>
          <w:rFonts w:hint="eastAsia"/>
        </w:rPr>
        <w:t>数据防泄漏</w:t>
      </w:r>
      <w:bookmarkEnd w:id="20"/>
    </w:p>
    <w:tbl>
      <w:tblPr>
        <w:tblStyle w:val="2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5"/>
        <w:gridCol w:w="7228"/>
      </w:tblGrid>
      <w:tr w14:paraId="0FFA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trPr>
        <w:tc>
          <w:tcPr>
            <w:tcW w:w="755" w:type="pct"/>
            <w:shd w:val="clear" w:color="auto" w:fill="auto"/>
            <w:vAlign w:val="center"/>
          </w:tcPr>
          <w:p w14:paraId="2DCFD00B">
            <w:pPr>
              <w:rPr>
                <w:rFonts w:hint="eastAsia" w:ascii="宋体" w:hAnsi="宋体" w:eastAsia="宋体" w:cs="宋体"/>
              </w:rPr>
            </w:pPr>
            <w:r>
              <w:rPr>
                <w:rFonts w:hint="eastAsia" w:ascii="宋体" w:hAnsi="宋体" w:eastAsia="宋体" w:cs="宋体"/>
                <w:lang w:bidi="ar"/>
              </w:rPr>
              <w:t>指标项</w:t>
            </w:r>
          </w:p>
        </w:tc>
        <w:tc>
          <w:tcPr>
            <w:tcW w:w="4244" w:type="pct"/>
            <w:shd w:val="clear" w:color="auto" w:fill="auto"/>
            <w:vAlign w:val="center"/>
          </w:tcPr>
          <w:p w14:paraId="7D646549">
            <w:pPr>
              <w:rPr>
                <w:rFonts w:hint="eastAsia" w:ascii="宋体" w:hAnsi="宋体" w:eastAsia="宋体" w:cs="宋体"/>
              </w:rPr>
            </w:pPr>
            <w:r>
              <w:rPr>
                <w:rFonts w:hint="eastAsia" w:ascii="宋体" w:hAnsi="宋体" w:eastAsia="宋体" w:cs="宋体"/>
                <w:lang w:bidi="ar"/>
              </w:rPr>
              <w:t>指标要求</w:t>
            </w:r>
          </w:p>
        </w:tc>
      </w:tr>
      <w:tr w14:paraId="6122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shd w:val="clear" w:color="auto" w:fill="auto"/>
            <w:vAlign w:val="center"/>
          </w:tcPr>
          <w:p w14:paraId="2084A2C1">
            <w:pPr>
              <w:rPr>
                <w:rFonts w:hint="eastAsia" w:ascii="宋体" w:hAnsi="宋体" w:eastAsia="宋体" w:cs="宋体"/>
              </w:rPr>
            </w:pPr>
            <w:r>
              <w:rPr>
                <w:rFonts w:hint="eastAsia" w:ascii="宋体" w:hAnsi="宋体" w:eastAsia="宋体" w:cs="宋体"/>
              </w:rPr>
              <w:t>安全要求</w:t>
            </w:r>
          </w:p>
        </w:tc>
        <w:tc>
          <w:tcPr>
            <w:tcW w:w="4244" w:type="pct"/>
            <w:shd w:val="clear" w:color="auto" w:fill="auto"/>
            <w:vAlign w:val="center"/>
          </w:tcPr>
          <w:p w14:paraId="3C75FB35">
            <w:pPr>
              <w:rPr>
                <w:rFonts w:hint="eastAsia" w:ascii="宋体" w:hAnsi="宋体" w:eastAsia="宋体" w:cs="宋体"/>
                <w:kern w:val="2"/>
                <w:sz w:val="21"/>
                <w:szCs w:val="21"/>
                <w:lang w:val="en-US" w:eastAsia="zh-CN" w:bidi="ar-SA"/>
              </w:rPr>
            </w:pPr>
            <w:r>
              <w:rPr>
                <w:rFonts w:hint="eastAsia"/>
                <w:b/>
                <w:bCs/>
                <w:lang w:eastAsia="zh-CN"/>
              </w:rPr>
              <w:t>★安全可靠要求：</w:t>
            </w:r>
            <w:r>
              <w:rPr>
                <w:rFonts w:hint="eastAsia"/>
                <w:lang w:eastAsia="zh-CN"/>
              </w:rPr>
              <w:t>所提供产品的CPU、DRAM颗粒、Flash、网卡芯片等配置信息须同时提供安全可靠芯片证明材料及承诺函（见附件</w:t>
            </w:r>
            <w:r>
              <w:rPr>
                <w:rFonts w:hint="eastAsia"/>
                <w:lang w:val="en-US" w:eastAsia="zh-CN"/>
              </w:rPr>
              <w:t>一</w:t>
            </w:r>
            <w:r>
              <w:rPr>
                <w:rFonts w:hint="eastAsia"/>
                <w:lang w:eastAsia="zh-CN"/>
              </w:rPr>
              <w:t>及相关附表）。</w:t>
            </w:r>
          </w:p>
        </w:tc>
      </w:tr>
      <w:tr w14:paraId="7511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shd w:val="clear" w:color="auto" w:fill="auto"/>
            <w:vAlign w:val="center"/>
          </w:tcPr>
          <w:p w14:paraId="4383B7C3">
            <w:pPr>
              <w:rPr>
                <w:rFonts w:hint="eastAsia" w:ascii="宋体" w:hAnsi="宋体" w:eastAsia="宋体" w:cs="宋体"/>
              </w:rPr>
            </w:pPr>
            <w:r>
              <w:rPr>
                <w:rFonts w:hint="eastAsia" w:ascii="宋体" w:hAnsi="宋体" w:eastAsia="宋体" w:cs="宋体"/>
                <w:lang w:bidi="ar"/>
              </w:rPr>
              <w:t>硬件配置</w:t>
            </w:r>
          </w:p>
        </w:tc>
        <w:tc>
          <w:tcPr>
            <w:tcW w:w="4244" w:type="pct"/>
            <w:shd w:val="clear" w:color="auto" w:fill="auto"/>
            <w:vAlign w:val="center"/>
          </w:tcPr>
          <w:p w14:paraId="42F4D0B3">
            <w:pPr>
              <w:rPr>
                <w:rFonts w:hint="eastAsia" w:ascii="宋体" w:hAnsi="宋体" w:eastAsia="宋体" w:cs="宋体"/>
                <w:lang w:eastAsia="zh-CN"/>
              </w:rPr>
            </w:pPr>
            <w:r>
              <w:rPr>
                <w:rFonts w:hint="eastAsia" w:ascii="宋体" w:hAnsi="宋体" w:eastAsia="宋体" w:cs="宋体"/>
                <w:lang w:val="en-US" w:eastAsia="zh-CN"/>
              </w:rPr>
              <w:t>标准</w:t>
            </w:r>
            <w:r>
              <w:rPr>
                <w:rFonts w:hint="eastAsia" w:ascii="宋体" w:hAnsi="宋体" w:eastAsia="宋体" w:cs="宋体"/>
              </w:rPr>
              <w:t>机架式设备</w:t>
            </w:r>
            <w:r>
              <w:rPr>
                <w:rFonts w:hint="eastAsia" w:ascii="宋体" w:hAnsi="宋体" w:eastAsia="宋体" w:cs="宋体"/>
                <w:lang w:eastAsia="zh-CN"/>
              </w:rPr>
              <w:t>。</w:t>
            </w:r>
          </w:p>
          <w:p w14:paraId="66A170CD">
            <w:pPr>
              <w:rPr>
                <w:rFonts w:hint="eastAsia" w:ascii="宋体" w:hAnsi="宋体" w:eastAsia="宋体" w:cs="宋体"/>
                <w:lang w:eastAsia="zh-CN"/>
              </w:rPr>
            </w:pPr>
            <w:r>
              <w:rPr>
                <w:rFonts w:hint="eastAsia" w:ascii="宋体" w:hAnsi="宋体" w:eastAsia="宋体" w:cs="宋体"/>
              </w:rPr>
              <w:t>▲千兆电口≥4个；千兆光口≥4个，万兆光口≥2个,扩展槽位≥2个</w:t>
            </w:r>
            <w:r>
              <w:rPr>
                <w:rFonts w:hint="eastAsia" w:ascii="宋体" w:hAnsi="宋体" w:eastAsia="宋体" w:cs="宋体"/>
                <w:lang w:eastAsia="zh-CN"/>
              </w:rPr>
              <w:t>。</w:t>
            </w:r>
          </w:p>
          <w:p w14:paraId="75A1CA16">
            <w:pPr>
              <w:rPr>
                <w:rFonts w:hint="eastAsia" w:ascii="宋体" w:hAnsi="宋体" w:eastAsia="宋体" w:cs="宋体"/>
                <w:lang w:eastAsia="zh-CN"/>
              </w:rPr>
            </w:pPr>
            <w:r>
              <w:rPr>
                <w:rFonts w:hint="eastAsia" w:ascii="宋体" w:hAnsi="宋体" w:eastAsia="宋体" w:cs="宋体"/>
              </w:rPr>
              <w:t>▲冗余电源</w:t>
            </w:r>
            <w:r>
              <w:rPr>
                <w:rFonts w:hint="eastAsia" w:ascii="宋体" w:hAnsi="宋体" w:eastAsia="宋体" w:cs="宋体"/>
                <w:lang w:eastAsia="zh-CN"/>
              </w:rPr>
              <w:t>。</w:t>
            </w:r>
          </w:p>
        </w:tc>
      </w:tr>
      <w:tr w14:paraId="30CB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shd w:val="clear" w:color="auto" w:fill="auto"/>
            <w:vAlign w:val="center"/>
          </w:tcPr>
          <w:p w14:paraId="7211F8A0">
            <w:pPr>
              <w:rPr>
                <w:rFonts w:hint="eastAsia" w:ascii="宋体" w:hAnsi="宋体" w:eastAsia="宋体" w:cs="宋体"/>
                <w:highlight w:val="none"/>
              </w:rPr>
            </w:pPr>
            <w:r>
              <w:rPr>
                <w:rFonts w:hint="eastAsia" w:ascii="宋体" w:hAnsi="宋体" w:eastAsia="宋体" w:cs="宋体"/>
                <w:highlight w:val="none"/>
                <w:lang w:bidi="ar"/>
              </w:rPr>
              <w:t>性能要求</w:t>
            </w:r>
          </w:p>
        </w:tc>
        <w:tc>
          <w:tcPr>
            <w:tcW w:w="4244" w:type="pct"/>
            <w:shd w:val="clear" w:color="auto" w:fill="auto"/>
            <w:vAlign w:val="center"/>
          </w:tcPr>
          <w:p w14:paraId="70F55A6F">
            <w:pPr>
              <w:rPr>
                <w:rFonts w:hint="eastAsia" w:ascii="宋体" w:hAnsi="宋体" w:eastAsia="宋体" w:cs="宋体"/>
                <w:highlight w:val="none"/>
              </w:rPr>
            </w:pPr>
            <w:r>
              <w:rPr>
                <w:rFonts w:hint="eastAsia" w:ascii="宋体" w:hAnsi="宋体" w:eastAsia="宋体" w:cs="宋体"/>
                <w:highlight w:val="none"/>
              </w:rPr>
              <w:t>▲7层最大吞吐≥1.2Gbps、7层检测吞吐≥500Mbps</w:t>
            </w:r>
          </w:p>
        </w:tc>
      </w:tr>
      <w:tr w14:paraId="6DF91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7C0EFCB2">
            <w:pPr>
              <w:rPr>
                <w:rFonts w:hint="eastAsia" w:ascii="宋体" w:hAnsi="宋体" w:eastAsia="宋体" w:cs="宋体"/>
              </w:rPr>
            </w:pPr>
            <w:r>
              <w:rPr>
                <w:rFonts w:hint="eastAsia" w:ascii="宋体" w:hAnsi="宋体" w:eastAsia="宋体" w:cs="宋体"/>
                <w:lang w:bidi="ar"/>
              </w:rPr>
              <w:t>部署方式</w:t>
            </w:r>
          </w:p>
        </w:tc>
        <w:tc>
          <w:tcPr>
            <w:tcW w:w="4244" w:type="pct"/>
            <w:shd w:val="clear" w:color="auto" w:fill="auto"/>
            <w:vAlign w:val="center"/>
          </w:tcPr>
          <w:p w14:paraId="2EF1E677">
            <w:pPr>
              <w:rPr>
                <w:rFonts w:hint="eastAsia" w:ascii="宋体" w:hAnsi="宋体" w:eastAsia="宋体" w:cs="宋体"/>
              </w:rPr>
            </w:pPr>
            <w:r>
              <w:rPr>
                <w:rFonts w:hint="eastAsia" w:ascii="宋体" w:hAnsi="宋体" w:eastAsia="宋体" w:cs="宋体"/>
                <w:lang w:bidi="ar"/>
              </w:rPr>
              <w:t>支持串接方式、旁路方式接入网络，支持正向代理、反向代理、监控模式、路由模式、探针模式运行。</w:t>
            </w:r>
          </w:p>
        </w:tc>
      </w:tr>
      <w:tr w14:paraId="10824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7A05D6DB">
            <w:pPr>
              <w:rPr>
                <w:rFonts w:hint="eastAsia" w:ascii="宋体" w:hAnsi="宋体" w:eastAsia="宋体" w:cs="宋体"/>
              </w:rPr>
            </w:pPr>
            <w:r>
              <w:rPr>
                <w:rFonts w:hint="eastAsia" w:ascii="宋体" w:hAnsi="宋体" w:eastAsia="宋体" w:cs="宋体"/>
              </w:rPr>
              <w:t>角色管理</w:t>
            </w:r>
          </w:p>
        </w:tc>
        <w:tc>
          <w:tcPr>
            <w:tcW w:w="4244" w:type="pct"/>
            <w:shd w:val="clear" w:color="auto" w:fill="auto"/>
            <w:vAlign w:val="center"/>
          </w:tcPr>
          <w:p w14:paraId="46AB7604">
            <w:pPr>
              <w:rPr>
                <w:rFonts w:hint="eastAsia" w:ascii="宋体" w:hAnsi="宋体" w:eastAsia="宋体" w:cs="宋体"/>
              </w:rPr>
            </w:pPr>
            <w:r>
              <w:rPr>
                <w:rFonts w:hint="eastAsia" w:ascii="宋体" w:hAnsi="宋体" w:eastAsia="宋体" w:cs="宋体"/>
              </w:rPr>
              <w:t>系统支持系统管理员、安全员管理员、审计管理员、普通用户角色管理。</w:t>
            </w:r>
          </w:p>
        </w:tc>
      </w:tr>
      <w:tr w14:paraId="5F5A2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shd w:val="clear" w:color="auto" w:fill="auto"/>
            <w:vAlign w:val="center"/>
          </w:tcPr>
          <w:p w14:paraId="0E613CC6">
            <w:pPr>
              <w:rPr>
                <w:rFonts w:hint="eastAsia" w:ascii="宋体" w:hAnsi="宋体" w:eastAsia="宋体" w:cs="宋体"/>
              </w:rPr>
            </w:pPr>
            <w:r>
              <w:rPr>
                <w:rFonts w:hint="eastAsia" w:ascii="宋体" w:hAnsi="宋体" w:eastAsia="宋体" w:cs="宋体"/>
                <w:lang w:bidi="ar"/>
              </w:rPr>
              <w:t>IPV6</w:t>
            </w:r>
          </w:p>
        </w:tc>
        <w:tc>
          <w:tcPr>
            <w:tcW w:w="4244" w:type="pct"/>
            <w:shd w:val="clear" w:color="auto" w:fill="auto"/>
            <w:vAlign w:val="center"/>
          </w:tcPr>
          <w:p w14:paraId="33C0E019">
            <w:pPr>
              <w:rPr>
                <w:rFonts w:hint="eastAsia" w:ascii="宋体" w:hAnsi="宋体" w:eastAsia="宋体" w:cs="宋体"/>
              </w:rPr>
            </w:pPr>
            <w:r>
              <w:rPr>
                <w:rFonts w:hint="eastAsia" w:ascii="宋体" w:hAnsi="宋体" w:eastAsia="宋体" w:cs="宋体"/>
                <w:lang w:bidi="ar"/>
              </w:rPr>
              <w:t>支持双协议栈，同时支持IPv4和IPv6双栈协议流量解析。</w:t>
            </w:r>
          </w:p>
        </w:tc>
      </w:tr>
      <w:tr w14:paraId="265E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55" w:type="pct"/>
            <w:shd w:val="clear" w:color="auto" w:fill="auto"/>
            <w:vAlign w:val="center"/>
          </w:tcPr>
          <w:p w14:paraId="5B273A94">
            <w:pPr>
              <w:rPr>
                <w:rFonts w:hint="eastAsia" w:ascii="宋体" w:hAnsi="宋体" w:eastAsia="宋体" w:cs="宋体"/>
                <w:lang w:bidi="ar"/>
              </w:rPr>
            </w:pPr>
            <w:r>
              <w:rPr>
                <w:rFonts w:hint="eastAsia" w:ascii="宋体" w:hAnsi="宋体" w:eastAsia="宋体" w:cs="宋体"/>
                <w:lang w:bidi="ar"/>
              </w:rPr>
              <w:t>应用协议解析</w:t>
            </w:r>
          </w:p>
        </w:tc>
        <w:tc>
          <w:tcPr>
            <w:tcW w:w="4244" w:type="pct"/>
            <w:shd w:val="clear" w:color="auto" w:fill="auto"/>
            <w:vAlign w:val="center"/>
          </w:tcPr>
          <w:p w14:paraId="29302E2E">
            <w:pPr>
              <w:rPr>
                <w:rFonts w:hint="eastAsia" w:ascii="宋体" w:hAnsi="宋体" w:eastAsia="宋体" w:cs="宋体"/>
                <w:lang w:bidi="ar"/>
              </w:rPr>
            </w:pPr>
            <w:r>
              <w:rPr>
                <w:rFonts w:hint="eastAsia" w:ascii="宋体" w:hAnsi="宋体" w:eastAsia="宋体" w:cs="宋体"/>
                <w:lang w:bidi="ar"/>
              </w:rPr>
              <w:t>支持对IPv4和IPv6双栈协议承载的HTTP、HTTPS、SMTP、SMTPS、POP3、POP3S、IMAP、 FTP、SMB、NFS、TELNET、DNS、NNTP、IPP（打印协议）、IPPS、IM（QQ离线文件）协议解析，对协议所承载的数据内容进行还原。按照协议特征识别，和端口无关。</w:t>
            </w:r>
          </w:p>
        </w:tc>
      </w:tr>
      <w:tr w14:paraId="08DA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5D879432">
            <w:pPr>
              <w:rPr>
                <w:rFonts w:hint="eastAsia" w:ascii="宋体" w:hAnsi="宋体" w:eastAsia="宋体" w:cs="宋体"/>
              </w:rPr>
            </w:pPr>
            <w:r>
              <w:rPr>
                <w:rFonts w:hint="eastAsia" w:ascii="宋体" w:hAnsi="宋体" w:eastAsia="宋体" w:cs="宋体"/>
                <w:lang w:bidi="ar"/>
              </w:rPr>
              <w:t>文件类型识别</w:t>
            </w:r>
          </w:p>
        </w:tc>
        <w:tc>
          <w:tcPr>
            <w:tcW w:w="4244" w:type="pct"/>
            <w:shd w:val="clear" w:color="auto" w:fill="auto"/>
            <w:vAlign w:val="center"/>
          </w:tcPr>
          <w:p w14:paraId="1CB57C16">
            <w:pPr>
              <w:rPr>
                <w:rFonts w:hint="eastAsia" w:ascii="宋体" w:hAnsi="宋体" w:eastAsia="宋体" w:cs="宋体"/>
              </w:rPr>
            </w:pPr>
            <w:r>
              <w:rPr>
                <w:rFonts w:hint="eastAsia" w:ascii="宋体" w:hAnsi="宋体" w:eastAsia="宋体" w:cs="宋体"/>
                <w:lang w:bidi="ar"/>
              </w:rPr>
              <w:t>支持识别文件格式，包括文字格式、图片格式、电子表格格式、演示格式、多媒体格式、压缩格式类型。</w:t>
            </w:r>
          </w:p>
        </w:tc>
      </w:tr>
      <w:tr w14:paraId="637A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40F9789D">
            <w:pPr>
              <w:rPr>
                <w:rFonts w:hint="eastAsia" w:ascii="宋体" w:hAnsi="宋体" w:eastAsia="宋体" w:cs="宋体"/>
              </w:rPr>
            </w:pPr>
            <w:r>
              <w:rPr>
                <w:rFonts w:hint="eastAsia" w:ascii="宋体" w:hAnsi="宋体" w:eastAsia="宋体" w:cs="宋体"/>
              </w:rPr>
              <w:t>加密文档检测</w:t>
            </w:r>
          </w:p>
        </w:tc>
        <w:tc>
          <w:tcPr>
            <w:tcW w:w="4244" w:type="pct"/>
            <w:shd w:val="clear" w:color="auto" w:fill="auto"/>
            <w:vAlign w:val="center"/>
          </w:tcPr>
          <w:p w14:paraId="43F76829">
            <w:pPr>
              <w:rPr>
                <w:rFonts w:hint="eastAsia" w:ascii="宋体" w:hAnsi="宋体" w:eastAsia="宋体" w:cs="宋体"/>
              </w:rPr>
            </w:pPr>
            <w:r>
              <w:rPr>
                <w:rFonts w:hint="eastAsia" w:ascii="宋体" w:hAnsi="宋体" w:eastAsia="宋体" w:cs="宋体"/>
              </w:rPr>
              <w:t xml:space="preserve">支持识别加密文档类型，包括：1、office加密文档；2、pdf加密文档；3、压缩文件加密：zip、rar、7z、gz、bz2 </w:t>
            </w:r>
            <w:r>
              <w:rPr>
                <w:rFonts w:hint="eastAsia" w:cs="宋体"/>
                <w:lang w:eastAsia="zh-CN"/>
              </w:rPr>
              <w:t>；</w:t>
            </w:r>
            <w:r>
              <w:rPr>
                <w:rFonts w:hint="eastAsia" w:ascii="宋体" w:hAnsi="宋体" w:eastAsia="宋体" w:cs="宋体"/>
              </w:rPr>
              <w:t>4、压缩的加密文档。</w:t>
            </w:r>
          </w:p>
        </w:tc>
      </w:tr>
      <w:tr w14:paraId="3CF4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7C1C4698">
            <w:pPr>
              <w:rPr>
                <w:rFonts w:hint="eastAsia" w:ascii="宋体" w:hAnsi="宋体" w:eastAsia="宋体" w:cs="宋体"/>
              </w:rPr>
            </w:pPr>
            <w:r>
              <w:rPr>
                <w:rFonts w:hint="eastAsia" w:ascii="宋体" w:hAnsi="宋体" w:eastAsia="宋体" w:cs="宋体"/>
                <w:lang w:bidi="ar"/>
              </w:rPr>
              <w:t>文件大小</w:t>
            </w:r>
          </w:p>
        </w:tc>
        <w:tc>
          <w:tcPr>
            <w:tcW w:w="4244" w:type="pct"/>
            <w:shd w:val="clear" w:color="auto" w:fill="auto"/>
            <w:vAlign w:val="center"/>
          </w:tcPr>
          <w:p w14:paraId="6E120661">
            <w:pPr>
              <w:rPr>
                <w:rFonts w:hint="eastAsia" w:ascii="宋体" w:hAnsi="宋体" w:eastAsia="宋体" w:cs="宋体"/>
              </w:rPr>
            </w:pPr>
            <w:r>
              <w:rPr>
                <w:rFonts w:hint="eastAsia" w:ascii="宋体" w:hAnsi="宋体" w:eastAsia="宋体" w:cs="宋体"/>
                <w:lang w:bidi="ar"/>
              </w:rPr>
              <w:t>支持对文件大小进行检测。</w:t>
            </w:r>
          </w:p>
        </w:tc>
      </w:tr>
      <w:tr w14:paraId="0254A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063CE533">
            <w:pPr>
              <w:rPr>
                <w:rFonts w:hint="eastAsia" w:ascii="宋体" w:hAnsi="宋体" w:eastAsia="宋体" w:cs="宋体"/>
              </w:rPr>
            </w:pPr>
            <w:r>
              <w:rPr>
                <w:rFonts w:hint="eastAsia" w:ascii="宋体" w:hAnsi="宋体" w:eastAsia="宋体" w:cs="宋体"/>
              </w:rPr>
              <w:t>识别编码格式</w:t>
            </w:r>
          </w:p>
        </w:tc>
        <w:tc>
          <w:tcPr>
            <w:tcW w:w="4244" w:type="pct"/>
            <w:shd w:val="clear" w:color="auto" w:fill="auto"/>
            <w:vAlign w:val="center"/>
          </w:tcPr>
          <w:p w14:paraId="7230DC3B">
            <w:pPr>
              <w:rPr>
                <w:rFonts w:hint="eastAsia" w:ascii="宋体" w:hAnsi="宋体" w:eastAsia="宋体" w:cs="宋体"/>
              </w:rPr>
            </w:pPr>
            <w:r>
              <w:rPr>
                <w:rFonts w:hint="eastAsia" w:ascii="宋体" w:hAnsi="宋体" w:eastAsia="宋体" w:cs="宋体"/>
              </w:rPr>
              <w:t>支持UTF-8、GBK编码方式；支持中文（简体和繁体）、英文等；</w:t>
            </w:r>
          </w:p>
        </w:tc>
      </w:tr>
      <w:tr w14:paraId="59B03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048C4865">
            <w:pPr>
              <w:rPr>
                <w:rFonts w:hint="eastAsia" w:ascii="宋体" w:hAnsi="宋体" w:eastAsia="宋体" w:cs="宋体"/>
              </w:rPr>
            </w:pPr>
            <w:r>
              <w:rPr>
                <w:rFonts w:hint="eastAsia" w:ascii="宋体" w:hAnsi="宋体" w:eastAsia="宋体" w:cs="宋体"/>
                <w:lang w:bidi="ar"/>
              </w:rPr>
              <w:t>特殊文件识别</w:t>
            </w:r>
          </w:p>
        </w:tc>
        <w:tc>
          <w:tcPr>
            <w:tcW w:w="4244" w:type="pct"/>
            <w:shd w:val="clear" w:color="auto" w:fill="auto"/>
            <w:vAlign w:val="center"/>
          </w:tcPr>
          <w:p w14:paraId="261564C3">
            <w:pPr>
              <w:rPr>
                <w:rFonts w:hint="eastAsia" w:ascii="宋体" w:hAnsi="宋体" w:eastAsia="宋体" w:cs="宋体"/>
              </w:rPr>
            </w:pPr>
            <w:r>
              <w:rPr>
                <w:rFonts w:hint="eastAsia" w:ascii="宋体" w:hAnsi="宋体" w:eastAsia="宋体" w:cs="宋体"/>
                <w:lang w:bidi="ar"/>
              </w:rPr>
              <w:t>支持识别红头文件。</w:t>
            </w:r>
          </w:p>
        </w:tc>
      </w:tr>
      <w:tr w14:paraId="3B8E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76FB8272">
            <w:pPr>
              <w:rPr>
                <w:rFonts w:hint="eastAsia" w:ascii="宋体" w:hAnsi="宋体" w:eastAsia="宋体" w:cs="宋体"/>
              </w:rPr>
            </w:pPr>
            <w:r>
              <w:rPr>
                <w:rFonts w:hint="eastAsia" w:ascii="宋体" w:hAnsi="宋体" w:eastAsia="宋体" w:cs="宋体"/>
              </w:rPr>
              <w:t>分卷压缩包的还原</w:t>
            </w:r>
          </w:p>
        </w:tc>
        <w:tc>
          <w:tcPr>
            <w:tcW w:w="4244" w:type="pct"/>
            <w:shd w:val="clear" w:color="auto" w:fill="auto"/>
            <w:vAlign w:val="center"/>
          </w:tcPr>
          <w:p w14:paraId="1870BCA1">
            <w:pPr>
              <w:rPr>
                <w:rFonts w:hint="eastAsia" w:ascii="宋体" w:hAnsi="宋体" w:eastAsia="宋体" w:cs="宋体"/>
              </w:rPr>
            </w:pPr>
            <w:r>
              <w:rPr>
                <w:rFonts w:hint="eastAsia" w:ascii="宋体" w:hAnsi="宋体" w:eastAsia="宋体" w:cs="宋体"/>
              </w:rPr>
              <w:t>支持对分卷压缩包的还原及内容识别</w:t>
            </w:r>
          </w:p>
        </w:tc>
      </w:tr>
      <w:tr w14:paraId="7368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4430DFB9">
            <w:pPr>
              <w:rPr>
                <w:rFonts w:hint="eastAsia" w:ascii="宋体" w:hAnsi="宋体" w:eastAsia="宋体" w:cs="宋体"/>
              </w:rPr>
            </w:pPr>
            <w:r>
              <w:rPr>
                <w:rFonts w:hint="eastAsia" w:ascii="宋体" w:hAnsi="宋体" w:eastAsia="宋体" w:cs="宋体"/>
              </w:rPr>
              <w:t>非结构化指纹识别</w:t>
            </w:r>
          </w:p>
        </w:tc>
        <w:tc>
          <w:tcPr>
            <w:tcW w:w="4244" w:type="pct"/>
            <w:shd w:val="clear" w:color="auto" w:fill="auto"/>
            <w:vAlign w:val="center"/>
          </w:tcPr>
          <w:p w14:paraId="078F3A99">
            <w:pPr>
              <w:rPr>
                <w:rFonts w:hint="eastAsia" w:ascii="宋体" w:hAnsi="宋体" w:eastAsia="宋体" w:cs="宋体"/>
              </w:rPr>
            </w:pPr>
            <w:r>
              <w:rPr>
                <w:rFonts w:hint="eastAsia" w:ascii="宋体" w:hAnsi="宋体" w:eastAsia="宋体" w:cs="宋体"/>
                <w:lang w:bidi="ar"/>
              </w:rPr>
              <w:t>支持通过本地上传和远程共享的方式，自动生成文件指纹（上传的原始文件可选择是否保存），通过指纹匹配策略，可识别具有该指纹信息的相关文档。</w:t>
            </w:r>
          </w:p>
        </w:tc>
      </w:tr>
      <w:tr w14:paraId="724F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6824E3B6">
            <w:pPr>
              <w:rPr>
                <w:rFonts w:hint="eastAsia" w:ascii="宋体" w:hAnsi="宋体" w:eastAsia="宋体" w:cs="宋体"/>
              </w:rPr>
            </w:pPr>
            <w:r>
              <w:rPr>
                <w:rFonts w:hint="eastAsia" w:ascii="宋体" w:hAnsi="宋体" w:eastAsia="宋体" w:cs="宋体"/>
              </w:rPr>
              <w:t>正则表达式识别</w:t>
            </w:r>
          </w:p>
        </w:tc>
        <w:tc>
          <w:tcPr>
            <w:tcW w:w="4244" w:type="pct"/>
            <w:shd w:val="clear" w:color="auto" w:fill="auto"/>
            <w:vAlign w:val="center"/>
          </w:tcPr>
          <w:p w14:paraId="4961566B">
            <w:pPr>
              <w:rPr>
                <w:rFonts w:hint="eastAsia" w:ascii="宋体" w:hAnsi="宋体" w:eastAsia="宋体" w:cs="宋体"/>
              </w:rPr>
            </w:pPr>
            <w:r>
              <w:rPr>
                <w:rFonts w:hint="eastAsia" w:ascii="宋体" w:hAnsi="宋体" w:eastAsia="宋体" w:cs="宋体"/>
                <w:lang w:bidi="ar"/>
              </w:rPr>
              <w:t>内置基于数据标识符（身份证、银行卡、手机号、车牌号、护照、地址、邮箱、军官证、MAC地址、金额、港澳通行证、常用姓等）的正则表达式识别能力。</w:t>
            </w:r>
          </w:p>
        </w:tc>
      </w:tr>
      <w:tr w14:paraId="55DC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vMerge w:val="restart"/>
            <w:shd w:val="clear" w:color="auto" w:fill="auto"/>
            <w:vAlign w:val="center"/>
          </w:tcPr>
          <w:p w14:paraId="3BE312AA">
            <w:pPr>
              <w:rPr>
                <w:rFonts w:hint="eastAsia" w:ascii="宋体" w:hAnsi="宋体" w:eastAsia="宋体" w:cs="宋体"/>
              </w:rPr>
            </w:pPr>
            <w:r>
              <w:rPr>
                <w:rFonts w:hint="eastAsia" w:ascii="宋体" w:hAnsi="宋体" w:eastAsia="宋体" w:cs="宋体"/>
              </w:rPr>
              <w:t>嵌套文件检测</w:t>
            </w:r>
          </w:p>
        </w:tc>
        <w:tc>
          <w:tcPr>
            <w:tcW w:w="4244" w:type="pct"/>
            <w:shd w:val="clear" w:color="auto" w:fill="auto"/>
            <w:vAlign w:val="center"/>
          </w:tcPr>
          <w:p w14:paraId="099FDD0F">
            <w:pPr>
              <w:rPr>
                <w:rFonts w:hint="eastAsia" w:ascii="宋体" w:hAnsi="宋体" w:eastAsia="宋体" w:cs="宋体"/>
              </w:rPr>
            </w:pPr>
            <w:r>
              <w:rPr>
                <w:rFonts w:hint="eastAsia" w:ascii="宋体" w:hAnsi="宋体" w:eastAsia="宋体" w:cs="宋体"/>
              </w:rPr>
              <w:t>支持doc、docx、ppt、pptx、xls、xlsx文档中嵌套的图片内容OCR识别。</w:t>
            </w:r>
          </w:p>
        </w:tc>
      </w:tr>
      <w:tr w14:paraId="421D9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vMerge w:val="continue"/>
            <w:shd w:val="clear" w:color="auto" w:fill="auto"/>
            <w:vAlign w:val="center"/>
          </w:tcPr>
          <w:p w14:paraId="26D2DF92">
            <w:pPr>
              <w:rPr>
                <w:rFonts w:hint="eastAsia" w:ascii="宋体" w:hAnsi="宋体" w:eastAsia="宋体" w:cs="宋体"/>
              </w:rPr>
            </w:pPr>
          </w:p>
        </w:tc>
        <w:tc>
          <w:tcPr>
            <w:tcW w:w="4244" w:type="pct"/>
            <w:shd w:val="clear" w:color="auto" w:fill="auto"/>
            <w:vAlign w:val="center"/>
          </w:tcPr>
          <w:p w14:paraId="5E484C0E">
            <w:pPr>
              <w:rPr>
                <w:rFonts w:hint="eastAsia" w:ascii="宋体" w:hAnsi="宋体" w:eastAsia="宋体" w:cs="宋体"/>
              </w:rPr>
            </w:pPr>
            <w:r>
              <w:rPr>
                <w:rFonts w:hint="eastAsia" w:ascii="宋体" w:hAnsi="宋体" w:eastAsia="宋体" w:cs="宋体"/>
              </w:rPr>
              <w:t>识别Word、Excel、PPT中以对象方式插入的Word、Excel、PPT、TXT。</w:t>
            </w:r>
          </w:p>
        </w:tc>
      </w:tr>
      <w:tr w14:paraId="73184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55" w:type="pct"/>
            <w:shd w:val="clear" w:color="auto" w:fill="auto"/>
            <w:vAlign w:val="center"/>
          </w:tcPr>
          <w:p w14:paraId="3D08BF1A">
            <w:pPr>
              <w:rPr>
                <w:rFonts w:hint="eastAsia" w:ascii="宋体" w:hAnsi="宋体" w:eastAsia="宋体" w:cs="宋体"/>
              </w:rPr>
            </w:pPr>
            <w:r>
              <w:rPr>
                <w:rFonts w:hint="eastAsia" w:ascii="宋体" w:hAnsi="宋体" w:eastAsia="宋体" w:cs="宋体"/>
              </w:rPr>
              <w:t>告警日志记录内容</w:t>
            </w:r>
          </w:p>
        </w:tc>
        <w:tc>
          <w:tcPr>
            <w:tcW w:w="4244" w:type="pct"/>
            <w:shd w:val="clear" w:color="auto" w:fill="auto"/>
            <w:vAlign w:val="center"/>
          </w:tcPr>
          <w:p w14:paraId="5DCD2E85">
            <w:pPr>
              <w:rPr>
                <w:rFonts w:hint="eastAsia" w:ascii="宋体" w:hAnsi="宋体" w:eastAsia="宋体" w:cs="宋体"/>
                <w:lang w:eastAsia="zh-CN"/>
              </w:rPr>
            </w:pPr>
            <w:r>
              <w:rPr>
                <w:rFonts w:hint="eastAsia" w:ascii="宋体" w:hAnsi="宋体" w:eastAsia="宋体" w:cs="宋体"/>
              </w:rPr>
              <w:t>命中策略、响应规则、发生时间、告警等级、IP地址、文件信息，违规内容摘要，能高亮显示文件或消息中命中策略的相关信息</w:t>
            </w:r>
            <w:r>
              <w:rPr>
                <w:rFonts w:hint="eastAsia" w:cs="宋体"/>
                <w:lang w:eastAsia="zh-CN"/>
              </w:rPr>
              <w:t>。</w:t>
            </w:r>
          </w:p>
        </w:tc>
      </w:tr>
      <w:tr w14:paraId="15A8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55" w:type="pct"/>
            <w:shd w:val="clear" w:color="auto" w:fill="auto"/>
            <w:vAlign w:val="center"/>
          </w:tcPr>
          <w:p w14:paraId="4AD68D9C">
            <w:pPr>
              <w:rPr>
                <w:rFonts w:hint="eastAsia" w:ascii="宋体" w:hAnsi="宋体" w:eastAsia="宋体" w:cs="宋体"/>
              </w:rPr>
            </w:pPr>
            <w:r>
              <w:rPr>
                <w:rFonts w:hint="eastAsia" w:ascii="宋体" w:hAnsi="宋体" w:eastAsia="宋体" w:cs="宋体"/>
              </w:rPr>
              <w:t>命中快照</w:t>
            </w:r>
          </w:p>
        </w:tc>
        <w:tc>
          <w:tcPr>
            <w:tcW w:w="4244" w:type="pct"/>
            <w:shd w:val="clear" w:color="auto" w:fill="auto"/>
            <w:vAlign w:val="center"/>
          </w:tcPr>
          <w:p w14:paraId="783414DD">
            <w:pPr>
              <w:rPr>
                <w:rFonts w:hint="eastAsia" w:ascii="宋体" w:hAnsi="宋体" w:eastAsia="宋体" w:cs="宋体"/>
              </w:rPr>
            </w:pPr>
            <w:r>
              <w:rPr>
                <w:rFonts w:hint="eastAsia" w:ascii="宋体" w:hAnsi="宋体" w:eastAsia="宋体" w:cs="宋体"/>
              </w:rPr>
              <w:t>命中内容高亮显示。</w:t>
            </w:r>
          </w:p>
        </w:tc>
      </w:tr>
      <w:tr w14:paraId="6F4CE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vMerge w:val="restart"/>
            <w:shd w:val="clear" w:color="auto" w:fill="auto"/>
            <w:vAlign w:val="center"/>
          </w:tcPr>
          <w:p w14:paraId="4BB09F48">
            <w:pPr>
              <w:rPr>
                <w:rFonts w:hint="eastAsia" w:ascii="宋体" w:hAnsi="宋体" w:eastAsia="宋体" w:cs="宋体"/>
              </w:rPr>
            </w:pPr>
            <w:r>
              <w:rPr>
                <w:rFonts w:hint="eastAsia" w:ascii="宋体" w:hAnsi="宋体" w:eastAsia="宋体" w:cs="宋体"/>
              </w:rPr>
              <w:t>策略下钻</w:t>
            </w:r>
          </w:p>
        </w:tc>
        <w:tc>
          <w:tcPr>
            <w:tcW w:w="4244" w:type="pct"/>
            <w:shd w:val="clear" w:color="auto" w:fill="auto"/>
            <w:vAlign w:val="center"/>
          </w:tcPr>
          <w:p w14:paraId="706ABA52">
            <w:pPr>
              <w:rPr>
                <w:rFonts w:hint="eastAsia" w:ascii="宋体" w:hAnsi="宋体" w:eastAsia="宋体" w:cs="宋体"/>
              </w:rPr>
            </w:pPr>
            <w:r>
              <w:rPr>
                <w:rFonts w:hint="eastAsia" w:ascii="宋体" w:hAnsi="宋体" w:eastAsia="宋体" w:cs="宋体"/>
                <w:lang w:bidi="ar"/>
              </w:rPr>
              <w:t>支持在策略配置模块中从策略到检测规则到检测因子的逐级下钻查看和修改。</w:t>
            </w:r>
          </w:p>
        </w:tc>
      </w:tr>
      <w:tr w14:paraId="6200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55" w:type="pct"/>
            <w:vMerge w:val="continue"/>
            <w:shd w:val="clear" w:color="auto" w:fill="auto"/>
            <w:vAlign w:val="center"/>
          </w:tcPr>
          <w:p w14:paraId="1EAD0991">
            <w:pPr>
              <w:rPr>
                <w:rFonts w:hint="eastAsia" w:ascii="宋体" w:hAnsi="宋体" w:eastAsia="宋体" w:cs="宋体"/>
              </w:rPr>
            </w:pPr>
          </w:p>
        </w:tc>
        <w:tc>
          <w:tcPr>
            <w:tcW w:w="4244" w:type="pct"/>
            <w:shd w:val="clear" w:color="auto" w:fill="auto"/>
            <w:vAlign w:val="center"/>
          </w:tcPr>
          <w:p w14:paraId="7599A8B3">
            <w:pPr>
              <w:rPr>
                <w:rFonts w:hint="eastAsia" w:ascii="宋体" w:hAnsi="宋体" w:eastAsia="宋体" w:cs="宋体"/>
              </w:rPr>
            </w:pPr>
            <w:r>
              <w:rPr>
                <w:rFonts w:hint="eastAsia" w:ascii="宋体" w:hAnsi="宋体" w:eastAsia="宋体" w:cs="宋体"/>
              </w:rPr>
              <w:t>支持在告警详情中直接跳转到对应的命中策略、检测规则、响应规则和检测因子进行查看。</w:t>
            </w:r>
          </w:p>
        </w:tc>
      </w:tr>
      <w:tr w14:paraId="4559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55" w:type="pct"/>
            <w:shd w:val="clear" w:color="auto" w:fill="auto"/>
            <w:vAlign w:val="center"/>
          </w:tcPr>
          <w:p w14:paraId="24604369">
            <w:pPr>
              <w:rPr>
                <w:rFonts w:hint="eastAsia" w:ascii="宋体" w:hAnsi="宋体" w:eastAsia="宋体" w:cs="宋体"/>
              </w:rPr>
            </w:pPr>
            <w:r>
              <w:rPr>
                <w:rFonts w:hint="eastAsia" w:ascii="宋体" w:hAnsi="宋体" w:eastAsia="宋体" w:cs="宋体"/>
              </w:rPr>
              <w:t>异常行为识别</w:t>
            </w:r>
          </w:p>
        </w:tc>
        <w:tc>
          <w:tcPr>
            <w:tcW w:w="4244" w:type="pct"/>
            <w:shd w:val="clear" w:color="auto" w:fill="auto"/>
            <w:vAlign w:val="center"/>
          </w:tcPr>
          <w:p w14:paraId="44B91024">
            <w:pPr>
              <w:rPr>
                <w:rFonts w:hint="eastAsia" w:ascii="宋体" w:hAnsi="宋体" w:eastAsia="宋体" w:cs="宋体"/>
              </w:rPr>
            </w:pPr>
            <w:r>
              <w:rPr>
                <w:rFonts w:hint="eastAsia" w:ascii="宋体" w:hAnsi="宋体" w:eastAsia="宋体" w:cs="宋体"/>
                <w:lang w:bidi="ar"/>
              </w:rPr>
              <w:t>支持异常行为规则配置，用户可根据自身的需求，选择对上传、下载、访问及外发等数据操作行为进行监测，是否存在异常。</w:t>
            </w:r>
          </w:p>
        </w:tc>
      </w:tr>
      <w:tr w14:paraId="55053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55" w:type="pct"/>
            <w:shd w:val="clear" w:color="auto" w:fill="auto"/>
            <w:vAlign w:val="center"/>
          </w:tcPr>
          <w:p w14:paraId="19085003">
            <w:pPr>
              <w:rPr>
                <w:rFonts w:hint="eastAsia" w:ascii="宋体" w:hAnsi="宋体" w:eastAsia="宋体" w:cs="宋体"/>
              </w:rPr>
            </w:pPr>
            <w:r>
              <w:rPr>
                <w:rFonts w:hint="eastAsia" w:ascii="宋体" w:hAnsi="宋体" w:eastAsia="宋体" w:cs="宋体"/>
              </w:rPr>
              <w:t>数据外送</w:t>
            </w:r>
          </w:p>
        </w:tc>
        <w:tc>
          <w:tcPr>
            <w:tcW w:w="4244" w:type="pct"/>
            <w:shd w:val="clear" w:color="auto" w:fill="auto"/>
            <w:vAlign w:val="center"/>
          </w:tcPr>
          <w:p w14:paraId="3A403144">
            <w:pPr>
              <w:rPr>
                <w:rFonts w:hint="eastAsia" w:ascii="宋体" w:hAnsi="宋体" w:eastAsia="宋体" w:cs="宋体"/>
              </w:rPr>
            </w:pPr>
            <w:r>
              <w:rPr>
                <w:rFonts w:hint="eastAsia" w:ascii="宋体" w:hAnsi="宋体" w:eastAsia="宋体" w:cs="宋体"/>
              </w:rPr>
              <w:t>与第三方平台对接，</w:t>
            </w:r>
            <w:r>
              <w:rPr>
                <w:rFonts w:hint="eastAsia" w:ascii="宋体" w:hAnsi="宋体" w:eastAsia="宋体" w:cs="宋体"/>
                <w:lang w:val="en-US" w:eastAsia="zh-CN"/>
              </w:rPr>
              <w:t>包括但不限于</w:t>
            </w:r>
            <w:r>
              <w:rPr>
                <w:rFonts w:hint="eastAsia" w:ascii="宋体" w:hAnsi="宋体" w:eastAsia="宋体" w:cs="宋体"/>
              </w:rPr>
              <w:t>SYSLOG</w:t>
            </w:r>
            <w:r>
              <w:rPr>
                <w:rFonts w:hint="eastAsia" w:ascii="宋体" w:hAnsi="宋体" w:eastAsia="宋体" w:cs="宋体"/>
                <w:lang w:val="en-US" w:eastAsia="zh-CN"/>
              </w:rPr>
              <w:t>等方式</w:t>
            </w:r>
            <w:r>
              <w:rPr>
                <w:rFonts w:hint="eastAsia" w:ascii="宋体" w:hAnsi="宋体" w:eastAsia="宋体" w:cs="宋体"/>
              </w:rPr>
              <w:t>外送日志。</w:t>
            </w:r>
          </w:p>
        </w:tc>
      </w:tr>
      <w:tr w14:paraId="0AE7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55" w:type="pct"/>
            <w:shd w:val="clear" w:color="auto" w:fill="auto"/>
            <w:vAlign w:val="center"/>
          </w:tcPr>
          <w:p w14:paraId="14FB1474">
            <w:pPr>
              <w:rPr>
                <w:rFonts w:hint="eastAsia" w:ascii="宋体" w:hAnsi="宋体" w:eastAsia="宋体" w:cs="宋体"/>
              </w:rPr>
            </w:pPr>
            <w:r>
              <w:rPr>
                <w:rFonts w:hint="eastAsia" w:ascii="宋体" w:hAnsi="宋体" w:eastAsia="宋体" w:cs="宋体"/>
                <w:lang w:bidi="ar"/>
              </w:rPr>
              <w:t>产品资质</w:t>
            </w:r>
          </w:p>
        </w:tc>
        <w:tc>
          <w:tcPr>
            <w:tcW w:w="4244" w:type="pct"/>
            <w:shd w:val="clear" w:color="auto" w:fill="auto"/>
            <w:vAlign w:val="center"/>
          </w:tcPr>
          <w:p w14:paraId="78E616A0">
            <w:pPr>
              <w:rPr>
                <w:rFonts w:hint="eastAsia" w:ascii="宋体" w:hAnsi="宋体" w:eastAsia="宋体" w:cs="宋体"/>
              </w:rPr>
            </w:pPr>
            <w:r>
              <w:rPr>
                <w:rFonts w:hint="eastAsia" w:ascii="宋体" w:hAnsi="宋体" w:eastAsia="宋体" w:cs="宋体"/>
              </w:rPr>
              <w:t>★</w:t>
            </w:r>
            <w:r>
              <w:rPr>
                <w:rFonts w:hint="eastAsia" w:ascii="宋体" w:hAnsi="宋体" w:eastAsia="宋体" w:cs="宋体"/>
                <w:lang w:bidi="ar"/>
              </w:rPr>
              <w:t>产品具备公安部计算机信息系统安全产品质量监督检验中心颁发的《网络安全专用产品安全监测证书》</w:t>
            </w:r>
          </w:p>
        </w:tc>
      </w:tr>
      <w:tr w14:paraId="03560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287" w:type="dxa"/>
            <w:shd w:val="clear" w:color="auto" w:fill="auto"/>
            <w:vAlign w:val="top"/>
          </w:tcPr>
          <w:p w14:paraId="6DB6FEAD">
            <w:pPr>
              <w:rPr>
                <w:rFonts w:hint="eastAsia" w:ascii="宋体" w:hAnsi="宋体" w:eastAsia="宋体" w:cs="宋体"/>
                <w:highlight w:val="none"/>
              </w:rPr>
            </w:pPr>
            <w:r>
              <w:rPr>
                <w:rFonts w:hint="eastAsia" w:ascii="宋体" w:hAnsi="宋体" w:eastAsia="宋体" w:cs="宋体"/>
                <w:highlight w:val="none"/>
              </w:rPr>
              <w:t>接入与集成要求</w:t>
            </w:r>
          </w:p>
        </w:tc>
        <w:tc>
          <w:tcPr>
            <w:tcW w:w="7228" w:type="dxa"/>
            <w:shd w:val="clear" w:color="auto" w:fill="auto"/>
            <w:vAlign w:val="top"/>
          </w:tcPr>
          <w:p w14:paraId="106F9E03">
            <w:pPr>
              <w:pStyle w:val="6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▲提供接口完成与云盾、安全管控工具等系统的接入与集成。（需提供加盖原厂公章的承诺函）</w:t>
            </w:r>
          </w:p>
        </w:tc>
      </w:tr>
      <w:tr w14:paraId="0DF6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55" w:type="pct"/>
            <w:shd w:val="clear" w:color="auto" w:fill="auto"/>
            <w:vAlign w:val="center"/>
          </w:tcPr>
          <w:p w14:paraId="52860BEF">
            <w:pPr>
              <w:rPr>
                <w:rFonts w:hint="eastAsia" w:ascii="宋体" w:hAnsi="宋体" w:eastAsia="宋体" w:cs="宋体"/>
              </w:rPr>
            </w:pPr>
            <w:r>
              <w:rPr>
                <w:rFonts w:hint="eastAsia" w:ascii="宋体" w:hAnsi="宋体" w:eastAsia="宋体" w:cs="宋体"/>
              </w:rPr>
              <w:t>质保要求</w:t>
            </w:r>
          </w:p>
        </w:tc>
        <w:tc>
          <w:tcPr>
            <w:tcW w:w="4244" w:type="pct"/>
            <w:shd w:val="clear" w:color="auto" w:fill="auto"/>
          </w:tcPr>
          <w:p w14:paraId="735C06CB">
            <w:pPr>
              <w:pStyle w:val="62"/>
              <w:spacing w:line="360" w:lineRule="auto"/>
              <w:rPr>
                <w:rFonts w:hint="eastAsia" w:ascii="宋体" w:hAnsi="宋体" w:eastAsia="宋体" w:cs="宋体"/>
                <w:sz w:val="21"/>
                <w:szCs w:val="21"/>
              </w:rPr>
            </w:pPr>
            <w:r>
              <w:rPr>
                <w:rFonts w:hint="eastAsia" w:ascii="宋体" w:hAnsi="宋体" w:eastAsia="宋体" w:cs="宋体"/>
                <w:sz w:val="21"/>
                <w:szCs w:val="21"/>
              </w:rPr>
              <w:t>质保期内免费提供规则库升级、设备修理、系统版本升级、漏洞修复及原厂技术支持服务。</w:t>
            </w:r>
          </w:p>
        </w:tc>
      </w:tr>
    </w:tbl>
    <w:p w14:paraId="32491C81"/>
    <w:p w14:paraId="46E92CF0">
      <w:pPr>
        <w:pStyle w:val="35"/>
        <w:ind w:left="1060" w:hanging="640"/>
        <w:jc w:val="left"/>
      </w:pPr>
    </w:p>
    <w:p w14:paraId="34A1AD02">
      <w:pPr>
        <w:pStyle w:val="2"/>
      </w:pPr>
      <w:bookmarkStart w:id="21" w:name="_Toc4196"/>
      <w:r>
        <w:t>技术要求及其工作范围</w:t>
      </w:r>
      <w:bookmarkEnd w:id="21"/>
    </w:p>
    <w:p w14:paraId="1BBC127F">
      <w:pPr>
        <w:pStyle w:val="3"/>
      </w:pPr>
      <w:bookmarkStart w:id="22" w:name="_Toc27473"/>
      <w:r>
        <w:rPr>
          <w:rFonts w:hint="eastAsia"/>
        </w:rPr>
        <w:t>对投标方的技术要求</w:t>
      </w:r>
      <w:bookmarkEnd w:id="22"/>
    </w:p>
    <w:p w14:paraId="4349B82A">
      <w:r>
        <w:t>1、 投标方必须推荐先进、稳定、可靠的产品，且提供的产品必须是在国内允许销售的正品。</w:t>
      </w:r>
    </w:p>
    <w:p w14:paraId="232F792B">
      <w:r>
        <w:t>2、 本采购文件中在引用某标准的地方，投标方编制采购文件时应当使用生效的、最新的引用标准文本。如果引用某不合适的标准或者未引用某合适的标准，或者不能得到所需要的标准，投标方可选择某合适的标准，并且在制造商着手进行工作前需得到招标方的许可。</w:t>
      </w:r>
      <w:r>
        <w:rPr>
          <w:rFonts w:hint="eastAsia"/>
        </w:rPr>
        <w:t>招标方与投标方在解释某标准有不同意见时，以招标方的解释为最终解释。</w:t>
      </w:r>
    </w:p>
    <w:p w14:paraId="5C907BD2">
      <w:r>
        <w:t>3、 对于本技术采购文件的某些部分，投标方如不能满足要求，或有其它替代方案，或有其它修改建议，应在采购技术规范书中提出说明，指出必须进行修改的理由以及与原要求的差别，否则，招标方即认为投标方提供的设备可以满足本采购技术规范书的要求。</w:t>
      </w:r>
    </w:p>
    <w:p w14:paraId="12578209">
      <w:r>
        <w:t>4、 所有本采购文件范围所要求而被投标方遗漏的项目，都被认为是包含在本次采购范围内，投标方的报价被视为包含此遗漏项目的报价。</w:t>
      </w:r>
    </w:p>
    <w:p w14:paraId="5E1A7F20">
      <w:r>
        <w:t>5、 投标方应确保其所供产品组成系统的完整性，采购文件遗漏的一切事项，只要这些事项可以确定为是保证投标方所供产品安全、稳定、可靠的有效地投产所必需的，都应该被认为包括在合同价格之内。</w:t>
      </w:r>
    </w:p>
    <w:p w14:paraId="698021F1">
      <w:r>
        <w:t>6、 本采购文件的内容如有遗漏，投标方可予以补充，并对补充的内容或技术的必要性进行具体的论述。如需发生费用的应在报价中体现，否则一旦成交将认为投标方对其补充部分为免费提供。</w:t>
      </w:r>
    </w:p>
    <w:p w14:paraId="465C2380">
      <w:r>
        <w:t>7、 投标方可以对本采购文件提出修改意见供招标方参考，因需要招标方有权对本采购文件进行修改和补充。</w:t>
      </w:r>
    </w:p>
    <w:p w14:paraId="2F1131DD">
      <w:r>
        <w:t xml:space="preserve">8、 投标方所投产品如须提供日常管理和维护的软件的，所有软件必须是合法的正版软件，并且采用实施时的最新版本，有中文版必须采用中文版。 </w:t>
      </w:r>
    </w:p>
    <w:p w14:paraId="0EF7F794">
      <w:pPr>
        <w:pStyle w:val="3"/>
      </w:pPr>
      <w:bookmarkStart w:id="23" w:name="_Toc25184"/>
      <w:r>
        <w:rPr>
          <w:rFonts w:hint="eastAsia"/>
        </w:rPr>
        <w:t>投标方的工作范围</w:t>
      </w:r>
      <w:bookmarkEnd w:id="23"/>
    </w:p>
    <w:p w14:paraId="268437ED">
      <w:r>
        <w:t>1、 投标方必须按照采购文件的规定，按时提供附表中所述的产品和材料，保证所提供的所有产品的功能、质量、性能等均满足要求，负责所供产品、材料的包装和运输。</w:t>
      </w:r>
    </w:p>
    <w:p w14:paraId="5FEFAA2B">
      <w:r>
        <w:t>2、 如果招标方认为有必要，投标方应提供与采购产品型号、配置完全相同的产品到招标方指定的地点，并派出技术人员到现场配合进行测试。测试结果将作为招标方评审时的参考，以及将来产品验收的依据。测试费用由投标方自行支付。</w:t>
      </w:r>
    </w:p>
    <w:p w14:paraId="414DA053">
      <w:r>
        <w:t>3、 如果招标方认为有必要，投标方需要提供相应的实施方案，包括安装配置、安全策略设定、设备接线图、设备参数设置。</w:t>
      </w:r>
    </w:p>
    <w:p w14:paraId="40960D9A">
      <w:r>
        <w:t>4、 免费组织安排到货验收、安装验收会议（按需）。</w:t>
      </w:r>
    </w:p>
    <w:p w14:paraId="502EE320">
      <w:r>
        <w:t>5、 投标方负责所供产品的安装调试、业务割接和验收测试，并自备设备安装、测试、运行维护所需的工具和设备。</w:t>
      </w:r>
    </w:p>
    <w:p w14:paraId="3C8D322B">
      <w:r>
        <w:t>6、 投标方负责提供所需的一切施工材料（包括电源线、光纤跳纤、网线跳线等）。</w:t>
      </w:r>
    </w:p>
    <w:p w14:paraId="5F41F0D5">
      <w:r>
        <w:t>7、 投标方应为招标方培训免费专业维护运行人员。</w:t>
      </w:r>
    </w:p>
    <w:p w14:paraId="14A2C3BD">
      <w:r>
        <w:t>8、 投标方应负责所供产品的免费质保服务（质保期及免费维护期内的维保服务）</w:t>
      </w:r>
    </w:p>
    <w:p w14:paraId="0D2755F6">
      <w:pPr>
        <w:pStyle w:val="3"/>
      </w:pPr>
      <w:bookmarkStart w:id="24" w:name="_Toc25825"/>
      <w:r>
        <w:rPr>
          <w:rFonts w:hint="eastAsia"/>
        </w:rPr>
        <w:t>供货报价范围</w:t>
      </w:r>
      <w:bookmarkEnd w:id="24"/>
    </w:p>
    <w:p w14:paraId="6117AB25">
      <w:r>
        <w:rPr>
          <w:rFonts w:hint="eastAsia"/>
        </w:rPr>
        <w:t>投标方必须按照采购文件要求，提供产品、材料、安装调试、服务等相应的报价，报价内容包括：</w:t>
      </w:r>
    </w:p>
    <w:p w14:paraId="56ADFB6B">
      <w:r>
        <w:t>1、 产品及各项配件（包含了产品安装所需的网线、光纤等，包含了产品的运输费、保险费、税费等相关费用以及培训）。</w:t>
      </w:r>
    </w:p>
    <w:p w14:paraId="5CF28C92">
      <w:r>
        <w:t>2、 产品安装调试（安装调试、业务割接、相关网络及设备调整、施工配合、施工材料、技术资料、技术联络会、安装验收会等费用）。</w:t>
      </w:r>
    </w:p>
    <w:p w14:paraId="013CCF20">
      <w:r>
        <w:t>3、 售后服务，产品安装验收后免费质保服务。</w:t>
      </w:r>
    </w:p>
    <w:p w14:paraId="6DF019D9">
      <w:pPr>
        <w:pStyle w:val="3"/>
      </w:pPr>
      <w:bookmarkStart w:id="25" w:name="_Toc26820"/>
      <w:r>
        <w:rPr>
          <w:rFonts w:hint="eastAsia"/>
        </w:rPr>
        <w:t>知识产权要求</w:t>
      </w:r>
      <w:bookmarkEnd w:id="25"/>
    </w:p>
    <w:p w14:paraId="035115D8">
      <w:r>
        <w:rPr>
          <w:rFonts w:hint="eastAsia"/>
        </w:rPr>
        <w:t>中标人应保证其提供的产品、组件、模型、方法论、控制代码、文档、知知识产权和服务没有任何瑕疵，没有侵犯任何第三方权利。招标人在使用该产品或服务的任何一部分时，免受第三方提出的任何侵犯其知识产权的权利主张。如果任何人对招标人使用该产品及服务主张权利，由中标人负责处理一切纠纷及相关事宜，由此给招标人造成的损失，由中标人承担。</w:t>
      </w:r>
    </w:p>
    <w:p w14:paraId="7A63192C">
      <w:pPr>
        <w:pStyle w:val="3"/>
      </w:pPr>
      <w:bookmarkStart w:id="26" w:name="_Toc13206"/>
      <w:r>
        <w:rPr>
          <w:rFonts w:hint="eastAsia"/>
        </w:rPr>
        <w:t>技术服务</w:t>
      </w:r>
      <w:bookmarkEnd w:id="26"/>
    </w:p>
    <w:p w14:paraId="39630F61">
      <w:pPr>
        <w:pStyle w:val="5"/>
      </w:pPr>
      <w:bookmarkStart w:id="27" w:name="_Toc9626"/>
      <w:r>
        <w:t>技术服务内容</w:t>
      </w:r>
      <w:bookmarkEnd w:id="27"/>
    </w:p>
    <w:p w14:paraId="5178BDEF">
      <w:r>
        <w:rPr>
          <w:rFonts w:hint="eastAsia"/>
        </w:rPr>
        <w:t>要求投标方至少为本项目提供以下技术服务：</w:t>
      </w:r>
    </w:p>
    <w:p w14:paraId="1604459E">
      <w:r>
        <w:t>1、 按招标方规定时间要求配送产品到指定地方，并按招标方的计划要求完成产品安装调试工作，如产品安装部署涉及业务割接，投标方、原厂商（如需）须无条件进行协助配合。</w:t>
      </w:r>
    </w:p>
    <w:p w14:paraId="35AF2E4E">
      <w:r>
        <w:t>2、 到货验收、安装验收。</w:t>
      </w:r>
    </w:p>
    <w:p w14:paraId="0103BA97">
      <w:r>
        <w:t>3、 技术培训（按需）。</w:t>
      </w:r>
    </w:p>
    <w:p w14:paraId="1C1E41CE">
      <w:r>
        <w:t>4、保修、维护及技术支持。</w:t>
      </w:r>
    </w:p>
    <w:p w14:paraId="57A74740">
      <w:pPr>
        <w:pStyle w:val="5"/>
      </w:pPr>
      <w:bookmarkStart w:id="28" w:name="_Toc5712"/>
      <w:r>
        <w:t>技术服务要求</w:t>
      </w:r>
      <w:bookmarkEnd w:id="28"/>
    </w:p>
    <w:p w14:paraId="5FD29D96">
      <w:pPr>
        <w:pStyle w:val="6"/>
      </w:pPr>
      <w:r>
        <w:t>到货验收</w:t>
      </w:r>
    </w:p>
    <w:p w14:paraId="76D5D502">
      <w:r>
        <w:t>1、 产品到货后，由招标方、投标方一起对产品型号、数量、配件等进行清点，并对产品外包装、外观等进行检查，确保无磕碰无损坏，到货验收完成后双方签署招标方提供的到货验收表，完成到货验收工作。</w:t>
      </w:r>
    </w:p>
    <w:p w14:paraId="42C77690">
      <w:r>
        <w:t>2、 当产品运抵招标方的现场后，如发现产品有缺陷或当安装调试完毕后发现指标达不到投标方提供的产品技术数据和招标方技术规范要求的技术性能时，投标方应免费为招标方更换。</w:t>
      </w:r>
    </w:p>
    <w:p w14:paraId="641EBAC1">
      <w:r>
        <w:t>3、 投标方需要按照合同规定按时提供产品，如因其它原因导致不能准时送货的需要提供加盖投标方公章的书面说明。如有必要，招标方可根据商务合同条款要求相应的赔偿。</w:t>
      </w:r>
    </w:p>
    <w:p w14:paraId="7AE33361">
      <w:r>
        <w:t>4、 产品到货前一天，投标方需提前联系招标方。投标方未提前联系的，招标方有权拒收。</w:t>
      </w:r>
    </w:p>
    <w:p w14:paraId="630167DE">
      <w:r>
        <w:t>5、 投标方需要按照合同规定及招标方要求的地点送货，未送达指定地点的招标方有权拒收。</w:t>
      </w:r>
    </w:p>
    <w:p w14:paraId="6EC9F321">
      <w:r>
        <w:t>6、 投标方协助招标方负责进行产品的到货验收工作。</w:t>
      </w:r>
    </w:p>
    <w:p w14:paraId="3DCE4234">
      <w:r>
        <w:t>7、 在双方验收人员在场的情况下，甲乙双方开箱并根据配置清单进行货物清点，确定无误后甲乙双方签订产品到货验收单，完成到货验收工作。</w:t>
      </w:r>
    </w:p>
    <w:p w14:paraId="62F9D20D">
      <w:r>
        <w:t>8、 清点货物时若发现缺货，则由投标方如实向招标方书面反映情况并申请补发货，给出缺货产品的到货时间说明。</w:t>
      </w:r>
    </w:p>
    <w:p w14:paraId="1FC0F782">
      <w:pPr>
        <w:pStyle w:val="6"/>
      </w:pPr>
      <w:r>
        <w:t>安装验收</w:t>
      </w:r>
    </w:p>
    <w:p w14:paraId="0F10FCCF">
      <w:r>
        <w:t>1、招标方根据投标方要求提供安装/配置需求，投标方在产品安装前向招标方提供详细的安装调工作方案，并招标方和投标方双方确认后开展。</w:t>
      </w:r>
    </w:p>
    <w:p w14:paraId="403C3048">
      <w:r>
        <w:t>2、招标方根据投标方要求提供场地和电源等，投标方应按招标方要求办理其他所需相关手续；如果招标方要求推迟安装验收时间，需要按照招标方要求的时间完成。</w:t>
      </w:r>
    </w:p>
    <w:p w14:paraId="380E95AD">
      <w:r>
        <w:t>3、</w:t>
      </w:r>
      <w:r>
        <w:rPr>
          <w:rFonts w:hint="eastAsia"/>
        </w:rPr>
        <w:t>安装</w:t>
      </w:r>
      <w:r>
        <w:t>调试工作及内容应至少包括下列几项：</w:t>
      </w:r>
    </w:p>
    <w:p w14:paraId="3304BD75">
      <w:r>
        <w:rPr>
          <w:rFonts w:hint="eastAsia"/>
        </w:rPr>
        <w:t>（</w:t>
      </w:r>
      <w:r>
        <w:t>1）投标方应提供</w:t>
      </w:r>
      <w:r>
        <w:rPr>
          <w:rFonts w:hint="eastAsia"/>
        </w:rPr>
        <w:t>设备部署方案、</w:t>
      </w:r>
      <w:r>
        <w:t>调试方案。</w:t>
      </w:r>
    </w:p>
    <w:p w14:paraId="7AAB5A42">
      <w:r>
        <w:rPr>
          <w:rFonts w:hint="eastAsia"/>
        </w:rPr>
        <w:t>（</w:t>
      </w:r>
      <w:r>
        <w:t>2）</w:t>
      </w:r>
      <w:r>
        <w:rPr>
          <w:rFonts w:hint="eastAsia"/>
        </w:rPr>
        <w:t>方案验证</w:t>
      </w:r>
      <w:r>
        <w:t>。</w:t>
      </w:r>
    </w:p>
    <w:p w14:paraId="01EAC39C">
      <w:r>
        <w:rPr>
          <w:rFonts w:hint="eastAsia"/>
        </w:rPr>
        <w:t>（3</w:t>
      </w:r>
      <w:r>
        <w:t>）</w:t>
      </w:r>
      <w:r>
        <w:rPr>
          <w:rFonts w:hint="eastAsia"/>
        </w:rPr>
        <w:t>设备上架部署和设备初始化配置</w:t>
      </w:r>
      <w:r>
        <w:t>。</w:t>
      </w:r>
    </w:p>
    <w:p w14:paraId="6132721F">
      <w:r>
        <w:rPr>
          <w:rFonts w:hint="eastAsia"/>
        </w:rPr>
        <w:t>（4</w:t>
      </w:r>
      <w:r>
        <w:t>）</w:t>
      </w:r>
      <w:r>
        <w:rPr>
          <w:rFonts w:hint="eastAsia"/>
        </w:rPr>
        <w:t>网络割接</w:t>
      </w:r>
      <w:r>
        <w:t>。</w:t>
      </w:r>
    </w:p>
    <w:p w14:paraId="0E8C4993">
      <w:r>
        <w:rPr>
          <w:rFonts w:hint="eastAsia"/>
        </w:rPr>
        <w:t>（5</w:t>
      </w:r>
      <w:r>
        <w:t>）</w:t>
      </w:r>
      <w:r>
        <w:rPr>
          <w:rFonts w:hint="eastAsia"/>
        </w:rPr>
        <w:t>与其他网络安全设备联调测试</w:t>
      </w:r>
      <w:r>
        <w:t>。</w:t>
      </w:r>
    </w:p>
    <w:p w14:paraId="1B62888C">
      <w:pPr>
        <w:pStyle w:val="15"/>
      </w:pPr>
      <w:r>
        <w:rPr>
          <w:rFonts w:hint="eastAsia"/>
        </w:rPr>
        <w:t>（6</w:t>
      </w:r>
      <w:r>
        <w:t>）</w:t>
      </w:r>
      <w:r>
        <w:rPr>
          <w:rFonts w:hint="eastAsia"/>
        </w:rPr>
        <w:t>上线切换、试运行监控等工作。</w:t>
      </w:r>
    </w:p>
    <w:p w14:paraId="1C1B528D">
      <w:pPr>
        <w:pStyle w:val="15"/>
      </w:pPr>
      <w:r>
        <w:rPr>
          <w:rFonts w:hint="eastAsia"/>
        </w:rPr>
        <w:t>（7）以及转运前的其他工作</w:t>
      </w:r>
    </w:p>
    <w:p w14:paraId="629CB85D">
      <w:r>
        <w:t>4、如果招标方需要，有关的调试结果要以书面报告的形式由投标方向招标方提交，内容包括：</w:t>
      </w:r>
    </w:p>
    <w:p w14:paraId="27EF7777">
      <w:r>
        <w:rPr>
          <w:rFonts w:hint="eastAsia"/>
        </w:rPr>
        <w:t>（</w:t>
      </w:r>
      <w:r>
        <w:t>1）产品性能调试。</w:t>
      </w:r>
    </w:p>
    <w:p w14:paraId="272C1EE5">
      <w:r>
        <w:rPr>
          <w:rFonts w:hint="eastAsia"/>
        </w:rPr>
        <w:t>（</w:t>
      </w:r>
      <w:r>
        <w:t>2）产品功能调试。</w:t>
      </w:r>
    </w:p>
    <w:p w14:paraId="7863193E">
      <w:pPr>
        <w:pStyle w:val="15"/>
      </w:pPr>
      <w:r>
        <w:rPr>
          <w:rFonts w:hint="eastAsia"/>
        </w:rPr>
        <w:t xml:space="preserve">    （3）资料整理和归档</w:t>
      </w:r>
    </w:p>
    <w:p w14:paraId="2D637DCA">
      <w:r>
        <w:t>5、投标方经仔细严格的安装调试后，认为稳定性可达到移交要求时，由投标方将产品移交给招标方，甲乙双方签订产品安装验收报告，完成产品安装验收工作。</w:t>
      </w:r>
    </w:p>
    <w:p w14:paraId="18D7484D">
      <w:r>
        <w:t>6、如果安装验收不合格，则须重新进行安装调试和安装验收。</w:t>
      </w:r>
    </w:p>
    <w:p w14:paraId="5B005EFE">
      <w:pPr>
        <w:pStyle w:val="6"/>
      </w:pPr>
      <w:r>
        <w:t>技术培训</w:t>
      </w:r>
    </w:p>
    <w:p w14:paraId="0C1A19A7">
      <w:r>
        <w:t>1、 为了保证投标方所提供的产品良好运行，投标方负责根据招标方的需求，提供相关的培训，培训地点为项目所在地，培训次数不少于2次。</w:t>
      </w:r>
    </w:p>
    <w:p w14:paraId="2AC6E632">
      <w:r>
        <w:t>2、 招标方运维技术人员经培训后能熟练地掌握产品软硬件维护工作，并能及时排除大部分的产品故障。</w:t>
      </w:r>
    </w:p>
    <w:p w14:paraId="4E612151">
      <w:r>
        <w:t>3、 投标方为了使招标方运维技术人员能独立进行产品的安装、调试、维护，需向招标方运维技术人员进行针对招标方所购置产品的现场培训。</w:t>
      </w:r>
    </w:p>
    <w:p w14:paraId="6D1B9E02">
      <w:r>
        <w:t>4、 现场培训的内容包括以下内容：</w:t>
      </w:r>
    </w:p>
    <w:p w14:paraId="1BAE76B3">
      <w:r>
        <w:rPr>
          <w:rFonts w:hint="eastAsia"/>
        </w:rPr>
        <w:t>（</w:t>
      </w:r>
      <w:r>
        <w:t>1）维护及安装工作所必须的全部工作文件。</w:t>
      </w:r>
    </w:p>
    <w:p w14:paraId="0550F826">
      <w:r>
        <w:rPr>
          <w:rFonts w:hint="eastAsia"/>
        </w:rPr>
        <w:t>（</w:t>
      </w:r>
      <w:r>
        <w:t>2）产品的安装、配置和调试。</w:t>
      </w:r>
    </w:p>
    <w:p w14:paraId="7D994399">
      <w:r>
        <w:rPr>
          <w:rFonts w:hint="eastAsia"/>
        </w:rPr>
        <w:t>（</w:t>
      </w:r>
      <w:r>
        <w:t>3）产品的操作和维护。</w:t>
      </w:r>
    </w:p>
    <w:p w14:paraId="44434C7B">
      <w:r>
        <w:rPr>
          <w:rFonts w:hint="eastAsia"/>
        </w:rPr>
        <w:t>（</w:t>
      </w:r>
      <w:r>
        <w:t>4）产品的故障处理。</w:t>
      </w:r>
    </w:p>
    <w:p w14:paraId="50C831EB">
      <w:pPr>
        <w:pStyle w:val="6"/>
      </w:pPr>
      <w:r>
        <w:t>售后服务</w:t>
      </w:r>
    </w:p>
    <w:p w14:paraId="180EF91E">
      <w:r>
        <w:t>1、投标方在项目所在地应有固定的售后服务团队，投标方需要根据招标方要求，组建一支专业的服务队伍，同时须向招标方提供拟派参加本项目的人员名单以及参加人员的资料。</w:t>
      </w:r>
    </w:p>
    <w:p w14:paraId="5EA01DC2">
      <w:r>
        <w:t>2、产品完成安装验收后，进入质保期。投标方为产品保修第一响应方，在保修期开始时向招标方提供售后服务联系方式。联系方式包括但不限于投标方售后人员的联系方式和原厂售后联系方式。原厂商需要协助投标方为产品提供保修服务。</w:t>
      </w:r>
    </w:p>
    <w:p w14:paraId="121C509A">
      <w:r>
        <w:t>3、投标方需向招标方提供合同产品相关的新技术的日常技术咨询服务。</w:t>
      </w:r>
    </w:p>
    <w:p w14:paraId="2820D75D">
      <w:r>
        <w:t>4、投标方须为合同产品（除特殊要求）在合同约定的质保期内免费提供原制造商技术支持和上门维修服务，期间产生的人工、配件、交通等任何费用均由投标方承担。</w:t>
      </w:r>
    </w:p>
    <w:p w14:paraId="394235DC">
      <w:r>
        <w:t>5、投标方应在合同约定的质保期内免费纠正或替换与合同规定功能有偏差的软硬件产品。用来替换的产品的功能和性能等方面，不得低于原产品且需通过招标方的书面同意。投标方承担以上产品替换所有发生费用，相关产品资料需免费提供给招标方。</w:t>
      </w:r>
    </w:p>
    <w:p w14:paraId="24BA53AE">
      <w:pPr>
        <w:pStyle w:val="6"/>
      </w:pPr>
      <w:r>
        <w:t>故障解决</w:t>
      </w:r>
    </w:p>
    <w:p w14:paraId="7DB6DEA4">
      <w:r>
        <w:rPr>
          <w:rFonts w:hint="eastAsia"/>
        </w:rPr>
        <w:t>在合同约定的质保期内产品出现故障，招标方报障后投标方需立即协助诊断错误，并协助招标方解决故障。</w:t>
      </w:r>
    </w:p>
    <w:p w14:paraId="6CFAECF1">
      <w:r>
        <w:t>1．在进行故障处理前应提供详细的故障处理方案，该方案必须经招标方评审通过后方能实施。故障处理方案必须针对不同故障等级分别制定，故障等级划分及现场支持要求包括但不限于：</w:t>
      </w:r>
    </w:p>
    <w:p w14:paraId="1383D323">
      <w:r>
        <w:t>(1)重大故障：合同产品原因功能完全丧失。在重大故障发生时，投标方应在15分钟内响应，2小时之内到达现场,1天内解决故障。</w:t>
      </w:r>
    </w:p>
    <w:p w14:paraId="1AF27515">
      <w:r>
        <w:t>(2)严重故障：合同产品部分功能丧失或对部分用户的服务无法正常进行，或者该故障对系统存在重大隐患。在严重故障发生时，投标方应在30分钟内响应，4小时之内到达现场，3天内解决故障。</w:t>
      </w:r>
    </w:p>
    <w:p w14:paraId="30A4FE84">
      <w:r>
        <w:t>(3)一般故障：合同产品故障基本不影响业务。在一般故障发生时，投标方应在1小时内响应，8小时内到达现场，7天内解决故障。</w:t>
      </w:r>
    </w:p>
    <w:p w14:paraId="705C0246">
      <w:r>
        <w:t>2．在系统频繁出现故障或遇重大节假日保障等特殊时期，需要提高产品维护等级的情况下，投标方和产品原厂商需要根据招标方要求免费派出技术人员提供现场技术支持。</w:t>
      </w:r>
    </w:p>
    <w:p w14:paraId="465947CE">
      <w:r>
        <w:t>3．投标方须协助招标方（按需）对产品运行状况每半年进行最少一次全面的回顾和总结，用于帮助招标方解决在使用过程中遇到的合同产品故障及性能问题，提供相应的解决方案，寻求产品的最佳配置，同时避免问题的再次出现。</w:t>
      </w:r>
    </w:p>
    <w:p w14:paraId="1211A4C9">
      <w:pPr>
        <w:pStyle w:val="6"/>
      </w:pPr>
      <w:r>
        <w:t>版本升级</w:t>
      </w:r>
    </w:p>
    <w:p w14:paraId="6AA34B56">
      <w:r>
        <w:t>1、投标方需要根据与招标方的约定定期（合同签订时确认）对合同购置产品免费进行必要的固件及软件更新和版本升级。当招标方准备对合同产品进行升级或扩容时，投标方须提供咨询服务，并提交相关方案，并提供升级后的测试报告。</w:t>
      </w:r>
    </w:p>
    <w:p w14:paraId="690DB4BC">
      <w:r>
        <w:t>2、当招标方的机房环境/信息系统/网络环境等发生变化时，为保证产品的正常运行，投标方协助招标方须派遣专业技术人员现场提供相关技术服务，免费提供合理、可行的技术方案，进行实施。若须购买新产品，投标方应提前向招标方做出说明和建议。</w:t>
      </w:r>
    </w:p>
    <w:p w14:paraId="0C8708DB">
      <w:r>
        <w:t>3、合同产品不受许可使用期的限制，由于合同产品原因（含许可使用期）造成系统运行不稳定或者影响系统安全的情况，投标方须免费对产品进行维修或者替换硬件相应的组件，直至问题得到解决。</w:t>
      </w:r>
    </w:p>
    <w:p w14:paraId="4ADFBC92">
      <w:r>
        <w:t>4、对于有特征库的产品或需要备品备件的产品，乙方需要在质保期后5年内应该提供备件支持和特征库升级服务（费用双方协商）。</w:t>
      </w:r>
    </w:p>
    <w:p w14:paraId="3D03DE9B"/>
    <w:p w14:paraId="27489C8C"/>
    <w:p w14:paraId="56F2D4E8"/>
    <w:p w14:paraId="71A327D7"/>
    <w:p w14:paraId="466868F7"/>
    <w:p w14:paraId="2DFF3433">
      <w:pPr>
        <w:pStyle w:val="2"/>
      </w:pPr>
      <w:bookmarkStart w:id="29" w:name="_Toc30039"/>
      <w:bookmarkStart w:id="30" w:name="_Toc29688"/>
      <w:r>
        <w:rPr>
          <w:rFonts w:hint="eastAsia"/>
        </w:rPr>
        <w:t>附件</w:t>
      </w:r>
      <w:r>
        <w:rPr>
          <w:rFonts w:hint="eastAsia"/>
          <w:lang w:val="en-US" w:eastAsia="zh-CN"/>
        </w:rPr>
        <w:t>一</w:t>
      </w:r>
      <w:r>
        <w:rPr>
          <w:rFonts w:hint="eastAsia"/>
        </w:rPr>
        <w:t>：承诺函及其附件</w:t>
      </w:r>
      <w:bookmarkEnd w:id="29"/>
      <w:bookmarkEnd w:id="30"/>
    </w:p>
    <w:p w14:paraId="7AFA8424">
      <w:pPr>
        <w:pStyle w:val="24"/>
        <w:spacing w:before="0" w:beforeAutospacing="0" w:after="180" w:afterAutospacing="0" w:line="450" w:lineRule="atLeast"/>
        <w:jc w:val="center"/>
        <w:rPr>
          <w:rFonts w:ascii="微软雅黑" w:hAnsi="微软雅黑" w:eastAsia="微软雅黑" w:cs="微软雅黑"/>
          <w:sz w:val="36"/>
          <w:szCs w:val="36"/>
        </w:rPr>
      </w:pPr>
      <w:r>
        <w:rPr>
          <w:rFonts w:hint="eastAsia" w:ascii="微软雅黑" w:hAnsi="微软雅黑" w:eastAsia="微软雅黑" w:cs="微软雅黑"/>
          <w:sz w:val="36"/>
          <w:szCs w:val="36"/>
        </w:rPr>
        <w:t>承诺函</w:t>
      </w:r>
    </w:p>
    <w:p w14:paraId="6998A42A">
      <w:pPr>
        <w:pStyle w:val="24"/>
        <w:snapToGrid/>
        <w:spacing w:before="40" w:beforeAutospacing="0" w:after="0" w:afterAutospacing="0" w:line="420" w:lineRule="atLeast"/>
        <w:jc w:val="both"/>
        <w:rPr>
          <w:rFonts w:ascii="微软雅黑" w:hAnsi="微软雅黑" w:eastAsia="微软雅黑" w:cs="微软雅黑"/>
          <w:sz w:val="22"/>
          <w:szCs w:val="22"/>
          <w:u w:val="single"/>
        </w:rPr>
      </w:pPr>
      <w:r>
        <w:rPr>
          <w:rFonts w:hint="eastAsia" w:ascii="微软雅黑" w:hAnsi="微软雅黑" w:eastAsia="微软雅黑" w:cs="微软雅黑"/>
          <w:sz w:val="22"/>
          <w:szCs w:val="22"/>
          <w:u w:val="single"/>
        </w:rPr>
        <w:t>致：广东电力通信科技有限公司  </w:t>
      </w:r>
    </w:p>
    <w:p w14:paraId="6AE44AD2">
      <w:pPr>
        <w:pStyle w:val="24"/>
        <w:snapToGrid/>
        <w:spacing w:before="40" w:beforeAutospacing="0" w:after="0" w:afterAutospacing="0" w:line="420" w:lineRule="atLeast"/>
        <w:ind w:firstLine="440" w:firstLineChars="200"/>
        <w:jc w:val="both"/>
        <w:rPr>
          <w:rFonts w:ascii="微软雅黑" w:hAnsi="微软雅黑" w:eastAsia="微软雅黑" w:cs="微软雅黑"/>
          <w:sz w:val="22"/>
          <w:szCs w:val="22"/>
        </w:rPr>
      </w:pPr>
      <w:r>
        <w:rPr>
          <w:rFonts w:hint="eastAsia" w:ascii="微软雅黑" w:hAnsi="微软雅黑" w:eastAsia="微软雅黑" w:cs="微软雅黑"/>
          <w:sz w:val="22"/>
          <w:szCs w:val="22"/>
        </w:rPr>
        <w:t>我公司承诺</w:t>
      </w:r>
      <w:r>
        <w:rPr>
          <w:rFonts w:hint="eastAsia" w:ascii="微软雅黑" w:hAnsi="微软雅黑" w:eastAsia="微软雅黑" w:cs="微软雅黑"/>
          <w:sz w:val="22"/>
          <w:szCs w:val="22"/>
          <w:u w:val="single"/>
        </w:rPr>
        <w:t>XX</w:t>
      </w:r>
      <w:r>
        <w:rPr>
          <w:rFonts w:hint="eastAsia" w:ascii="微软雅黑" w:hAnsi="微软雅黑" w:eastAsia="微软雅黑" w:cs="微软雅黑"/>
          <w:sz w:val="22"/>
          <w:szCs w:val="22"/>
        </w:rPr>
        <w:t>中物资品类</w:t>
      </w:r>
      <w:r>
        <w:rPr>
          <w:rFonts w:hint="eastAsia" w:ascii="微软雅黑" w:hAnsi="微软雅黑" w:eastAsia="微软雅黑" w:cs="微软雅黑"/>
          <w:sz w:val="22"/>
          <w:szCs w:val="22"/>
          <w:u w:val="single"/>
        </w:rPr>
        <w:t>XX</w:t>
      </w:r>
      <w:r>
        <w:rPr>
          <w:rFonts w:hint="eastAsia" w:ascii="微软雅黑" w:hAnsi="微软雅黑" w:eastAsia="微软雅黑" w:cs="微软雅黑"/>
          <w:sz w:val="22"/>
          <w:szCs w:val="22"/>
        </w:rPr>
        <w:t>标的</w:t>
      </w:r>
      <w:r>
        <w:rPr>
          <w:rFonts w:hint="eastAsia" w:ascii="微软雅黑" w:hAnsi="微软雅黑" w:eastAsia="微软雅黑" w:cs="微软雅黑"/>
          <w:sz w:val="22"/>
          <w:szCs w:val="22"/>
          <w:u w:val="single"/>
        </w:rPr>
        <w:t>XX</w:t>
      </w:r>
      <w:r>
        <w:rPr>
          <w:rFonts w:hint="eastAsia" w:ascii="微软雅黑" w:hAnsi="微软雅黑" w:eastAsia="微软雅黑" w:cs="微软雅黑"/>
          <w:sz w:val="22"/>
          <w:szCs w:val="22"/>
        </w:rPr>
        <w:t>的投标产品</w:t>
      </w:r>
      <w:r>
        <w:rPr>
          <w:rFonts w:hint="eastAsia" w:ascii="微软雅黑" w:hAnsi="微软雅黑" w:eastAsia="微软雅黑" w:cs="微软雅黑"/>
          <w:sz w:val="22"/>
          <w:szCs w:val="22"/>
          <w:u w:val="single"/>
        </w:rPr>
        <w:t>XX品牌XX型号</w:t>
      </w:r>
      <w:r>
        <w:rPr>
          <w:rFonts w:hint="eastAsia" w:ascii="微软雅黑" w:hAnsi="微软雅黑" w:eastAsia="微软雅黑" w:cs="微软雅黑"/>
          <w:sz w:val="22"/>
          <w:szCs w:val="22"/>
        </w:rPr>
        <w:t>设备在附件所列信息真实有效。若违反本承诺，贵公司有权依据相关规定对我方进行处理，我方愿承担由此导致的各类风险。</w:t>
      </w:r>
    </w:p>
    <w:p w14:paraId="4ADE5680">
      <w:pPr>
        <w:pStyle w:val="24"/>
        <w:snapToGrid/>
        <w:spacing w:before="40" w:beforeAutospacing="0" w:after="0" w:afterAutospacing="0" w:line="420" w:lineRule="atLeast"/>
        <w:ind w:firstLine="440" w:firstLineChars="200"/>
        <w:jc w:val="both"/>
        <w:rPr>
          <w:rFonts w:ascii="微软雅黑" w:hAnsi="微软雅黑" w:eastAsia="微软雅黑" w:cs="微软雅黑"/>
          <w:sz w:val="22"/>
          <w:szCs w:val="22"/>
        </w:rPr>
      </w:pPr>
      <w:r>
        <w:rPr>
          <w:rFonts w:hint="eastAsia" w:ascii="微软雅黑" w:hAnsi="微软雅黑" w:eastAsia="微软雅黑" w:cs="微软雅黑"/>
          <w:sz w:val="22"/>
          <w:szCs w:val="22"/>
        </w:rPr>
        <w:t>特此承诺！</w:t>
      </w:r>
    </w:p>
    <w:p w14:paraId="3DF47926">
      <w:pPr>
        <w:pStyle w:val="24"/>
        <w:snapToGrid/>
        <w:spacing w:before="40" w:beforeAutospacing="0" w:after="0" w:afterAutospacing="0" w:line="420" w:lineRule="atLeast"/>
        <w:ind w:firstLine="440" w:firstLineChars="200"/>
        <w:jc w:val="right"/>
        <w:rPr>
          <w:rFonts w:ascii="微软雅黑" w:hAnsi="微软雅黑" w:eastAsia="微软雅黑" w:cs="微软雅黑"/>
          <w:sz w:val="22"/>
          <w:szCs w:val="22"/>
        </w:rPr>
      </w:pPr>
      <w:r>
        <w:rPr>
          <w:rFonts w:hint="eastAsia" w:ascii="微软雅黑" w:hAnsi="微软雅黑" w:eastAsia="微软雅黑" w:cs="微软雅黑"/>
          <w:sz w:val="22"/>
          <w:szCs w:val="22"/>
        </w:rPr>
        <w:t xml:space="preserve">                                                 </w:t>
      </w:r>
    </w:p>
    <w:p w14:paraId="0993201F">
      <w:pPr>
        <w:pStyle w:val="24"/>
        <w:snapToGrid/>
        <w:spacing w:before="40" w:beforeAutospacing="0" w:after="0" w:afterAutospacing="0" w:line="420" w:lineRule="atLeast"/>
        <w:ind w:firstLine="440" w:firstLineChars="200"/>
        <w:jc w:val="center"/>
        <w:rPr>
          <w:rFonts w:ascii="微软雅黑" w:hAnsi="微软雅黑" w:eastAsia="微软雅黑" w:cs="微软雅黑"/>
          <w:sz w:val="22"/>
          <w:szCs w:val="22"/>
        </w:rPr>
      </w:pPr>
      <w:r>
        <w:rPr>
          <w:rFonts w:hint="eastAsia" w:ascii="微软雅黑" w:hAnsi="微软雅黑" w:eastAsia="微软雅黑" w:cs="微软雅黑"/>
          <w:sz w:val="22"/>
          <w:szCs w:val="22"/>
        </w:rPr>
        <w:t xml:space="preserve">                                        设备厂商名称：XX                                                                             </w:t>
      </w:r>
    </w:p>
    <w:p w14:paraId="3971CC1C">
      <w:pPr>
        <w:pStyle w:val="24"/>
        <w:snapToGrid/>
        <w:spacing w:before="40" w:beforeAutospacing="0" w:after="0" w:afterAutospacing="0" w:line="420" w:lineRule="atLeast"/>
        <w:ind w:firstLine="440" w:firstLineChars="200"/>
        <w:jc w:val="center"/>
        <w:rPr>
          <w:rFonts w:ascii="微软雅黑" w:hAnsi="微软雅黑" w:eastAsia="微软雅黑" w:cs="微软雅黑"/>
          <w:sz w:val="22"/>
          <w:szCs w:val="22"/>
        </w:rPr>
      </w:pPr>
      <w:r>
        <w:rPr>
          <w:rFonts w:hint="eastAsia" w:ascii="微软雅黑" w:hAnsi="微软雅黑" w:eastAsia="微软雅黑" w:cs="微软雅黑"/>
          <w:sz w:val="22"/>
          <w:szCs w:val="22"/>
        </w:rPr>
        <w:t xml:space="preserve">                                          (公章或电子章）</w:t>
      </w:r>
    </w:p>
    <w:p w14:paraId="5282D5CF">
      <w:pPr>
        <w:pStyle w:val="15"/>
        <w:rPr>
          <w:rFonts w:ascii="微软雅黑" w:hAnsi="微软雅黑" w:eastAsia="微软雅黑" w:cs="微软雅黑"/>
          <w:sz w:val="22"/>
          <w:szCs w:val="22"/>
          <w:u w:val="single"/>
        </w:rPr>
      </w:pPr>
      <w:r>
        <w:rPr>
          <w:rFonts w:hint="eastAsia" w:ascii="微软雅黑" w:hAnsi="微软雅黑" w:eastAsia="微软雅黑" w:cs="微软雅黑"/>
          <w:sz w:val="22"/>
          <w:szCs w:val="22"/>
        </w:rPr>
        <w:t xml:space="preserve">                                          日期：</w:t>
      </w:r>
      <w:r>
        <w:rPr>
          <w:rFonts w:hint="eastAsia" w:ascii="微软雅黑" w:hAnsi="微软雅黑" w:eastAsia="微软雅黑" w:cs="微软雅黑"/>
          <w:sz w:val="22"/>
          <w:szCs w:val="22"/>
          <w:u w:val="single"/>
        </w:rPr>
        <w:t xml:space="preserve">         年      月      日</w:t>
      </w:r>
    </w:p>
    <w:p w14:paraId="3F686235">
      <w:pPr>
        <w:pStyle w:val="15"/>
        <w:rPr>
          <w:rFonts w:ascii="微软雅黑" w:hAnsi="微软雅黑" w:eastAsia="微软雅黑" w:cs="微软雅黑"/>
          <w:sz w:val="22"/>
          <w:szCs w:val="22"/>
          <w:u w:val="single"/>
        </w:rPr>
      </w:pPr>
    </w:p>
    <w:p w14:paraId="64136152">
      <w:pPr>
        <w:pStyle w:val="15"/>
        <w:rPr>
          <w:rFonts w:ascii="微软雅黑" w:hAnsi="微软雅黑" w:eastAsia="微软雅黑" w:cs="微软雅黑"/>
          <w:sz w:val="22"/>
          <w:szCs w:val="22"/>
          <w:u w:val="single"/>
        </w:rPr>
      </w:pPr>
    </w:p>
    <w:p w14:paraId="1674A3FD">
      <w:pPr>
        <w:pStyle w:val="15"/>
        <w:rPr>
          <w:rFonts w:ascii="微软雅黑" w:hAnsi="微软雅黑" w:eastAsia="微软雅黑" w:cs="微软雅黑"/>
          <w:sz w:val="22"/>
          <w:szCs w:val="22"/>
          <w:u w:val="single"/>
        </w:rPr>
      </w:pPr>
    </w:p>
    <w:p w14:paraId="39019DEC">
      <w:pPr>
        <w:pStyle w:val="15"/>
        <w:rPr>
          <w:rFonts w:ascii="微软雅黑" w:hAnsi="微软雅黑" w:eastAsia="微软雅黑" w:cs="微软雅黑"/>
          <w:i/>
          <w:iCs/>
          <w:sz w:val="22"/>
          <w:szCs w:val="22"/>
        </w:rPr>
      </w:pPr>
    </w:p>
    <w:p w14:paraId="7025198B">
      <w:pPr>
        <w:pStyle w:val="15"/>
        <w:rPr>
          <w:rFonts w:ascii="微软雅黑" w:hAnsi="微软雅黑" w:eastAsia="微软雅黑" w:cs="微软雅黑"/>
          <w:sz w:val="22"/>
          <w:szCs w:val="22"/>
          <w:u w:val="single"/>
        </w:rPr>
      </w:pPr>
      <w:r>
        <w:rPr>
          <w:rFonts w:hint="eastAsia" w:ascii="微软雅黑" w:hAnsi="微软雅黑" w:eastAsia="微软雅黑" w:cs="微软雅黑"/>
          <w:i/>
          <w:iCs/>
          <w:sz w:val="22"/>
          <w:szCs w:val="22"/>
        </w:rPr>
        <w:t>（备注：本承诺含需附带相关设备型号及芯片信息表，请按设备类型选取合适的附表，详见</w:t>
      </w:r>
      <w:r>
        <w:rPr>
          <w:rFonts w:hint="eastAsia" w:ascii="微软雅黑" w:hAnsi="微软雅黑" w:eastAsia="微软雅黑" w:cs="微软雅黑"/>
          <w:i/>
          <w:iCs/>
          <w:sz w:val="22"/>
          <w:szCs w:val="22"/>
          <w:lang w:val="en-US" w:eastAsia="zh-CN"/>
        </w:rPr>
        <w:t>下表</w:t>
      </w:r>
      <w:r>
        <w:rPr>
          <w:rFonts w:hint="eastAsia" w:ascii="微软雅黑" w:hAnsi="微软雅黑" w:eastAsia="微软雅黑" w:cs="微软雅黑"/>
          <w:i/>
          <w:iCs/>
          <w:sz w:val="22"/>
          <w:szCs w:val="22"/>
        </w:rPr>
        <w:t>）</w:t>
      </w:r>
      <w:r>
        <w:rPr>
          <w:rFonts w:hint="eastAsia" w:ascii="微软雅黑" w:hAnsi="微软雅黑" w:eastAsia="微软雅黑" w:cs="微软雅黑"/>
          <w:sz w:val="22"/>
          <w:szCs w:val="22"/>
          <w:u w:val="single"/>
        </w:rPr>
        <w:br w:type="page"/>
      </w:r>
    </w:p>
    <w:p w14:paraId="549CDA6A">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.1：</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44B9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3061F925">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33AF2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058D66F4">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149745B4">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550F23A9">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1C26A16B">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34BFCA7F">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707CD59F">
            <w:pPr>
              <w:pStyle w:val="24"/>
              <w:snapToGrid/>
              <w:spacing w:before="0" w:beforeAutospacing="0" w:after="0" w:afterAutospacing="0" w:line="420" w:lineRule="atLeast"/>
              <w:jc w:val="center"/>
              <w:rPr>
                <w:sz w:val="21"/>
              </w:rPr>
            </w:pPr>
            <w:r>
              <w:rPr>
                <w:rFonts w:hint="eastAsia"/>
                <w:sz w:val="21"/>
              </w:rPr>
              <w:t>单设备非国产芯片数量（颗）</w:t>
            </w:r>
          </w:p>
        </w:tc>
      </w:tr>
      <w:tr w14:paraId="77AAF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3382FD5C">
            <w:pPr>
              <w:pStyle w:val="24"/>
              <w:snapToGrid/>
              <w:spacing w:before="0" w:beforeAutospacing="0" w:after="0" w:afterAutospacing="0" w:line="420" w:lineRule="atLeast"/>
              <w:jc w:val="center"/>
              <w:rPr>
                <w:sz w:val="21"/>
                <w:u w:val="single"/>
              </w:rPr>
            </w:pPr>
            <w:r>
              <w:rPr>
                <w:rFonts w:hint="eastAsia"/>
                <w:sz w:val="21"/>
                <w:u w:val="single"/>
              </w:rPr>
              <w:t>SSL-VPN网关</w:t>
            </w:r>
          </w:p>
        </w:tc>
        <w:tc>
          <w:tcPr>
            <w:tcW w:w="1545" w:type="dxa"/>
            <w:vAlign w:val="center"/>
          </w:tcPr>
          <w:p w14:paraId="533AECF6">
            <w:pPr>
              <w:pStyle w:val="24"/>
              <w:snapToGrid/>
              <w:spacing w:before="0" w:beforeAutospacing="0" w:after="0" w:afterAutospacing="0" w:line="420" w:lineRule="atLeast"/>
              <w:jc w:val="center"/>
              <w:rPr>
                <w:sz w:val="21"/>
              </w:rPr>
            </w:pPr>
          </w:p>
        </w:tc>
        <w:tc>
          <w:tcPr>
            <w:tcW w:w="1420" w:type="dxa"/>
            <w:vAlign w:val="center"/>
          </w:tcPr>
          <w:p w14:paraId="76CC4135">
            <w:pPr>
              <w:pStyle w:val="24"/>
              <w:snapToGrid/>
              <w:spacing w:before="0" w:beforeAutospacing="0" w:after="0" w:afterAutospacing="0" w:line="420" w:lineRule="atLeast"/>
              <w:jc w:val="center"/>
              <w:rPr>
                <w:sz w:val="21"/>
              </w:rPr>
            </w:pPr>
          </w:p>
        </w:tc>
        <w:tc>
          <w:tcPr>
            <w:tcW w:w="1420" w:type="dxa"/>
            <w:vAlign w:val="center"/>
          </w:tcPr>
          <w:p w14:paraId="29E6C805">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58671F4A">
            <w:pPr>
              <w:pStyle w:val="24"/>
              <w:snapToGrid/>
              <w:spacing w:before="0" w:beforeAutospacing="0" w:after="0" w:afterAutospacing="0" w:line="420" w:lineRule="atLeast"/>
              <w:jc w:val="center"/>
              <w:rPr>
                <w:sz w:val="21"/>
              </w:rPr>
            </w:pPr>
          </w:p>
        </w:tc>
        <w:tc>
          <w:tcPr>
            <w:tcW w:w="1421" w:type="dxa"/>
            <w:vAlign w:val="center"/>
          </w:tcPr>
          <w:p w14:paraId="1E8F53DE">
            <w:pPr>
              <w:pStyle w:val="24"/>
              <w:snapToGrid/>
              <w:spacing w:before="0" w:beforeAutospacing="0" w:after="0" w:afterAutospacing="0" w:line="420" w:lineRule="atLeast"/>
              <w:jc w:val="center"/>
              <w:rPr>
                <w:sz w:val="21"/>
              </w:rPr>
            </w:pPr>
          </w:p>
        </w:tc>
      </w:tr>
      <w:tr w14:paraId="73E68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191C1B70">
            <w:pPr>
              <w:pStyle w:val="24"/>
              <w:snapToGrid/>
              <w:spacing w:before="0" w:beforeAutospacing="0" w:after="0" w:afterAutospacing="0" w:line="420" w:lineRule="atLeast"/>
              <w:jc w:val="center"/>
              <w:rPr>
                <w:sz w:val="21"/>
              </w:rPr>
            </w:pPr>
          </w:p>
        </w:tc>
        <w:tc>
          <w:tcPr>
            <w:tcW w:w="1545" w:type="dxa"/>
            <w:vAlign w:val="center"/>
          </w:tcPr>
          <w:p w14:paraId="3BF427CB">
            <w:pPr>
              <w:pStyle w:val="24"/>
              <w:snapToGrid/>
              <w:spacing w:before="0" w:beforeAutospacing="0" w:after="0" w:afterAutospacing="0" w:line="420" w:lineRule="atLeast"/>
              <w:jc w:val="center"/>
              <w:rPr>
                <w:sz w:val="21"/>
              </w:rPr>
            </w:pPr>
          </w:p>
        </w:tc>
        <w:tc>
          <w:tcPr>
            <w:tcW w:w="1420" w:type="dxa"/>
            <w:vAlign w:val="center"/>
          </w:tcPr>
          <w:p w14:paraId="281AECA6">
            <w:pPr>
              <w:pStyle w:val="24"/>
              <w:snapToGrid/>
              <w:spacing w:before="0" w:beforeAutospacing="0" w:after="0" w:afterAutospacing="0" w:line="420" w:lineRule="atLeast"/>
              <w:jc w:val="center"/>
              <w:rPr>
                <w:sz w:val="21"/>
              </w:rPr>
            </w:pPr>
          </w:p>
        </w:tc>
        <w:tc>
          <w:tcPr>
            <w:tcW w:w="1420" w:type="dxa"/>
            <w:vAlign w:val="center"/>
          </w:tcPr>
          <w:p w14:paraId="63E04DE7">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77C990AD">
            <w:pPr>
              <w:pStyle w:val="24"/>
              <w:snapToGrid/>
              <w:spacing w:before="0" w:beforeAutospacing="0" w:after="0" w:afterAutospacing="0" w:line="420" w:lineRule="atLeast"/>
              <w:jc w:val="center"/>
              <w:rPr>
                <w:sz w:val="21"/>
              </w:rPr>
            </w:pPr>
          </w:p>
        </w:tc>
        <w:tc>
          <w:tcPr>
            <w:tcW w:w="1421" w:type="dxa"/>
            <w:vAlign w:val="center"/>
          </w:tcPr>
          <w:p w14:paraId="53657209">
            <w:pPr>
              <w:pStyle w:val="24"/>
              <w:snapToGrid/>
              <w:spacing w:before="0" w:beforeAutospacing="0" w:after="0" w:afterAutospacing="0" w:line="420" w:lineRule="atLeast"/>
              <w:jc w:val="center"/>
              <w:rPr>
                <w:sz w:val="21"/>
              </w:rPr>
            </w:pPr>
          </w:p>
        </w:tc>
      </w:tr>
      <w:tr w14:paraId="2DAE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4AF5B3B">
            <w:pPr>
              <w:pStyle w:val="24"/>
              <w:snapToGrid/>
              <w:spacing w:before="0" w:beforeAutospacing="0" w:after="0" w:afterAutospacing="0" w:line="420" w:lineRule="atLeast"/>
              <w:jc w:val="center"/>
              <w:rPr>
                <w:sz w:val="21"/>
              </w:rPr>
            </w:pPr>
          </w:p>
        </w:tc>
        <w:tc>
          <w:tcPr>
            <w:tcW w:w="1545" w:type="dxa"/>
            <w:vAlign w:val="center"/>
          </w:tcPr>
          <w:p w14:paraId="213C3466">
            <w:pPr>
              <w:pStyle w:val="24"/>
              <w:snapToGrid/>
              <w:spacing w:before="0" w:beforeAutospacing="0" w:after="0" w:afterAutospacing="0" w:line="420" w:lineRule="atLeast"/>
              <w:jc w:val="center"/>
              <w:rPr>
                <w:sz w:val="21"/>
              </w:rPr>
            </w:pPr>
          </w:p>
        </w:tc>
        <w:tc>
          <w:tcPr>
            <w:tcW w:w="1420" w:type="dxa"/>
            <w:vAlign w:val="center"/>
          </w:tcPr>
          <w:p w14:paraId="0D53FB50">
            <w:pPr>
              <w:pStyle w:val="24"/>
              <w:snapToGrid/>
              <w:spacing w:before="0" w:beforeAutospacing="0" w:after="0" w:afterAutospacing="0" w:line="420" w:lineRule="atLeast"/>
              <w:jc w:val="center"/>
              <w:rPr>
                <w:sz w:val="21"/>
              </w:rPr>
            </w:pPr>
          </w:p>
        </w:tc>
        <w:tc>
          <w:tcPr>
            <w:tcW w:w="1420" w:type="dxa"/>
            <w:vAlign w:val="center"/>
          </w:tcPr>
          <w:p w14:paraId="72FBBBFA">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239E2113">
            <w:pPr>
              <w:pStyle w:val="24"/>
              <w:snapToGrid/>
              <w:spacing w:before="0" w:beforeAutospacing="0" w:after="0" w:afterAutospacing="0" w:line="420" w:lineRule="atLeast"/>
              <w:jc w:val="center"/>
              <w:rPr>
                <w:sz w:val="21"/>
              </w:rPr>
            </w:pPr>
          </w:p>
        </w:tc>
        <w:tc>
          <w:tcPr>
            <w:tcW w:w="1421" w:type="dxa"/>
            <w:vAlign w:val="center"/>
          </w:tcPr>
          <w:p w14:paraId="157A83E7">
            <w:pPr>
              <w:pStyle w:val="24"/>
              <w:snapToGrid/>
              <w:spacing w:before="0" w:beforeAutospacing="0" w:after="0" w:afterAutospacing="0" w:line="420" w:lineRule="atLeast"/>
              <w:jc w:val="center"/>
              <w:rPr>
                <w:sz w:val="21"/>
              </w:rPr>
            </w:pPr>
          </w:p>
        </w:tc>
      </w:tr>
      <w:tr w14:paraId="6B77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9" w:hRule="atLeast"/>
          <w:jc w:val="center"/>
        </w:trPr>
        <w:tc>
          <w:tcPr>
            <w:tcW w:w="1295" w:type="dxa"/>
            <w:vMerge w:val="continue"/>
            <w:vAlign w:val="center"/>
          </w:tcPr>
          <w:p w14:paraId="2AB7A991">
            <w:pPr>
              <w:pStyle w:val="24"/>
              <w:snapToGrid/>
              <w:spacing w:before="0" w:beforeAutospacing="0" w:after="0" w:afterAutospacing="0" w:line="420" w:lineRule="atLeast"/>
              <w:jc w:val="center"/>
              <w:rPr>
                <w:sz w:val="21"/>
              </w:rPr>
            </w:pPr>
          </w:p>
        </w:tc>
        <w:tc>
          <w:tcPr>
            <w:tcW w:w="1545" w:type="dxa"/>
            <w:vAlign w:val="center"/>
          </w:tcPr>
          <w:p w14:paraId="58EEE09B">
            <w:pPr>
              <w:pStyle w:val="24"/>
              <w:snapToGrid/>
              <w:spacing w:before="0" w:beforeAutospacing="0" w:after="0" w:afterAutospacing="0" w:line="420" w:lineRule="atLeast"/>
              <w:jc w:val="center"/>
              <w:rPr>
                <w:sz w:val="21"/>
              </w:rPr>
            </w:pPr>
          </w:p>
        </w:tc>
        <w:tc>
          <w:tcPr>
            <w:tcW w:w="1420" w:type="dxa"/>
            <w:vAlign w:val="center"/>
          </w:tcPr>
          <w:p w14:paraId="19145A97">
            <w:pPr>
              <w:pStyle w:val="24"/>
              <w:snapToGrid/>
              <w:spacing w:before="0" w:beforeAutospacing="0" w:after="0" w:afterAutospacing="0" w:line="420" w:lineRule="atLeast"/>
              <w:jc w:val="center"/>
              <w:rPr>
                <w:sz w:val="21"/>
              </w:rPr>
            </w:pPr>
          </w:p>
        </w:tc>
        <w:tc>
          <w:tcPr>
            <w:tcW w:w="1420" w:type="dxa"/>
            <w:vAlign w:val="center"/>
          </w:tcPr>
          <w:p w14:paraId="2674E39D">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1532B916">
            <w:pPr>
              <w:pStyle w:val="24"/>
              <w:snapToGrid/>
              <w:spacing w:before="0" w:beforeAutospacing="0" w:after="0" w:afterAutospacing="0" w:line="420" w:lineRule="atLeast"/>
              <w:jc w:val="center"/>
              <w:rPr>
                <w:sz w:val="21"/>
              </w:rPr>
            </w:pPr>
          </w:p>
        </w:tc>
        <w:tc>
          <w:tcPr>
            <w:tcW w:w="1421" w:type="dxa"/>
            <w:vAlign w:val="center"/>
          </w:tcPr>
          <w:p w14:paraId="5CA27338">
            <w:pPr>
              <w:pStyle w:val="24"/>
              <w:snapToGrid/>
              <w:spacing w:before="0" w:beforeAutospacing="0" w:after="0" w:afterAutospacing="0" w:line="420" w:lineRule="atLeast"/>
              <w:jc w:val="center"/>
              <w:rPr>
                <w:sz w:val="21"/>
              </w:rPr>
            </w:pPr>
          </w:p>
        </w:tc>
      </w:tr>
      <w:tr w14:paraId="1393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528B58BC">
            <w:pPr>
              <w:pStyle w:val="24"/>
              <w:snapToGrid/>
              <w:spacing w:before="0" w:beforeAutospacing="0" w:after="0" w:afterAutospacing="0" w:line="420" w:lineRule="atLeast"/>
              <w:jc w:val="center"/>
              <w:rPr>
                <w:sz w:val="21"/>
              </w:rPr>
            </w:pPr>
          </w:p>
        </w:tc>
        <w:tc>
          <w:tcPr>
            <w:tcW w:w="1545" w:type="dxa"/>
            <w:vAlign w:val="center"/>
          </w:tcPr>
          <w:p w14:paraId="7E53A27B">
            <w:pPr>
              <w:pStyle w:val="24"/>
              <w:snapToGrid/>
              <w:spacing w:before="0" w:beforeAutospacing="0" w:after="0" w:afterAutospacing="0" w:line="420" w:lineRule="atLeast"/>
              <w:jc w:val="center"/>
              <w:rPr>
                <w:sz w:val="21"/>
              </w:rPr>
            </w:pPr>
          </w:p>
        </w:tc>
        <w:tc>
          <w:tcPr>
            <w:tcW w:w="1420" w:type="dxa"/>
            <w:vAlign w:val="center"/>
          </w:tcPr>
          <w:p w14:paraId="1E95CF94">
            <w:pPr>
              <w:pStyle w:val="24"/>
              <w:snapToGrid/>
              <w:spacing w:before="0" w:beforeAutospacing="0" w:after="0" w:afterAutospacing="0" w:line="420" w:lineRule="atLeast"/>
              <w:jc w:val="center"/>
              <w:rPr>
                <w:sz w:val="21"/>
              </w:rPr>
            </w:pPr>
          </w:p>
        </w:tc>
        <w:tc>
          <w:tcPr>
            <w:tcW w:w="1420" w:type="dxa"/>
            <w:vAlign w:val="center"/>
          </w:tcPr>
          <w:p w14:paraId="430575CC">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1E7AB9DF">
            <w:pPr>
              <w:pStyle w:val="24"/>
              <w:snapToGrid/>
              <w:spacing w:before="0" w:beforeAutospacing="0" w:after="0" w:afterAutospacing="0" w:line="420" w:lineRule="atLeast"/>
              <w:jc w:val="center"/>
              <w:rPr>
                <w:sz w:val="21"/>
              </w:rPr>
            </w:pPr>
          </w:p>
        </w:tc>
        <w:tc>
          <w:tcPr>
            <w:tcW w:w="1421" w:type="dxa"/>
            <w:vAlign w:val="center"/>
          </w:tcPr>
          <w:p w14:paraId="627E525B">
            <w:pPr>
              <w:pStyle w:val="24"/>
              <w:snapToGrid/>
              <w:spacing w:before="0" w:beforeAutospacing="0" w:after="0" w:afterAutospacing="0" w:line="420" w:lineRule="atLeast"/>
              <w:jc w:val="center"/>
              <w:rPr>
                <w:sz w:val="21"/>
              </w:rPr>
            </w:pPr>
          </w:p>
        </w:tc>
      </w:tr>
      <w:tr w14:paraId="4C69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729AAC3E">
            <w:pPr>
              <w:pStyle w:val="24"/>
              <w:snapToGrid/>
              <w:spacing w:before="0" w:beforeAutospacing="0" w:after="0" w:afterAutospacing="0" w:line="420" w:lineRule="atLeast"/>
              <w:jc w:val="center"/>
              <w:rPr>
                <w:sz w:val="21"/>
              </w:rPr>
            </w:pPr>
          </w:p>
        </w:tc>
        <w:tc>
          <w:tcPr>
            <w:tcW w:w="1545" w:type="dxa"/>
            <w:vAlign w:val="center"/>
          </w:tcPr>
          <w:p w14:paraId="25CBA8EC">
            <w:pPr>
              <w:pStyle w:val="24"/>
              <w:snapToGrid/>
              <w:spacing w:before="0" w:beforeAutospacing="0" w:after="0" w:afterAutospacing="0" w:line="420" w:lineRule="atLeast"/>
              <w:jc w:val="center"/>
              <w:rPr>
                <w:sz w:val="21"/>
              </w:rPr>
            </w:pPr>
          </w:p>
        </w:tc>
        <w:tc>
          <w:tcPr>
            <w:tcW w:w="1420" w:type="dxa"/>
            <w:vAlign w:val="center"/>
          </w:tcPr>
          <w:p w14:paraId="35D163EF">
            <w:pPr>
              <w:pStyle w:val="24"/>
              <w:snapToGrid/>
              <w:spacing w:before="0" w:beforeAutospacing="0" w:after="0" w:afterAutospacing="0" w:line="420" w:lineRule="atLeast"/>
              <w:jc w:val="center"/>
              <w:rPr>
                <w:sz w:val="21"/>
              </w:rPr>
            </w:pPr>
          </w:p>
        </w:tc>
        <w:tc>
          <w:tcPr>
            <w:tcW w:w="1420" w:type="dxa"/>
            <w:vAlign w:val="center"/>
          </w:tcPr>
          <w:p w14:paraId="30AB48BB">
            <w:pPr>
              <w:widowControl/>
              <w:snapToGrid/>
              <w:spacing w:line="420" w:lineRule="atLeast"/>
              <w:jc w:val="center"/>
            </w:pPr>
            <w:r>
              <w:rPr>
                <w:rFonts w:hint="eastAsia"/>
              </w:rPr>
              <w:t>电源模块控制芯片</w:t>
            </w:r>
          </w:p>
        </w:tc>
        <w:tc>
          <w:tcPr>
            <w:tcW w:w="1421" w:type="dxa"/>
            <w:vAlign w:val="center"/>
          </w:tcPr>
          <w:p w14:paraId="661D61C1">
            <w:pPr>
              <w:pStyle w:val="24"/>
              <w:snapToGrid/>
              <w:spacing w:before="0" w:beforeAutospacing="0" w:after="0" w:afterAutospacing="0" w:line="420" w:lineRule="atLeast"/>
              <w:jc w:val="center"/>
              <w:rPr>
                <w:sz w:val="21"/>
              </w:rPr>
            </w:pPr>
          </w:p>
        </w:tc>
        <w:tc>
          <w:tcPr>
            <w:tcW w:w="1421" w:type="dxa"/>
            <w:vAlign w:val="center"/>
          </w:tcPr>
          <w:p w14:paraId="53B8712C">
            <w:pPr>
              <w:pStyle w:val="24"/>
              <w:snapToGrid/>
              <w:spacing w:before="0" w:beforeAutospacing="0" w:after="0" w:afterAutospacing="0" w:line="420" w:lineRule="atLeast"/>
              <w:jc w:val="center"/>
              <w:rPr>
                <w:sz w:val="21"/>
              </w:rPr>
            </w:pPr>
          </w:p>
        </w:tc>
      </w:tr>
    </w:tbl>
    <w:p w14:paraId="5043BD6C">
      <w:pPr>
        <w:pStyle w:val="24"/>
        <w:spacing w:before="900" w:beforeAutospacing="0" w:after="0" w:afterAutospacing="0" w:line="420" w:lineRule="atLeast"/>
        <w:jc w:val="both"/>
        <w:rPr>
          <w:rFonts w:cs="宋体"/>
          <w:sz w:val="28"/>
          <w:szCs w:val="28"/>
        </w:rPr>
      </w:pPr>
    </w:p>
    <w:p w14:paraId="4302EF29">
      <w:pPr>
        <w:pStyle w:val="24"/>
        <w:spacing w:before="900" w:beforeAutospacing="0" w:after="0" w:afterAutospacing="0" w:line="420" w:lineRule="atLeast"/>
        <w:jc w:val="both"/>
        <w:rPr>
          <w:rFonts w:cs="宋体"/>
          <w:sz w:val="28"/>
          <w:szCs w:val="28"/>
        </w:rPr>
      </w:pPr>
    </w:p>
    <w:p w14:paraId="30B31A69">
      <w:pPr>
        <w:pStyle w:val="24"/>
        <w:spacing w:before="900" w:beforeAutospacing="0" w:after="0" w:afterAutospacing="0" w:line="420" w:lineRule="atLeast"/>
        <w:jc w:val="both"/>
        <w:rPr>
          <w:rFonts w:cs="宋体"/>
          <w:sz w:val="28"/>
          <w:szCs w:val="28"/>
        </w:rPr>
      </w:pPr>
    </w:p>
    <w:p w14:paraId="605C366D">
      <w:pPr>
        <w:pStyle w:val="24"/>
        <w:spacing w:before="900" w:beforeAutospacing="0" w:after="0" w:afterAutospacing="0" w:line="420" w:lineRule="atLeast"/>
        <w:jc w:val="both"/>
        <w:rPr>
          <w:rFonts w:cs="宋体"/>
          <w:sz w:val="28"/>
          <w:szCs w:val="28"/>
        </w:rPr>
      </w:pPr>
    </w:p>
    <w:p w14:paraId="464AAA0D">
      <w:pPr>
        <w:pStyle w:val="24"/>
        <w:spacing w:before="900" w:beforeAutospacing="0" w:after="0" w:afterAutospacing="0" w:line="420" w:lineRule="atLeast"/>
        <w:jc w:val="both"/>
        <w:rPr>
          <w:rFonts w:cs="宋体"/>
          <w:sz w:val="28"/>
          <w:szCs w:val="28"/>
        </w:rPr>
      </w:pPr>
    </w:p>
    <w:p w14:paraId="7B61F9CE">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.2：</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3213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46D75CD1">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0877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6489B27B">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73072BC4">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4659378F">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078D1E2A">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64F08FD7">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6BB89901">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67010E20">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45B3872F">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3DA9F6DE">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34BC3FE2">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5394F9DE">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7CAFEAFA">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579E79E8">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1062E587">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6F3B0638">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11C98337">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7B1907A4">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73A9C409">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75049FF9">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780F8EFB">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130D759C">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4262E498">
            <w:pPr>
              <w:pStyle w:val="24"/>
              <w:snapToGrid/>
              <w:spacing w:before="0" w:beforeAutospacing="0" w:after="0" w:afterAutospacing="0" w:line="420" w:lineRule="atLeast"/>
              <w:jc w:val="center"/>
              <w:rPr>
                <w:sz w:val="21"/>
              </w:rPr>
            </w:pPr>
            <w:r>
              <w:rPr>
                <w:rFonts w:hint="eastAsia"/>
                <w:sz w:val="21"/>
              </w:rPr>
              <w:t>境内/境外</w:t>
            </w:r>
          </w:p>
        </w:tc>
      </w:tr>
      <w:tr w14:paraId="5ED8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2D09EC24">
            <w:pPr>
              <w:pStyle w:val="24"/>
              <w:snapToGrid/>
              <w:spacing w:before="0" w:beforeAutospacing="0" w:after="0" w:afterAutospacing="0" w:line="420" w:lineRule="atLeast"/>
              <w:jc w:val="center"/>
              <w:rPr>
                <w:sz w:val="21"/>
              </w:rPr>
            </w:pPr>
          </w:p>
        </w:tc>
        <w:tc>
          <w:tcPr>
            <w:tcW w:w="366" w:type="dxa"/>
            <w:vAlign w:val="center"/>
          </w:tcPr>
          <w:p w14:paraId="3C10476D">
            <w:pPr>
              <w:pStyle w:val="24"/>
              <w:snapToGrid/>
              <w:spacing w:before="0" w:beforeAutospacing="0" w:after="0" w:afterAutospacing="0" w:line="420" w:lineRule="atLeast"/>
              <w:jc w:val="center"/>
              <w:rPr>
                <w:sz w:val="21"/>
              </w:rPr>
            </w:pPr>
          </w:p>
        </w:tc>
        <w:tc>
          <w:tcPr>
            <w:tcW w:w="366" w:type="dxa"/>
            <w:vAlign w:val="center"/>
          </w:tcPr>
          <w:p w14:paraId="689E0588">
            <w:pPr>
              <w:pStyle w:val="24"/>
              <w:snapToGrid/>
              <w:spacing w:before="0" w:beforeAutospacing="0" w:after="0" w:afterAutospacing="0" w:line="420" w:lineRule="atLeast"/>
              <w:jc w:val="center"/>
              <w:rPr>
                <w:sz w:val="21"/>
              </w:rPr>
            </w:pPr>
          </w:p>
        </w:tc>
        <w:tc>
          <w:tcPr>
            <w:tcW w:w="366" w:type="dxa"/>
            <w:vAlign w:val="center"/>
          </w:tcPr>
          <w:p w14:paraId="2C98420E">
            <w:pPr>
              <w:pStyle w:val="24"/>
              <w:snapToGrid/>
              <w:spacing w:before="0" w:beforeAutospacing="0" w:after="0" w:afterAutospacing="0" w:line="420" w:lineRule="atLeast"/>
              <w:jc w:val="center"/>
              <w:rPr>
                <w:sz w:val="21"/>
              </w:rPr>
            </w:pPr>
          </w:p>
        </w:tc>
        <w:tc>
          <w:tcPr>
            <w:tcW w:w="366" w:type="dxa"/>
            <w:vAlign w:val="center"/>
          </w:tcPr>
          <w:p w14:paraId="48D7EABB">
            <w:pPr>
              <w:pStyle w:val="24"/>
              <w:snapToGrid/>
              <w:spacing w:before="0" w:beforeAutospacing="0" w:after="0" w:afterAutospacing="0" w:line="420" w:lineRule="atLeast"/>
              <w:jc w:val="center"/>
              <w:rPr>
                <w:sz w:val="21"/>
              </w:rPr>
            </w:pPr>
          </w:p>
        </w:tc>
        <w:tc>
          <w:tcPr>
            <w:tcW w:w="516" w:type="dxa"/>
            <w:vAlign w:val="center"/>
          </w:tcPr>
          <w:p w14:paraId="7B58FFF7">
            <w:pPr>
              <w:pStyle w:val="24"/>
              <w:snapToGrid/>
              <w:spacing w:before="0" w:beforeAutospacing="0" w:after="0" w:afterAutospacing="0" w:line="420" w:lineRule="atLeast"/>
              <w:jc w:val="center"/>
              <w:rPr>
                <w:sz w:val="21"/>
              </w:rPr>
            </w:pPr>
          </w:p>
        </w:tc>
        <w:tc>
          <w:tcPr>
            <w:tcW w:w="366" w:type="dxa"/>
            <w:vAlign w:val="center"/>
          </w:tcPr>
          <w:p w14:paraId="6C1C8D85">
            <w:pPr>
              <w:pStyle w:val="24"/>
              <w:snapToGrid/>
              <w:spacing w:before="0" w:beforeAutospacing="0" w:after="0" w:afterAutospacing="0" w:line="420" w:lineRule="atLeast"/>
              <w:jc w:val="center"/>
              <w:rPr>
                <w:sz w:val="21"/>
              </w:rPr>
            </w:pPr>
          </w:p>
        </w:tc>
        <w:tc>
          <w:tcPr>
            <w:tcW w:w="366" w:type="dxa"/>
            <w:vAlign w:val="center"/>
          </w:tcPr>
          <w:p w14:paraId="7691F1FA">
            <w:pPr>
              <w:pStyle w:val="24"/>
              <w:snapToGrid/>
              <w:spacing w:before="0" w:beforeAutospacing="0" w:after="0" w:afterAutospacing="0" w:line="420" w:lineRule="atLeast"/>
              <w:jc w:val="center"/>
              <w:rPr>
                <w:sz w:val="21"/>
              </w:rPr>
            </w:pPr>
          </w:p>
        </w:tc>
        <w:tc>
          <w:tcPr>
            <w:tcW w:w="516" w:type="dxa"/>
            <w:vAlign w:val="center"/>
          </w:tcPr>
          <w:p w14:paraId="0943461E">
            <w:pPr>
              <w:pStyle w:val="24"/>
              <w:snapToGrid/>
              <w:spacing w:before="0" w:beforeAutospacing="0" w:after="0" w:afterAutospacing="0" w:line="420" w:lineRule="atLeast"/>
              <w:jc w:val="center"/>
              <w:rPr>
                <w:sz w:val="21"/>
              </w:rPr>
            </w:pPr>
          </w:p>
        </w:tc>
        <w:tc>
          <w:tcPr>
            <w:tcW w:w="366" w:type="dxa"/>
            <w:vAlign w:val="center"/>
          </w:tcPr>
          <w:p w14:paraId="04EAAA52">
            <w:pPr>
              <w:pStyle w:val="24"/>
              <w:snapToGrid/>
              <w:spacing w:before="0" w:beforeAutospacing="0" w:after="0" w:afterAutospacing="0" w:line="420" w:lineRule="atLeast"/>
              <w:jc w:val="center"/>
              <w:rPr>
                <w:sz w:val="21"/>
              </w:rPr>
            </w:pPr>
          </w:p>
        </w:tc>
        <w:tc>
          <w:tcPr>
            <w:tcW w:w="516" w:type="dxa"/>
            <w:vAlign w:val="center"/>
          </w:tcPr>
          <w:p w14:paraId="0429DCBB">
            <w:pPr>
              <w:pStyle w:val="24"/>
              <w:snapToGrid/>
              <w:spacing w:before="0" w:beforeAutospacing="0" w:after="0" w:afterAutospacing="0" w:line="420" w:lineRule="atLeast"/>
              <w:jc w:val="center"/>
              <w:rPr>
                <w:sz w:val="21"/>
              </w:rPr>
            </w:pPr>
          </w:p>
        </w:tc>
        <w:tc>
          <w:tcPr>
            <w:tcW w:w="366" w:type="dxa"/>
            <w:vAlign w:val="center"/>
          </w:tcPr>
          <w:p w14:paraId="053045E0">
            <w:pPr>
              <w:pStyle w:val="24"/>
              <w:snapToGrid/>
              <w:spacing w:before="0" w:beforeAutospacing="0" w:after="0" w:afterAutospacing="0" w:line="420" w:lineRule="atLeast"/>
              <w:jc w:val="center"/>
              <w:rPr>
                <w:sz w:val="21"/>
              </w:rPr>
            </w:pPr>
          </w:p>
        </w:tc>
        <w:tc>
          <w:tcPr>
            <w:tcW w:w="666" w:type="dxa"/>
            <w:vAlign w:val="center"/>
          </w:tcPr>
          <w:p w14:paraId="2BA26A7E">
            <w:pPr>
              <w:pStyle w:val="24"/>
              <w:snapToGrid/>
              <w:spacing w:before="0" w:beforeAutospacing="0" w:after="0" w:afterAutospacing="0" w:line="420" w:lineRule="atLeast"/>
              <w:jc w:val="center"/>
              <w:rPr>
                <w:sz w:val="21"/>
              </w:rPr>
            </w:pPr>
          </w:p>
        </w:tc>
        <w:tc>
          <w:tcPr>
            <w:tcW w:w="516" w:type="dxa"/>
            <w:vAlign w:val="center"/>
          </w:tcPr>
          <w:p w14:paraId="6A5720CA">
            <w:pPr>
              <w:pStyle w:val="24"/>
              <w:snapToGrid/>
              <w:spacing w:before="0" w:beforeAutospacing="0" w:after="0" w:afterAutospacing="0" w:line="420" w:lineRule="atLeast"/>
              <w:jc w:val="center"/>
              <w:rPr>
                <w:sz w:val="21"/>
              </w:rPr>
            </w:pPr>
          </w:p>
        </w:tc>
        <w:tc>
          <w:tcPr>
            <w:tcW w:w="366" w:type="dxa"/>
            <w:vAlign w:val="center"/>
          </w:tcPr>
          <w:p w14:paraId="747442FE">
            <w:pPr>
              <w:pStyle w:val="24"/>
              <w:snapToGrid/>
              <w:spacing w:before="0" w:beforeAutospacing="0" w:after="0" w:afterAutospacing="0" w:line="420" w:lineRule="atLeast"/>
              <w:jc w:val="center"/>
              <w:rPr>
                <w:sz w:val="21"/>
              </w:rPr>
            </w:pPr>
          </w:p>
        </w:tc>
        <w:tc>
          <w:tcPr>
            <w:tcW w:w="366" w:type="dxa"/>
            <w:vAlign w:val="center"/>
          </w:tcPr>
          <w:p w14:paraId="688419CA">
            <w:pPr>
              <w:pStyle w:val="24"/>
              <w:snapToGrid/>
              <w:spacing w:before="0" w:beforeAutospacing="0" w:after="0" w:afterAutospacing="0" w:line="420" w:lineRule="atLeast"/>
              <w:jc w:val="center"/>
              <w:rPr>
                <w:sz w:val="21"/>
              </w:rPr>
            </w:pPr>
          </w:p>
        </w:tc>
        <w:tc>
          <w:tcPr>
            <w:tcW w:w="516" w:type="dxa"/>
            <w:vAlign w:val="center"/>
          </w:tcPr>
          <w:p w14:paraId="7FFAAFC0">
            <w:pPr>
              <w:pStyle w:val="24"/>
              <w:snapToGrid/>
              <w:spacing w:before="0" w:beforeAutospacing="0" w:after="0" w:afterAutospacing="0" w:line="420" w:lineRule="atLeast"/>
              <w:jc w:val="center"/>
              <w:rPr>
                <w:sz w:val="21"/>
              </w:rPr>
            </w:pPr>
          </w:p>
        </w:tc>
        <w:tc>
          <w:tcPr>
            <w:tcW w:w="366" w:type="dxa"/>
            <w:vAlign w:val="center"/>
          </w:tcPr>
          <w:p w14:paraId="10E50541">
            <w:pPr>
              <w:pStyle w:val="24"/>
              <w:snapToGrid/>
              <w:spacing w:before="0" w:beforeAutospacing="0" w:after="0" w:afterAutospacing="0" w:line="420" w:lineRule="atLeast"/>
              <w:jc w:val="center"/>
              <w:rPr>
                <w:sz w:val="21"/>
              </w:rPr>
            </w:pPr>
          </w:p>
        </w:tc>
        <w:tc>
          <w:tcPr>
            <w:tcW w:w="221" w:type="dxa"/>
            <w:vAlign w:val="center"/>
          </w:tcPr>
          <w:p w14:paraId="54F0A986">
            <w:pPr>
              <w:pStyle w:val="24"/>
              <w:snapToGrid/>
              <w:spacing w:before="0" w:beforeAutospacing="0" w:after="0" w:afterAutospacing="0" w:line="420" w:lineRule="atLeast"/>
              <w:jc w:val="center"/>
              <w:rPr>
                <w:sz w:val="21"/>
              </w:rPr>
            </w:pPr>
          </w:p>
        </w:tc>
        <w:tc>
          <w:tcPr>
            <w:tcW w:w="221" w:type="dxa"/>
            <w:vAlign w:val="center"/>
          </w:tcPr>
          <w:p w14:paraId="3214263F">
            <w:pPr>
              <w:pStyle w:val="24"/>
              <w:snapToGrid/>
              <w:spacing w:before="0" w:beforeAutospacing="0" w:after="0" w:afterAutospacing="0" w:line="420" w:lineRule="atLeast"/>
              <w:jc w:val="center"/>
              <w:rPr>
                <w:sz w:val="21"/>
              </w:rPr>
            </w:pPr>
          </w:p>
        </w:tc>
        <w:tc>
          <w:tcPr>
            <w:tcW w:w="221" w:type="dxa"/>
            <w:vAlign w:val="center"/>
          </w:tcPr>
          <w:p w14:paraId="7019E2D0">
            <w:pPr>
              <w:pStyle w:val="24"/>
              <w:snapToGrid/>
              <w:spacing w:before="0" w:beforeAutospacing="0" w:after="0" w:afterAutospacing="0" w:line="420" w:lineRule="atLeast"/>
              <w:jc w:val="center"/>
              <w:rPr>
                <w:sz w:val="21"/>
              </w:rPr>
            </w:pPr>
          </w:p>
        </w:tc>
        <w:tc>
          <w:tcPr>
            <w:tcW w:w="221" w:type="dxa"/>
            <w:vAlign w:val="center"/>
          </w:tcPr>
          <w:p w14:paraId="48C9A9F5">
            <w:pPr>
              <w:pStyle w:val="24"/>
              <w:snapToGrid/>
              <w:spacing w:before="0" w:beforeAutospacing="0" w:after="0" w:afterAutospacing="0" w:line="420" w:lineRule="atLeast"/>
              <w:jc w:val="center"/>
              <w:rPr>
                <w:sz w:val="21"/>
              </w:rPr>
            </w:pPr>
          </w:p>
        </w:tc>
      </w:tr>
      <w:tr w14:paraId="29E2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36845830">
            <w:pPr>
              <w:pStyle w:val="24"/>
              <w:snapToGrid/>
              <w:spacing w:before="0" w:beforeAutospacing="0" w:after="0" w:afterAutospacing="0" w:line="420" w:lineRule="atLeast"/>
              <w:jc w:val="center"/>
              <w:rPr>
                <w:sz w:val="21"/>
              </w:rPr>
            </w:pPr>
          </w:p>
        </w:tc>
        <w:tc>
          <w:tcPr>
            <w:tcW w:w="366" w:type="dxa"/>
            <w:vAlign w:val="center"/>
          </w:tcPr>
          <w:p w14:paraId="6FBAA4BB">
            <w:pPr>
              <w:pStyle w:val="24"/>
              <w:snapToGrid/>
              <w:spacing w:before="0" w:beforeAutospacing="0" w:after="0" w:afterAutospacing="0" w:line="420" w:lineRule="atLeast"/>
              <w:jc w:val="center"/>
              <w:rPr>
                <w:sz w:val="21"/>
              </w:rPr>
            </w:pPr>
          </w:p>
        </w:tc>
        <w:tc>
          <w:tcPr>
            <w:tcW w:w="366" w:type="dxa"/>
            <w:vAlign w:val="center"/>
          </w:tcPr>
          <w:p w14:paraId="3F5CB465">
            <w:pPr>
              <w:pStyle w:val="24"/>
              <w:snapToGrid/>
              <w:spacing w:before="0" w:beforeAutospacing="0" w:after="0" w:afterAutospacing="0" w:line="420" w:lineRule="atLeast"/>
              <w:jc w:val="center"/>
              <w:rPr>
                <w:sz w:val="21"/>
              </w:rPr>
            </w:pPr>
          </w:p>
        </w:tc>
        <w:tc>
          <w:tcPr>
            <w:tcW w:w="366" w:type="dxa"/>
            <w:vAlign w:val="center"/>
          </w:tcPr>
          <w:p w14:paraId="17B59785">
            <w:pPr>
              <w:pStyle w:val="24"/>
              <w:snapToGrid/>
              <w:spacing w:before="0" w:beforeAutospacing="0" w:after="0" w:afterAutospacing="0" w:line="420" w:lineRule="atLeast"/>
              <w:jc w:val="center"/>
              <w:rPr>
                <w:sz w:val="21"/>
              </w:rPr>
            </w:pPr>
          </w:p>
        </w:tc>
        <w:tc>
          <w:tcPr>
            <w:tcW w:w="366" w:type="dxa"/>
            <w:vAlign w:val="center"/>
          </w:tcPr>
          <w:p w14:paraId="4F2991F5">
            <w:pPr>
              <w:pStyle w:val="24"/>
              <w:snapToGrid/>
              <w:spacing w:before="0" w:beforeAutospacing="0" w:after="0" w:afterAutospacing="0" w:line="420" w:lineRule="atLeast"/>
              <w:jc w:val="center"/>
              <w:rPr>
                <w:sz w:val="21"/>
              </w:rPr>
            </w:pPr>
          </w:p>
        </w:tc>
        <w:tc>
          <w:tcPr>
            <w:tcW w:w="516" w:type="dxa"/>
            <w:vAlign w:val="center"/>
          </w:tcPr>
          <w:p w14:paraId="2A641198">
            <w:pPr>
              <w:pStyle w:val="24"/>
              <w:snapToGrid/>
              <w:spacing w:before="0" w:beforeAutospacing="0" w:after="0" w:afterAutospacing="0" w:line="420" w:lineRule="atLeast"/>
              <w:jc w:val="center"/>
              <w:rPr>
                <w:sz w:val="21"/>
              </w:rPr>
            </w:pPr>
          </w:p>
        </w:tc>
        <w:tc>
          <w:tcPr>
            <w:tcW w:w="366" w:type="dxa"/>
            <w:vAlign w:val="center"/>
          </w:tcPr>
          <w:p w14:paraId="6B4DE460">
            <w:pPr>
              <w:pStyle w:val="24"/>
              <w:snapToGrid/>
              <w:spacing w:before="0" w:beforeAutospacing="0" w:after="0" w:afterAutospacing="0" w:line="420" w:lineRule="atLeast"/>
              <w:jc w:val="center"/>
              <w:rPr>
                <w:sz w:val="21"/>
              </w:rPr>
            </w:pPr>
          </w:p>
        </w:tc>
        <w:tc>
          <w:tcPr>
            <w:tcW w:w="366" w:type="dxa"/>
            <w:vAlign w:val="center"/>
          </w:tcPr>
          <w:p w14:paraId="43A97A7F">
            <w:pPr>
              <w:pStyle w:val="24"/>
              <w:snapToGrid/>
              <w:spacing w:before="0" w:beforeAutospacing="0" w:after="0" w:afterAutospacing="0" w:line="420" w:lineRule="atLeast"/>
              <w:jc w:val="center"/>
              <w:rPr>
                <w:sz w:val="21"/>
              </w:rPr>
            </w:pPr>
          </w:p>
        </w:tc>
        <w:tc>
          <w:tcPr>
            <w:tcW w:w="516" w:type="dxa"/>
            <w:vAlign w:val="center"/>
          </w:tcPr>
          <w:p w14:paraId="56D4D5A0">
            <w:pPr>
              <w:pStyle w:val="24"/>
              <w:snapToGrid/>
              <w:spacing w:before="0" w:beforeAutospacing="0" w:after="0" w:afterAutospacing="0" w:line="420" w:lineRule="atLeast"/>
              <w:jc w:val="center"/>
              <w:rPr>
                <w:sz w:val="21"/>
              </w:rPr>
            </w:pPr>
          </w:p>
        </w:tc>
        <w:tc>
          <w:tcPr>
            <w:tcW w:w="366" w:type="dxa"/>
            <w:vAlign w:val="center"/>
          </w:tcPr>
          <w:p w14:paraId="1C13E349">
            <w:pPr>
              <w:pStyle w:val="24"/>
              <w:snapToGrid/>
              <w:spacing w:before="0" w:beforeAutospacing="0" w:after="0" w:afterAutospacing="0" w:line="420" w:lineRule="atLeast"/>
              <w:jc w:val="center"/>
              <w:rPr>
                <w:sz w:val="21"/>
              </w:rPr>
            </w:pPr>
          </w:p>
        </w:tc>
        <w:tc>
          <w:tcPr>
            <w:tcW w:w="516" w:type="dxa"/>
            <w:vAlign w:val="center"/>
          </w:tcPr>
          <w:p w14:paraId="3BA493FE">
            <w:pPr>
              <w:pStyle w:val="24"/>
              <w:snapToGrid/>
              <w:spacing w:before="0" w:beforeAutospacing="0" w:after="0" w:afterAutospacing="0" w:line="420" w:lineRule="atLeast"/>
              <w:jc w:val="center"/>
              <w:rPr>
                <w:sz w:val="21"/>
              </w:rPr>
            </w:pPr>
          </w:p>
        </w:tc>
        <w:tc>
          <w:tcPr>
            <w:tcW w:w="366" w:type="dxa"/>
            <w:vAlign w:val="center"/>
          </w:tcPr>
          <w:p w14:paraId="031D43F2">
            <w:pPr>
              <w:pStyle w:val="24"/>
              <w:snapToGrid/>
              <w:spacing w:before="0" w:beforeAutospacing="0" w:after="0" w:afterAutospacing="0" w:line="420" w:lineRule="atLeast"/>
              <w:jc w:val="center"/>
              <w:rPr>
                <w:sz w:val="21"/>
              </w:rPr>
            </w:pPr>
          </w:p>
        </w:tc>
        <w:tc>
          <w:tcPr>
            <w:tcW w:w="666" w:type="dxa"/>
            <w:vAlign w:val="center"/>
          </w:tcPr>
          <w:p w14:paraId="45EEF7C2">
            <w:pPr>
              <w:pStyle w:val="24"/>
              <w:snapToGrid/>
              <w:spacing w:before="0" w:beforeAutospacing="0" w:after="0" w:afterAutospacing="0" w:line="420" w:lineRule="atLeast"/>
              <w:jc w:val="center"/>
              <w:rPr>
                <w:sz w:val="21"/>
              </w:rPr>
            </w:pPr>
          </w:p>
        </w:tc>
        <w:tc>
          <w:tcPr>
            <w:tcW w:w="516" w:type="dxa"/>
            <w:vAlign w:val="center"/>
          </w:tcPr>
          <w:p w14:paraId="44229C58">
            <w:pPr>
              <w:pStyle w:val="24"/>
              <w:snapToGrid/>
              <w:spacing w:before="0" w:beforeAutospacing="0" w:after="0" w:afterAutospacing="0" w:line="420" w:lineRule="atLeast"/>
              <w:jc w:val="center"/>
              <w:rPr>
                <w:sz w:val="21"/>
              </w:rPr>
            </w:pPr>
          </w:p>
        </w:tc>
        <w:tc>
          <w:tcPr>
            <w:tcW w:w="366" w:type="dxa"/>
            <w:vAlign w:val="center"/>
          </w:tcPr>
          <w:p w14:paraId="2D82C5A5">
            <w:pPr>
              <w:pStyle w:val="24"/>
              <w:snapToGrid/>
              <w:spacing w:before="0" w:beforeAutospacing="0" w:after="0" w:afterAutospacing="0" w:line="420" w:lineRule="atLeast"/>
              <w:jc w:val="center"/>
              <w:rPr>
                <w:sz w:val="21"/>
              </w:rPr>
            </w:pPr>
          </w:p>
        </w:tc>
        <w:tc>
          <w:tcPr>
            <w:tcW w:w="366" w:type="dxa"/>
            <w:vAlign w:val="center"/>
          </w:tcPr>
          <w:p w14:paraId="0F3C48E4">
            <w:pPr>
              <w:pStyle w:val="24"/>
              <w:snapToGrid/>
              <w:spacing w:before="0" w:beforeAutospacing="0" w:after="0" w:afterAutospacing="0" w:line="420" w:lineRule="atLeast"/>
              <w:jc w:val="center"/>
              <w:rPr>
                <w:sz w:val="21"/>
              </w:rPr>
            </w:pPr>
          </w:p>
        </w:tc>
        <w:tc>
          <w:tcPr>
            <w:tcW w:w="516" w:type="dxa"/>
            <w:vAlign w:val="center"/>
          </w:tcPr>
          <w:p w14:paraId="0B8B0FA3">
            <w:pPr>
              <w:pStyle w:val="24"/>
              <w:snapToGrid/>
              <w:spacing w:before="0" w:beforeAutospacing="0" w:after="0" w:afterAutospacing="0" w:line="420" w:lineRule="atLeast"/>
              <w:jc w:val="center"/>
              <w:rPr>
                <w:sz w:val="21"/>
              </w:rPr>
            </w:pPr>
          </w:p>
        </w:tc>
        <w:tc>
          <w:tcPr>
            <w:tcW w:w="366" w:type="dxa"/>
            <w:vAlign w:val="center"/>
          </w:tcPr>
          <w:p w14:paraId="3783F9A1">
            <w:pPr>
              <w:pStyle w:val="24"/>
              <w:snapToGrid/>
              <w:spacing w:before="0" w:beforeAutospacing="0" w:after="0" w:afterAutospacing="0" w:line="420" w:lineRule="atLeast"/>
              <w:jc w:val="center"/>
              <w:rPr>
                <w:sz w:val="21"/>
              </w:rPr>
            </w:pPr>
          </w:p>
        </w:tc>
        <w:tc>
          <w:tcPr>
            <w:tcW w:w="221" w:type="dxa"/>
            <w:vAlign w:val="center"/>
          </w:tcPr>
          <w:p w14:paraId="51BF781A">
            <w:pPr>
              <w:pStyle w:val="24"/>
              <w:snapToGrid/>
              <w:spacing w:before="0" w:beforeAutospacing="0" w:after="0" w:afterAutospacing="0" w:line="420" w:lineRule="atLeast"/>
              <w:jc w:val="center"/>
              <w:rPr>
                <w:sz w:val="21"/>
              </w:rPr>
            </w:pPr>
          </w:p>
        </w:tc>
        <w:tc>
          <w:tcPr>
            <w:tcW w:w="221" w:type="dxa"/>
            <w:vAlign w:val="center"/>
          </w:tcPr>
          <w:p w14:paraId="494CDF10">
            <w:pPr>
              <w:pStyle w:val="24"/>
              <w:snapToGrid/>
              <w:spacing w:before="0" w:beforeAutospacing="0" w:after="0" w:afterAutospacing="0" w:line="420" w:lineRule="atLeast"/>
              <w:jc w:val="center"/>
              <w:rPr>
                <w:sz w:val="21"/>
              </w:rPr>
            </w:pPr>
          </w:p>
        </w:tc>
        <w:tc>
          <w:tcPr>
            <w:tcW w:w="221" w:type="dxa"/>
            <w:vAlign w:val="center"/>
          </w:tcPr>
          <w:p w14:paraId="7BAA378B">
            <w:pPr>
              <w:pStyle w:val="24"/>
              <w:snapToGrid/>
              <w:spacing w:before="0" w:beforeAutospacing="0" w:after="0" w:afterAutospacing="0" w:line="420" w:lineRule="atLeast"/>
              <w:jc w:val="center"/>
              <w:rPr>
                <w:sz w:val="21"/>
              </w:rPr>
            </w:pPr>
          </w:p>
        </w:tc>
        <w:tc>
          <w:tcPr>
            <w:tcW w:w="221" w:type="dxa"/>
            <w:vAlign w:val="center"/>
          </w:tcPr>
          <w:p w14:paraId="73CFF672">
            <w:pPr>
              <w:pStyle w:val="24"/>
              <w:snapToGrid/>
              <w:spacing w:before="0" w:beforeAutospacing="0" w:after="0" w:afterAutospacing="0" w:line="420" w:lineRule="atLeast"/>
              <w:jc w:val="center"/>
              <w:rPr>
                <w:sz w:val="21"/>
              </w:rPr>
            </w:pPr>
          </w:p>
        </w:tc>
      </w:tr>
    </w:tbl>
    <w:p w14:paraId="22E41168">
      <w:pPr>
        <w:pStyle w:val="24"/>
        <w:snapToGrid/>
        <w:spacing w:before="0" w:beforeAutospacing="0" w:after="0" w:afterAutospacing="0" w:line="420" w:lineRule="atLeast"/>
        <w:jc w:val="both"/>
        <w:rPr>
          <w:sz w:val="21"/>
        </w:rPr>
      </w:pPr>
    </w:p>
    <w:p w14:paraId="052A198B">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1DECB402">
      <w:pPr>
        <w:pStyle w:val="24"/>
        <w:spacing w:before="900" w:beforeAutospacing="0" w:after="0" w:afterAutospacing="0" w:line="420" w:lineRule="atLeast"/>
        <w:jc w:val="both"/>
        <w:rPr>
          <w:rFonts w:hint="eastAsia" w:cs="宋体"/>
          <w:sz w:val="28"/>
          <w:szCs w:val="28"/>
        </w:rPr>
      </w:pPr>
    </w:p>
    <w:p w14:paraId="0749CB5F">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3</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7438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71C87B88">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2EFC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403B8994">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570B8C8E">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055F3807">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5D9B2F84">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6399E8E1">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1BC44884">
            <w:pPr>
              <w:pStyle w:val="24"/>
              <w:snapToGrid/>
              <w:spacing w:before="0" w:beforeAutospacing="0" w:after="0" w:afterAutospacing="0" w:line="420" w:lineRule="atLeast"/>
              <w:jc w:val="center"/>
              <w:rPr>
                <w:sz w:val="21"/>
              </w:rPr>
            </w:pPr>
            <w:r>
              <w:rPr>
                <w:rFonts w:hint="eastAsia"/>
                <w:sz w:val="21"/>
              </w:rPr>
              <w:t>单设备非国产芯片数量（颗）</w:t>
            </w:r>
          </w:p>
        </w:tc>
      </w:tr>
      <w:tr w14:paraId="6ECF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581DE28A">
            <w:pPr>
              <w:pStyle w:val="24"/>
              <w:snapToGrid/>
              <w:spacing w:before="0" w:beforeAutospacing="0" w:after="0" w:afterAutospacing="0" w:line="420" w:lineRule="atLeast"/>
              <w:jc w:val="center"/>
              <w:rPr>
                <w:sz w:val="21"/>
                <w:u w:val="single"/>
              </w:rPr>
            </w:pPr>
            <w:r>
              <w:rPr>
                <w:rFonts w:hint="eastAsia"/>
                <w:sz w:val="21"/>
                <w:u w:val="single"/>
              </w:rPr>
              <w:t>全流量分析系统</w:t>
            </w:r>
          </w:p>
          <w:p w14:paraId="2FF2108F">
            <w:pPr>
              <w:pStyle w:val="24"/>
              <w:snapToGrid/>
              <w:spacing w:before="0" w:beforeAutospacing="0" w:after="0" w:afterAutospacing="0" w:line="420" w:lineRule="atLeast"/>
              <w:jc w:val="center"/>
              <w:rPr>
                <w:sz w:val="21"/>
                <w:u w:val="single"/>
              </w:rPr>
            </w:pPr>
          </w:p>
        </w:tc>
        <w:tc>
          <w:tcPr>
            <w:tcW w:w="1545" w:type="dxa"/>
            <w:vAlign w:val="center"/>
          </w:tcPr>
          <w:p w14:paraId="3EF740C0">
            <w:pPr>
              <w:pStyle w:val="24"/>
              <w:snapToGrid/>
              <w:spacing w:before="0" w:beforeAutospacing="0" w:after="0" w:afterAutospacing="0" w:line="420" w:lineRule="atLeast"/>
              <w:jc w:val="center"/>
              <w:rPr>
                <w:sz w:val="21"/>
              </w:rPr>
            </w:pPr>
          </w:p>
        </w:tc>
        <w:tc>
          <w:tcPr>
            <w:tcW w:w="1420" w:type="dxa"/>
            <w:vAlign w:val="center"/>
          </w:tcPr>
          <w:p w14:paraId="346B4356">
            <w:pPr>
              <w:pStyle w:val="24"/>
              <w:snapToGrid/>
              <w:spacing w:before="0" w:beforeAutospacing="0" w:after="0" w:afterAutospacing="0" w:line="420" w:lineRule="atLeast"/>
              <w:jc w:val="center"/>
              <w:rPr>
                <w:sz w:val="21"/>
              </w:rPr>
            </w:pPr>
          </w:p>
        </w:tc>
        <w:tc>
          <w:tcPr>
            <w:tcW w:w="1420" w:type="dxa"/>
            <w:vAlign w:val="center"/>
          </w:tcPr>
          <w:p w14:paraId="427762CD">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2327E4EE">
            <w:pPr>
              <w:pStyle w:val="24"/>
              <w:snapToGrid/>
              <w:spacing w:before="0" w:beforeAutospacing="0" w:after="0" w:afterAutospacing="0" w:line="420" w:lineRule="atLeast"/>
              <w:jc w:val="center"/>
              <w:rPr>
                <w:sz w:val="21"/>
              </w:rPr>
            </w:pPr>
          </w:p>
        </w:tc>
        <w:tc>
          <w:tcPr>
            <w:tcW w:w="1421" w:type="dxa"/>
            <w:vAlign w:val="center"/>
          </w:tcPr>
          <w:p w14:paraId="5E712981">
            <w:pPr>
              <w:pStyle w:val="24"/>
              <w:snapToGrid/>
              <w:spacing w:before="0" w:beforeAutospacing="0" w:after="0" w:afterAutospacing="0" w:line="420" w:lineRule="atLeast"/>
              <w:jc w:val="center"/>
              <w:rPr>
                <w:sz w:val="21"/>
              </w:rPr>
            </w:pPr>
          </w:p>
        </w:tc>
      </w:tr>
      <w:tr w14:paraId="0D30D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0E6650C8">
            <w:pPr>
              <w:pStyle w:val="24"/>
              <w:snapToGrid/>
              <w:spacing w:before="0" w:beforeAutospacing="0" w:after="0" w:afterAutospacing="0" w:line="420" w:lineRule="atLeast"/>
              <w:jc w:val="center"/>
              <w:rPr>
                <w:sz w:val="21"/>
              </w:rPr>
            </w:pPr>
          </w:p>
        </w:tc>
        <w:tc>
          <w:tcPr>
            <w:tcW w:w="1545" w:type="dxa"/>
            <w:vAlign w:val="center"/>
          </w:tcPr>
          <w:p w14:paraId="6B3B2ADB">
            <w:pPr>
              <w:pStyle w:val="24"/>
              <w:snapToGrid/>
              <w:spacing w:before="0" w:beforeAutospacing="0" w:after="0" w:afterAutospacing="0" w:line="420" w:lineRule="atLeast"/>
              <w:jc w:val="center"/>
              <w:rPr>
                <w:sz w:val="21"/>
              </w:rPr>
            </w:pPr>
          </w:p>
        </w:tc>
        <w:tc>
          <w:tcPr>
            <w:tcW w:w="1420" w:type="dxa"/>
            <w:vAlign w:val="center"/>
          </w:tcPr>
          <w:p w14:paraId="484D0027">
            <w:pPr>
              <w:pStyle w:val="24"/>
              <w:snapToGrid/>
              <w:spacing w:before="0" w:beforeAutospacing="0" w:after="0" w:afterAutospacing="0" w:line="420" w:lineRule="atLeast"/>
              <w:jc w:val="center"/>
              <w:rPr>
                <w:sz w:val="21"/>
              </w:rPr>
            </w:pPr>
          </w:p>
        </w:tc>
        <w:tc>
          <w:tcPr>
            <w:tcW w:w="1420" w:type="dxa"/>
            <w:vAlign w:val="center"/>
          </w:tcPr>
          <w:p w14:paraId="65FC71D6">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603B566C">
            <w:pPr>
              <w:pStyle w:val="24"/>
              <w:snapToGrid/>
              <w:spacing w:before="0" w:beforeAutospacing="0" w:after="0" w:afterAutospacing="0" w:line="420" w:lineRule="atLeast"/>
              <w:jc w:val="center"/>
              <w:rPr>
                <w:sz w:val="21"/>
              </w:rPr>
            </w:pPr>
          </w:p>
        </w:tc>
        <w:tc>
          <w:tcPr>
            <w:tcW w:w="1421" w:type="dxa"/>
            <w:vAlign w:val="center"/>
          </w:tcPr>
          <w:p w14:paraId="458E5B0F">
            <w:pPr>
              <w:pStyle w:val="24"/>
              <w:snapToGrid/>
              <w:spacing w:before="0" w:beforeAutospacing="0" w:after="0" w:afterAutospacing="0" w:line="420" w:lineRule="atLeast"/>
              <w:jc w:val="center"/>
              <w:rPr>
                <w:sz w:val="21"/>
              </w:rPr>
            </w:pPr>
          </w:p>
        </w:tc>
      </w:tr>
      <w:tr w14:paraId="7189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05A26366">
            <w:pPr>
              <w:pStyle w:val="24"/>
              <w:snapToGrid/>
              <w:spacing w:before="0" w:beforeAutospacing="0" w:after="0" w:afterAutospacing="0" w:line="420" w:lineRule="atLeast"/>
              <w:jc w:val="center"/>
              <w:rPr>
                <w:sz w:val="21"/>
              </w:rPr>
            </w:pPr>
          </w:p>
        </w:tc>
        <w:tc>
          <w:tcPr>
            <w:tcW w:w="1545" w:type="dxa"/>
            <w:vAlign w:val="center"/>
          </w:tcPr>
          <w:p w14:paraId="33E8439D">
            <w:pPr>
              <w:pStyle w:val="24"/>
              <w:snapToGrid/>
              <w:spacing w:before="0" w:beforeAutospacing="0" w:after="0" w:afterAutospacing="0" w:line="420" w:lineRule="atLeast"/>
              <w:jc w:val="center"/>
              <w:rPr>
                <w:sz w:val="21"/>
              </w:rPr>
            </w:pPr>
          </w:p>
        </w:tc>
        <w:tc>
          <w:tcPr>
            <w:tcW w:w="1420" w:type="dxa"/>
            <w:vAlign w:val="center"/>
          </w:tcPr>
          <w:p w14:paraId="709888C6">
            <w:pPr>
              <w:pStyle w:val="24"/>
              <w:snapToGrid/>
              <w:spacing w:before="0" w:beforeAutospacing="0" w:after="0" w:afterAutospacing="0" w:line="420" w:lineRule="atLeast"/>
              <w:jc w:val="center"/>
              <w:rPr>
                <w:sz w:val="21"/>
              </w:rPr>
            </w:pPr>
          </w:p>
        </w:tc>
        <w:tc>
          <w:tcPr>
            <w:tcW w:w="1420" w:type="dxa"/>
            <w:vAlign w:val="center"/>
          </w:tcPr>
          <w:p w14:paraId="53D20F83">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4AC8B953">
            <w:pPr>
              <w:pStyle w:val="24"/>
              <w:snapToGrid/>
              <w:spacing w:before="0" w:beforeAutospacing="0" w:after="0" w:afterAutospacing="0" w:line="420" w:lineRule="atLeast"/>
              <w:jc w:val="center"/>
              <w:rPr>
                <w:sz w:val="21"/>
              </w:rPr>
            </w:pPr>
          </w:p>
        </w:tc>
        <w:tc>
          <w:tcPr>
            <w:tcW w:w="1421" w:type="dxa"/>
            <w:vAlign w:val="center"/>
          </w:tcPr>
          <w:p w14:paraId="5EF4086D">
            <w:pPr>
              <w:pStyle w:val="24"/>
              <w:snapToGrid/>
              <w:spacing w:before="0" w:beforeAutospacing="0" w:after="0" w:afterAutospacing="0" w:line="420" w:lineRule="atLeast"/>
              <w:jc w:val="center"/>
              <w:rPr>
                <w:sz w:val="21"/>
              </w:rPr>
            </w:pPr>
          </w:p>
        </w:tc>
      </w:tr>
      <w:tr w14:paraId="42BF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52F07CE2">
            <w:pPr>
              <w:pStyle w:val="24"/>
              <w:snapToGrid/>
              <w:spacing w:before="0" w:beforeAutospacing="0" w:after="0" w:afterAutospacing="0" w:line="420" w:lineRule="atLeast"/>
              <w:jc w:val="center"/>
              <w:rPr>
                <w:sz w:val="21"/>
              </w:rPr>
            </w:pPr>
          </w:p>
        </w:tc>
        <w:tc>
          <w:tcPr>
            <w:tcW w:w="1545" w:type="dxa"/>
            <w:vAlign w:val="center"/>
          </w:tcPr>
          <w:p w14:paraId="2FF9A6E7">
            <w:pPr>
              <w:pStyle w:val="24"/>
              <w:snapToGrid/>
              <w:spacing w:before="0" w:beforeAutospacing="0" w:after="0" w:afterAutospacing="0" w:line="420" w:lineRule="atLeast"/>
              <w:jc w:val="center"/>
              <w:rPr>
                <w:sz w:val="21"/>
              </w:rPr>
            </w:pPr>
          </w:p>
        </w:tc>
        <w:tc>
          <w:tcPr>
            <w:tcW w:w="1420" w:type="dxa"/>
            <w:vAlign w:val="center"/>
          </w:tcPr>
          <w:p w14:paraId="68D8EB9C">
            <w:pPr>
              <w:pStyle w:val="24"/>
              <w:snapToGrid/>
              <w:spacing w:before="0" w:beforeAutospacing="0" w:after="0" w:afterAutospacing="0" w:line="420" w:lineRule="atLeast"/>
              <w:jc w:val="center"/>
              <w:rPr>
                <w:sz w:val="21"/>
              </w:rPr>
            </w:pPr>
          </w:p>
        </w:tc>
        <w:tc>
          <w:tcPr>
            <w:tcW w:w="1420" w:type="dxa"/>
            <w:vAlign w:val="center"/>
          </w:tcPr>
          <w:p w14:paraId="0704A353">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6935F91B">
            <w:pPr>
              <w:pStyle w:val="24"/>
              <w:snapToGrid/>
              <w:spacing w:before="0" w:beforeAutospacing="0" w:after="0" w:afterAutospacing="0" w:line="420" w:lineRule="atLeast"/>
              <w:jc w:val="center"/>
              <w:rPr>
                <w:sz w:val="21"/>
              </w:rPr>
            </w:pPr>
          </w:p>
        </w:tc>
        <w:tc>
          <w:tcPr>
            <w:tcW w:w="1421" w:type="dxa"/>
            <w:vAlign w:val="center"/>
          </w:tcPr>
          <w:p w14:paraId="414AA6C6">
            <w:pPr>
              <w:pStyle w:val="24"/>
              <w:snapToGrid/>
              <w:spacing w:before="0" w:beforeAutospacing="0" w:after="0" w:afterAutospacing="0" w:line="420" w:lineRule="atLeast"/>
              <w:jc w:val="center"/>
              <w:rPr>
                <w:sz w:val="21"/>
              </w:rPr>
            </w:pPr>
          </w:p>
        </w:tc>
      </w:tr>
      <w:tr w14:paraId="6068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1AFB4DF2">
            <w:pPr>
              <w:pStyle w:val="24"/>
              <w:snapToGrid/>
              <w:spacing w:before="0" w:beforeAutospacing="0" w:after="0" w:afterAutospacing="0" w:line="420" w:lineRule="atLeast"/>
              <w:jc w:val="center"/>
              <w:rPr>
                <w:sz w:val="21"/>
              </w:rPr>
            </w:pPr>
          </w:p>
        </w:tc>
        <w:tc>
          <w:tcPr>
            <w:tcW w:w="1545" w:type="dxa"/>
            <w:vAlign w:val="center"/>
          </w:tcPr>
          <w:p w14:paraId="4B7C1F47">
            <w:pPr>
              <w:pStyle w:val="24"/>
              <w:snapToGrid/>
              <w:spacing w:before="0" w:beforeAutospacing="0" w:after="0" w:afterAutospacing="0" w:line="420" w:lineRule="atLeast"/>
              <w:jc w:val="center"/>
              <w:rPr>
                <w:sz w:val="21"/>
              </w:rPr>
            </w:pPr>
          </w:p>
        </w:tc>
        <w:tc>
          <w:tcPr>
            <w:tcW w:w="1420" w:type="dxa"/>
            <w:vAlign w:val="center"/>
          </w:tcPr>
          <w:p w14:paraId="30C7224C">
            <w:pPr>
              <w:pStyle w:val="24"/>
              <w:snapToGrid/>
              <w:spacing w:before="0" w:beforeAutospacing="0" w:after="0" w:afterAutospacing="0" w:line="420" w:lineRule="atLeast"/>
              <w:jc w:val="center"/>
              <w:rPr>
                <w:sz w:val="21"/>
              </w:rPr>
            </w:pPr>
          </w:p>
        </w:tc>
        <w:tc>
          <w:tcPr>
            <w:tcW w:w="1420" w:type="dxa"/>
            <w:vAlign w:val="center"/>
          </w:tcPr>
          <w:p w14:paraId="5A98EA31">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7CAA9120">
            <w:pPr>
              <w:pStyle w:val="24"/>
              <w:snapToGrid/>
              <w:spacing w:before="0" w:beforeAutospacing="0" w:after="0" w:afterAutospacing="0" w:line="420" w:lineRule="atLeast"/>
              <w:jc w:val="center"/>
              <w:rPr>
                <w:sz w:val="21"/>
              </w:rPr>
            </w:pPr>
          </w:p>
        </w:tc>
        <w:tc>
          <w:tcPr>
            <w:tcW w:w="1421" w:type="dxa"/>
            <w:vAlign w:val="center"/>
          </w:tcPr>
          <w:p w14:paraId="55D53399">
            <w:pPr>
              <w:pStyle w:val="24"/>
              <w:snapToGrid/>
              <w:spacing w:before="0" w:beforeAutospacing="0" w:after="0" w:afterAutospacing="0" w:line="420" w:lineRule="atLeast"/>
              <w:jc w:val="center"/>
              <w:rPr>
                <w:sz w:val="21"/>
              </w:rPr>
            </w:pPr>
          </w:p>
        </w:tc>
      </w:tr>
      <w:tr w14:paraId="1B5E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0887A6D7">
            <w:pPr>
              <w:pStyle w:val="24"/>
              <w:snapToGrid/>
              <w:spacing w:before="0" w:beforeAutospacing="0" w:after="0" w:afterAutospacing="0" w:line="420" w:lineRule="atLeast"/>
              <w:jc w:val="center"/>
              <w:rPr>
                <w:sz w:val="21"/>
              </w:rPr>
            </w:pPr>
          </w:p>
        </w:tc>
        <w:tc>
          <w:tcPr>
            <w:tcW w:w="1545" w:type="dxa"/>
            <w:vAlign w:val="center"/>
          </w:tcPr>
          <w:p w14:paraId="3BD55D28">
            <w:pPr>
              <w:pStyle w:val="24"/>
              <w:snapToGrid/>
              <w:spacing w:before="0" w:beforeAutospacing="0" w:after="0" w:afterAutospacing="0" w:line="420" w:lineRule="atLeast"/>
              <w:jc w:val="center"/>
              <w:rPr>
                <w:sz w:val="21"/>
              </w:rPr>
            </w:pPr>
          </w:p>
        </w:tc>
        <w:tc>
          <w:tcPr>
            <w:tcW w:w="1420" w:type="dxa"/>
            <w:vAlign w:val="center"/>
          </w:tcPr>
          <w:p w14:paraId="1290AF6F">
            <w:pPr>
              <w:pStyle w:val="24"/>
              <w:snapToGrid/>
              <w:spacing w:before="0" w:beforeAutospacing="0" w:after="0" w:afterAutospacing="0" w:line="420" w:lineRule="atLeast"/>
              <w:jc w:val="center"/>
              <w:rPr>
                <w:sz w:val="21"/>
              </w:rPr>
            </w:pPr>
          </w:p>
        </w:tc>
        <w:tc>
          <w:tcPr>
            <w:tcW w:w="1420" w:type="dxa"/>
            <w:vAlign w:val="center"/>
          </w:tcPr>
          <w:p w14:paraId="3766D36B">
            <w:pPr>
              <w:widowControl/>
              <w:snapToGrid/>
              <w:spacing w:line="420" w:lineRule="atLeast"/>
              <w:jc w:val="center"/>
            </w:pPr>
            <w:r>
              <w:rPr>
                <w:rFonts w:hint="eastAsia"/>
              </w:rPr>
              <w:t>电源模块控制芯片</w:t>
            </w:r>
          </w:p>
        </w:tc>
        <w:tc>
          <w:tcPr>
            <w:tcW w:w="1421" w:type="dxa"/>
            <w:vAlign w:val="center"/>
          </w:tcPr>
          <w:p w14:paraId="028FB886">
            <w:pPr>
              <w:pStyle w:val="24"/>
              <w:snapToGrid/>
              <w:spacing w:before="0" w:beforeAutospacing="0" w:after="0" w:afterAutospacing="0" w:line="420" w:lineRule="atLeast"/>
              <w:jc w:val="center"/>
              <w:rPr>
                <w:sz w:val="21"/>
              </w:rPr>
            </w:pPr>
          </w:p>
        </w:tc>
        <w:tc>
          <w:tcPr>
            <w:tcW w:w="1421" w:type="dxa"/>
            <w:vAlign w:val="center"/>
          </w:tcPr>
          <w:p w14:paraId="1C8142A1">
            <w:pPr>
              <w:pStyle w:val="24"/>
              <w:snapToGrid/>
              <w:spacing w:before="0" w:beforeAutospacing="0" w:after="0" w:afterAutospacing="0" w:line="420" w:lineRule="atLeast"/>
              <w:jc w:val="center"/>
              <w:rPr>
                <w:sz w:val="21"/>
              </w:rPr>
            </w:pPr>
          </w:p>
        </w:tc>
      </w:tr>
    </w:tbl>
    <w:p w14:paraId="62BAF237">
      <w:pPr>
        <w:pStyle w:val="24"/>
        <w:spacing w:before="900" w:beforeAutospacing="0" w:after="0" w:afterAutospacing="0" w:line="420" w:lineRule="atLeast"/>
        <w:jc w:val="both"/>
        <w:rPr>
          <w:rFonts w:cs="宋体"/>
          <w:sz w:val="28"/>
          <w:szCs w:val="28"/>
        </w:rPr>
      </w:pPr>
    </w:p>
    <w:p w14:paraId="0A8E5F98">
      <w:pPr>
        <w:pStyle w:val="24"/>
        <w:spacing w:before="900" w:beforeAutospacing="0" w:after="0" w:afterAutospacing="0" w:line="420" w:lineRule="atLeast"/>
        <w:jc w:val="both"/>
        <w:rPr>
          <w:rFonts w:cs="宋体"/>
          <w:sz w:val="28"/>
          <w:szCs w:val="28"/>
        </w:rPr>
      </w:pPr>
    </w:p>
    <w:p w14:paraId="7A22017B">
      <w:pPr>
        <w:pStyle w:val="24"/>
        <w:spacing w:before="900" w:beforeAutospacing="0" w:after="0" w:afterAutospacing="0" w:line="420" w:lineRule="atLeast"/>
        <w:jc w:val="both"/>
        <w:rPr>
          <w:rFonts w:cs="宋体"/>
          <w:sz w:val="28"/>
          <w:szCs w:val="28"/>
        </w:rPr>
      </w:pPr>
    </w:p>
    <w:p w14:paraId="4128BB63">
      <w:pPr>
        <w:pStyle w:val="24"/>
        <w:spacing w:before="900" w:beforeAutospacing="0" w:after="0" w:afterAutospacing="0" w:line="420" w:lineRule="atLeast"/>
        <w:jc w:val="both"/>
        <w:rPr>
          <w:rFonts w:cs="宋体"/>
          <w:sz w:val="28"/>
          <w:szCs w:val="28"/>
        </w:rPr>
      </w:pPr>
    </w:p>
    <w:p w14:paraId="057612AA">
      <w:pPr>
        <w:pStyle w:val="24"/>
        <w:spacing w:before="900" w:beforeAutospacing="0" w:after="0" w:afterAutospacing="0" w:line="420" w:lineRule="atLeast"/>
        <w:jc w:val="both"/>
        <w:rPr>
          <w:rFonts w:cs="宋体"/>
          <w:sz w:val="28"/>
          <w:szCs w:val="28"/>
        </w:rPr>
      </w:pPr>
    </w:p>
    <w:p w14:paraId="6CD05E9B">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4</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4DBE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0CE5F665">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01F7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6995A991">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641EA114">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119B49B2">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048A7CD2">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7DDC24A5">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1A385BE2">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6CB6BAEE">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58AD7DC5">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49DB13FC">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1041BDBC">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18ABDC32">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30C583BB">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2D6E5D6A">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491D20A5">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3FBEB3B9">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69ED3812">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3D5280C4">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7759373B">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6B512161">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1EF9F1B2">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2D56569C">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78AF43AA">
            <w:pPr>
              <w:pStyle w:val="24"/>
              <w:snapToGrid/>
              <w:spacing w:before="0" w:beforeAutospacing="0" w:after="0" w:afterAutospacing="0" w:line="420" w:lineRule="atLeast"/>
              <w:jc w:val="center"/>
              <w:rPr>
                <w:sz w:val="21"/>
              </w:rPr>
            </w:pPr>
            <w:r>
              <w:rPr>
                <w:rFonts w:hint="eastAsia"/>
                <w:sz w:val="21"/>
              </w:rPr>
              <w:t>境内/境外</w:t>
            </w:r>
          </w:p>
        </w:tc>
      </w:tr>
      <w:tr w14:paraId="7305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626E8B31">
            <w:pPr>
              <w:pStyle w:val="24"/>
              <w:snapToGrid/>
              <w:spacing w:before="0" w:beforeAutospacing="0" w:after="0" w:afterAutospacing="0" w:line="420" w:lineRule="atLeast"/>
              <w:jc w:val="center"/>
              <w:rPr>
                <w:sz w:val="21"/>
              </w:rPr>
            </w:pPr>
          </w:p>
        </w:tc>
        <w:tc>
          <w:tcPr>
            <w:tcW w:w="366" w:type="dxa"/>
            <w:vAlign w:val="center"/>
          </w:tcPr>
          <w:p w14:paraId="342B9EAC">
            <w:pPr>
              <w:pStyle w:val="24"/>
              <w:snapToGrid/>
              <w:spacing w:before="0" w:beforeAutospacing="0" w:after="0" w:afterAutospacing="0" w:line="420" w:lineRule="atLeast"/>
              <w:jc w:val="center"/>
              <w:rPr>
                <w:sz w:val="21"/>
              </w:rPr>
            </w:pPr>
          </w:p>
        </w:tc>
        <w:tc>
          <w:tcPr>
            <w:tcW w:w="366" w:type="dxa"/>
            <w:vAlign w:val="center"/>
          </w:tcPr>
          <w:p w14:paraId="6522A5E7">
            <w:pPr>
              <w:pStyle w:val="24"/>
              <w:snapToGrid/>
              <w:spacing w:before="0" w:beforeAutospacing="0" w:after="0" w:afterAutospacing="0" w:line="420" w:lineRule="atLeast"/>
              <w:jc w:val="center"/>
              <w:rPr>
                <w:sz w:val="21"/>
              </w:rPr>
            </w:pPr>
          </w:p>
        </w:tc>
        <w:tc>
          <w:tcPr>
            <w:tcW w:w="366" w:type="dxa"/>
            <w:vAlign w:val="center"/>
          </w:tcPr>
          <w:p w14:paraId="53050127">
            <w:pPr>
              <w:pStyle w:val="24"/>
              <w:snapToGrid/>
              <w:spacing w:before="0" w:beforeAutospacing="0" w:after="0" w:afterAutospacing="0" w:line="420" w:lineRule="atLeast"/>
              <w:jc w:val="center"/>
              <w:rPr>
                <w:sz w:val="21"/>
              </w:rPr>
            </w:pPr>
          </w:p>
        </w:tc>
        <w:tc>
          <w:tcPr>
            <w:tcW w:w="366" w:type="dxa"/>
            <w:vAlign w:val="center"/>
          </w:tcPr>
          <w:p w14:paraId="65DD1EC3">
            <w:pPr>
              <w:pStyle w:val="24"/>
              <w:snapToGrid/>
              <w:spacing w:before="0" w:beforeAutospacing="0" w:after="0" w:afterAutospacing="0" w:line="420" w:lineRule="atLeast"/>
              <w:jc w:val="center"/>
              <w:rPr>
                <w:sz w:val="21"/>
              </w:rPr>
            </w:pPr>
          </w:p>
        </w:tc>
        <w:tc>
          <w:tcPr>
            <w:tcW w:w="516" w:type="dxa"/>
            <w:vAlign w:val="center"/>
          </w:tcPr>
          <w:p w14:paraId="20682613">
            <w:pPr>
              <w:pStyle w:val="24"/>
              <w:snapToGrid/>
              <w:spacing w:before="0" w:beforeAutospacing="0" w:after="0" w:afterAutospacing="0" w:line="420" w:lineRule="atLeast"/>
              <w:jc w:val="center"/>
              <w:rPr>
                <w:sz w:val="21"/>
              </w:rPr>
            </w:pPr>
          </w:p>
        </w:tc>
        <w:tc>
          <w:tcPr>
            <w:tcW w:w="366" w:type="dxa"/>
            <w:vAlign w:val="center"/>
          </w:tcPr>
          <w:p w14:paraId="364B8DD5">
            <w:pPr>
              <w:pStyle w:val="24"/>
              <w:snapToGrid/>
              <w:spacing w:before="0" w:beforeAutospacing="0" w:after="0" w:afterAutospacing="0" w:line="420" w:lineRule="atLeast"/>
              <w:jc w:val="center"/>
              <w:rPr>
                <w:sz w:val="21"/>
              </w:rPr>
            </w:pPr>
          </w:p>
        </w:tc>
        <w:tc>
          <w:tcPr>
            <w:tcW w:w="366" w:type="dxa"/>
            <w:vAlign w:val="center"/>
          </w:tcPr>
          <w:p w14:paraId="3DB80BA2">
            <w:pPr>
              <w:pStyle w:val="24"/>
              <w:snapToGrid/>
              <w:spacing w:before="0" w:beforeAutospacing="0" w:after="0" w:afterAutospacing="0" w:line="420" w:lineRule="atLeast"/>
              <w:jc w:val="center"/>
              <w:rPr>
                <w:sz w:val="21"/>
              </w:rPr>
            </w:pPr>
          </w:p>
        </w:tc>
        <w:tc>
          <w:tcPr>
            <w:tcW w:w="516" w:type="dxa"/>
            <w:vAlign w:val="center"/>
          </w:tcPr>
          <w:p w14:paraId="2DD36FC5">
            <w:pPr>
              <w:pStyle w:val="24"/>
              <w:snapToGrid/>
              <w:spacing w:before="0" w:beforeAutospacing="0" w:after="0" w:afterAutospacing="0" w:line="420" w:lineRule="atLeast"/>
              <w:jc w:val="center"/>
              <w:rPr>
                <w:sz w:val="21"/>
              </w:rPr>
            </w:pPr>
          </w:p>
        </w:tc>
        <w:tc>
          <w:tcPr>
            <w:tcW w:w="366" w:type="dxa"/>
            <w:vAlign w:val="center"/>
          </w:tcPr>
          <w:p w14:paraId="1338612F">
            <w:pPr>
              <w:pStyle w:val="24"/>
              <w:snapToGrid/>
              <w:spacing w:before="0" w:beforeAutospacing="0" w:after="0" w:afterAutospacing="0" w:line="420" w:lineRule="atLeast"/>
              <w:jc w:val="center"/>
              <w:rPr>
                <w:sz w:val="21"/>
              </w:rPr>
            </w:pPr>
          </w:p>
        </w:tc>
        <w:tc>
          <w:tcPr>
            <w:tcW w:w="516" w:type="dxa"/>
            <w:vAlign w:val="center"/>
          </w:tcPr>
          <w:p w14:paraId="09A94333">
            <w:pPr>
              <w:pStyle w:val="24"/>
              <w:snapToGrid/>
              <w:spacing w:before="0" w:beforeAutospacing="0" w:after="0" w:afterAutospacing="0" w:line="420" w:lineRule="atLeast"/>
              <w:jc w:val="center"/>
              <w:rPr>
                <w:sz w:val="21"/>
              </w:rPr>
            </w:pPr>
          </w:p>
        </w:tc>
        <w:tc>
          <w:tcPr>
            <w:tcW w:w="366" w:type="dxa"/>
            <w:vAlign w:val="center"/>
          </w:tcPr>
          <w:p w14:paraId="54C19D77">
            <w:pPr>
              <w:pStyle w:val="24"/>
              <w:snapToGrid/>
              <w:spacing w:before="0" w:beforeAutospacing="0" w:after="0" w:afterAutospacing="0" w:line="420" w:lineRule="atLeast"/>
              <w:jc w:val="center"/>
              <w:rPr>
                <w:sz w:val="21"/>
              </w:rPr>
            </w:pPr>
          </w:p>
        </w:tc>
        <w:tc>
          <w:tcPr>
            <w:tcW w:w="666" w:type="dxa"/>
            <w:vAlign w:val="center"/>
          </w:tcPr>
          <w:p w14:paraId="0DD86D60">
            <w:pPr>
              <w:pStyle w:val="24"/>
              <w:snapToGrid/>
              <w:spacing w:before="0" w:beforeAutospacing="0" w:after="0" w:afterAutospacing="0" w:line="420" w:lineRule="atLeast"/>
              <w:jc w:val="center"/>
              <w:rPr>
                <w:sz w:val="21"/>
              </w:rPr>
            </w:pPr>
          </w:p>
        </w:tc>
        <w:tc>
          <w:tcPr>
            <w:tcW w:w="516" w:type="dxa"/>
            <w:vAlign w:val="center"/>
          </w:tcPr>
          <w:p w14:paraId="3B14D7A9">
            <w:pPr>
              <w:pStyle w:val="24"/>
              <w:snapToGrid/>
              <w:spacing w:before="0" w:beforeAutospacing="0" w:after="0" w:afterAutospacing="0" w:line="420" w:lineRule="atLeast"/>
              <w:jc w:val="center"/>
              <w:rPr>
                <w:sz w:val="21"/>
              </w:rPr>
            </w:pPr>
          </w:p>
        </w:tc>
        <w:tc>
          <w:tcPr>
            <w:tcW w:w="366" w:type="dxa"/>
            <w:vAlign w:val="center"/>
          </w:tcPr>
          <w:p w14:paraId="146FD7CC">
            <w:pPr>
              <w:pStyle w:val="24"/>
              <w:snapToGrid/>
              <w:spacing w:before="0" w:beforeAutospacing="0" w:after="0" w:afterAutospacing="0" w:line="420" w:lineRule="atLeast"/>
              <w:jc w:val="center"/>
              <w:rPr>
                <w:sz w:val="21"/>
              </w:rPr>
            </w:pPr>
          </w:p>
        </w:tc>
        <w:tc>
          <w:tcPr>
            <w:tcW w:w="366" w:type="dxa"/>
            <w:vAlign w:val="center"/>
          </w:tcPr>
          <w:p w14:paraId="379BF841">
            <w:pPr>
              <w:pStyle w:val="24"/>
              <w:snapToGrid/>
              <w:spacing w:before="0" w:beforeAutospacing="0" w:after="0" w:afterAutospacing="0" w:line="420" w:lineRule="atLeast"/>
              <w:jc w:val="center"/>
              <w:rPr>
                <w:sz w:val="21"/>
              </w:rPr>
            </w:pPr>
          </w:p>
        </w:tc>
        <w:tc>
          <w:tcPr>
            <w:tcW w:w="516" w:type="dxa"/>
            <w:vAlign w:val="center"/>
          </w:tcPr>
          <w:p w14:paraId="0B4947A8">
            <w:pPr>
              <w:pStyle w:val="24"/>
              <w:snapToGrid/>
              <w:spacing w:before="0" w:beforeAutospacing="0" w:after="0" w:afterAutospacing="0" w:line="420" w:lineRule="atLeast"/>
              <w:jc w:val="center"/>
              <w:rPr>
                <w:sz w:val="21"/>
              </w:rPr>
            </w:pPr>
          </w:p>
        </w:tc>
        <w:tc>
          <w:tcPr>
            <w:tcW w:w="366" w:type="dxa"/>
            <w:vAlign w:val="center"/>
          </w:tcPr>
          <w:p w14:paraId="3BB4EA9E">
            <w:pPr>
              <w:pStyle w:val="24"/>
              <w:snapToGrid/>
              <w:spacing w:before="0" w:beforeAutospacing="0" w:after="0" w:afterAutospacing="0" w:line="420" w:lineRule="atLeast"/>
              <w:jc w:val="center"/>
              <w:rPr>
                <w:sz w:val="21"/>
              </w:rPr>
            </w:pPr>
          </w:p>
        </w:tc>
        <w:tc>
          <w:tcPr>
            <w:tcW w:w="221" w:type="dxa"/>
            <w:vAlign w:val="center"/>
          </w:tcPr>
          <w:p w14:paraId="705B3753">
            <w:pPr>
              <w:pStyle w:val="24"/>
              <w:snapToGrid/>
              <w:spacing w:before="0" w:beforeAutospacing="0" w:after="0" w:afterAutospacing="0" w:line="420" w:lineRule="atLeast"/>
              <w:jc w:val="center"/>
              <w:rPr>
                <w:sz w:val="21"/>
              </w:rPr>
            </w:pPr>
          </w:p>
        </w:tc>
        <w:tc>
          <w:tcPr>
            <w:tcW w:w="221" w:type="dxa"/>
            <w:vAlign w:val="center"/>
          </w:tcPr>
          <w:p w14:paraId="4EE9142E">
            <w:pPr>
              <w:pStyle w:val="24"/>
              <w:snapToGrid/>
              <w:spacing w:before="0" w:beforeAutospacing="0" w:after="0" w:afterAutospacing="0" w:line="420" w:lineRule="atLeast"/>
              <w:jc w:val="center"/>
              <w:rPr>
                <w:sz w:val="21"/>
              </w:rPr>
            </w:pPr>
          </w:p>
        </w:tc>
        <w:tc>
          <w:tcPr>
            <w:tcW w:w="221" w:type="dxa"/>
            <w:vAlign w:val="center"/>
          </w:tcPr>
          <w:p w14:paraId="6DAA7FDC">
            <w:pPr>
              <w:pStyle w:val="24"/>
              <w:snapToGrid/>
              <w:spacing w:before="0" w:beforeAutospacing="0" w:after="0" w:afterAutospacing="0" w:line="420" w:lineRule="atLeast"/>
              <w:jc w:val="center"/>
              <w:rPr>
                <w:sz w:val="21"/>
              </w:rPr>
            </w:pPr>
          </w:p>
        </w:tc>
        <w:tc>
          <w:tcPr>
            <w:tcW w:w="221" w:type="dxa"/>
            <w:vAlign w:val="center"/>
          </w:tcPr>
          <w:p w14:paraId="214323CF">
            <w:pPr>
              <w:pStyle w:val="24"/>
              <w:snapToGrid/>
              <w:spacing w:before="0" w:beforeAutospacing="0" w:after="0" w:afterAutospacing="0" w:line="420" w:lineRule="atLeast"/>
              <w:jc w:val="center"/>
              <w:rPr>
                <w:sz w:val="21"/>
              </w:rPr>
            </w:pPr>
          </w:p>
        </w:tc>
      </w:tr>
      <w:tr w14:paraId="200C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25294706">
            <w:pPr>
              <w:pStyle w:val="24"/>
              <w:snapToGrid/>
              <w:spacing w:before="0" w:beforeAutospacing="0" w:after="0" w:afterAutospacing="0" w:line="420" w:lineRule="atLeast"/>
              <w:jc w:val="center"/>
              <w:rPr>
                <w:sz w:val="21"/>
              </w:rPr>
            </w:pPr>
          </w:p>
        </w:tc>
        <w:tc>
          <w:tcPr>
            <w:tcW w:w="366" w:type="dxa"/>
            <w:vAlign w:val="center"/>
          </w:tcPr>
          <w:p w14:paraId="355FAE53">
            <w:pPr>
              <w:pStyle w:val="24"/>
              <w:snapToGrid/>
              <w:spacing w:before="0" w:beforeAutospacing="0" w:after="0" w:afterAutospacing="0" w:line="420" w:lineRule="atLeast"/>
              <w:jc w:val="center"/>
              <w:rPr>
                <w:sz w:val="21"/>
              </w:rPr>
            </w:pPr>
          </w:p>
        </w:tc>
        <w:tc>
          <w:tcPr>
            <w:tcW w:w="366" w:type="dxa"/>
            <w:vAlign w:val="center"/>
          </w:tcPr>
          <w:p w14:paraId="6912AD53">
            <w:pPr>
              <w:pStyle w:val="24"/>
              <w:snapToGrid/>
              <w:spacing w:before="0" w:beforeAutospacing="0" w:after="0" w:afterAutospacing="0" w:line="420" w:lineRule="atLeast"/>
              <w:jc w:val="center"/>
              <w:rPr>
                <w:sz w:val="21"/>
              </w:rPr>
            </w:pPr>
          </w:p>
        </w:tc>
        <w:tc>
          <w:tcPr>
            <w:tcW w:w="366" w:type="dxa"/>
            <w:vAlign w:val="center"/>
          </w:tcPr>
          <w:p w14:paraId="7644B50F">
            <w:pPr>
              <w:pStyle w:val="24"/>
              <w:snapToGrid/>
              <w:spacing w:before="0" w:beforeAutospacing="0" w:after="0" w:afterAutospacing="0" w:line="420" w:lineRule="atLeast"/>
              <w:jc w:val="center"/>
              <w:rPr>
                <w:sz w:val="21"/>
              </w:rPr>
            </w:pPr>
          </w:p>
        </w:tc>
        <w:tc>
          <w:tcPr>
            <w:tcW w:w="366" w:type="dxa"/>
            <w:vAlign w:val="center"/>
          </w:tcPr>
          <w:p w14:paraId="0B677BDB">
            <w:pPr>
              <w:pStyle w:val="24"/>
              <w:snapToGrid/>
              <w:spacing w:before="0" w:beforeAutospacing="0" w:after="0" w:afterAutospacing="0" w:line="420" w:lineRule="atLeast"/>
              <w:jc w:val="center"/>
              <w:rPr>
                <w:sz w:val="21"/>
              </w:rPr>
            </w:pPr>
          </w:p>
        </w:tc>
        <w:tc>
          <w:tcPr>
            <w:tcW w:w="516" w:type="dxa"/>
            <w:vAlign w:val="center"/>
          </w:tcPr>
          <w:p w14:paraId="22C8C4F8">
            <w:pPr>
              <w:pStyle w:val="24"/>
              <w:snapToGrid/>
              <w:spacing w:before="0" w:beforeAutospacing="0" w:after="0" w:afterAutospacing="0" w:line="420" w:lineRule="atLeast"/>
              <w:jc w:val="center"/>
              <w:rPr>
                <w:sz w:val="21"/>
              </w:rPr>
            </w:pPr>
          </w:p>
        </w:tc>
        <w:tc>
          <w:tcPr>
            <w:tcW w:w="366" w:type="dxa"/>
            <w:vAlign w:val="center"/>
          </w:tcPr>
          <w:p w14:paraId="39551996">
            <w:pPr>
              <w:pStyle w:val="24"/>
              <w:snapToGrid/>
              <w:spacing w:before="0" w:beforeAutospacing="0" w:after="0" w:afterAutospacing="0" w:line="420" w:lineRule="atLeast"/>
              <w:jc w:val="center"/>
              <w:rPr>
                <w:sz w:val="21"/>
              </w:rPr>
            </w:pPr>
          </w:p>
        </w:tc>
        <w:tc>
          <w:tcPr>
            <w:tcW w:w="366" w:type="dxa"/>
            <w:vAlign w:val="center"/>
          </w:tcPr>
          <w:p w14:paraId="5AAD359C">
            <w:pPr>
              <w:pStyle w:val="24"/>
              <w:snapToGrid/>
              <w:spacing w:before="0" w:beforeAutospacing="0" w:after="0" w:afterAutospacing="0" w:line="420" w:lineRule="atLeast"/>
              <w:jc w:val="center"/>
              <w:rPr>
                <w:sz w:val="21"/>
              </w:rPr>
            </w:pPr>
          </w:p>
        </w:tc>
        <w:tc>
          <w:tcPr>
            <w:tcW w:w="516" w:type="dxa"/>
            <w:vAlign w:val="center"/>
          </w:tcPr>
          <w:p w14:paraId="722B74BE">
            <w:pPr>
              <w:pStyle w:val="24"/>
              <w:snapToGrid/>
              <w:spacing w:before="0" w:beforeAutospacing="0" w:after="0" w:afterAutospacing="0" w:line="420" w:lineRule="atLeast"/>
              <w:jc w:val="center"/>
              <w:rPr>
                <w:sz w:val="21"/>
              </w:rPr>
            </w:pPr>
          </w:p>
        </w:tc>
        <w:tc>
          <w:tcPr>
            <w:tcW w:w="366" w:type="dxa"/>
            <w:vAlign w:val="center"/>
          </w:tcPr>
          <w:p w14:paraId="3C86DC5E">
            <w:pPr>
              <w:pStyle w:val="24"/>
              <w:snapToGrid/>
              <w:spacing w:before="0" w:beforeAutospacing="0" w:after="0" w:afterAutospacing="0" w:line="420" w:lineRule="atLeast"/>
              <w:jc w:val="center"/>
              <w:rPr>
                <w:sz w:val="21"/>
              </w:rPr>
            </w:pPr>
          </w:p>
        </w:tc>
        <w:tc>
          <w:tcPr>
            <w:tcW w:w="516" w:type="dxa"/>
            <w:vAlign w:val="center"/>
          </w:tcPr>
          <w:p w14:paraId="04B5C438">
            <w:pPr>
              <w:pStyle w:val="24"/>
              <w:snapToGrid/>
              <w:spacing w:before="0" w:beforeAutospacing="0" w:after="0" w:afterAutospacing="0" w:line="420" w:lineRule="atLeast"/>
              <w:jc w:val="center"/>
              <w:rPr>
                <w:sz w:val="21"/>
              </w:rPr>
            </w:pPr>
          </w:p>
        </w:tc>
        <w:tc>
          <w:tcPr>
            <w:tcW w:w="366" w:type="dxa"/>
            <w:vAlign w:val="center"/>
          </w:tcPr>
          <w:p w14:paraId="5FA457C9">
            <w:pPr>
              <w:pStyle w:val="24"/>
              <w:snapToGrid/>
              <w:spacing w:before="0" w:beforeAutospacing="0" w:after="0" w:afterAutospacing="0" w:line="420" w:lineRule="atLeast"/>
              <w:jc w:val="center"/>
              <w:rPr>
                <w:sz w:val="21"/>
              </w:rPr>
            </w:pPr>
          </w:p>
        </w:tc>
        <w:tc>
          <w:tcPr>
            <w:tcW w:w="666" w:type="dxa"/>
            <w:vAlign w:val="center"/>
          </w:tcPr>
          <w:p w14:paraId="372F2224">
            <w:pPr>
              <w:pStyle w:val="24"/>
              <w:snapToGrid/>
              <w:spacing w:before="0" w:beforeAutospacing="0" w:after="0" w:afterAutospacing="0" w:line="420" w:lineRule="atLeast"/>
              <w:jc w:val="center"/>
              <w:rPr>
                <w:sz w:val="21"/>
              </w:rPr>
            </w:pPr>
          </w:p>
        </w:tc>
        <w:tc>
          <w:tcPr>
            <w:tcW w:w="516" w:type="dxa"/>
            <w:vAlign w:val="center"/>
          </w:tcPr>
          <w:p w14:paraId="544F60B4">
            <w:pPr>
              <w:pStyle w:val="24"/>
              <w:snapToGrid/>
              <w:spacing w:before="0" w:beforeAutospacing="0" w:after="0" w:afterAutospacing="0" w:line="420" w:lineRule="atLeast"/>
              <w:jc w:val="center"/>
              <w:rPr>
                <w:sz w:val="21"/>
              </w:rPr>
            </w:pPr>
          </w:p>
        </w:tc>
        <w:tc>
          <w:tcPr>
            <w:tcW w:w="366" w:type="dxa"/>
            <w:vAlign w:val="center"/>
          </w:tcPr>
          <w:p w14:paraId="7C5DEEBD">
            <w:pPr>
              <w:pStyle w:val="24"/>
              <w:snapToGrid/>
              <w:spacing w:before="0" w:beforeAutospacing="0" w:after="0" w:afterAutospacing="0" w:line="420" w:lineRule="atLeast"/>
              <w:jc w:val="center"/>
              <w:rPr>
                <w:sz w:val="21"/>
              </w:rPr>
            </w:pPr>
          </w:p>
        </w:tc>
        <w:tc>
          <w:tcPr>
            <w:tcW w:w="366" w:type="dxa"/>
            <w:vAlign w:val="center"/>
          </w:tcPr>
          <w:p w14:paraId="35AE2859">
            <w:pPr>
              <w:pStyle w:val="24"/>
              <w:snapToGrid/>
              <w:spacing w:before="0" w:beforeAutospacing="0" w:after="0" w:afterAutospacing="0" w:line="420" w:lineRule="atLeast"/>
              <w:jc w:val="center"/>
              <w:rPr>
                <w:sz w:val="21"/>
              </w:rPr>
            </w:pPr>
          </w:p>
        </w:tc>
        <w:tc>
          <w:tcPr>
            <w:tcW w:w="516" w:type="dxa"/>
            <w:vAlign w:val="center"/>
          </w:tcPr>
          <w:p w14:paraId="6F94050E">
            <w:pPr>
              <w:pStyle w:val="24"/>
              <w:snapToGrid/>
              <w:spacing w:before="0" w:beforeAutospacing="0" w:after="0" w:afterAutospacing="0" w:line="420" w:lineRule="atLeast"/>
              <w:jc w:val="center"/>
              <w:rPr>
                <w:sz w:val="21"/>
              </w:rPr>
            </w:pPr>
          </w:p>
        </w:tc>
        <w:tc>
          <w:tcPr>
            <w:tcW w:w="366" w:type="dxa"/>
            <w:vAlign w:val="center"/>
          </w:tcPr>
          <w:p w14:paraId="03EABD74">
            <w:pPr>
              <w:pStyle w:val="24"/>
              <w:snapToGrid/>
              <w:spacing w:before="0" w:beforeAutospacing="0" w:after="0" w:afterAutospacing="0" w:line="420" w:lineRule="atLeast"/>
              <w:jc w:val="center"/>
              <w:rPr>
                <w:sz w:val="21"/>
              </w:rPr>
            </w:pPr>
          </w:p>
        </w:tc>
        <w:tc>
          <w:tcPr>
            <w:tcW w:w="221" w:type="dxa"/>
            <w:vAlign w:val="center"/>
          </w:tcPr>
          <w:p w14:paraId="3F09C64F">
            <w:pPr>
              <w:pStyle w:val="24"/>
              <w:snapToGrid/>
              <w:spacing w:before="0" w:beforeAutospacing="0" w:after="0" w:afterAutospacing="0" w:line="420" w:lineRule="atLeast"/>
              <w:jc w:val="center"/>
              <w:rPr>
                <w:sz w:val="21"/>
              </w:rPr>
            </w:pPr>
          </w:p>
        </w:tc>
        <w:tc>
          <w:tcPr>
            <w:tcW w:w="221" w:type="dxa"/>
            <w:vAlign w:val="center"/>
          </w:tcPr>
          <w:p w14:paraId="6119BA1C">
            <w:pPr>
              <w:pStyle w:val="24"/>
              <w:snapToGrid/>
              <w:spacing w:before="0" w:beforeAutospacing="0" w:after="0" w:afterAutospacing="0" w:line="420" w:lineRule="atLeast"/>
              <w:jc w:val="center"/>
              <w:rPr>
                <w:sz w:val="21"/>
              </w:rPr>
            </w:pPr>
          </w:p>
        </w:tc>
        <w:tc>
          <w:tcPr>
            <w:tcW w:w="221" w:type="dxa"/>
            <w:vAlign w:val="center"/>
          </w:tcPr>
          <w:p w14:paraId="33154443">
            <w:pPr>
              <w:pStyle w:val="24"/>
              <w:snapToGrid/>
              <w:spacing w:before="0" w:beforeAutospacing="0" w:after="0" w:afterAutospacing="0" w:line="420" w:lineRule="atLeast"/>
              <w:jc w:val="center"/>
              <w:rPr>
                <w:sz w:val="21"/>
              </w:rPr>
            </w:pPr>
          </w:p>
        </w:tc>
        <w:tc>
          <w:tcPr>
            <w:tcW w:w="221" w:type="dxa"/>
            <w:vAlign w:val="center"/>
          </w:tcPr>
          <w:p w14:paraId="23876211">
            <w:pPr>
              <w:pStyle w:val="24"/>
              <w:snapToGrid/>
              <w:spacing w:before="0" w:beforeAutospacing="0" w:after="0" w:afterAutospacing="0" w:line="420" w:lineRule="atLeast"/>
              <w:jc w:val="center"/>
              <w:rPr>
                <w:sz w:val="21"/>
              </w:rPr>
            </w:pPr>
          </w:p>
        </w:tc>
      </w:tr>
    </w:tbl>
    <w:p w14:paraId="510A3842">
      <w:pPr>
        <w:pStyle w:val="24"/>
        <w:snapToGrid/>
        <w:spacing w:before="0" w:beforeAutospacing="0" w:after="0" w:afterAutospacing="0" w:line="420" w:lineRule="atLeast"/>
        <w:jc w:val="both"/>
        <w:rPr>
          <w:sz w:val="21"/>
        </w:rPr>
      </w:pPr>
    </w:p>
    <w:p w14:paraId="483630F0">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4E6C6471"/>
    <w:p w14:paraId="391D1D2E">
      <w:pPr>
        <w:pStyle w:val="24"/>
        <w:spacing w:before="900" w:beforeAutospacing="0" w:after="0" w:afterAutospacing="0" w:line="420" w:lineRule="atLeast"/>
        <w:jc w:val="both"/>
        <w:rPr>
          <w:rFonts w:hint="eastAsia" w:cs="宋体"/>
          <w:sz w:val="28"/>
          <w:szCs w:val="28"/>
        </w:rPr>
      </w:pPr>
    </w:p>
    <w:p w14:paraId="06B780C8">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5</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6F09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73FBD59A">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514C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6041F6E7">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7B929E58">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02F96C5D">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39275CE0">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3BC682C9">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35C8E6F8">
            <w:pPr>
              <w:pStyle w:val="24"/>
              <w:snapToGrid/>
              <w:spacing w:before="0" w:beforeAutospacing="0" w:after="0" w:afterAutospacing="0" w:line="420" w:lineRule="atLeast"/>
              <w:jc w:val="center"/>
              <w:rPr>
                <w:sz w:val="21"/>
              </w:rPr>
            </w:pPr>
            <w:r>
              <w:rPr>
                <w:rFonts w:hint="eastAsia"/>
                <w:sz w:val="21"/>
              </w:rPr>
              <w:t>单设备非国产芯片数量（颗）</w:t>
            </w:r>
          </w:p>
        </w:tc>
      </w:tr>
      <w:tr w14:paraId="21FA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60987420">
            <w:pPr>
              <w:pStyle w:val="24"/>
              <w:snapToGrid/>
              <w:spacing w:before="0" w:beforeAutospacing="0" w:after="0" w:afterAutospacing="0" w:line="420" w:lineRule="atLeast"/>
              <w:jc w:val="center"/>
              <w:rPr>
                <w:sz w:val="21"/>
                <w:u w:val="single"/>
              </w:rPr>
            </w:pPr>
            <w:r>
              <w:rPr>
                <w:rFonts w:hint="eastAsia"/>
                <w:sz w:val="21"/>
                <w:u w:val="single"/>
              </w:rPr>
              <w:t>防病毒网关</w:t>
            </w:r>
          </w:p>
        </w:tc>
        <w:tc>
          <w:tcPr>
            <w:tcW w:w="1545" w:type="dxa"/>
            <w:vAlign w:val="center"/>
          </w:tcPr>
          <w:p w14:paraId="3970BA8A">
            <w:pPr>
              <w:pStyle w:val="24"/>
              <w:snapToGrid/>
              <w:spacing w:before="0" w:beforeAutospacing="0" w:after="0" w:afterAutospacing="0" w:line="420" w:lineRule="atLeast"/>
              <w:jc w:val="center"/>
              <w:rPr>
                <w:sz w:val="21"/>
              </w:rPr>
            </w:pPr>
          </w:p>
        </w:tc>
        <w:tc>
          <w:tcPr>
            <w:tcW w:w="1420" w:type="dxa"/>
            <w:vAlign w:val="center"/>
          </w:tcPr>
          <w:p w14:paraId="0E36E10C">
            <w:pPr>
              <w:pStyle w:val="24"/>
              <w:snapToGrid/>
              <w:spacing w:before="0" w:beforeAutospacing="0" w:after="0" w:afterAutospacing="0" w:line="420" w:lineRule="atLeast"/>
              <w:jc w:val="center"/>
              <w:rPr>
                <w:sz w:val="21"/>
              </w:rPr>
            </w:pPr>
          </w:p>
        </w:tc>
        <w:tc>
          <w:tcPr>
            <w:tcW w:w="1420" w:type="dxa"/>
            <w:vAlign w:val="center"/>
          </w:tcPr>
          <w:p w14:paraId="32D2BFBF">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54DCD8E5">
            <w:pPr>
              <w:pStyle w:val="24"/>
              <w:snapToGrid/>
              <w:spacing w:before="0" w:beforeAutospacing="0" w:after="0" w:afterAutospacing="0" w:line="420" w:lineRule="atLeast"/>
              <w:jc w:val="center"/>
              <w:rPr>
                <w:sz w:val="21"/>
              </w:rPr>
            </w:pPr>
          </w:p>
        </w:tc>
        <w:tc>
          <w:tcPr>
            <w:tcW w:w="1421" w:type="dxa"/>
            <w:vAlign w:val="center"/>
          </w:tcPr>
          <w:p w14:paraId="7E00CB54">
            <w:pPr>
              <w:pStyle w:val="24"/>
              <w:snapToGrid/>
              <w:spacing w:before="0" w:beforeAutospacing="0" w:after="0" w:afterAutospacing="0" w:line="420" w:lineRule="atLeast"/>
              <w:jc w:val="center"/>
              <w:rPr>
                <w:sz w:val="21"/>
              </w:rPr>
            </w:pPr>
          </w:p>
        </w:tc>
      </w:tr>
      <w:tr w14:paraId="4910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89FDAF0">
            <w:pPr>
              <w:pStyle w:val="24"/>
              <w:snapToGrid/>
              <w:spacing w:before="0" w:beforeAutospacing="0" w:after="0" w:afterAutospacing="0" w:line="420" w:lineRule="atLeast"/>
              <w:jc w:val="center"/>
              <w:rPr>
                <w:sz w:val="21"/>
              </w:rPr>
            </w:pPr>
          </w:p>
        </w:tc>
        <w:tc>
          <w:tcPr>
            <w:tcW w:w="1545" w:type="dxa"/>
            <w:vAlign w:val="center"/>
          </w:tcPr>
          <w:p w14:paraId="06F0E3FC">
            <w:pPr>
              <w:pStyle w:val="24"/>
              <w:snapToGrid/>
              <w:spacing w:before="0" w:beforeAutospacing="0" w:after="0" w:afterAutospacing="0" w:line="420" w:lineRule="atLeast"/>
              <w:jc w:val="center"/>
              <w:rPr>
                <w:sz w:val="21"/>
              </w:rPr>
            </w:pPr>
          </w:p>
        </w:tc>
        <w:tc>
          <w:tcPr>
            <w:tcW w:w="1420" w:type="dxa"/>
            <w:vAlign w:val="center"/>
          </w:tcPr>
          <w:p w14:paraId="1112090C">
            <w:pPr>
              <w:pStyle w:val="24"/>
              <w:snapToGrid/>
              <w:spacing w:before="0" w:beforeAutospacing="0" w:after="0" w:afterAutospacing="0" w:line="420" w:lineRule="atLeast"/>
              <w:jc w:val="center"/>
              <w:rPr>
                <w:sz w:val="21"/>
              </w:rPr>
            </w:pPr>
          </w:p>
        </w:tc>
        <w:tc>
          <w:tcPr>
            <w:tcW w:w="1420" w:type="dxa"/>
            <w:vAlign w:val="center"/>
          </w:tcPr>
          <w:p w14:paraId="47E5C45F">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33014C91">
            <w:pPr>
              <w:pStyle w:val="24"/>
              <w:snapToGrid/>
              <w:spacing w:before="0" w:beforeAutospacing="0" w:after="0" w:afterAutospacing="0" w:line="420" w:lineRule="atLeast"/>
              <w:jc w:val="center"/>
              <w:rPr>
                <w:sz w:val="21"/>
              </w:rPr>
            </w:pPr>
          </w:p>
        </w:tc>
        <w:tc>
          <w:tcPr>
            <w:tcW w:w="1421" w:type="dxa"/>
            <w:vAlign w:val="center"/>
          </w:tcPr>
          <w:p w14:paraId="60796F9A">
            <w:pPr>
              <w:pStyle w:val="24"/>
              <w:snapToGrid/>
              <w:spacing w:before="0" w:beforeAutospacing="0" w:after="0" w:afterAutospacing="0" w:line="420" w:lineRule="atLeast"/>
              <w:jc w:val="center"/>
              <w:rPr>
                <w:sz w:val="21"/>
              </w:rPr>
            </w:pPr>
          </w:p>
        </w:tc>
      </w:tr>
      <w:tr w14:paraId="6944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236F4199">
            <w:pPr>
              <w:pStyle w:val="24"/>
              <w:snapToGrid/>
              <w:spacing w:before="0" w:beforeAutospacing="0" w:after="0" w:afterAutospacing="0" w:line="420" w:lineRule="atLeast"/>
              <w:jc w:val="center"/>
              <w:rPr>
                <w:sz w:val="21"/>
              </w:rPr>
            </w:pPr>
          </w:p>
        </w:tc>
        <w:tc>
          <w:tcPr>
            <w:tcW w:w="1545" w:type="dxa"/>
            <w:vAlign w:val="center"/>
          </w:tcPr>
          <w:p w14:paraId="6B0BAB5F">
            <w:pPr>
              <w:pStyle w:val="24"/>
              <w:snapToGrid/>
              <w:spacing w:before="0" w:beforeAutospacing="0" w:after="0" w:afterAutospacing="0" w:line="420" w:lineRule="atLeast"/>
              <w:jc w:val="center"/>
              <w:rPr>
                <w:sz w:val="21"/>
              </w:rPr>
            </w:pPr>
          </w:p>
        </w:tc>
        <w:tc>
          <w:tcPr>
            <w:tcW w:w="1420" w:type="dxa"/>
            <w:vAlign w:val="center"/>
          </w:tcPr>
          <w:p w14:paraId="664E5E8B">
            <w:pPr>
              <w:pStyle w:val="24"/>
              <w:snapToGrid/>
              <w:spacing w:before="0" w:beforeAutospacing="0" w:after="0" w:afterAutospacing="0" w:line="420" w:lineRule="atLeast"/>
              <w:jc w:val="center"/>
              <w:rPr>
                <w:sz w:val="21"/>
              </w:rPr>
            </w:pPr>
          </w:p>
        </w:tc>
        <w:tc>
          <w:tcPr>
            <w:tcW w:w="1420" w:type="dxa"/>
            <w:vAlign w:val="center"/>
          </w:tcPr>
          <w:p w14:paraId="6B0283A9">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2AA1FE16">
            <w:pPr>
              <w:pStyle w:val="24"/>
              <w:snapToGrid/>
              <w:spacing w:before="0" w:beforeAutospacing="0" w:after="0" w:afterAutospacing="0" w:line="420" w:lineRule="atLeast"/>
              <w:jc w:val="center"/>
              <w:rPr>
                <w:sz w:val="21"/>
              </w:rPr>
            </w:pPr>
          </w:p>
        </w:tc>
        <w:tc>
          <w:tcPr>
            <w:tcW w:w="1421" w:type="dxa"/>
            <w:vAlign w:val="center"/>
          </w:tcPr>
          <w:p w14:paraId="161160BD">
            <w:pPr>
              <w:pStyle w:val="24"/>
              <w:snapToGrid/>
              <w:spacing w:before="0" w:beforeAutospacing="0" w:after="0" w:afterAutospacing="0" w:line="420" w:lineRule="atLeast"/>
              <w:jc w:val="center"/>
              <w:rPr>
                <w:sz w:val="21"/>
              </w:rPr>
            </w:pPr>
          </w:p>
        </w:tc>
      </w:tr>
      <w:tr w14:paraId="765B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38A93743">
            <w:pPr>
              <w:pStyle w:val="24"/>
              <w:snapToGrid/>
              <w:spacing w:before="0" w:beforeAutospacing="0" w:after="0" w:afterAutospacing="0" w:line="420" w:lineRule="atLeast"/>
              <w:jc w:val="center"/>
              <w:rPr>
                <w:sz w:val="21"/>
              </w:rPr>
            </w:pPr>
          </w:p>
        </w:tc>
        <w:tc>
          <w:tcPr>
            <w:tcW w:w="1545" w:type="dxa"/>
            <w:vAlign w:val="center"/>
          </w:tcPr>
          <w:p w14:paraId="56324723">
            <w:pPr>
              <w:pStyle w:val="24"/>
              <w:snapToGrid/>
              <w:spacing w:before="0" w:beforeAutospacing="0" w:after="0" w:afterAutospacing="0" w:line="420" w:lineRule="atLeast"/>
              <w:jc w:val="center"/>
              <w:rPr>
                <w:sz w:val="21"/>
              </w:rPr>
            </w:pPr>
          </w:p>
        </w:tc>
        <w:tc>
          <w:tcPr>
            <w:tcW w:w="1420" w:type="dxa"/>
            <w:vAlign w:val="center"/>
          </w:tcPr>
          <w:p w14:paraId="624BCF92">
            <w:pPr>
              <w:pStyle w:val="24"/>
              <w:snapToGrid/>
              <w:spacing w:before="0" w:beforeAutospacing="0" w:after="0" w:afterAutospacing="0" w:line="420" w:lineRule="atLeast"/>
              <w:jc w:val="center"/>
              <w:rPr>
                <w:sz w:val="21"/>
              </w:rPr>
            </w:pPr>
          </w:p>
        </w:tc>
        <w:tc>
          <w:tcPr>
            <w:tcW w:w="1420" w:type="dxa"/>
            <w:vAlign w:val="center"/>
          </w:tcPr>
          <w:p w14:paraId="0BFF6ACD">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6BC6B7FC">
            <w:pPr>
              <w:pStyle w:val="24"/>
              <w:snapToGrid/>
              <w:spacing w:before="0" w:beforeAutospacing="0" w:after="0" w:afterAutospacing="0" w:line="420" w:lineRule="atLeast"/>
              <w:jc w:val="center"/>
              <w:rPr>
                <w:sz w:val="21"/>
              </w:rPr>
            </w:pPr>
          </w:p>
        </w:tc>
        <w:tc>
          <w:tcPr>
            <w:tcW w:w="1421" w:type="dxa"/>
            <w:vAlign w:val="center"/>
          </w:tcPr>
          <w:p w14:paraId="4BA3F3C0">
            <w:pPr>
              <w:pStyle w:val="24"/>
              <w:snapToGrid/>
              <w:spacing w:before="0" w:beforeAutospacing="0" w:after="0" w:afterAutospacing="0" w:line="420" w:lineRule="atLeast"/>
              <w:jc w:val="center"/>
              <w:rPr>
                <w:sz w:val="21"/>
              </w:rPr>
            </w:pPr>
          </w:p>
        </w:tc>
      </w:tr>
      <w:tr w14:paraId="05998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03FFA36D">
            <w:pPr>
              <w:pStyle w:val="24"/>
              <w:snapToGrid/>
              <w:spacing w:before="0" w:beforeAutospacing="0" w:after="0" w:afterAutospacing="0" w:line="420" w:lineRule="atLeast"/>
              <w:jc w:val="center"/>
              <w:rPr>
                <w:sz w:val="21"/>
              </w:rPr>
            </w:pPr>
          </w:p>
        </w:tc>
        <w:tc>
          <w:tcPr>
            <w:tcW w:w="1545" w:type="dxa"/>
            <w:vAlign w:val="center"/>
          </w:tcPr>
          <w:p w14:paraId="1CE87A33">
            <w:pPr>
              <w:pStyle w:val="24"/>
              <w:snapToGrid/>
              <w:spacing w:before="0" w:beforeAutospacing="0" w:after="0" w:afterAutospacing="0" w:line="420" w:lineRule="atLeast"/>
              <w:jc w:val="center"/>
              <w:rPr>
                <w:sz w:val="21"/>
              </w:rPr>
            </w:pPr>
          </w:p>
        </w:tc>
        <w:tc>
          <w:tcPr>
            <w:tcW w:w="1420" w:type="dxa"/>
            <w:vAlign w:val="center"/>
          </w:tcPr>
          <w:p w14:paraId="62FD1625">
            <w:pPr>
              <w:pStyle w:val="24"/>
              <w:snapToGrid/>
              <w:spacing w:before="0" w:beforeAutospacing="0" w:after="0" w:afterAutospacing="0" w:line="420" w:lineRule="atLeast"/>
              <w:jc w:val="center"/>
              <w:rPr>
                <w:sz w:val="21"/>
              </w:rPr>
            </w:pPr>
          </w:p>
        </w:tc>
        <w:tc>
          <w:tcPr>
            <w:tcW w:w="1420" w:type="dxa"/>
            <w:vAlign w:val="center"/>
          </w:tcPr>
          <w:p w14:paraId="4F8161BA">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5B2BB714">
            <w:pPr>
              <w:pStyle w:val="24"/>
              <w:snapToGrid/>
              <w:spacing w:before="0" w:beforeAutospacing="0" w:after="0" w:afterAutospacing="0" w:line="420" w:lineRule="atLeast"/>
              <w:jc w:val="center"/>
              <w:rPr>
                <w:sz w:val="21"/>
              </w:rPr>
            </w:pPr>
          </w:p>
        </w:tc>
        <w:tc>
          <w:tcPr>
            <w:tcW w:w="1421" w:type="dxa"/>
            <w:vAlign w:val="center"/>
          </w:tcPr>
          <w:p w14:paraId="1434C173">
            <w:pPr>
              <w:pStyle w:val="24"/>
              <w:snapToGrid/>
              <w:spacing w:before="0" w:beforeAutospacing="0" w:after="0" w:afterAutospacing="0" w:line="420" w:lineRule="atLeast"/>
              <w:jc w:val="center"/>
              <w:rPr>
                <w:sz w:val="21"/>
              </w:rPr>
            </w:pPr>
          </w:p>
        </w:tc>
      </w:tr>
      <w:tr w14:paraId="1270E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1A832908">
            <w:pPr>
              <w:pStyle w:val="24"/>
              <w:snapToGrid/>
              <w:spacing w:before="0" w:beforeAutospacing="0" w:after="0" w:afterAutospacing="0" w:line="420" w:lineRule="atLeast"/>
              <w:jc w:val="center"/>
              <w:rPr>
                <w:sz w:val="21"/>
              </w:rPr>
            </w:pPr>
          </w:p>
        </w:tc>
        <w:tc>
          <w:tcPr>
            <w:tcW w:w="1545" w:type="dxa"/>
            <w:vAlign w:val="center"/>
          </w:tcPr>
          <w:p w14:paraId="6B0B0C2D">
            <w:pPr>
              <w:pStyle w:val="24"/>
              <w:snapToGrid/>
              <w:spacing w:before="0" w:beforeAutospacing="0" w:after="0" w:afterAutospacing="0" w:line="420" w:lineRule="atLeast"/>
              <w:jc w:val="center"/>
              <w:rPr>
                <w:sz w:val="21"/>
              </w:rPr>
            </w:pPr>
          </w:p>
        </w:tc>
        <w:tc>
          <w:tcPr>
            <w:tcW w:w="1420" w:type="dxa"/>
            <w:vAlign w:val="center"/>
          </w:tcPr>
          <w:p w14:paraId="49F20804">
            <w:pPr>
              <w:pStyle w:val="24"/>
              <w:snapToGrid/>
              <w:spacing w:before="0" w:beforeAutospacing="0" w:after="0" w:afterAutospacing="0" w:line="420" w:lineRule="atLeast"/>
              <w:jc w:val="center"/>
              <w:rPr>
                <w:sz w:val="21"/>
              </w:rPr>
            </w:pPr>
          </w:p>
        </w:tc>
        <w:tc>
          <w:tcPr>
            <w:tcW w:w="1420" w:type="dxa"/>
            <w:vAlign w:val="center"/>
          </w:tcPr>
          <w:p w14:paraId="0274A384">
            <w:pPr>
              <w:widowControl/>
              <w:snapToGrid/>
              <w:spacing w:line="420" w:lineRule="atLeast"/>
              <w:jc w:val="center"/>
            </w:pPr>
            <w:r>
              <w:rPr>
                <w:rFonts w:hint="eastAsia"/>
              </w:rPr>
              <w:t>电源模块控制芯片</w:t>
            </w:r>
          </w:p>
        </w:tc>
        <w:tc>
          <w:tcPr>
            <w:tcW w:w="1421" w:type="dxa"/>
            <w:vAlign w:val="center"/>
          </w:tcPr>
          <w:p w14:paraId="41A1609C">
            <w:pPr>
              <w:pStyle w:val="24"/>
              <w:snapToGrid/>
              <w:spacing w:before="0" w:beforeAutospacing="0" w:after="0" w:afterAutospacing="0" w:line="420" w:lineRule="atLeast"/>
              <w:jc w:val="center"/>
              <w:rPr>
                <w:sz w:val="21"/>
              </w:rPr>
            </w:pPr>
          </w:p>
        </w:tc>
        <w:tc>
          <w:tcPr>
            <w:tcW w:w="1421" w:type="dxa"/>
            <w:vAlign w:val="center"/>
          </w:tcPr>
          <w:p w14:paraId="1D68C93A">
            <w:pPr>
              <w:pStyle w:val="24"/>
              <w:snapToGrid/>
              <w:spacing w:before="0" w:beforeAutospacing="0" w:after="0" w:afterAutospacing="0" w:line="420" w:lineRule="atLeast"/>
              <w:jc w:val="center"/>
              <w:rPr>
                <w:sz w:val="21"/>
              </w:rPr>
            </w:pPr>
          </w:p>
        </w:tc>
      </w:tr>
    </w:tbl>
    <w:p w14:paraId="73E75AB2">
      <w:pPr>
        <w:pStyle w:val="24"/>
        <w:spacing w:before="900" w:beforeAutospacing="0" w:after="0" w:afterAutospacing="0" w:line="420" w:lineRule="atLeast"/>
        <w:jc w:val="both"/>
        <w:rPr>
          <w:rFonts w:cs="宋体"/>
          <w:sz w:val="28"/>
          <w:szCs w:val="28"/>
        </w:rPr>
      </w:pPr>
    </w:p>
    <w:p w14:paraId="0495D738">
      <w:pPr>
        <w:pStyle w:val="24"/>
        <w:spacing w:before="900" w:beforeAutospacing="0" w:after="0" w:afterAutospacing="0" w:line="420" w:lineRule="atLeast"/>
        <w:jc w:val="both"/>
        <w:rPr>
          <w:rFonts w:cs="宋体"/>
          <w:sz w:val="28"/>
          <w:szCs w:val="28"/>
        </w:rPr>
      </w:pPr>
    </w:p>
    <w:p w14:paraId="09244F0C">
      <w:pPr>
        <w:pStyle w:val="24"/>
        <w:spacing w:before="900" w:beforeAutospacing="0" w:after="0" w:afterAutospacing="0" w:line="420" w:lineRule="atLeast"/>
        <w:jc w:val="both"/>
        <w:rPr>
          <w:rFonts w:cs="宋体"/>
          <w:sz w:val="28"/>
          <w:szCs w:val="28"/>
        </w:rPr>
      </w:pPr>
    </w:p>
    <w:p w14:paraId="4CD37578">
      <w:pPr>
        <w:pStyle w:val="24"/>
        <w:spacing w:before="900" w:beforeAutospacing="0" w:after="0" w:afterAutospacing="0" w:line="420" w:lineRule="atLeast"/>
        <w:jc w:val="both"/>
        <w:rPr>
          <w:rFonts w:cs="宋体"/>
          <w:sz w:val="28"/>
          <w:szCs w:val="28"/>
        </w:rPr>
      </w:pPr>
    </w:p>
    <w:p w14:paraId="032F5E15">
      <w:pPr>
        <w:pStyle w:val="24"/>
        <w:spacing w:before="900" w:beforeAutospacing="0" w:after="0" w:afterAutospacing="0" w:line="420" w:lineRule="atLeast"/>
        <w:jc w:val="both"/>
        <w:rPr>
          <w:rFonts w:cs="宋体"/>
          <w:sz w:val="28"/>
          <w:szCs w:val="28"/>
        </w:rPr>
      </w:pPr>
    </w:p>
    <w:p w14:paraId="783C416D">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6</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433D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13EEF82A">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61D8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52992F4A">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7C0B9F8B">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59F1139B">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52B4E183">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4B9E1151">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510DD464">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0DBBC025">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4547D215">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54E6985C">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19DF2498">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26890BF3">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21439561">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68675486">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224C2B20">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284E698A">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44BF5DAC">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565AC36D">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63B49CB6">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576FD87B">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7F6126BF">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12D4BFB4">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3EE94754">
            <w:pPr>
              <w:pStyle w:val="24"/>
              <w:snapToGrid/>
              <w:spacing w:before="0" w:beforeAutospacing="0" w:after="0" w:afterAutospacing="0" w:line="420" w:lineRule="atLeast"/>
              <w:jc w:val="center"/>
              <w:rPr>
                <w:sz w:val="21"/>
              </w:rPr>
            </w:pPr>
            <w:r>
              <w:rPr>
                <w:rFonts w:hint="eastAsia"/>
                <w:sz w:val="21"/>
              </w:rPr>
              <w:t>境内/境外</w:t>
            </w:r>
          </w:p>
        </w:tc>
      </w:tr>
      <w:tr w14:paraId="73A8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218F1D21">
            <w:pPr>
              <w:pStyle w:val="24"/>
              <w:snapToGrid/>
              <w:spacing w:before="0" w:beforeAutospacing="0" w:after="0" w:afterAutospacing="0" w:line="420" w:lineRule="atLeast"/>
              <w:jc w:val="center"/>
              <w:rPr>
                <w:sz w:val="21"/>
              </w:rPr>
            </w:pPr>
          </w:p>
        </w:tc>
        <w:tc>
          <w:tcPr>
            <w:tcW w:w="366" w:type="dxa"/>
            <w:vAlign w:val="center"/>
          </w:tcPr>
          <w:p w14:paraId="6BE468B6">
            <w:pPr>
              <w:pStyle w:val="24"/>
              <w:snapToGrid/>
              <w:spacing w:before="0" w:beforeAutospacing="0" w:after="0" w:afterAutospacing="0" w:line="420" w:lineRule="atLeast"/>
              <w:jc w:val="center"/>
              <w:rPr>
                <w:sz w:val="21"/>
              </w:rPr>
            </w:pPr>
          </w:p>
        </w:tc>
        <w:tc>
          <w:tcPr>
            <w:tcW w:w="366" w:type="dxa"/>
            <w:vAlign w:val="center"/>
          </w:tcPr>
          <w:p w14:paraId="1471DE26">
            <w:pPr>
              <w:pStyle w:val="24"/>
              <w:snapToGrid/>
              <w:spacing w:before="0" w:beforeAutospacing="0" w:after="0" w:afterAutospacing="0" w:line="420" w:lineRule="atLeast"/>
              <w:jc w:val="center"/>
              <w:rPr>
                <w:sz w:val="21"/>
              </w:rPr>
            </w:pPr>
          </w:p>
        </w:tc>
        <w:tc>
          <w:tcPr>
            <w:tcW w:w="366" w:type="dxa"/>
            <w:vAlign w:val="center"/>
          </w:tcPr>
          <w:p w14:paraId="14BB7B94">
            <w:pPr>
              <w:pStyle w:val="24"/>
              <w:snapToGrid/>
              <w:spacing w:before="0" w:beforeAutospacing="0" w:after="0" w:afterAutospacing="0" w:line="420" w:lineRule="atLeast"/>
              <w:jc w:val="center"/>
              <w:rPr>
                <w:sz w:val="21"/>
              </w:rPr>
            </w:pPr>
          </w:p>
        </w:tc>
        <w:tc>
          <w:tcPr>
            <w:tcW w:w="366" w:type="dxa"/>
            <w:vAlign w:val="center"/>
          </w:tcPr>
          <w:p w14:paraId="0DE0AF30">
            <w:pPr>
              <w:pStyle w:val="24"/>
              <w:snapToGrid/>
              <w:spacing w:before="0" w:beforeAutospacing="0" w:after="0" w:afterAutospacing="0" w:line="420" w:lineRule="atLeast"/>
              <w:jc w:val="center"/>
              <w:rPr>
                <w:sz w:val="21"/>
              </w:rPr>
            </w:pPr>
          </w:p>
        </w:tc>
        <w:tc>
          <w:tcPr>
            <w:tcW w:w="516" w:type="dxa"/>
            <w:vAlign w:val="center"/>
          </w:tcPr>
          <w:p w14:paraId="3A7B1FC8">
            <w:pPr>
              <w:pStyle w:val="24"/>
              <w:snapToGrid/>
              <w:spacing w:before="0" w:beforeAutospacing="0" w:after="0" w:afterAutospacing="0" w:line="420" w:lineRule="atLeast"/>
              <w:jc w:val="center"/>
              <w:rPr>
                <w:sz w:val="21"/>
              </w:rPr>
            </w:pPr>
          </w:p>
        </w:tc>
        <w:tc>
          <w:tcPr>
            <w:tcW w:w="366" w:type="dxa"/>
            <w:vAlign w:val="center"/>
          </w:tcPr>
          <w:p w14:paraId="3850CBD4">
            <w:pPr>
              <w:pStyle w:val="24"/>
              <w:snapToGrid/>
              <w:spacing w:before="0" w:beforeAutospacing="0" w:after="0" w:afterAutospacing="0" w:line="420" w:lineRule="atLeast"/>
              <w:jc w:val="center"/>
              <w:rPr>
                <w:sz w:val="21"/>
              </w:rPr>
            </w:pPr>
          </w:p>
        </w:tc>
        <w:tc>
          <w:tcPr>
            <w:tcW w:w="366" w:type="dxa"/>
            <w:vAlign w:val="center"/>
          </w:tcPr>
          <w:p w14:paraId="048618F3">
            <w:pPr>
              <w:pStyle w:val="24"/>
              <w:snapToGrid/>
              <w:spacing w:before="0" w:beforeAutospacing="0" w:after="0" w:afterAutospacing="0" w:line="420" w:lineRule="atLeast"/>
              <w:jc w:val="center"/>
              <w:rPr>
                <w:sz w:val="21"/>
              </w:rPr>
            </w:pPr>
          </w:p>
        </w:tc>
        <w:tc>
          <w:tcPr>
            <w:tcW w:w="516" w:type="dxa"/>
            <w:vAlign w:val="center"/>
          </w:tcPr>
          <w:p w14:paraId="09A752CA">
            <w:pPr>
              <w:pStyle w:val="24"/>
              <w:snapToGrid/>
              <w:spacing w:before="0" w:beforeAutospacing="0" w:after="0" w:afterAutospacing="0" w:line="420" w:lineRule="atLeast"/>
              <w:jc w:val="center"/>
              <w:rPr>
                <w:sz w:val="21"/>
              </w:rPr>
            </w:pPr>
          </w:p>
        </w:tc>
        <w:tc>
          <w:tcPr>
            <w:tcW w:w="366" w:type="dxa"/>
            <w:vAlign w:val="center"/>
          </w:tcPr>
          <w:p w14:paraId="5839C167">
            <w:pPr>
              <w:pStyle w:val="24"/>
              <w:snapToGrid/>
              <w:spacing w:before="0" w:beforeAutospacing="0" w:after="0" w:afterAutospacing="0" w:line="420" w:lineRule="atLeast"/>
              <w:jc w:val="center"/>
              <w:rPr>
                <w:sz w:val="21"/>
              </w:rPr>
            </w:pPr>
          </w:p>
        </w:tc>
        <w:tc>
          <w:tcPr>
            <w:tcW w:w="516" w:type="dxa"/>
            <w:vAlign w:val="center"/>
          </w:tcPr>
          <w:p w14:paraId="580E363E">
            <w:pPr>
              <w:pStyle w:val="24"/>
              <w:snapToGrid/>
              <w:spacing w:before="0" w:beforeAutospacing="0" w:after="0" w:afterAutospacing="0" w:line="420" w:lineRule="atLeast"/>
              <w:jc w:val="center"/>
              <w:rPr>
                <w:sz w:val="21"/>
              </w:rPr>
            </w:pPr>
          </w:p>
        </w:tc>
        <w:tc>
          <w:tcPr>
            <w:tcW w:w="366" w:type="dxa"/>
            <w:vAlign w:val="center"/>
          </w:tcPr>
          <w:p w14:paraId="62A3DF4E">
            <w:pPr>
              <w:pStyle w:val="24"/>
              <w:snapToGrid/>
              <w:spacing w:before="0" w:beforeAutospacing="0" w:after="0" w:afterAutospacing="0" w:line="420" w:lineRule="atLeast"/>
              <w:jc w:val="center"/>
              <w:rPr>
                <w:sz w:val="21"/>
              </w:rPr>
            </w:pPr>
          </w:p>
        </w:tc>
        <w:tc>
          <w:tcPr>
            <w:tcW w:w="666" w:type="dxa"/>
            <w:vAlign w:val="center"/>
          </w:tcPr>
          <w:p w14:paraId="0CF57AB4">
            <w:pPr>
              <w:pStyle w:val="24"/>
              <w:snapToGrid/>
              <w:spacing w:before="0" w:beforeAutospacing="0" w:after="0" w:afterAutospacing="0" w:line="420" w:lineRule="atLeast"/>
              <w:jc w:val="center"/>
              <w:rPr>
                <w:sz w:val="21"/>
              </w:rPr>
            </w:pPr>
          </w:p>
        </w:tc>
        <w:tc>
          <w:tcPr>
            <w:tcW w:w="516" w:type="dxa"/>
            <w:vAlign w:val="center"/>
          </w:tcPr>
          <w:p w14:paraId="292B0432">
            <w:pPr>
              <w:pStyle w:val="24"/>
              <w:snapToGrid/>
              <w:spacing w:before="0" w:beforeAutospacing="0" w:after="0" w:afterAutospacing="0" w:line="420" w:lineRule="atLeast"/>
              <w:jc w:val="center"/>
              <w:rPr>
                <w:sz w:val="21"/>
              </w:rPr>
            </w:pPr>
          </w:p>
        </w:tc>
        <w:tc>
          <w:tcPr>
            <w:tcW w:w="366" w:type="dxa"/>
            <w:vAlign w:val="center"/>
          </w:tcPr>
          <w:p w14:paraId="0CD047D1">
            <w:pPr>
              <w:pStyle w:val="24"/>
              <w:snapToGrid/>
              <w:spacing w:before="0" w:beforeAutospacing="0" w:after="0" w:afterAutospacing="0" w:line="420" w:lineRule="atLeast"/>
              <w:jc w:val="center"/>
              <w:rPr>
                <w:sz w:val="21"/>
              </w:rPr>
            </w:pPr>
          </w:p>
        </w:tc>
        <w:tc>
          <w:tcPr>
            <w:tcW w:w="366" w:type="dxa"/>
            <w:vAlign w:val="center"/>
          </w:tcPr>
          <w:p w14:paraId="3FF8EE3E">
            <w:pPr>
              <w:pStyle w:val="24"/>
              <w:snapToGrid/>
              <w:spacing w:before="0" w:beforeAutospacing="0" w:after="0" w:afterAutospacing="0" w:line="420" w:lineRule="atLeast"/>
              <w:jc w:val="center"/>
              <w:rPr>
                <w:sz w:val="21"/>
              </w:rPr>
            </w:pPr>
          </w:p>
        </w:tc>
        <w:tc>
          <w:tcPr>
            <w:tcW w:w="516" w:type="dxa"/>
            <w:vAlign w:val="center"/>
          </w:tcPr>
          <w:p w14:paraId="09A08421">
            <w:pPr>
              <w:pStyle w:val="24"/>
              <w:snapToGrid/>
              <w:spacing w:before="0" w:beforeAutospacing="0" w:after="0" w:afterAutospacing="0" w:line="420" w:lineRule="atLeast"/>
              <w:jc w:val="center"/>
              <w:rPr>
                <w:sz w:val="21"/>
              </w:rPr>
            </w:pPr>
          </w:p>
        </w:tc>
        <w:tc>
          <w:tcPr>
            <w:tcW w:w="366" w:type="dxa"/>
            <w:vAlign w:val="center"/>
          </w:tcPr>
          <w:p w14:paraId="2D92C562">
            <w:pPr>
              <w:pStyle w:val="24"/>
              <w:snapToGrid/>
              <w:spacing w:before="0" w:beforeAutospacing="0" w:after="0" w:afterAutospacing="0" w:line="420" w:lineRule="atLeast"/>
              <w:jc w:val="center"/>
              <w:rPr>
                <w:sz w:val="21"/>
              </w:rPr>
            </w:pPr>
          </w:p>
        </w:tc>
        <w:tc>
          <w:tcPr>
            <w:tcW w:w="221" w:type="dxa"/>
            <w:vAlign w:val="center"/>
          </w:tcPr>
          <w:p w14:paraId="48E2E356">
            <w:pPr>
              <w:pStyle w:val="24"/>
              <w:snapToGrid/>
              <w:spacing w:before="0" w:beforeAutospacing="0" w:after="0" w:afterAutospacing="0" w:line="420" w:lineRule="atLeast"/>
              <w:jc w:val="center"/>
              <w:rPr>
                <w:sz w:val="21"/>
              </w:rPr>
            </w:pPr>
          </w:p>
        </w:tc>
        <w:tc>
          <w:tcPr>
            <w:tcW w:w="221" w:type="dxa"/>
            <w:vAlign w:val="center"/>
          </w:tcPr>
          <w:p w14:paraId="1F811593">
            <w:pPr>
              <w:pStyle w:val="24"/>
              <w:snapToGrid/>
              <w:spacing w:before="0" w:beforeAutospacing="0" w:after="0" w:afterAutospacing="0" w:line="420" w:lineRule="atLeast"/>
              <w:jc w:val="center"/>
              <w:rPr>
                <w:sz w:val="21"/>
              </w:rPr>
            </w:pPr>
          </w:p>
        </w:tc>
        <w:tc>
          <w:tcPr>
            <w:tcW w:w="221" w:type="dxa"/>
            <w:vAlign w:val="center"/>
          </w:tcPr>
          <w:p w14:paraId="445AD2E1">
            <w:pPr>
              <w:pStyle w:val="24"/>
              <w:snapToGrid/>
              <w:spacing w:before="0" w:beforeAutospacing="0" w:after="0" w:afterAutospacing="0" w:line="420" w:lineRule="atLeast"/>
              <w:jc w:val="center"/>
              <w:rPr>
                <w:sz w:val="21"/>
              </w:rPr>
            </w:pPr>
          </w:p>
        </w:tc>
        <w:tc>
          <w:tcPr>
            <w:tcW w:w="221" w:type="dxa"/>
            <w:vAlign w:val="center"/>
          </w:tcPr>
          <w:p w14:paraId="00F19456">
            <w:pPr>
              <w:pStyle w:val="24"/>
              <w:snapToGrid/>
              <w:spacing w:before="0" w:beforeAutospacing="0" w:after="0" w:afterAutospacing="0" w:line="420" w:lineRule="atLeast"/>
              <w:jc w:val="center"/>
              <w:rPr>
                <w:sz w:val="21"/>
              </w:rPr>
            </w:pPr>
          </w:p>
        </w:tc>
      </w:tr>
      <w:tr w14:paraId="319E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0B9166FB">
            <w:pPr>
              <w:pStyle w:val="24"/>
              <w:snapToGrid/>
              <w:spacing w:before="0" w:beforeAutospacing="0" w:after="0" w:afterAutospacing="0" w:line="420" w:lineRule="atLeast"/>
              <w:jc w:val="center"/>
              <w:rPr>
                <w:sz w:val="21"/>
              </w:rPr>
            </w:pPr>
          </w:p>
        </w:tc>
        <w:tc>
          <w:tcPr>
            <w:tcW w:w="366" w:type="dxa"/>
            <w:vAlign w:val="center"/>
          </w:tcPr>
          <w:p w14:paraId="750B4D99">
            <w:pPr>
              <w:pStyle w:val="24"/>
              <w:snapToGrid/>
              <w:spacing w:before="0" w:beforeAutospacing="0" w:after="0" w:afterAutospacing="0" w:line="420" w:lineRule="atLeast"/>
              <w:jc w:val="center"/>
              <w:rPr>
                <w:sz w:val="21"/>
              </w:rPr>
            </w:pPr>
          </w:p>
        </w:tc>
        <w:tc>
          <w:tcPr>
            <w:tcW w:w="366" w:type="dxa"/>
            <w:vAlign w:val="center"/>
          </w:tcPr>
          <w:p w14:paraId="471F760C">
            <w:pPr>
              <w:pStyle w:val="24"/>
              <w:snapToGrid/>
              <w:spacing w:before="0" w:beforeAutospacing="0" w:after="0" w:afterAutospacing="0" w:line="420" w:lineRule="atLeast"/>
              <w:jc w:val="center"/>
              <w:rPr>
                <w:sz w:val="21"/>
              </w:rPr>
            </w:pPr>
          </w:p>
        </w:tc>
        <w:tc>
          <w:tcPr>
            <w:tcW w:w="366" w:type="dxa"/>
            <w:vAlign w:val="center"/>
          </w:tcPr>
          <w:p w14:paraId="16B4CFEE">
            <w:pPr>
              <w:pStyle w:val="24"/>
              <w:snapToGrid/>
              <w:spacing w:before="0" w:beforeAutospacing="0" w:after="0" w:afterAutospacing="0" w:line="420" w:lineRule="atLeast"/>
              <w:jc w:val="center"/>
              <w:rPr>
                <w:sz w:val="21"/>
              </w:rPr>
            </w:pPr>
          </w:p>
        </w:tc>
        <w:tc>
          <w:tcPr>
            <w:tcW w:w="366" w:type="dxa"/>
            <w:vAlign w:val="center"/>
          </w:tcPr>
          <w:p w14:paraId="7900C8F5">
            <w:pPr>
              <w:pStyle w:val="24"/>
              <w:snapToGrid/>
              <w:spacing w:before="0" w:beforeAutospacing="0" w:after="0" w:afterAutospacing="0" w:line="420" w:lineRule="atLeast"/>
              <w:jc w:val="center"/>
              <w:rPr>
                <w:sz w:val="21"/>
              </w:rPr>
            </w:pPr>
          </w:p>
        </w:tc>
        <w:tc>
          <w:tcPr>
            <w:tcW w:w="516" w:type="dxa"/>
            <w:vAlign w:val="center"/>
          </w:tcPr>
          <w:p w14:paraId="61DAB913">
            <w:pPr>
              <w:pStyle w:val="24"/>
              <w:snapToGrid/>
              <w:spacing w:before="0" w:beforeAutospacing="0" w:after="0" w:afterAutospacing="0" w:line="420" w:lineRule="atLeast"/>
              <w:jc w:val="center"/>
              <w:rPr>
                <w:sz w:val="21"/>
              </w:rPr>
            </w:pPr>
          </w:p>
        </w:tc>
        <w:tc>
          <w:tcPr>
            <w:tcW w:w="366" w:type="dxa"/>
            <w:vAlign w:val="center"/>
          </w:tcPr>
          <w:p w14:paraId="70798421">
            <w:pPr>
              <w:pStyle w:val="24"/>
              <w:snapToGrid/>
              <w:spacing w:before="0" w:beforeAutospacing="0" w:after="0" w:afterAutospacing="0" w:line="420" w:lineRule="atLeast"/>
              <w:jc w:val="center"/>
              <w:rPr>
                <w:sz w:val="21"/>
              </w:rPr>
            </w:pPr>
          </w:p>
        </w:tc>
        <w:tc>
          <w:tcPr>
            <w:tcW w:w="366" w:type="dxa"/>
            <w:vAlign w:val="center"/>
          </w:tcPr>
          <w:p w14:paraId="5EA8A7EE">
            <w:pPr>
              <w:pStyle w:val="24"/>
              <w:snapToGrid/>
              <w:spacing w:before="0" w:beforeAutospacing="0" w:after="0" w:afterAutospacing="0" w:line="420" w:lineRule="atLeast"/>
              <w:jc w:val="center"/>
              <w:rPr>
                <w:sz w:val="21"/>
              </w:rPr>
            </w:pPr>
          </w:p>
        </w:tc>
        <w:tc>
          <w:tcPr>
            <w:tcW w:w="516" w:type="dxa"/>
            <w:vAlign w:val="center"/>
          </w:tcPr>
          <w:p w14:paraId="2B64274D">
            <w:pPr>
              <w:pStyle w:val="24"/>
              <w:snapToGrid/>
              <w:spacing w:before="0" w:beforeAutospacing="0" w:after="0" w:afterAutospacing="0" w:line="420" w:lineRule="atLeast"/>
              <w:jc w:val="center"/>
              <w:rPr>
                <w:sz w:val="21"/>
              </w:rPr>
            </w:pPr>
          </w:p>
        </w:tc>
        <w:tc>
          <w:tcPr>
            <w:tcW w:w="366" w:type="dxa"/>
            <w:vAlign w:val="center"/>
          </w:tcPr>
          <w:p w14:paraId="7793F3AD">
            <w:pPr>
              <w:pStyle w:val="24"/>
              <w:snapToGrid/>
              <w:spacing w:before="0" w:beforeAutospacing="0" w:after="0" w:afterAutospacing="0" w:line="420" w:lineRule="atLeast"/>
              <w:jc w:val="center"/>
              <w:rPr>
                <w:sz w:val="21"/>
              </w:rPr>
            </w:pPr>
          </w:p>
        </w:tc>
        <w:tc>
          <w:tcPr>
            <w:tcW w:w="516" w:type="dxa"/>
            <w:vAlign w:val="center"/>
          </w:tcPr>
          <w:p w14:paraId="58B21E8A">
            <w:pPr>
              <w:pStyle w:val="24"/>
              <w:snapToGrid/>
              <w:spacing w:before="0" w:beforeAutospacing="0" w:after="0" w:afterAutospacing="0" w:line="420" w:lineRule="atLeast"/>
              <w:jc w:val="center"/>
              <w:rPr>
                <w:sz w:val="21"/>
              </w:rPr>
            </w:pPr>
          </w:p>
        </w:tc>
        <w:tc>
          <w:tcPr>
            <w:tcW w:w="366" w:type="dxa"/>
            <w:vAlign w:val="center"/>
          </w:tcPr>
          <w:p w14:paraId="1D5A4F4C">
            <w:pPr>
              <w:pStyle w:val="24"/>
              <w:snapToGrid/>
              <w:spacing w:before="0" w:beforeAutospacing="0" w:after="0" w:afterAutospacing="0" w:line="420" w:lineRule="atLeast"/>
              <w:jc w:val="center"/>
              <w:rPr>
                <w:sz w:val="21"/>
              </w:rPr>
            </w:pPr>
          </w:p>
        </w:tc>
        <w:tc>
          <w:tcPr>
            <w:tcW w:w="666" w:type="dxa"/>
            <w:vAlign w:val="center"/>
          </w:tcPr>
          <w:p w14:paraId="247EC581">
            <w:pPr>
              <w:pStyle w:val="24"/>
              <w:snapToGrid/>
              <w:spacing w:before="0" w:beforeAutospacing="0" w:after="0" w:afterAutospacing="0" w:line="420" w:lineRule="atLeast"/>
              <w:jc w:val="center"/>
              <w:rPr>
                <w:sz w:val="21"/>
              </w:rPr>
            </w:pPr>
          </w:p>
        </w:tc>
        <w:tc>
          <w:tcPr>
            <w:tcW w:w="516" w:type="dxa"/>
            <w:vAlign w:val="center"/>
          </w:tcPr>
          <w:p w14:paraId="38331A36">
            <w:pPr>
              <w:pStyle w:val="24"/>
              <w:snapToGrid/>
              <w:spacing w:before="0" w:beforeAutospacing="0" w:after="0" w:afterAutospacing="0" w:line="420" w:lineRule="atLeast"/>
              <w:jc w:val="center"/>
              <w:rPr>
                <w:sz w:val="21"/>
              </w:rPr>
            </w:pPr>
          </w:p>
        </w:tc>
        <w:tc>
          <w:tcPr>
            <w:tcW w:w="366" w:type="dxa"/>
            <w:vAlign w:val="center"/>
          </w:tcPr>
          <w:p w14:paraId="443410C1">
            <w:pPr>
              <w:pStyle w:val="24"/>
              <w:snapToGrid/>
              <w:spacing w:before="0" w:beforeAutospacing="0" w:after="0" w:afterAutospacing="0" w:line="420" w:lineRule="atLeast"/>
              <w:jc w:val="center"/>
              <w:rPr>
                <w:sz w:val="21"/>
              </w:rPr>
            </w:pPr>
          </w:p>
        </w:tc>
        <w:tc>
          <w:tcPr>
            <w:tcW w:w="366" w:type="dxa"/>
            <w:vAlign w:val="center"/>
          </w:tcPr>
          <w:p w14:paraId="650F5A2C">
            <w:pPr>
              <w:pStyle w:val="24"/>
              <w:snapToGrid/>
              <w:spacing w:before="0" w:beforeAutospacing="0" w:after="0" w:afterAutospacing="0" w:line="420" w:lineRule="atLeast"/>
              <w:jc w:val="center"/>
              <w:rPr>
                <w:sz w:val="21"/>
              </w:rPr>
            </w:pPr>
          </w:p>
        </w:tc>
        <w:tc>
          <w:tcPr>
            <w:tcW w:w="516" w:type="dxa"/>
            <w:vAlign w:val="center"/>
          </w:tcPr>
          <w:p w14:paraId="7823E0AC">
            <w:pPr>
              <w:pStyle w:val="24"/>
              <w:snapToGrid/>
              <w:spacing w:before="0" w:beforeAutospacing="0" w:after="0" w:afterAutospacing="0" w:line="420" w:lineRule="atLeast"/>
              <w:jc w:val="center"/>
              <w:rPr>
                <w:sz w:val="21"/>
              </w:rPr>
            </w:pPr>
          </w:p>
        </w:tc>
        <w:tc>
          <w:tcPr>
            <w:tcW w:w="366" w:type="dxa"/>
            <w:vAlign w:val="center"/>
          </w:tcPr>
          <w:p w14:paraId="1B5BD51D">
            <w:pPr>
              <w:pStyle w:val="24"/>
              <w:snapToGrid/>
              <w:spacing w:before="0" w:beforeAutospacing="0" w:after="0" w:afterAutospacing="0" w:line="420" w:lineRule="atLeast"/>
              <w:jc w:val="center"/>
              <w:rPr>
                <w:sz w:val="21"/>
              </w:rPr>
            </w:pPr>
          </w:p>
        </w:tc>
        <w:tc>
          <w:tcPr>
            <w:tcW w:w="221" w:type="dxa"/>
            <w:vAlign w:val="center"/>
          </w:tcPr>
          <w:p w14:paraId="1049EE58">
            <w:pPr>
              <w:pStyle w:val="24"/>
              <w:snapToGrid/>
              <w:spacing w:before="0" w:beforeAutospacing="0" w:after="0" w:afterAutospacing="0" w:line="420" w:lineRule="atLeast"/>
              <w:jc w:val="center"/>
              <w:rPr>
                <w:sz w:val="21"/>
              </w:rPr>
            </w:pPr>
          </w:p>
        </w:tc>
        <w:tc>
          <w:tcPr>
            <w:tcW w:w="221" w:type="dxa"/>
            <w:vAlign w:val="center"/>
          </w:tcPr>
          <w:p w14:paraId="3001B138">
            <w:pPr>
              <w:pStyle w:val="24"/>
              <w:snapToGrid/>
              <w:spacing w:before="0" w:beforeAutospacing="0" w:after="0" w:afterAutospacing="0" w:line="420" w:lineRule="atLeast"/>
              <w:jc w:val="center"/>
              <w:rPr>
                <w:sz w:val="21"/>
              </w:rPr>
            </w:pPr>
          </w:p>
        </w:tc>
        <w:tc>
          <w:tcPr>
            <w:tcW w:w="221" w:type="dxa"/>
            <w:vAlign w:val="center"/>
          </w:tcPr>
          <w:p w14:paraId="6E31EC20">
            <w:pPr>
              <w:pStyle w:val="24"/>
              <w:snapToGrid/>
              <w:spacing w:before="0" w:beforeAutospacing="0" w:after="0" w:afterAutospacing="0" w:line="420" w:lineRule="atLeast"/>
              <w:jc w:val="center"/>
              <w:rPr>
                <w:sz w:val="21"/>
              </w:rPr>
            </w:pPr>
          </w:p>
        </w:tc>
        <w:tc>
          <w:tcPr>
            <w:tcW w:w="221" w:type="dxa"/>
            <w:vAlign w:val="center"/>
          </w:tcPr>
          <w:p w14:paraId="55420F3D">
            <w:pPr>
              <w:pStyle w:val="24"/>
              <w:snapToGrid/>
              <w:spacing w:before="0" w:beforeAutospacing="0" w:after="0" w:afterAutospacing="0" w:line="420" w:lineRule="atLeast"/>
              <w:jc w:val="center"/>
              <w:rPr>
                <w:sz w:val="21"/>
              </w:rPr>
            </w:pPr>
          </w:p>
        </w:tc>
      </w:tr>
    </w:tbl>
    <w:p w14:paraId="024010E8">
      <w:pPr>
        <w:pStyle w:val="24"/>
        <w:snapToGrid/>
        <w:spacing w:before="0" w:beforeAutospacing="0" w:after="0" w:afterAutospacing="0" w:line="420" w:lineRule="atLeast"/>
        <w:jc w:val="both"/>
        <w:rPr>
          <w:sz w:val="21"/>
        </w:rPr>
      </w:pPr>
    </w:p>
    <w:p w14:paraId="5FC69263">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0910B226"/>
    <w:p w14:paraId="75543F19"/>
    <w:p w14:paraId="07EF11C9"/>
    <w:p w14:paraId="04FDC667">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7</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1102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383FE838">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77C1D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5E5CF5A4">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54AF4A6C">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2EDFC977">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125B9E70">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69CBB45B">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2A9BDE00">
            <w:pPr>
              <w:pStyle w:val="24"/>
              <w:snapToGrid/>
              <w:spacing w:before="0" w:beforeAutospacing="0" w:after="0" w:afterAutospacing="0" w:line="420" w:lineRule="atLeast"/>
              <w:jc w:val="center"/>
              <w:rPr>
                <w:sz w:val="21"/>
              </w:rPr>
            </w:pPr>
            <w:r>
              <w:rPr>
                <w:rFonts w:hint="eastAsia"/>
                <w:sz w:val="21"/>
              </w:rPr>
              <w:t>单设备非国产芯片数量（颗）</w:t>
            </w:r>
          </w:p>
        </w:tc>
      </w:tr>
      <w:tr w14:paraId="0FD51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3E47ABBC">
            <w:pPr>
              <w:pStyle w:val="24"/>
              <w:snapToGrid/>
              <w:spacing w:before="0" w:beforeAutospacing="0" w:after="0" w:afterAutospacing="0" w:line="420" w:lineRule="atLeast"/>
              <w:jc w:val="center"/>
              <w:rPr>
                <w:sz w:val="21"/>
                <w:u w:val="single"/>
              </w:rPr>
            </w:pPr>
            <w:r>
              <w:rPr>
                <w:rFonts w:hint="eastAsia"/>
                <w:sz w:val="21"/>
                <w:u w:val="single"/>
              </w:rPr>
              <w:t>安全运营管理平台</w:t>
            </w:r>
          </w:p>
          <w:p w14:paraId="48D17888">
            <w:pPr>
              <w:pStyle w:val="24"/>
              <w:snapToGrid/>
              <w:spacing w:before="0" w:beforeAutospacing="0" w:after="0" w:afterAutospacing="0" w:line="420" w:lineRule="atLeast"/>
              <w:jc w:val="center"/>
              <w:rPr>
                <w:sz w:val="21"/>
                <w:u w:val="single"/>
              </w:rPr>
            </w:pPr>
          </w:p>
        </w:tc>
        <w:tc>
          <w:tcPr>
            <w:tcW w:w="1545" w:type="dxa"/>
            <w:vAlign w:val="center"/>
          </w:tcPr>
          <w:p w14:paraId="7A75546C">
            <w:pPr>
              <w:pStyle w:val="24"/>
              <w:snapToGrid/>
              <w:spacing w:before="0" w:beforeAutospacing="0" w:after="0" w:afterAutospacing="0" w:line="420" w:lineRule="atLeast"/>
              <w:jc w:val="center"/>
              <w:rPr>
                <w:sz w:val="21"/>
              </w:rPr>
            </w:pPr>
          </w:p>
        </w:tc>
        <w:tc>
          <w:tcPr>
            <w:tcW w:w="1420" w:type="dxa"/>
            <w:vAlign w:val="center"/>
          </w:tcPr>
          <w:p w14:paraId="07BABBE2">
            <w:pPr>
              <w:pStyle w:val="24"/>
              <w:snapToGrid/>
              <w:spacing w:before="0" w:beforeAutospacing="0" w:after="0" w:afterAutospacing="0" w:line="420" w:lineRule="atLeast"/>
              <w:jc w:val="center"/>
              <w:rPr>
                <w:sz w:val="21"/>
              </w:rPr>
            </w:pPr>
          </w:p>
        </w:tc>
        <w:tc>
          <w:tcPr>
            <w:tcW w:w="1420" w:type="dxa"/>
            <w:vAlign w:val="center"/>
          </w:tcPr>
          <w:p w14:paraId="561625D0">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57EC0FBA">
            <w:pPr>
              <w:pStyle w:val="24"/>
              <w:snapToGrid/>
              <w:spacing w:before="0" w:beforeAutospacing="0" w:after="0" w:afterAutospacing="0" w:line="420" w:lineRule="atLeast"/>
              <w:jc w:val="center"/>
              <w:rPr>
                <w:sz w:val="21"/>
              </w:rPr>
            </w:pPr>
          </w:p>
        </w:tc>
        <w:tc>
          <w:tcPr>
            <w:tcW w:w="1421" w:type="dxa"/>
            <w:vAlign w:val="center"/>
          </w:tcPr>
          <w:p w14:paraId="7B00D011">
            <w:pPr>
              <w:pStyle w:val="24"/>
              <w:snapToGrid/>
              <w:spacing w:before="0" w:beforeAutospacing="0" w:after="0" w:afterAutospacing="0" w:line="420" w:lineRule="atLeast"/>
              <w:jc w:val="center"/>
              <w:rPr>
                <w:sz w:val="21"/>
              </w:rPr>
            </w:pPr>
          </w:p>
        </w:tc>
      </w:tr>
      <w:tr w14:paraId="22E6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4F9548F">
            <w:pPr>
              <w:pStyle w:val="24"/>
              <w:snapToGrid/>
              <w:spacing w:before="0" w:beforeAutospacing="0" w:after="0" w:afterAutospacing="0" w:line="420" w:lineRule="atLeast"/>
              <w:jc w:val="center"/>
              <w:rPr>
                <w:sz w:val="21"/>
              </w:rPr>
            </w:pPr>
          </w:p>
        </w:tc>
        <w:tc>
          <w:tcPr>
            <w:tcW w:w="1545" w:type="dxa"/>
            <w:vAlign w:val="center"/>
          </w:tcPr>
          <w:p w14:paraId="1C8BD0A3">
            <w:pPr>
              <w:pStyle w:val="24"/>
              <w:snapToGrid/>
              <w:spacing w:before="0" w:beforeAutospacing="0" w:after="0" w:afterAutospacing="0" w:line="420" w:lineRule="atLeast"/>
              <w:jc w:val="center"/>
              <w:rPr>
                <w:sz w:val="21"/>
              </w:rPr>
            </w:pPr>
          </w:p>
        </w:tc>
        <w:tc>
          <w:tcPr>
            <w:tcW w:w="1420" w:type="dxa"/>
            <w:vAlign w:val="center"/>
          </w:tcPr>
          <w:p w14:paraId="638EF34F">
            <w:pPr>
              <w:pStyle w:val="24"/>
              <w:snapToGrid/>
              <w:spacing w:before="0" w:beforeAutospacing="0" w:after="0" w:afterAutospacing="0" w:line="420" w:lineRule="atLeast"/>
              <w:jc w:val="center"/>
              <w:rPr>
                <w:sz w:val="21"/>
              </w:rPr>
            </w:pPr>
          </w:p>
        </w:tc>
        <w:tc>
          <w:tcPr>
            <w:tcW w:w="1420" w:type="dxa"/>
            <w:vAlign w:val="center"/>
          </w:tcPr>
          <w:p w14:paraId="64882EA4">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69F2E5FE">
            <w:pPr>
              <w:pStyle w:val="24"/>
              <w:snapToGrid/>
              <w:spacing w:before="0" w:beforeAutospacing="0" w:after="0" w:afterAutospacing="0" w:line="420" w:lineRule="atLeast"/>
              <w:jc w:val="center"/>
              <w:rPr>
                <w:sz w:val="21"/>
              </w:rPr>
            </w:pPr>
          </w:p>
        </w:tc>
        <w:tc>
          <w:tcPr>
            <w:tcW w:w="1421" w:type="dxa"/>
            <w:vAlign w:val="center"/>
          </w:tcPr>
          <w:p w14:paraId="30C22F8E">
            <w:pPr>
              <w:pStyle w:val="24"/>
              <w:snapToGrid/>
              <w:spacing w:before="0" w:beforeAutospacing="0" w:after="0" w:afterAutospacing="0" w:line="420" w:lineRule="atLeast"/>
              <w:jc w:val="center"/>
              <w:rPr>
                <w:sz w:val="21"/>
              </w:rPr>
            </w:pPr>
          </w:p>
        </w:tc>
      </w:tr>
      <w:tr w14:paraId="3E3C7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28DF4504">
            <w:pPr>
              <w:pStyle w:val="24"/>
              <w:snapToGrid/>
              <w:spacing w:before="0" w:beforeAutospacing="0" w:after="0" w:afterAutospacing="0" w:line="420" w:lineRule="atLeast"/>
              <w:jc w:val="center"/>
              <w:rPr>
                <w:sz w:val="21"/>
              </w:rPr>
            </w:pPr>
          </w:p>
        </w:tc>
        <w:tc>
          <w:tcPr>
            <w:tcW w:w="1545" w:type="dxa"/>
            <w:vAlign w:val="center"/>
          </w:tcPr>
          <w:p w14:paraId="552FD405">
            <w:pPr>
              <w:pStyle w:val="24"/>
              <w:snapToGrid/>
              <w:spacing w:before="0" w:beforeAutospacing="0" w:after="0" w:afterAutospacing="0" w:line="420" w:lineRule="atLeast"/>
              <w:jc w:val="center"/>
              <w:rPr>
                <w:sz w:val="21"/>
              </w:rPr>
            </w:pPr>
          </w:p>
        </w:tc>
        <w:tc>
          <w:tcPr>
            <w:tcW w:w="1420" w:type="dxa"/>
            <w:vAlign w:val="center"/>
          </w:tcPr>
          <w:p w14:paraId="7B832EC3">
            <w:pPr>
              <w:pStyle w:val="24"/>
              <w:snapToGrid/>
              <w:spacing w:before="0" w:beforeAutospacing="0" w:after="0" w:afterAutospacing="0" w:line="420" w:lineRule="atLeast"/>
              <w:jc w:val="center"/>
              <w:rPr>
                <w:sz w:val="21"/>
              </w:rPr>
            </w:pPr>
          </w:p>
        </w:tc>
        <w:tc>
          <w:tcPr>
            <w:tcW w:w="1420" w:type="dxa"/>
            <w:vAlign w:val="center"/>
          </w:tcPr>
          <w:p w14:paraId="045F39E4">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76E9BC23">
            <w:pPr>
              <w:pStyle w:val="24"/>
              <w:snapToGrid/>
              <w:spacing w:before="0" w:beforeAutospacing="0" w:after="0" w:afterAutospacing="0" w:line="420" w:lineRule="atLeast"/>
              <w:jc w:val="center"/>
              <w:rPr>
                <w:sz w:val="21"/>
              </w:rPr>
            </w:pPr>
          </w:p>
        </w:tc>
        <w:tc>
          <w:tcPr>
            <w:tcW w:w="1421" w:type="dxa"/>
            <w:vAlign w:val="center"/>
          </w:tcPr>
          <w:p w14:paraId="36ABE426">
            <w:pPr>
              <w:pStyle w:val="24"/>
              <w:snapToGrid/>
              <w:spacing w:before="0" w:beforeAutospacing="0" w:after="0" w:afterAutospacing="0" w:line="420" w:lineRule="atLeast"/>
              <w:jc w:val="center"/>
              <w:rPr>
                <w:sz w:val="21"/>
              </w:rPr>
            </w:pPr>
          </w:p>
        </w:tc>
      </w:tr>
      <w:tr w14:paraId="777C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4619C1BE">
            <w:pPr>
              <w:pStyle w:val="24"/>
              <w:snapToGrid/>
              <w:spacing w:before="0" w:beforeAutospacing="0" w:after="0" w:afterAutospacing="0" w:line="420" w:lineRule="atLeast"/>
              <w:jc w:val="center"/>
              <w:rPr>
                <w:sz w:val="21"/>
              </w:rPr>
            </w:pPr>
          </w:p>
        </w:tc>
        <w:tc>
          <w:tcPr>
            <w:tcW w:w="1545" w:type="dxa"/>
            <w:vAlign w:val="center"/>
          </w:tcPr>
          <w:p w14:paraId="7BCFE327">
            <w:pPr>
              <w:pStyle w:val="24"/>
              <w:snapToGrid/>
              <w:spacing w:before="0" w:beforeAutospacing="0" w:after="0" w:afterAutospacing="0" w:line="420" w:lineRule="atLeast"/>
              <w:jc w:val="center"/>
              <w:rPr>
                <w:sz w:val="21"/>
              </w:rPr>
            </w:pPr>
          </w:p>
        </w:tc>
        <w:tc>
          <w:tcPr>
            <w:tcW w:w="1420" w:type="dxa"/>
            <w:vAlign w:val="center"/>
          </w:tcPr>
          <w:p w14:paraId="0ACDDAAA">
            <w:pPr>
              <w:pStyle w:val="24"/>
              <w:snapToGrid/>
              <w:spacing w:before="0" w:beforeAutospacing="0" w:after="0" w:afterAutospacing="0" w:line="420" w:lineRule="atLeast"/>
              <w:jc w:val="center"/>
              <w:rPr>
                <w:sz w:val="21"/>
              </w:rPr>
            </w:pPr>
          </w:p>
        </w:tc>
        <w:tc>
          <w:tcPr>
            <w:tcW w:w="1420" w:type="dxa"/>
            <w:vAlign w:val="center"/>
          </w:tcPr>
          <w:p w14:paraId="4AF60CE3">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234CDDA2">
            <w:pPr>
              <w:pStyle w:val="24"/>
              <w:snapToGrid/>
              <w:spacing w:before="0" w:beforeAutospacing="0" w:after="0" w:afterAutospacing="0" w:line="420" w:lineRule="atLeast"/>
              <w:jc w:val="center"/>
              <w:rPr>
                <w:sz w:val="21"/>
              </w:rPr>
            </w:pPr>
          </w:p>
        </w:tc>
        <w:tc>
          <w:tcPr>
            <w:tcW w:w="1421" w:type="dxa"/>
            <w:vAlign w:val="center"/>
          </w:tcPr>
          <w:p w14:paraId="0CB0DE64">
            <w:pPr>
              <w:pStyle w:val="24"/>
              <w:snapToGrid/>
              <w:spacing w:before="0" w:beforeAutospacing="0" w:after="0" w:afterAutospacing="0" w:line="420" w:lineRule="atLeast"/>
              <w:jc w:val="center"/>
              <w:rPr>
                <w:sz w:val="21"/>
              </w:rPr>
            </w:pPr>
          </w:p>
        </w:tc>
      </w:tr>
      <w:tr w14:paraId="0A6D9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E4D697C">
            <w:pPr>
              <w:pStyle w:val="24"/>
              <w:snapToGrid/>
              <w:spacing w:before="0" w:beforeAutospacing="0" w:after="0" w:afterAutospacing="0" w:line="420" w:lineRule="atLeast"/>
              <w:jc w:val="center"/>
              <w:rPr>
                <w:sz w:val="21"/>
              </w:rPr>
            </w:pPr>
          </w:p>
        </w:tc>
        <w:tc>
          <w:tcPr>
            <w:tcW w:w="1545" w:type="dxa"/>
            <w:vAlign w:val="center"/>
          </w:tcPr>
          <w:p w14:paraId="3609978A">
            <w:pPr>
              <w:pStyle w:val="24"/>
              <w:snapToGrid/>
              <w:spacing w:before="0" w:beforeAutospacing="0" w:after="0" w:afterAutospacing="0" w:line="420" w:lineRule="atLeast"/>
              <w:jc w:val="center"/>
              <w:rPr>
                <w:sz w:val="21"/>
              </w:rPr>
            </w:pPr>
          </w:p>
        </w:tc>
        <w:tc>
          <w:tcPr>
            <w:tcW w:w="1420" w:type="dxa"/>
            <w:vAlign w:val="center"/>
          </w:tcPr>
          <w:p w14:paraId="7A95A6CA">
            <w:pPr>
              <w:pStyle w:val="24"/>
              <w:snapToGrid/>
              <w:spacing w:before="0" w:beforeAutospacing="0" w:after="0" w:afterAutospacing="0" w:line="420" w:lineRule="atLeast"/>
              <w:jc w:val="center"/>
              <w:rPr>
                <w:sz w:val="21"/>
              </w:rPr>
            </w:pPr>
          </w:p>
        </w:tc>
        <w:tc>
          <w:tcPr>
            <w:tcW w:w="1420" w:type="dxa"/>
            <w:vAlign w:val="center"/>
          </w:tcPr>
          <w:p w14:paraId="1256FE4C">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59FB9138">
            <w:pPr>
              <w:pStyle w:val="24"/>
              <w:snapToGrid/>
              <w:spacing w:before="0" w:beforeAutospacing="0" w:after="0" w:afterAutospacing="0" w:line="420" w:lineRule="atLeast"/>
              <w:jc w:val="center"/>
              <w:rPr>
                <w:sz w:val="21"/>
              </w:rPr>
            </w:pPr>
          </w:p>
        </w:tc>
        <w:tc>
          <w:tcPr>
            <w:tcW w:w="1421" w:type="dxa"/>
            <w:vAlign w:val="center"/>
          </w:tcPr>
          <w:p w14:paraId="690E0D7F">
            <w:pPr>
              <w:pStyle w:val="24"/>
              <w:snapToGrid/>
              <w:spacing w:before="0" w:beforeAutospacing="0" w:after="0" w:afterAutospacing="0" w:line="420" w:lineRule="atLeast"/>
              <w:jc w:val="center"/>
              <w:rPr>
                <w:sz w:val="21"/>
              </w:rPr>
            </w:pPr>
          </w:p>
        </w:tc>
      </w:tr>
      <w:tr w14:paraId="114D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74682AB7">
            <w:pPr>
              <w:pStyle w:val="24"/>
              <w:snapToGrid/>
              <w:spacing w:before="0" w:beforeAutospacing="0" w:after="0" w:afterAutospacing="0" w:line="420" w:lineRule="atLeast"/>
              <w:jc w:val="center"/>
              <w:rPr>
                <w:sz w:val="21"/>
              </w:rPr>
            </w:pPr>
          </w:p>
        </w:tc>
        <w:tc>
          <w:tcPr>
            <w:tcW w:w="1545" w:type="dxa"/>
            <w:vAlign w:val="center"/>
          </w:tcPr>
          <w:p w14:paraId="7D23B6E3">
            <w:pPr>
              <w:pStyle w:val="24"/>
              <w:snapToGrid/>
              <w:spacing w:before="0" w:beforeAutospacing="0" w:after="0" w:afterAutospacing="0" w:line="420" w:lineRule="atLeast"/>
              <w:jc w:val="center"/>
              <w:rPr>
                <w:sz w:val="21"/>
              </w:rPr>
            </w:pPr>
          </w:p>
        </w:tc>
        <w:tc>
          <w:tcPr>
            <w:tcW w:w="1420" w:type="dxa"/>
            <w:vAlign w:val="center"/>
          </w:tcPr>
          <w:p w14:paraId="63F5F80F">
            <w:pPr>
              <w:pStyle w:val="24"/>
              <w:snapToGrid/>
              <w:spacing w:before="0" w:beforeAutospacing="0" w:after="0" w:afterAutospacing="0" w:line="420" w:lineRule="atLeast"/>
              <w:jc w:val="center"/>
              <w:rPr>
                <w:sz w:val="21"/>
              </w:rPr>
            </w:pPr>
          </w:p>
        </w:tc>
        <w:tc>
          <w:tcPr>
            <w:tcW w:w="1420" w:type="dxa"/>
            <w:vAlign w:val="center"/>
          </w:tcPr>
          <w:p w14:paraId="332D76BC">
            <w:pPr>
              <w:widowControl/>
              <w:snapToGrid/>
              <w:spacing w:line="420" w:lineRule="atLeast"/>
              <w:jc w:val="center"/>
            </w:pPr>
            <w:r>
              <w:rPr>
                <w:rFonts w:hint="eastAsia"/>
              </w:rPr>
              <w:t>电源模块控制芯片</w:t>
            </w:r>
          </w:p>
        </w:tc>
        <w:tc>
          <w:tcPr>
            <w:tcW w:w="1421" w:type="dxa"/>
            <w:vAlign w:val="center"/>
          </w:tcPr>
          <w:p w14:paraId="5A8F3D2D">
            <w:pPr>
              <w:pStyle w:val="24"/>
              <w:snapToGrid/>
              <w:spacing w:before="0" w:beforeAutospacing="0" w:after="0" w:afterAutospacing="0" w:line="420" w:lineRule="atLeast"/>
              <w:jc w:val="center"/>
              <w:rPr>
                <w:sz w:val="21"/>
              </w:rPr>
            </w:pPr>
          </w:p>
        </w:tc>
        <w:tc>
          <w:tcPr>
            <w:tcW w:w="1421" w:type="dxa"/>
            <w:vAlign w:val="center"/>
          </w:tcPr>
          <w:p w14:paraId="36128C11">
            <w:pPr>
              <w:pStyle w:val="24"/>
              <w:snapToGrid/>
              <w:spacing w:before="0" w:beforeAutospacing="0" w:after="0" w:afterAutospacing="0" w:line="420" w:lineRule="atLeast"/>
              <w:jc w:val="center"/>
              <w:rPr>
                <w:sz w:val="21"/>
              </w:rPr>
            </w:pPr>
          </w:p>
        </w:tc>
      </w:tr>
    </w:tbl>
    <w:p w14:paraId="00DE1C98">
      <w:pPr>
        <w:pStyle w:val="24"/>
        <w:spacing w:before="900" w:beforeAutospacing="0" w:after="0" w:afterAutospacing="0" w:line="420" w:lineRule="atLeast"/>
        <w:jc w:val="both"/>
        <w:rPr>
          <w:rFonts w:cs="宋体"/>
          <w:sz w:val="28"/>
          <w:szCs w:val="28"/>
        </w:rPr>
      </w:pPr>
    </w:p>
    <w:p w14:paraId="2376D7D6">
      <w:pPr>
        <w:pStyle w:val="24"/>
        <w:spacing w:before="900" w:beforeAutospacing="0" w:after="0" w:afterAutospacing="0" w:line="420" w:lineRule="atLeast"/>
        <w:jc w:val="both"/>
        <w:rPr>
          <w:rFonts w:cs="宋体"/>
          <w:sz w:val="28"/>
          <w:szCs w:val="28"/>
        </w:rPr>
      </w:pPr>
    </w:p>
    <w:p w14:paraId="0ABA6B75">
      <w:pPr>
        <w:pStyle w:val="24"/>
        <w:spacing w:before="900" w:beforeAutospacing="0" w:after="0" w:afterAutospacing="0" w:line="420" w:lineRule="atLeast"/>
        <w:jc w:val="both"/>
        <w:rPr>
          <w:rFonts w:cs="宋体"/>
          <w:sz w:val="28"/>
          <w:szCs w:val="28"/>
        </w:rPr>
      </w:pPr>
    </w:p>
    <w:p w14:paraId="19B2D18D">
      <w:pPr>
        <w:pStyle w:val="24"/>
        <w:spacing w:before="900" w:beforeAutospacing="0" w:after="0" w:afterAutospacing="0" w:line="420" w:lineRule="atLeast"/>
        <w:jc w:val="both"/>
        <w:rPr>
          <w:rFonts w:cs="宋体"/>
          <w:sz w:val="28"/>
          <w:szCs w:val="28"/>
        </w:rPr>
      </w:pPr>
    </w:p>
    <w:p w14:paraId="6E68E289">
      <w:pPr>
        <w:pStyle w:val="24"/>
        <w:spacing w:before="900" w:beforeAutospacing="0" w:after="0" w:afterAutospacing="0" w:line="420" w:lineRule="atLeast"/>
        <w:jc w:val="both"/>
        <w:rPr>
          <w:rFonts w:cs="宋体"/>
          <w:sz w:val="28"/>
          <w:szCs w:val="28"/>
        </w:rPr>
      </w:pPr>
    </w:p>
    <w:p w14:paraId="1B2E4772">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8</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7522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60F6A0AA">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2367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0F5AC247">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2EC29313">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2F757A00">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478B5640">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21ED0C36">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54909766">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2A1D4523">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0D22C6D2">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074BDA36">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61D05044">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5E57E2AF">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3159EDE1">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4E1DEC94">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38FD3A4E">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7B21382D">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738FBDE1">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11391CB6">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6D3E2D54">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3C315858">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5D3C5488">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723DCA05">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09E02162">
            <w:pPr>
              <w:pStyle w:val="24"/>
              <w:snapToGrid/>
              <w:spacing w:before="0" w:beforeAutospacing="0" w:after="0" w:afterAutospacing="0" w:line="420" w:lineRule="atLeast"/>
              <w:jc w:val="center"/>
              <w:rPr>
                <w:sz w:val="21"/>
              </w:rPr>
            </w:pPr>
            <w:r>
              <w:rPr>
                <w:rFonts w:hint="eastAsia"/>
                <w:sz w:val="21"/>
              </w:rPr>
              <w:t>境内/境外</w:t>
            </w:r>
          </w:p>
        </w:tc>
      </w:tr>
      <w:tr w14:paraId="39D6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6EE62938">
            <w:pPr>
              <w:pStyle w:val="24"/>
              <w:snapToGrid/>
              <w:spacing w:before="0" w:beforeAutospacing="0" w:after="0" w:afterAutospacing="0" w:line="420" w:lineRule="atLeast"/>
              <w:jc w:val="center"/>
              <w:rPr>
                <w:sz w:val="21"/>
              </w:rPr>
            </w:pPr>
          </w:p>
        </w:tc>
        <w:tc>
          <w:tcPr>
            <w:tcW w:w="366" w:type="dxa"/>
            <w:vAlign w:val="center"/>
          </w:tcPr>
          <w:p w14:paraId="13187C51">
            <w:pPr>
              <w:pStyle w:val="24"/>
              <w:snapToGrid/>
              <w:spacing w:before="0" w:beforeAutospacing="0" w:after="0" w:afterAutospacing="0" w:line="420" w:lineRule="atLeast"/>
              <w:jc w:val="center"/>
              <w:rPr>
                <w:sz w:val="21"/>
              </w:rPr>
            </w:pPr>
          </w:p>
        </w:tc>
        <w:tc>
          <w:tcPr>
            <w:tcW w:w="366" w:type="dxa"/>
            <w:vAlign w:val="center"/>
          </w:tcPr>
          <w:p w14:paraId="6D346778">
            <w:pPr>
              <w:pStyle w:val="24"/>
              <w:snapToGrid/>
              <w:spacing w:before="0" w:beforeAutospacing="0" w:after="0" w:afterAutospacing="0" w:line="420" w:lineRule="atLeast"/>
              <w:jc w:val="center"/>
              <w:rPr>
                <w:sz w:val="21"/>
              </w:rPr>
            </w:pPr>
          </w:p>
        </w:tc>
        <w:tc>
          <w:tcPr>
            <w:tcW w:w="366" w:type="dxa"/>
            <w:vAlign w:val="center"/>
          </w:tcPr>
          <w:p w14:paraId="78C5421F">
            <w:pPr>
              <w:pStyle w:val="24"/>
              <w:snapToGrid/>
              <w:spacing w:before="0" w:beforeAutospacing="0" w:after="0" w:afterAutospacing="0" w:line="420" w:lineRule="atLeast"/>
              <w:jc w:val="center"/>
              <w:rPr>
                <w:sz w:val="21"/>
              </w:rPr>
            </w:pPr>
          </w:p>
        </w:tc>
        <w:tc>
          <w:tcPr>
            <w:tcW w:w="366" w:type="dxa"/>
            <w:vAlign w:val="center"/>
          </w:tcPr>
          <w:p w14:paraId="4E58689B">
            <w:pPr>
              <w:pStyle w:val="24"/>
              <w:snapToGrid/>
              <w:spacing w:before="0" w:beforeAutospacing="0" w:after="0" w:afterAutospacing="0" w:line="420" w:lineRule="atLeast"/>
              <w:jc w:val="center"/>
              <w:rPr>
                <w:sz w:val="21"/>
              </w:rPr>
            </w:pPr>
          </w:p>
        </w:tc>
        <w:tc>
          <w:tcPr>
            <w:tcW w:w="516" w:type="dxa"/>
            <w:vAlign w:val="center"/>
          </w:tcPr>
          <w:p w14:paraId="246E5424">
            <w:pPr>
              <w:pStyle w:val="24"/>
              <w:snapToGrid/>
              <w:spacing w:before="0" w:beforeAutospacing="0" w:after="0" w:afterAutospacing="0" w:line="420" w:lineRule="atLeast"/>
              <w:jc w:val="center"/>
              <w:rPr>
                <w:sz w:val="21"/>
              </w:rPr>
            </w:pPr>
          </w:p>
        </w:tc>
        <w:tc>
          <w:tcPr>
            <w:tcW w:w="366" w:type="dxa"/>
            <w:vAlign w:val="center"/>
          </w:tcPr>
          <w:p w14:paraId="5A6AA866">
            <w:pPr>
              <w:pStyle w:val="24"/>
              <w:snapToGrid/>
              <w:spacing w:before="0" w:beforeAutospacing="0" w:after="0" w:afterAutospacing="0" w:line="420" w:lineRule="atLeast"/>
              <w:jc w:val="center"/>
              <w:rPr>
                <w:sz w:val="21"/>
              </w:rPr>
            </w:pPr>
          </w:p>
        </w:tc>
        <w:tc>
          <w:tcPr>
            <w:tcW w:w="366" w:type="dxa"/>
            <w:vAlign w:val="center"/>
          </w:tcPr>
          <w:p w14:paraId="0549BEB6">
            <w:pPr>
              <w:pStyle w:val="24"/>
              <w:snapToGrid/>
              <w:spacing w:before="0" w:beforeAutospacing="0" w:after="0" w:afterAutospacing="0" w:line="420" w:lineRule="atLeast"/>
              <w:jc w:val="center"/>
              <w:rPr>
                <w:sz w:val="21"/>
              </w:rPr>
            </w:pPr>
          </w:p>
        </w:tc>
        <w:tc>
          <w:tcPr>
            <w:tcW w:w="516" w:type="dxa"/>
            <w:vAlign w:val="center"/>
          </w:tcPr>
          <w:p w14:paraId="2F0F5263">
            <w:pPr>
              <w:pStyle w:val="24"/>
              <w:snapToGrid/>
              <w:spacing w:before="0" w:beforeAutospacing="0" w:after="0" w:afterAutospacing="0" w:line="420" w:lineRule="atLeast"/>
              <w:jc w:val="center"/>
              <w:rPr>
                <w:sz w:val="21"/>
              </w:rPr>
            </w:pPr>
          </w:p>
        </w:tc>
        <w:tc>
          <w:tcPr>
            <w:tcW w:w="366" w:type="dxa"/>
            <w:vAlign w:val="center"/>
          </w:tcPr>
          <w:p w14:paraId="0F6F13AC">
            <w:pPr>
              <w:pStyle w:val="24"/>
              <w:snapToGrid/>
              <w:spacing w:before="0" w:beforeAutospacing="0" w:after="0" w:afterAutospacing="0" w:line="420" w:lineRule="atLeast"/>
              <w:jc w:val="center"/>
              <w:rPr>
                <w:sz w:val="21"/>
              </w:rPr>
            </w:pPr>
          </w:p>
        </w:tc>
        <w:tc>
          <w:tcPr>
            <w:tcW w:w="516" w:type="dxa"/>
            <w:vAlign w:val="center"/>
          </w:tcPr>
          <w:p w14:paraId="3D05BFB6">
            <w:pPr>
              <w:pStyle w:val="24"/>
              <w:snapToGrid/>
              <w:spacing w:before="0" w:beforeAutospacing="0" w:after="0" w:afterAutospacing="0" w:line="420" w:lineRule="atLeast"/>
              <w:jc w:val="center"/>
              <w:rPr>
                <w:sz w:val="21"/>
              </w:rPr>
            </w:pPr>
          </w:p>
        </w:tc>
        <w:tc>
          <w:tcPr>
            <w:tcW w:w="366" w:type="dxa"/>
            <w:vAlign w:val="center"/>
          </w:tcPr>
          <w:p w14:paraId="4667EC39">
            <w:pPr>
              <w:pStyle w:val="24"/>
              <w:snapToGrid/>
              <w:spacing w:before="0" w:beforeAutospacing="0" w:after="0" w:afterAutospacing="0" w:line="420" w:lineRule="atLeast"/>
              <w:jc w:val="center"/>
              <w:rPr>
                <w:sz w:val="21"/>
              </w:rPr>
            </w:pPr>
          </w:p>
        </w:tc>
        <w:tc>
          <w:tcPr>
            <w:tcW w:w="666" w:type="dxa"/>
            <w:vAlign w:val="center"/>
          </w:tcPr>
          <w:p w14:paraId="2F88AD58">
            <w:pPr>
              <w:pStyle w:val="24"/>
              <w:snapToGrid/>
              <w:spacing w:before="0" w:beforeAutospacing="0" w:after="0" w:afterAutospacing="0" w:line="420" w:lineRule="atLeast"/>
              <w:jc w:val="center"/>
              <w:rPr>
                <w:sz w:val="21"/>
              </w:rPr>
            </w:pPr>
          </w:p>
        </w:tc>
        <w:tc>
          <w:tcPr>
            <w:tcW w:w="516" w:type="dxa"/>
            <w:vAlign w:val="center"/>
          </w:tcPr>
          <w:p w14:paraId="3C1C19A6">
            <w:pPr>
              <w:pStyle w:val="24"/>
              <w:snapToGrid/>
              <w:spacing w:before="0" w:beforeAutospacing="0" w:after="0" w:afterAutospacing="0" w:line="420" w:lineRule="atLeast"/>
              <w:jc w:val="center"/>
              <w:rPr>
                <w:sz w:val="21"/>
              </w:rPr>
            </w:pPr>
          </w:p>
        </w:tc>
        <w:tc>
          <w:tcPr>
            <w:tcW w:w="366" w:type="dxa"/>
            <w:vAlign w:val="center"/>
          </w:tcPr>
          <w:p w14:paraId="3CF9F519">
            <w:pPr>
              <w:pStyle w:val="24"/>
              <w:snapToGrid/>
              <w:spacing w:before="0" w:beforeAutospacing="0" w:after="0" w:afterAutospacing="0" w:line="420" w:lineRule="atLeast"/>
              <w:jc w:val="center"/>
              <w:rPr>
                <w:sz w:val="21"/>
              </w:rPr>
            </w:pPr>
          </w:p>
        </w:tc>
        <w:tc>
          <w:tcPr>
            <w:tcW w:w="366" w:type="dxa"/>
            <w:vAlign w:val="center"/>
          </w:tcPr>
          <w:p w14:paraId="25746808">
            <w:pPr>
              <w:pStyle w:val="24"/>
              <w:snapToGrid/>
              <w:spacing w:before="0" w:beforeAutospacing="0" w:after="0" w:afterAutospacing="0" w:line="420" w:lineRule="atLeast"/>
              <w:jc w:val="center"/>
              <w:rPr>
                <w:sz w:val="21"/>
              </w:rPr>
            </w:pPr>
          </w:p>
        </w:tc>
        <w:tc>
          <w:tcPr>
            <w:tcW w:w="516" w:type="dxa"/>
            <w:vAlign w:val="center"/>
          </w:tcPr>
          <w:p w14:paraId="427DFE93">
            <w:pPr>
              <w:pStyle w:val="24"/>
              <w:snapToGrid/>
              <w:spacing w:before="0" w:beforeAutospacing="0" w:after="0" w:afterAutospacing="0" w:line="420" w:lineRule="atLeast"/>
              <w:jc w:val="center"/>
              <w:rPr>
                <w:sz w:val="21"/>
              </w:rPr>
            </w:pPr>
          </w:p>
        </w:tc>
        <w:tc>
          <w:tcPr>
            <w:tcW w:w="366" w:type="dxa"/>
            <w:vAlign w:val="center"/>
          </w:tcPr>
          <w:p w14:paraId="5F51811A">
            <w:pPr>
              <w:pStyle w:val="24"/>
              <w:snapToGrid/>
              <w:spacing w:before="0" w:beforeAutospacing="0" w:after="0" w:afterAutospacing="0" w:line="420" w:lineRule="atLeast"/>
              <w:jc w:val="center"/>
              <w:rPr>
                <w:sz w:val="21"/>
              </w:rPr>
            </w:pPr>
          </w:p>
        </w:tc>
        <w:tc>
          <w:tcPr>
            <w:tcW w:w="221" w:type="dxa"/>
            <w:vAlign w:val="center"/>
          </w:tcPr>
          <w:p w14:paraId="06C1E3A6">
            <w:pPr>
              <w:pStyle w:val="24"/>
              <w:snapToGrid/>
              <w:spacing w:before="0" w:beforeAutospacing="0" w:after="0" w:afterAutospacing="0" w:line="420" w:lineRule="atLeast"/>
              <w:jc w:val="center"/>
              <w:rPr>
                <w:sz w:val="21"/>
              </w:rPr>
            </w:pPr>
          </w:p>
        </w:tc>
        <w:tc>
          <w:tcPr>
            <w:tcW w:w="221" w:type="dxa"/>
            <w:vAlign w:val="center"/>
          </w:tcPr>
          <w:p w14:paraId="5D18940E">
            <w:pPr>
              <w:pStyle w:val="24"/>
              <w:snapToGrid/>
              <w:spacing w:before="0" w:beforeAutospacing="0" w:after="0" w:afterAutospacing="0" w:line="420" w:lineRule="atLeast"/>
              <w:jc w:val="center"/>
              <w:rPr>
                <w:sz w:val="21"/>
              </w:rPr>
            </w:pPr>
          </w:p>
        </w:tc>
        <w:tc>
          <w:tcPr>
            <w:tcW w:w="221" w:type="dxa"/>
            <w:vAlign w:val="center"/>
          </w:tcPr>
          <w:p w14:paraId="0B302D41">
            <w:pPr>
              <w:pStyle w:val="24"/>
              <w:snapToGrid/>
              <w:spacing w:before="0" w:beforeAutospacing="0" w:after="0" w:afterAutospacing="0" w:line="420" w:lineRule="atLeast"/>
              <w:jc w:val="center"/>
              <w:rPr>
                <w:sz w:val="21"/>
              </w:rPr>
            </w:pPr>
          </w:p>
        </w:tc>
        <w:tc>
          <w:tcPr>
            <w:tcW w:w="221" w:type="dxa"/>
            <w:vAlign w:val="center"/>
          </w:tcPr>
          <w:p w14:paraId="40DA7EFB">
            <w:pPr>
              <w:pStyle w:val="24"/>
              <w:snapToGrid/>
              <w:spacing w:before="0" w:beforeAutospacing="0" w:after="0" w:afterAutospacing="0" w:line="420" w:lineRule="atLeast"/>
              <w:jc w:val="center"/>
              <w:rPr>
                <w:sz w:val="21"/>
              </w:rPr>
            </w:pPr>
          </w:p>
        </w:tc>
      </w:tr>
      <w:tr w14:paraId="1CDC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1834838F">
            <w:pPr>
              <w:pStyle w:val="24"/>
              <w:snapToGrid/>
              <w:spacing w:before="0" w:beforeAutospacing="0" w:after="0" w:afterAutospacing="0" w:line="420" w:lineRule="atLeast"/>
              <w:jc w:val="center"/>
              <w:rPr>
                <w:sz w:val="21"/>
              </w:rPr>
            </w:pPr>
          </w:p>
        </w:tc>
        <w:tc>
          <w:tcPr>
            <w:tcW w:w="366" w:type="dxa"/>
            <w:vAlign w:val="center"/>
          </w:tcPr>
          <w:p w14:paraId="37C6D6C8">
            <w:pPr>
              <w:pStyle w:val="24"/>
              <w:snapToGrid/>
              <w:spacing w:before="0" w:beforeAutospacing="0" w:after="0" w:afterAutospacing="0" w:line="420" w:lineRule="atLeast"/>
              <w:jc w:val="center"/>
              <w:rPr>
                <w:sz w:val="21"/>
              </w:rPr>
            </w:pPr>
          </w:p>
        </w:tc>
        <w:tc>
          <w:tcPr>
            <w:tcW w:w="366" w:type="dxa"/>
            <w:vAlign w:val="center"/>
          </w:tcPr>
          <w:p w14:paraId="25F7448B">
            <w:pPr>
              <w:pStyle w:val="24"/>
              <w:snapToGrid/>
              <w:spacing w:before="0" w:beforeAutospacing="0" w:after="0" w:afterAutospacing="0" w:line="420" w:lineRule="atLeast"/>
              <w:jc w:val="center"/>
              <w:rPr>
                <w:sz w:val="21"/>
              </w:rPr>
            </w:pPr>
          </w:p>
        </w:tc>
        <w:tc>
          <w:tcPr>
            <w:tcW w:w="366" w:type="dxa"/>
            <w:vAlign w:val="center"/>
          </w:tcPr>
          <w:p w14:paraId="0C3E8D99">
            <w:pPr>
              <w:pStyle w:val="24"/>
              <w:snapToGrid/>
              <w:spacing w:before="0" w:beforeAutospacing="0" w:after="0" w:afterAutospacing="0" w:line="420" w:lineRule="atLeast"/>
              <w:jc w:val="center"/>
              <w:rPr>
                <w:sz w:val="21"/>
              </w:rPr>
            </w:pPr>
          </w:p>
        </w:tc>
        <w:tc>
          <w:tcPr>
            <w:tcW w:w="366" w:type="dxa"/>
            <w:vAlign w:val="center"/>
          </w:tcPr>
          <w:p w14:paraId="5FD42F7F">
            <w:pPr>
              <w:pStyle w:val="24"/>
              <w:snapToGrid/>
              <w:spacing w:before="0" w:beforeAutospacing="0" w:after="0" w:afterAutospacing="0" w:line="420" w:lineRule="atLeast"/>
              <w:jc w:val="center"/>
              <w:rPr>
                <w:sz w:val="21"/>
              </w:rPr>
            </w:pPr>
          </w:p>
        </w:tc>
        <w:tc>
          <w:tcPr>
            <w:tcW w:w="516" w:type="dxa"/>
            <w:vAlign w:val="center"/>
          </w:tcPr>
          <w:p w14:paraId="6947DAC5">
            <w:pPr>
              <w:pStyle w:val="24"/>
              <w:snapToGrid/>
              <w:spacing w:before="0" w:beforeAutospacing="0" w:after="0" w:afterAutospacing="0" w:line="420" w:lineRule="atLeast"/>
              <w:jc w:val="center"/>
              <w:rPr>
                <w:sz w:val="21"/>
              </w:rPr>
            </w:pPr>
          </w:p>
        </w:tc>
        <w:tc>
          <w:tcPr>
            <w:tcW w:w="366" w:type="dxa"/>
            <w:vAlign w:val="center"/>
          </w:tcPr>
          <w:p w14:paraId="34036E96">
            <w:pPr>
              <w:pStyle w:val="24"/>
              <w:snapToGrid/>
              <w:spacing w:before="0" w:beforeAutospacing="0" w:after="0" w:afterAutospacing="0" w:line="420" w:lineRule="atLeast"/>
              <w:jc w:val="center"/>
              <w:rPr>
                <w:sz w:val="21"/>
              </w:rPr>
            </w:pPr>
          </w:p>
        </w:tc>
        <w:tc>
          <w:tcPr>
            <w:tcW w:w="366" w:type="dxa"/>
            <w:vAlign w:val="center"/>
          </w:tcPr>
          <w:p w14:paraId="15D5C920">
            <w:pPr>
              <w:pStyle w:val="24"/>
              <w:snapToGrid/>
              <w:spacing w:before="0" w:beforeAutospacing="0" w:after="0" w:afterAutospacing="0" w:line="420" w:lineRule="atLeast"/>
              <w:jc w:val="center"/>
              <w:rPr>
                <w:sz w:val="21"/>
              </w:rPr>
            </w:pPr>
          </w:p>
        </w:tc>
        <w:tc>
          <w:tcPr>
            <w:tcW w:w="516" w:type="dxa"/>
            <w:vAlign w:val="center"/>
          </w:tcPr>
          <w:p w14:paraId="47DC0156">
            <w:pPr>
              <w:pStyle w:val="24"/>
              <w:snapToGrid/>
              <w:spacing w:before="0" w:beforeAutospacing="0" w:after="0" w:afterAutospacing="0" w:line="420" w:lineRule="atLeast"/>
              <w:jc w:val="center"/>
              <w:rPr>
                <w:sz w:val="21"/>
              </w:rPr>
            </w:pPr>
          </w:p>
        </w:tc>
        <w:tc>
          <w:tcPr>
            <w:tcW w:w="366" w:type="dxa"/>
            <w:vAlign w:val="center"/>
          </w:tcPr>
          <w:p w14:paraId="4DD3E268">
            <w:pPr>
              <w:pStyle w:val="24"/>
              <w:snapToGrid/>
              <w:spacing w:before="0" w:beforeAutospacing="0" w:after="0" w:afterAutospacing="0" w:line="420" w:lineRule="atLeast"/>
              <w:jc w:val="center"/>
              <w:rPr>
                <w:sz w:val="21"/>
              </w:rPr>
            </w:pPr>
          </w:p>
        </w:tc>
        <w:tc>
          <w:tcPr>
            <w:tcW w:w="516" w:type="dxa"/>
            <w:vAlign w:val="center"/>
          </w:tcPr>
          <w:p w14:paraId="74B9275C">
            <w:pPr>
              <w:pStyle w:val="24"/>
              <w:snapToGrid/>
              <w:spacing w:before="0" w:beforeAutospacing="0" w:after="0" w:afterAutospacing="0" w:line="420" w:lineRule="atLeast"/>
              <w:jc w:val="center"/>
              <w:rPr>
                <w:sz w:val="21"/>
              </w:rPr>
            </w:pPr>
          </w:p>
        </w:tc>
        <w:tc>
          <w:tcPr>
            <w:tcW w:w="366" w:type="dxa"/>
            <w:vAlign w:val="center"/>
          </w:tcPr>
          <w:p w14:paraId="5D47A170">
            <w:pPr>
              <w:pStyle w:val="24"/>
              <w:snapToGrid/>
              <w:spacing w:before="0" w:beforeAutospacing="0" w:after="0" w:afterAutospacing="0" w:line="420" w:lineRule="atLeast"/>
              <w:jc w:val="center"/>
              <w:rPr>
                <w:sz w:val="21"/>
              </w:rPr>
            </w:pPr>
          </w:p>
        </w:tc>
        <w:tc>
          <w:tcPr>
            <w:tcW w:w="666" w:type="dxa"/>
            <w:vAlign w:val="center"/>
          </w:tcPr>
          <w:p w14:paraId="74D6995B">
            <w:pPr>
              <w:pStyle w:val="24"/>
              <w:snapToGrid/>
              <w:spacing w:before="0" w:beforeAutospacing="0" w:after="0" w:afterAutospacing="0" w:line="420" w:lineRule="atLeast"/>
              <w:jc w:val="center"/>
              <w:rPr>
                <w:sz w:val="21"/>
              </w:rPr>
            </w:pPr>
          </w:p>
        </w:tc>
        <w:tc>
          <w:tcPr>
            <w:tcW w:w="516" w:type="dxa"/>
            <w:vAlign w:val="center"/>
          </w:tcPr>
          <w:p w14:paraId="13CB244F">
            <w:pPr>
              <w:pStyle w:val="24"/>
              <w:snapToGrid/>
              <w:spacing w:before="0" w:beforeAutospacing="0" w:after="0" w:afterAutospacing="0" w:line="420" w:lineRule="atLeast"/>
              <w:jc w:val="center"/>
              <w:rPr>
                <w:sz w:val="21"/>
              </w:rPr>
            </w:pPr>
          </w:p>
        </w:tc>
        <w:tc>
          <w:tcPr>
            <w:tcW w:w="366" w:type="dxa"/>
            <w:vAlign w:val="center"/>
          </w:tcPr>
          <w:p w14:paraId="08A0CA5A">
            <w:pPr>
              <w:pStyle w:val="24"/>
              <w:snapToGrid/>
              <w:spacing w:before="0" w:beforeAutospacing="0" w:after="0" w:afterAutospacing="0" w:line="420" w:lineRule="atLeast"/>
              <w:jc w:val="center"/>
              <w:rPr>
                <w:sz w:val="21"/>
              </w:rPr>
            </w:pPr>
          </w:p>
        </w:tc>
        <w:tc>
          <w:tcPr>
            <w:tcW w:w="366" w:type="dxa"/>
            <w:vAlign w:val="center"/>
          </w:tcPr>
          <w:p w14:paraId="1CB6301B">
            <w:pPr>
              <w:pStyle w:val="24"/>
              <w:snapToGrid/>
              <w:spacing w:before="0" w:beforeAutospacing="0" w:after="0" w:afterAutospacing="0" w:line="420" w:lineRule="atLeast"/>
              <w:jc w:val="center"/>
              <w:rPr>
                <w:sz w:val="21"/>
              </w:rPr>
            </w:pPr>
          </w:p>
        </w:tc>
        <w:tc>
          <w:tcPr>
            <w:tcW w:w="516" w:type="dxa"/>
            <w:vAlign w:val="center"/>
          </w:tcPr>
          <w:p w14:paraId="705688C4">
            <w:pPr>
              <w:pStyle w:val="24"/>
              <w:snapToGrid/>
              <w:spacing w:before="0" w:beforeAutospacing="0" w:after="0" w:afterAutospacing="0" w:line="420" w:lineRule="atLeast"/>
              <w:jc w:val="center"/>
              <w:rPr>
                <w:sz w:val="21"/>
              </w:rPr>
            </w:pPr>
          </w:p>
        </w:tc>
        <w:tc>
          <w:tcPr>
            <w:tcW w:w="366" w:type="dxa"/>
            <w:vAlign w:val="center"/>
          </w:tcPr>
          <w:p w14:paraId="0812A0C5">
            <w:pPr>
              <w:pStyle w:val="24"/>
              <w:snapToGrid/>
              <w:spacing w:before="0" w:beforeAutospacing="0" w:after="0" w:afterAutospacing="0" w:line="420" w:lineRule="atLeast"/>
              <w:jc w:val="center"/>
              <w:rPr>
                <w:sz w:val="21"/>
              </w:rPr>
            </w:pPr>
          </w:p>
        </w:tc>
        <w:tc>
          <w:tcPr>
            <w:tcW w:w="221" w:type="dxa"/>
            <w:vAlign w:val="center"/>
          </w:tcPr>
          <w:p w14:paraId="7DA924AE">
            <w:pPr>
              <w:pStyle w:val="24"/>
              <w:snapToGrid/>
              <w:spacing w:before="0" w:beforeAutospacing="0" w:after="0" w:afterAutospacing="0" w:line="420" w:lineRule="atLeast"/>
              <w:jc w:val="center"/>
              <w:rPr>
                <w:sz w:val="21"/>
              </w:rPr>
            </w:pPr>
          </w:p>
        </w:tc>
        <w:tc>
          <w:tcPr>
            <w:tcW w:w="221" w:type="dxa"/>
            <w:vAlign w:val="center"/>
          </w:tcPr>
          <w:p w14:paraId="3BF7FEA6">
            <w:pPr>
              <w:pStyle w:val="24"/>
              <w:snapToGrid/>
              <w:spacing w:before="0" w:beforeAutospacing="0" w:after="0" w:afterAutospacing="0" w:line="420" w:lineRule="atLeast"/>
              <w:jc w:val="center"/>
              <w:rPr>
                <w:sz w:val="21"/>
              </w:rPr>
            </w:pPr>
          </w:p>
        </w:tc>
        <w:tc>
          <w:tcPr>
            <w:tcW w:w="221" w:type="dxa"/>
            <w:vAlign w:val="center"/>
          </w:tcPr>
          <w:p w14:paraId="35E1E008">
            <w:pPr>
              <w:pStyle w:val="24"/>
              <w:snapToGrid/>
              <w:spacing w:before="0" w:beforeAutospacing="0" w:after="0" w:afterAutospacing="0" w:line="420" w:lineRule="atLeast"/>
              <w:jc w:val="center"/>
              <w:rPr>
                <w:sz w:val="21"/>
              </w:rPr>
            </w:pPr>
          </w:p>
        </w:tc>
        <w:tc>
          <w:tcPr>
            <w:tcW w:w="221" w:type="dxa"/>
            <w:vAlign w:val="center"/>
          </w:tcPr>
          <w:p w14:paraId="640DF475">
            <w:pPr>
              <w:pStyle w:val="24"/>
              <w:snapToGrid/>
              <w:spacing w:before="0" w:beforeAutospacing="0" w:after="0" w:afterAutospacing="0" w:line="420" w:lineRule="atLeast"/>
              <w:jc w:val="center"/>
              <w:rPr>
                <w:sz w:val="21"/>
              </w:rPr>
            </w:pPr>
          </w:p>
        </w:tc>
      </w:tr>
    </w:tbl>
    <w:p w14:paraId="18820288">
      <w:pPr>
        <w:pStyle w:val="24"/>
        <w:snapToGrid/>
        <w:spacing w:before="0" w:beforeAutospacing="0" w:after="0" w:afterAutospacing="0" w:line="420" w:lineRule="atLeast"/>
        <w:jc w:val="both"/>
        <w:rPr>
          <w:sz w:val="21"/>
        </w:rPr>
      </w:pPr>
    </w:p>
    <w:p w14:paraId="7C531FC7">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5570F4EB"/>
    <w:p w14:paraId="6D9E301F"/>
    <w:p w14:paraId="0EED0185"/>
    <w:p w14:paraId="0C81E0AF">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9</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65B1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79744EA8">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4313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7573F03E">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0814AC9B">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1D49C6BA">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5AC4E4AC">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11D11ADD">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3FFC74F7">
            <w:pPr>
              <w:pStyle w:val="24"/>
              <w:snapToGrid/>
              <w:spacing w:before="0" w:beforeAutospacing="0" w:after="0" w:afterAutospacing="0" w:line="420" w:lineRule="atLeast"/>
              <w:jc w:val="center"/>
              <w:rPr>
                <w:sz w:val="21"/>
              </w:rPr>
            </w:pPr>
            <w:r>
              <w:rPr>
                <w:rFonts w:hint="eastAsia"/>
                <w:sz w:val="21"/>
              </w:rPr>
              <w:t>单设备非国产芯片数量（颗）</w:t>
            </w:r>
          </w:p>
        </w:tc>
      </w:tr>
      <w:tr w14:paraId="63DF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231ACC9C">
            <w:pPr>
              <w:pStyle w:val="24"/>
              <w:snapToGrid/>
              <w:spacing w:before="0" w:beforeAutospacing="0" w:after="0" w:afterAutospacing="0" w:line="420" w:lineRule="atLeast"/>
              <w:jc w:val="center"/>
              <w:rPr>
                <w:sz w:val="21"/>
                <w:u w:val="single"/>
              </w:rPr>
            </w:pPr>
            <w:r>
              <w:rPr>
                <w:rFonts w:hint="eastAsia"/>
                <w:sz w:val="21"/>
                <w:u w:val="single"/>
              </w:rPr>
              <w:t>分布式存储</w:t>
            </w:r>
          </w:p>
          <w:p w14:paraId="3F4F9147">
            <w:pPr>
              <w:pStyle w:val="24"/>
              <w:snapToGrid/>
              <w:spacing w:before="0" w:beforeAutospacing="0" w:after="0" w:afterAutospacing="0" w:line="420" w:lineRule="atLeast"/>
              <w:jc w:val="center"/>
              <w:rPr>
                <w:sz w:val="21"/>
                <w:u w:val="single"/>
              </w:rPr>
            </w:pPr>
          </w:p>
        </w:tc>
        <w:tc>
          <w:tcPr>
            <w:tcW w:w="1545" w:type="dxa"/>
            <w:vAlign w:val="center"/>
          </w:tcPr>
          <w:p w14:paraId="1BAB8E7A">
            <w:pPr>
              <w:pStyle w:val="24"/>
              <w:snapToGrid/>
              <w:spacing w:before="0" w:beforeAutospacing="0" w:after="0" w:afterAutospacing="0" w:line="420" w:lineRule="atLeast"/>
              <w:jc w:val="center"/>
              <w:rPr>
                <w:sz w:val="21"/>
              </w:rPr>
            </w:pPr>
          </w:p>
        </w:tc>
        <w:tc>
          <w:tcPr>
            <w:tcW w:w="1420" w:type="dxa"/>
            <w:vAlign w:val="center"/>
          </w:tcPr>
          <w:p w14:paraId="6A9094DB">
            <w:pPr>
              <w:pStyle w:val="24"/>
              <w:snapToGrid/>
              <w:spacing w:before="0" w:beforeAutospacing="0" w:after="0" w:afterAutospacing="0" w:line="420" w:lineRule="atLeast"/>
              <w:jc w:val="center"/>
              <w:rPr>
                <w:sz w:val="21"/>
              </w:rPr>
            </w:pPr>
          </w:p>
        </w:tc>
        <w:tc>
          <w:tcPr>
            <w:tcW w:w="1420" w:type="dxa"/>
            <w:vAlign w:val="center"/>
          </w:tcPr>
          <w:p w14:paraId="6ACD6D47">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13CBC32C">
            <w:pPr>
              <w:pStyle w:val="24"/>
              <w:snapToGrid/>
              <w:spacing w:before="0" w:beforeAutospacing="0" w:after="0" w:afterAutospacing="0" w:line="420" w:lineRule="atLeast"/>
              <w:jc w:val="center"/>
              <w:rPr>
                <w:sz w:val="21"/>
              </w:rPr>
            </w:pPr>
          </w:p>
        </w:tc>
        <w:tc>
          <w:tcPr>
            <w:tcW w:w="1421" w:type="dxa"/>
            <w:vAlign w:val="center"/>
          </w:tcPr>
          <w:p w14:paraId="7265B1DA">
            <w:pPr>
              <w:pStyle w:val="24"/>
              <w:snapToGrid/>
              <w:spacing w:before="0" w:beforeAutospacing="0" w:after="0" w:afterAutospacing="0" w:line="420" w:lineRule="atLeast"/>
              <w:jc w:val="center"/>
              <w:rPr>
                <w:sz w:val="21"/>
              </w:rPr>
            </w:pPr>
          </w:p>
        </w:tc>
      </w:tr>
      <w:tr w14:paraId="6E50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4FBEDA01">
            <w:pPr>
              <w:pStyle w:val="24"/>
              <w:snapToGrid/>
              <w:spacing w:before="0" w:beforeAutospacing="0" w:after="0" w:afterAutospacing="0" w:line="420" w:lineRule="atLeast"/>
              <w:jc w:val="center"/>
              <w:rPr>
                <w:sz w:val="21"/>
              </w:rPr>
            </w:pPr>
          </w:p>
        </w:tc>
        <w:tc>
          <w:tcPr>
            <w:tcW w:w="1545" w:type="dxa"/>
            <w:vAlign w:val="center"/>
          </w:tcPr>
          <w:p w14:paraId="245FD879">
            <w:pPr>
              <w:pStyle w:val="24"/>
              <w:snapToGrid/>
              <w:spacing w:before="0" w:beforeAutospacing="0" w:after="0" w:afterAutospacing="0" w:line="420" w:lineRule="atLeast"/>
              <w:jc w:val="center"/>
              <w:rPr>
                <w:sz w:val="21"/>
              </w:rPr>
            </w:pPr>
          </w:p>
        </w:tc>
        <w:tc>
          <w:tcPr>
            <w:tcW w:w="1420" w:type="dxa"/>
            <w:vAlign w:val="center"/>
          </w:tcPr>
          <w:p w14:paraId="67D98800">
            <w:pPr>
              <w:pStyle w:val="24"/>
              <w:snapToGrid/>
              <w:spacing w:before="0" w:beforeAutospacing="0" w:after="0" w:afterAutospacing="0" w:line="420" w:lineRule="atLeast"/>
              <w:jc w:val="center"/>
              <w:rPr>
                <w:sz w:val="21"/>
              </w:rPr>
            </w:pPr>
          </w:p>
        </w:tc>
        <w:tc>
          <w:tcPr>
            <w:tcW w:w="1420" w:type="dxa"/>
            <w:vAlign w:val="center"/>
          </w:tcPr>
          <w:p w14:paraId="598CF728">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475D43B4">
            <w:pPr>
              <w:pStyle w:val="24"/>
              <w:snapToGrid/>
              <w:spacing w:before="0" w:beforeAutospacing="0" w:after="0" w:afterAutospacing="0" w:line="420" w:lineRule="atLeast"/>
              <w:jc w:val="center"/>
              <w:rPr>
                <w:sz w:val="21"/>
              </w:rPr>
            </w:pPr>
          </w:p>
        </w:tc>
        <w:tc>
          <w:tcPr>
            <w:tcW w:w="1421" w:type="dxa"/>
            <w:vAlign w:val="center"/>
          </w:tcPr>
          <w:p w14:paraId="3E0D57E8">
            <w:pPr>
              <w:pStyle w:val="24"/>
              <w:snapToGrid/>
              <w:spacing w:before="0" w:beforeAutospacing="0" w:after="0" w:afterAutospacing="0" w:line="420" w:lineRule="atLeast"/>
              <w:jc w:val="center"/>
              <w:rPr>
                <w:sz w:val="21"/>
              </w:rPr>
            </w:pPr>
          </w:p>
        </w:tc>
      </w:tr>
      <w:tr w14:paraId="17A23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41C24BF8">
            <w:pPr>
              <w:pStyle w:val="24"/>
              <w:snapToGrid/>
              <w:spacing w:before="0" w:beforeAutospacing="0" w:after="0" w:afterAutospacing="0" w:line="420" w:lineRule="atLeast"/>
              <w:jc w:val="center"/>
              <w:rPr>
                <w:sz w:val="21"/>
              </w:rPr>
            </w:pPr>
          </w:p>
        </w:tc>
        <w:tc>
          <w:tcPr>
            <w:tcW w:w="1545" w:type="dxa"/>
            <w:vAlign w:val="center"/>
          </w:tcPr>
          <w:p w14:paraId="4AF3C595">
            <w:pPr>
              <w:pStyle w:val="24"/>
              <w:snapToGrid/>
              <w:spacing w:before="0" w:beforeAutospacing="0" w:after="0" w:afterAutospacing="0" w:line="420" w:lineRule="atLeast"/>
              <w:jc w:val="center"/>
              <w:rPr>
                <w:sz w:val="21"/>
              </w:rPr>
            </w:pPr>
          </w:p>
        </w:tc>
        <w:tc>
          <w:tcPr>
            <w:tcW w:w="1420" w:type="dxa"/>
            <w:vAlign w:val="center"/>
          </w:tcPr>
          <w:p w14:paraId="1ECF2D27">
            <w:pPr>
              <w:pStyle w:val="24"/>
              <w:snapToGrid/>
              <w:spacing w:before="0" w:beforeAutospacing="0" w:after="0" w:afterAutospacing="0" w:line="420" w:lineRule="atLeast"/>
              <w:jc w:val="center"/>
              <w:rPr>
                <w:sz w:val="21"/>
              </w:rPr>
            </w:pPr>
          </w:p>
        </w:tc>
        <w:tc>
          <w:tcPr>
            <w:tcW w:w="1420" w:type="dxa"/>
            <w:vAlign w:val="center"/>
          </w:tcPr>
          <w:p w14:paraId="3164E1A1">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1A610FEF">
            <w:pPr>
              <w:pStyle w:val="24"/>
              <w:snapToGrid/>
              <w:spacing w:before="0" w:beforeAutospacing="0" w:after="0" w:afterAutospacing="0" w:line="420" w:lineRule="atLeast"/>
              <w:jc w:val="center"/>
              <w:rPr>
                <w:sz w:val="21"/>
              </w:rPr>
            </w:pPr>
          </w:p>
        </w:tc>
        <w:tc>
          <w:tcPr>
            <w:tcW w:w="1421" w:type="dxa"/>
            <w:vAlign w:val="center"/>
          </w:tcPr>
          <w:p w14:paraId="68B43076">
            <w:pPr>
              <w:pStyle w:val="24"/>
              <w:snapToGrid/>
              <w:spacing w:before="0" w:beforeAutospacing="0" w:after="0" w:afterAutospacing="0" w:line="420" w:lineRule="atLeast"/>
              <w:jc w:val="center"/>
              <w:rPr>
                <w:sz w:val="21"/>
              </w:rPr>
            </w:pPr>
          </w:p>
        </w:tc>
      </w:tr>
      <w:tr w14:paraId="165A2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4F87CFB8">
            <w:pPr>
              <w:pStyle w:val="24"/>
              <w:snapToGrid/>
              <w:spacing w:before="0" w:beforeAutospacing="0" w:after="0" w:afterAutospacing="0" w:line="420" w:lineRule="atLeast"/>
              <w:jc w:val="center"/>
              <w:rPr>
                <w:sz w:val="21"/>
              </w:rPr>
            </w:pPr>
          </w:p>
        </w:tc>
        <w:tc>
          <w:tcPr>
            <w:tcW w:w="1545" w:type="dxa"/>
            <w:vAlign w:val="center"/>
          </w:tcPr>
          <w:p w14:paraId="67D64CFE">
            <w:pPr>
              <w:pStyle w:val="24"/>
              <w:snapToGrid/>
              <w:spacing w:before="0" w:beforeAutospacing="0" w:after="0" w:afterAutospacing="0" w:line="420" w:lineRule="atLeast"/>
              <w:jc w:val="center"/>
              <w:rPr>
                <w:sz w:val="21"/>
              </w:rPr>
            </w:pPr>
          </w:p>
        </w:tc>
        <w:tc>
          <w:tcPr>
            <w:tcW w:w="1420" w:type="dxa"/>
            <w:vAlign w:val="center"/>
          </w:tcPr>
          <w:p w14:paraId="6B1A0BFB">
            <w:pPr>
              <w:pStyle w:val="24"/>
              <w:snapToGrid/>
              <w:spacing w:before="0" w:beforeAutospacing="0" w:after="0" w:afterAutospacing="0" w:line="420" w:lineRule="atLeast"/>
              <w:jc w:val="center"/>
              <w:rPr>
                <w:sz w:val="21"/>
              </w:rPr>
            </w:pPr>
          </w:p>
        </w:tc>
        <w:tc>
          <w:tcPr>
            <w:tcW w:w="1420" w:type="dxa"/>
            <w:vAlign w:val="center"/>
          </w:tcPr>
          <w:p w14:paraId="13EB6886">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78E8920C">
            <w:pPr>
              <w:pStyle w:val="24"/>
              <w:snapToGrid/>
              <w:spacing w:before="0" w:beforeAutospacing="0" w:after="0" w:afterAutospacing="0" w:line="420" w:lineRule="atLeast"/>
              <w:jc w:val="center"/>
              <w:rPr>
                <w:sz w:val="21"/>
              </w:rPr>
            </w:pPr>
          </w:p>
        </w:tc>
        <w:tc>
          <w:tcPr>
            <w:tcW w:w="1421" w:type="dxa"/>
            <w:vAlign w:val="center"/>
          </w:tcPr>
          <w:p w14:paraId="403ED867">
            <w:pPr>
              <w:pStyle w:val="24"/>
              <w:snapToGrid/>
              <w:spacing w:before="0" w:beforeAutospacing="0" w:after="0" w:afterAutospacing="0" w:line="420" w:lineRule="atLeast"/>
              <w:jc w:val="center"/>
              <w:rPr>
                <w:sz w:val="21"/>
              </w:rPr>
            </w:pPr>
          </w:p>
        </w:tc>
      </w:tr>
      <w:tr w14:paraId="31E9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5C2E31C3">
            <w:pPr>
              <w:pStyle w:val="24"/>
              <w:snapToGrid/>
              <w:spacing w:before="0" w:beforeAutospacing="0" w:after="0" w:afterAutospacing="0" w:line="420" w:lineRule="atLeast"/>
              <w:jc w:val="center"/>
              <w:rPr>
                <w:sz w:val="21"/>
              </w:rPr>
            </w:pPr>
          </w:p>
        </w:tc>
        <w:tc>
          <w:tcPr>
            <w:tcW w:w="1545" w:type="dxa"/>
            <w:vAlign w:val="center"/>
          </w:tcPr>
          <w:p w14:paraId="07CD4106">
            <w:pPr>
              <w:pStyle w:val="24"/>
              <w:snapToGrid/>
              <w:spacing w:before="0" w:beforeAutospacing="0" w:after="0" w:afterAutospacing="0" w:line="420" w:lineRule="atLeast"/>
              <w:jc w:val="center"/>
              <w:rPr>
                <w:sz w:val="21"/>
              </w:rPr>
            </w:pPr>
          </w:p>
        </w:tc>
        <w:tc>
          <w:tcPr>
            <w:tcW w:w="1420" w:type="dxa"/>
            <w:vAlign w:val="center"/>
          </w:tcPr>
          <w:p w14:paraId="12B07882">
            <w:pPr>
              <w:pStyle w:val="24"/>
              <w:snapToGrid/>
              <w:spacing w:before="0" w:beforeAutospacing="0" w:after="0" w:afterAutospacing="0" w:line="420" w:lineRule="atLeast"/>
              <w:jc w:val="center"/>
              <w:rPr>
                <w:sz w:val="21"/>
              </w:rPr>
            </w:pPr>
          </w:p>
        </w:tc>
        <w:tc>
          <w:tcPr>
            <w:tcW w:w="1420" w:type="dxa"/>
            <w:vAlign w:val="center"/>
          </w:tcPr>
          <w:p w14:paraId="604C4B52">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7A81B6F1">
            <w:pPr>
              <w:pStyle w:val="24"/>
              <w:snapToGrid/>
              <w:spacing w:before="0" w:beforeAutospacing="0" w:after="0" w:afterAutospacing="0" w:line="420" w:lineRule="atLeast"/>
              <w:jc w:val="center"/>
              <w:rPr>
                <w:sz w:val="21"/>
              </w:rPr>
            </w:pPr>
          </w:p>
        </w:tc>
        <w:tc>
          <w:tcPr>
            <w:tcW w:w="1421" w:type="dxa"/>
            <w:vAlign w:val="center"/>
          </w:tcPr>
          <w:p w14:paraId="12501159">
            <w:pPr>
              <w:pStyle w:val="24"/>
              <w:snapToGrid/>
              <w:spacing w:before="0" w:beforeAutospacing="0" w:after="0" w:afterAutospacing="0" w:line="420" w:lineRule="atLeast"/>
              <w:jc w:val="center"/>
              <w:rPr>
                <w:sz w:val="21"/>
              </w:rPr>
            </w:pPr>
          </w:p>
        </w:tc>
      </w:tr>
      <w:tr w14:paraId="1B831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5DCEDD1F">
            <w:pPr>
              <w:pStyle w:val="24"/>
              <w:snapToGrid/>
              <w:spacing w:before="0" w:beforeAutospacing="0" w:after="0" w:afterAutospacing="0" w:line="420" w:lineRule="atLeast"/>
              <w:jc w:val="center"/>
              <w:rPr>
                <w:sz w:val="21"/>
              </w:rPr>
            </w:pPr>
          </w:p>
        </w:tc>
        <w:tc>
          <w:tcPr>
            <w:tcW w:w="1545" w:type="dxa"/>
            <w:vAlign w:val="center"/>
          </w:tcPr>
          <w:p w14:paraId="5C4C3947">
            <w:pPr>
              <w:pStyle w:val="24"/>
              <w:snapToGrid/>
              <w:spacing w:before="0" w:beforeAutospacing="0" w:after="0" w:afterAutospacing="0" w:line="420" w:lineRule="atLeast"/>
              <w:jc w:val="center"/>
              <w:rPr>
                <w:sz w:val="21"/>
              </w:rPr>
            </w:pPr>
          </w:p>
        </w:tc>
        <w:tc>
          <w:tcPr>
            <w:tcW w:w="1420" w:type="dxa"/>
            <w:vAlign w:val="center"/>
          </w:tcPr>
          <w:p w14:paraId="367296D0">
            <w:pPr>
              <w:pStyle w:val="24"/>
              <w:snapToGrid/>
              <w:spacing w:before="0" w:beforeAutospacing="0" w:after="0" w:afterAutospacing="0" w:line="420" w:lineRule="atLeast"/>
              <w:jc w:val="center"/>
              <w:rPr>
                <w:sz w:val="21"/>
              </w:rPr>
            </w:pPr>
          </w:p>
        </w:tc>
        <w:tc>
          <w:tcPr>
            <w:tcW w:w="1420" w:type="dxa"/>
            <w:vAlign w:val="center"/>
          </w:tcPr>
          <w:p w14:paraId="4AB51B36">
            <w:pPr>
              <w:widowControl/>
              <w:snapToGrid/>
              <w:spacing w:line="420" w:lineRule="atLeast"/>
              <w:jc w:val="center"/>
            </w:pPr>
            <w:r>
              <w:rPr>
                <w:rFonts w:hint="eastAsia"/>
              </w:rPr>
              <w:t>电源模块控制芯片</w:t>
            </w:r>
          </w:p>
        </w:tc>
        <w:tc>
          <w:tcPr>
            <w:tcW w:w="1421" w:type="dxa"/>
            <w:vAlign w:val="center"/>
          </w:tcPr>
          <w:p w14:paraId="13F27293">
            <w:pPr>
              <w:pStyle w:val="24"/>
              <w:snapToGrid/>
              <w:spacing w:before="0" w:beforeAutospacing="0" w:after="0" w:afterAutospacing="0" w:line="420" w:lineRule="atLeast"/>
              <w:jc w:val="center"/>
              <w:rPr>
                <w:sz w:val="21"/>
              </w:rPr>
            </w:pPr>
          </w:p>
        </w:tc>
        <w:tc>
          <w:tcPr>
            <w:tcW w:w="1421" w:type="dxa"/>
            <w:vAlign w:val="center"/>
          </w:tcPr>
          <w:p w14:paraId="6D130236">
            <w:pPr>
              <w:pStyle w:val="24"/>
              <w:snapToGrid/>
              <w:spacing w:before="0" w:beforeAutospacing="0" w:after="0" w:afterAutospacing="0" w:line="420" w:lineRule="atLeast"/>
              <w:jc w:val="center"/>
              <w:rPr>
                <w:sz w:val="21"/>
              </w:rPr>
            </w:pPr>
          </w:p>
        </w:tc>
      </w:tr>
    </w:tbl>
    <w:p w14:paraId="30C953E3">
      <w:pPr>
        <w:pStyle w:val="24"/>
        <w:spacing w:before="900" w:beforeAutospacing="0" w:after="0" w:afterAutospacing="0" w:line="420" w:lineRule="atLeast"/>
        <w:jc w:val="both"/>
        <w:rPr>
          <w:rFonts w:cs="宋体"/>
          <w:sz w:val="28"/>
          <w:szCs w:val="28"/>
        </w:rPr>
      </w:pPr>
    </w:p>
    <w:p w14:paraId="16C0D55B">
      <w:pPr>
        <w:pStyle w:val="24"/>
        <w:spacing w:before="900" w:beforeAutospacing="0" w:after="0" w:afterAutospacing="0" w:line="420" w:lineRule="atLeast"/>
        <w:jc w:val="both"/>
        <w:rPr>
          <w:rFonts w:cs="宋体"/>
          <w:sz w:val="28"/>
          <w:szCs w:val="28"/>
        </w:rPr>
      </w:pPr>
    </w:p>
    <w:p w14:paraId="303A5EC7">
      <w:pPr>
        <w:pStyle w:val="24"/>
        <w:spacing w:before="900" w:beforeAutospacing="0" w:after="0" w:afterAutospacing="0" w:line="420" w:lineRule="atLeast"/>
        <w:jc w:val="both"/>
        <w:rPr>
          <w:rFonts w:cs="宋体"/>
          <w:sz w:val="28"/>
          <w:szCs w:val="28"/>
        </w:rPr>
      </w:pPr>
    </w:p>
    <w:p w14:paraId="53C5F721">
      <w:pPr>
        <w:pStyle w:val="24"/>
        <w:spacing w:before="900" w:beforeAutospacing="0" w:after="0" w:afterAutospacing="0" w:line="420" w:lineRule="atLeast"/>
        <w:jc w:val="both"/>
        <w:rPr>
          <w:rFonts w:cs="宋体"/>
          <w:sz w:val="28"/>
          <w:szCs w:val="28"/>
        </w:rPr>
      </w:pPr>
    </w:p>
    <w:p w14:paraId="249F3B4F">
      <w:pPr>
        <w:pStyle w:val="24"/>
        <w:spacing w:before="900" w:beforeAutospacing="0" w:after="0" w:afterAutospacing="0" w:line="420" w:lineRule="atLeast"/>
        <w:jc w:val="both"/>
        <w:rPr>
          <w:rFonts w:cs="宋体"/>
          <w:sz w:val="28"/>
          <w:szCs w:val="28"/>
        </w:rPr>
      </w:pPr>
    </w:p>
    <w:p w14:paraId="7F3DAACD">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10</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2201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3AB930D9">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3DD22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003E5371">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18B9FA3A">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707B5F16">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5D2D30A5">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0A25DFC6">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5A7A20FB">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1DA29A3A">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0D01E4F1">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77BE2F90">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2A753065">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541030CE">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6D6A32FB">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318AFB3D">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46FF770D">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0E729828">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31FAA8E5">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0F4FFF4A">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63523E96">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5D6CB931">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28534B71">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590A051E">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22047A43">
            <w:pPr>
              <w:pStyle w:val="24"/>
              <w:snapToGrid/>
              <w:spacing w:before="0" w:beforeAutospacing="0" w:after="0" w:afterAutospacing="0" w:line="420" w:lineRule="atLeast"/>
              <w:jc w:val="center"/>
              <w:rPr>
                <w:sz w:val="21"/>
              </w:rPr>
            </w:pPr>
            <w:r>
              <w:rPr>
                <w:rFonts w:hint="eastAsia"/>
                <w:sz w:val="21"/>
              </w:rPr>
              <w:t>境内/境外</w:t>
            </w:r>
          </w:p>
        </w:tc>
      </w:tr>
      <w:tr w14:paraId="7E6B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2AF4C0F9">
            <w:pPr>
              <w:pStyle w:val="24"/>
              <w:snapToGrid/>
              <w:spacing w:before="0" w:beforeAutospacing="0" w:after="0" w:afterAutospacing="0" w:line="420" w:lineRule="atLeast"/>
              <w:jc w:val="center"/>
              <w:rPr>
                <w:sz w:val="21"/>
              </w:rPr>
            </w:pPr>
          </w:p>
        </w:tc>
        <w:tc>
          <w:tcPr>
            <w:tcW w:w="366" w:type="dxa"/>
            <w:vAlign w:val="center"/>
          </w:tcPr>
          <w:p w14:paraId="51FDD6FD">
            <w:pPr>
              <w:pStyle w:val="24"/>
              <w:snapToGrid/>
              <w:spacing w:before="0" w:beforeAutospacing="0" w:after="0" w:afterAutospacing="0" w:line="420" w:lineRule="atLeast"/>
              <w:jc w:val="center"/>
              <w:rPr>
                <w:sz w:val="21"/>
              </w:rPr>
            </w:pPr>
          </w:p>
        </w:tc>
        <w:tc>
          <w:tcPr>
            <w:tcW w:w="366" w:type="dxa"/>
            <w:vAlign w:val="center"/>
          </w:tcPr>
          <w:p w14:paraId="2752094B">
            <w:pPr>
              <w:pStyle w:val="24"/>
              <w:snapToGrid/>
              <w:spacing w:before="0" w:beforeAutospacing="0" w:after="0" w:afterAutospacing="0" w:line="420" w:lineRule="atLeast"/>
              <w:jc w:val="center"/>
              <w:rPr>
                <w:sz w:val="21"/>
              </w:rPr>
            </w:pPr>
          </w:p>
        </w:tc>
        <w:tc>
          <w:tcPr>
            <w:tcW w:w="366" w:type="dxa"/>
            <w:vAlign w:val="center"/>
          </w:tcPr>
          <w:p w14:paraId="698332A9">
            <w:pPr>
              <w:pStyle w:val="24"/>
              <w:snapToGrid/>
              <w:spacing w:before="0" w:beforeAutospacing="0" w:after="0" w:afterAutospacing="0" w:line="420" w:lineRule="atLeast"/>
              <w:jc w:val="center"/>
              <w:rPr>
                <w:sz w:val="21"/>
              </w:rPr>
            </w:pPr>
          </w:p>
        </w:tc>
        <w:tc>
          <w:tcPr>
            <w:tcW w:w="366" w:type="dxa"/>
            <w:vAlign w:val="center"/>
          </w:tcPr>
          <w:p w14:paraId="4041D728">
            <w:pPr>
              <w:pStyle w:val="24"/>
              <w:snapToGrid/>
              <w:spacing w:before="0" w:beforeAutospacing="0" w:after="0" w:afterAutospacing="0" w:line="420" w:lineRule="atLeast"/>
              <w:jc w:val="center"/>
              <w:rPr>
                <w:sz w:val="21"/>
              </w:rPr>
            </w:pPr>
          </w:p>
        </w:tc>
        <w:tc>
          <w:tcPr>
            <w:tcW w:w="516" w:type="dxa"/>
            <w:vAlign w:val="center"/>
          </w:tcPr>
          <w:p w14:paraId="00124E95">
            <w:pPr>
              <w:pStyle w:val="24"/>
              <w:snapToGrid/>
              <w:spacing w:before="0" w:beforeAutospacing="0" w:after="0" w:afterAutospacing="0" w:line="420" w:lineRule="atLeast"/>
              <w:jc w:val="center"/>
              <w:rPr>
                <w:sz w:val="21"/>
              </w:rPr>
            </w:pPr>
          </w:p>
        </w:tc>
        <w:tc>
          <w:tcPr>
            <w:tcW w:w="366" w:type="dxa"/>
            <w:vAlign w:val="center"/>
          </w:tcPr>
          <w:p w14:paraId="5BB34A73">
            <w:pPr>
              <w:pStyle w:val="24"/>
              <w:snapToGrid/>
              <w:spacing w:before="0" w:beforeAutospacing="0" w:after="0" w:afterAutospacing="0" w:line="420" w:lineRule="atLeast"/>
              <w:jc w:val="center"/>
              <w:rPr>
                <w:sz w:val="21"/>
              </w:rPr>
            </w:pPr>
          </w:p>
        </w:tc>
        <w:tc>
          <w:tcPr>
            <w:tcW w:w="366" w:type="dxa"/>
            <w:vAlign w:val="center"/>
          </w:tcPr>
          <w:p w14:paraId="75E445AF">
            <w:pPr>
              <w:pStyle w:val="24"/>
              <w:snapToGrid/>
              <w:spacing w:before="0" w:beforeAutospacing="0" w:after="0" w:afterAutospacing="0" w:line="420" w:lineRule="atLeast"/>
              <w:jc w:val="center"/>
              <w:rPr>
                <w:sz w:val="21"/>
              </w:rPr>
            </w:pPr>
          </w:p>
        </w:tc>
        <w:tc>
          <w:tcPr>
            <w:tcW w:w="516" w:type="dxa"/>
            <w:vAlign w:val="center"/>
          </w:tcPr>
          <w:p w14:paraId="5705E38B">
            <w:pPr>
              <w:pStyle w:val="24"/>
              <w:snapToGrid/>
              <w:spacing w:before="0" w:beforeAutospacing="0" w:after="0" w:afterAutospacing="0" w:line="420" w:lineRule="atLeast"/>
              <w:jc w:val="center"/>
              <w:rPr>
                <w:sz w:val="21"/>
              </w:rPr>
            </w:pPr>
          </w:p>
        </w:tc>
        <w:tc>
          <w:tcPr>
            <w:tcW w:w="366" w:type="dxa"/>
            <w:vAlign w:val="center"/>
          </w:tcPr>
          <w:p w14:paraId="06C624A8">
            <w:pPr>
              <w:pStyle w:val="24"/>
              <w:snapToGrid/>
              <w:spacing w:before="0" w:beforeAutospacing="0" w:after="0" w:afterAutospacing="0" w:line="420" w:lineRule="atLeast"/>
              <w:jc w:val="center"/>
              <w:rPr>
                <w:sz w:val="21"/>
              </w:rPr>
            </w:pPr>
          </w:p>
        </w:tc>
        <w:tc>
          <w:tcPr>
            <w:tcW w:w="516" w:type="dxa"/>
            <w:vAlign w:val="center"/>
          </w:tcPr>
          <w:p w14:paraId="6428D4DE">
            <w:pPr>
              <w:pStyle w:val="24"/>
              <w:snapToGrid/>
              <w:spacing w:before="0" w:beforeAutospacing="0" w:after="0" w:afterAutospacing="0" w:line="420" w:lineRule="atLeast"/>
              <w:jc w:val="center"/>
              <w:rPr>
                <w:sz w:val="21"/>
              </w:rPr>
            </w:pPr>
          </w:p>
        </w:tc>
        <w:tc>
          <w:tcPr>
            <w:tcW w:w="366" w:type="dxa"/>
            <w:vAlign w:val="center"/>
          </w:tcPr>
          <w:p w14:paraId="4236A457">
            <w:pPr>
              <w:pStyle w:val="24"/>
              <w:snapToGrid/>
              <w:spacing w:before="0" w:beforeAutospacing="0" w:after="0" w:afterAutospacing="0" w:line="420" w:lineRule="atLeast"/>
              <w:jc w:val="center"/>
              <w:rPr>
                <w:sz w:val="21"/>
              </w:rPr>
            </w:pPr>
          </w:p>
        </w:tc>
        <w:tc>
          <w:tcPr>
            <w:tcW w:w="666" w:type="dxa"/>
            <w:vAlign w:val="center"/>
          </w:tcPr>
          <w:p w14:paraId="40E74922">
            <w:pPr>
              <w:pStyle w:val="24"/>
              <w:snapToGrid/>
              <w:spacing w:before="0" w:beforeAutospacing="0" w:after="0" w:afterAutospacing="0" w:line="420" w:lineRule="atLeast"/>
              <w:jc w:val="center"/>
              <w:rPr>
                <w:sz w:val="21"/>
              </w:rPr>
            </w:pPr>
          </w:p>
        </w:tc>
        <w:tc>
          <w:tcPr>
            <w:tcW w:w="516" w:type="dxa"/>
            <w:vAlign w:val="center"/>
          </w:tcPr>
          <w:p w14:paraId="0DF138B6">
            <w:pPr>
              <w:pStyle w:val="24"/>
              <w:snapToGrid/>
              <w:spacing w:before="0" w:beforeAutospacing="0" w:after="0" w:afterAutospacing="0" w:line="420" w:lineRule="atLeast"/>
              <w:jc w:val="center"/>
              <w:rPr>
                <w:sz w:val="21"/>
              </w:rPr>
            </w:pPr>
          </w:p>
        </w:tc>
        <w:tc>
          <w:tcPr>
            <w:tcW w:w="366" w:type="dxa"/>
            <w:vAlign w:val="center"/>
          </w:tcPr>
          <w:p w14:paraId="1D2770CD">
            <w:pPr>
              <w:pStyle w:val="24"/>
              <w:snapToGrid/>
              <w:spacing w:before="0" w:beforeAutospacing="0" w:after="0" w:afterAutospacing="0" w:line="420" w:lineRule="atLeast"/>
              <w:jc w:val="center"/>
              <w:rPr>
                <w:sz w:val="21"/>
              </w:rPr>
            </w:pPr>
          </w:p>
        </w:tc>
        <w:tc>
          <w:tcPr>
            <w:tcW w:w="366" w:type="dxa"/>
            <w:vAlign w:val="center"/>
          </w:tcPr>
          <w:p w14:paraId="6E1B17B3">
            <w:pPr>
              <w:pStyle w:val="24"/>
              <w:snapToGrid/>
              <w:spacing w:before="0" w:beforeAutospacing="0" w:after="0" w:afterAutospacing="0" w:line="420" w:lineRule="atLeast"/>
              <w:jc w:val="center"/>
              <w:rPr>
                <w:sz w:val="21"/>
              </w:rPr>
            </w:pPr>
          </w:p>
        </w:tc>
        <w:tc>
          <w:tcPr>
            <w:tcW w:w="516" w:type="dxa"/>
            <w:vAlign w:val="center"/>
          </w:tcPr>
          <w:p w14:paraId="1DF61D83">
            <w:pPr>
              <w:pStyle w:val="24"/>
              <w:snapToGrid/>
              <w:spacing w:before="0" w:beforeAutospacing="0" w:after="0" w:afterAutospacing="0" w:line="420" w:lineRule="atLeast"/>
              <w:jc w:val="center"/>
              <w:rPr>
                <w:sz w:val="21"/>
              </w:rPr>
            </w:pPr>
          </w:p>
        </w:tc>
        <w:tc>
          <w:tcPr>
            <w:tcW w:w="366" w:type="dxa"/>
            <w:vAlign w:val="center"/>
          </w:tcPr>
          <w:p w14:paraId="21E9BD2B">
            <w:pPr>
              <w:pStyle w:val="24"/>
              <w:snapToGrid/>
              <w:spacing w:before="0" w:beforeAutospacing="0" w:after="0" w:afterAutospacing="0" w:line="420" w:lineRule="atLeast"/>
              <w:jc w:val="center"/>
              <w:rPr>
                <w:sz w:val="21"/>
              </w:rPr>
            </w:pPr>
          </w:p>
        </w:tc>
        <w:tc>
          <w:tcPr>
            <w:tcW w:w="221" w:type="dxa"/>
            <w:vAlign w:val="center"/>
          </w:tcPr>
          <w:p w14:paraId="0BF79FDF">
            <w:pPr>
              <w:pStyle w:val="24"/>
              <w:snapToGrid/>
              <w:spacing w:before="0" w:beforeAutospacing="0" w:after="0" w:afterAutospacing="0" w:line="420" w:lineRule="atLeast"/>
              <w:jc w:val="center"/>
              <w:rPr>
                <w:sz w:val="21"/>
              </w:rPr>
            </w:pPr>
          </w:p>
        </w:tc>
        <w:tc>
          <w:tcPr>
            <w:tcW w:w="221" w:type="dxa"/>
            <w:vAlign w:val="center"/>
          </w:tcPr>
          <w:p w14:paraId="53801DE1">
            <w:pPr>
              <w:pStyle w:val="24"/>
              <w:snapToGrid/>
              <w:spacing w:before="0" w:beforeAutospacing="0" w:after="0" w:afterAutospacing="0" w:line="420" w:lineRule="atLeast"/>
              <w:jc w:val="center"/>
              <w:rPr>
                <w:sz w:val="21"/>
              </w:rPr>
            </w:pPr>
          </w:p>
        </w:tc>
        <w:tc>
          <w:tcPr>
            <w:tcW w:w="221" w:type="dxa"/>
            <w:vAlign w:val="center"/>
          </w:tcPr>
          <w:p w14:paraId="5A7F7E0E">
            <w:pPr>
              <w:pStyle w:val="24"/>
              <w:snapToGrid/>
              <w:spacing w:before="0" w:beforeAutospacing="0" w:after="0" w:afterAutospacing="0" w:line="420" w:lineRule="atLeast"/>
              <w:jc w:val="center"/>
              <w:rPr>
                <w:sz w:val="21"/>
              </w:rPr>
            </w:pPr>
          </w:p>
        </w:tc>
        <w:tc>
          <w:tcPr>
            <w:tcW w:w="221" w:type="dxa"/>
            <w:vAlign w:val="center"/>
          </w:tcPr>
          <w:p w14:paraId="5673A9C4">
            <w:pPr>
              <w:pStyle w:val="24"/>
              <w:snapToGrid/>
              <w:spacing w:before="0" w:beforeAutospacing="0" w:after="0" w:afterAutospacing="0" w:line="420" w:lineRule="atLeast"/>
              <w:jc w:val="center"/>
              <w:rPr>
                <w:sz w:val="21"/>
              </w:rPr>
            </w:pPr>
          </w:p>
        </w:tc>
      </w:tr>
      <w:tr w14:paraId="5720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22459DB6">
            <w:pPr>
              <w:pStyle w:val="24"/>
              <w:snapToGrid/>
              <w:spacing w:before="0" w:beforeAutospacing="0" w:after="0" w:afterAutospacing="0" w:line="420" w:lineRule="atLeast"/>
              <w:jc w:val="center"/>
              <w:rPr>
                <w:sz w:val="21"/>
              </w:rPr>
            </w:pPr>
          </w:p>
        </w:tc>
        <w:tc>
          <w:tcPr>
            <w:tcW w:w="366" w:type="dxa"/>
            <w:vAlign w:val="center"/>
          </w:tcPr>
          <w:p w14:paraId="3A5AF5CD">
            <w:pPr>
              <w:pStyle w:val="24"/>
              <w:snapToGrid/>
              <w:spacing w:before="0" w:beforeAutospacing="0" w:after="0" w:afterAutospacing="0" w:line="420" w:lineRule="atLeast"/>
              <w:jc w:val="center"/>
              <w:rPr>
                <w:sz w:val="21"/>
              </w:rPr>
            </w:pPr>
          </w:p>
        </w:tc>
        <w:tc>
          <w:tcPr>
            <w:tcW w:w="366" w:type="dxa"/>
            <w:vAlign w:val="center"/>
          </w:tcPr>
          <w:p w14:paraId="63E33199">
            <w:pPr>
              <w:pStyle w:val="24"/>
              <w:snapToGrid/>
              <w:spacing w:before="0" w:beforeAutospacing="0" w:after="0" w:afterAutospacing="0" w:line="420" w:lineRule="atLeast"/>
              <w:jc w:val="center"/>
              <w:rPr>
                <w:sz w:val="21"/>
              </w:rPr>
            </w:pPr>
          </w:p>
        </w:tc>
        <w:tc>
          <w:tcPr>
            <w:tcW w:w="366" w:type="dxa"/>
            <w:vAlign w:val="center"/>
          </w:tcPr>
          <w:p w14:paraId="77755566">
            <w:pPr>
              <w:pStyle w:val="24"/>
              <w:snapToGrid/>
              <w:spacing w:before="0" w:beforeAutospacing="0" w:after="0" w:afterAutospacing="0" w:line="420" w:lineRule="atLeast"/>
              <w:jc w:val="center"/>
              <w:rPr>
                <w:sz w:val="21"/>
              </w:rPr>
            </w:pPr>
          </w:p>
        </w:tc>
        <w:tc>
          <w:tcPr>
            <w:tcW w:w="366" w:type="dxa"/>
            <w:vAlign w:val="center"/>
          </w:tcPr>
          <w:p w14:paraId="0C622804">
            <w:pPr>
              <w:pStyle w:val="24"/>
              <w:snapToGrid/>
              <w:spacing w:before="0" w:beforeAutospacing="0" w:after="0" w:afterAutospacing="0" w:line="420" w:lineRule="atLeast"/>
              <w:jc w:val="center"/>
              <w:rPr>
                <w:sz w:val="21"/>
              </w:rPr>
            </w:pPr>
          </w:p>
        </w:tc>
        <w:tc>
          <w:tcPr>
            <w:tcW w:w="516" w:type="dxa"/>
            <w:vAlign w:val="center"/>
          </w:tcPr>
          <w:p w14:paraId="46D624F8">
            <w:pPr>
              <w:pStyle w:val="24"/>
              <w:snapToGrid/>
              <w:spacing w:before="0" w:beforeAutospacing="0" w:after="0" w:afterAutospacing="0" w:line="420" w:lineRule="atLeast"/>
              <w:jc w:val="center"/>
              <w:rPr>
                <w:sz w:val="21"/>
              </w:rPr>
            </w:pPr>
          </w:p>
        </w:tc>
        <w:tc>
          <w:tcPr>
            <w:tcW w:w="366" w:type="dxa"/>
            <w:vAlign w:val="center"/>
          </w:tcPr>
          <w:p w14:paraId="7B3AA66B">
            <w:pPr>
              <w:pStyle w:val="24"/>
              <w:snapToGrid/>
              <w:spacing w:before="0" w:beforeAutospacing="0" w:after="0" w:afterAutospacing="0" w:line="420" w:lineRule="atLeast"/>
              <w:jc w:val="center"/>
              <w:rPr>
                <w:sz w:val="21"/>
              </w:rPr>
            </w:pPr>
          </w:p>
        </w:tc>
        <w:tc>
          <w:tcPr>
            <w:tcW w:w="366" w:type="dxa"/>
            <w:vAlign w:val="center"/>
          </w:tcPr>
          <w:p w14:paraId="08C41781">
            <w:pPr>
              <w:pStyle w:val="24"/>
              <w:snapToGrid/>
              <w:spacing w:before="0" w:beforeAutospacing="0" w:after="0" w:afterAutospacing="0" w:line="420" w:lineRule="atLeast"/>
              <w:jc w:val="center"/>
              <w:rPr>
                <w:sz w:val="21"/>
              </w:rPr>
            </w:pPr>
          </w:p>
        </w:tc>
        <w:tc>
          <w:tcPr>
            <w:tcW w:w="516" w:type="dxa"/>
            <w:vAlign w:val="center"/>
          </w:tcPr>
          <w:p w14:paraId="3EA216AD">
            <w:pPr>
              <w:pStyle w:val="24"/>
              <w:snapToGrid/>
              <w:spacing w:before="0" w:beforeAutospacing="0" w:after="0" w:afterAutospacing="0" w:line="420" w:lineRule="atLeast"/>
              <w:jc w:val="center"/>
              <w:rPr>
                <w:sz w:val="21"/>
              </w:rPr>
            </w:pPr>
          </w:p>
        </w:tc>
        <w:tc>
          <w:tcPr>
            <w:tcW w:w="366" w:type="dxa"/>
            <w:vAlign w:val="center"/>
          </w:tcPr>
          <w:p w14:paraId="43A9AA94">
            <w:pPr>
              <w:pStyle w:val="24"/>
              <w:snapToGrid/>
              <w:spacing w:before="0" w:beforeAutospacing="0" w:after="0" w:afterAutospacing="0" w:line="420" w:lineRule="atLeast"/>
              <w:jc w:val="center"/>
              <w:rPr>
                <w:sz w:val="21"/>
              </w:rPr>
            </w:pPr>
          </w:p>
        </w:tc>
        <w:tc>
          <w:tcPr>
            <w:tcW w:w="516" w:type="dxa"/>
            <w:vAlign w:val="center"/>
          </w:tcPr>
          <w:p w14:paraId="4A029AF8">
            <w:pPr>
              <w:pStyle w:val="24"/>
              <w:snapToGrid/>
              <w:spacing w:before="0" w:beforeAutospacing="0" w:after="0" w:afterAutospacing="0" w:line="420" w:lineRule="atLeast"/>
              <w:jc w:val="center"/>
              <w:rPr>
                <w:sz w:val="21"/>
              </w:rPr>
            </w:pPr>
          </w:p>
        </w:tc>
        <w:tc>
          <w:tcPr>
            <w:tcW w:w="366" w:type="dxa"/>
            <w:vAlign w:val="center"/>
          </w:tcPr>
          <w:p w14:paraId="5C1AAAA6">
            <w:pPr>
              <w:pStyle w:val="24"/>
              <w:snapToGrid/>
              <w:spacing w:before="0" w:beforeAutospacing="0" w:after="0" w:afterAutospacing="0" w:line="420" w:lineRule="atLeast"/>
              <w:jc w:val="center"/>
              <w:rPr>
                <w:sz w:val="21"/>
              </w:rPr>
            </w:pPr>
          </w:p>
        </w:tc>
        <w:tc>
          <w:tcPr>
            <w:tcW w:w="666" w:type="dxa"/>
            <w:vAlign w:val="center"/>
          </w:tcPr>
          <w:p w14:paraId="4657095F">
            <w:pPr>
              <w:pStyle w:val="24"/>
              <w:snapToGrid/>
              <w:spacing w:before="0" w:beforeAutospacing="0" w:after="0" w:afterAutospacing="0" w:line="420" w:lineRule="atLeast"/>
              <w:jc w:val="center"/>
              <w:rPr>
                <w:sz w:val="21"/>
              </w:rPr>
            </w:pPr>
          </w:p>
        </w:tc>
        <w:tc>
          <w:tcPr>
            <w:tcW w:w="516" w:type="dxa"/>
            <w:vAlign w:val="center"/>
          </w:tcPr>
          <w:p w14:paraId="288F511A">
            <w:pPr>
              <w:pStyle w:val="24"/>
              <w:snapToGrid/>
              <w:spacing w:before="0" w:beforeAutospacing="0" w:after="0" w:afterAutospacing="0" w:line="420" w:lineRule="atLeast"/>
              <w:jc w:val="center"/>
              <w:rPr>
                <w:sz w:val="21"/>
              </w:rPr>
            </w:pPr>
          </w:p>
        </w:tc>
        <w:tc>
          <w:tcPr>
            <w:tcW w:w="366" w:type="dxa"/>
            <w:vAlign w:val="center"/>
          </w:tcPr>
          <w:p w14:paraId="4501FB23">
            <w:pPr>
              <w:pStyle w:val="24"/>
              <w:snapToGrid/>
              <w:spacing w:before="0" w:beforeAutospacing="0" w:after="0" w:afterAutospacing="0" w:line="420" w:lineRule="atLeast"/>
              <w:jc w:val="center"/>
              <w:rPr>
                <w:sz w:val="21"/>
              </w:rPr>
            </w:pPr>
          </w:p>
        </w:tc>
        <w:tc>
          <w:tcPr>
            <w:tcW w:w="366" w:type="dxa"/>
            <w:vAlign w:val="center"/>
          </w:tcPr>
          <w:p w14:paraId="04FB2564">
            <w:pPr>
              <w:pStyle w:val="24"/>
              <w:snapToGrid/>
              <w:spacing w:before="0" w:beforeAutospacing="0" w:after="0" w:afterAutospacing="0" w:line="420" w:lineRule="atLeast"/>
              <w:jc w:val="center"/>
              <w:rPr>
                <w:sz w:val="21"/>
              </w:rPr>
            </w:pPr>
          </w:p>
        </w:tc>
        <w:tc>
          <w:tcPr>
            <w:tcW w:w="516" w:type="dxa"/>
            <w:vAlign w:val="center"/>
          </w:tcPr>
          <w:p w14:paraId="609A2801">
            <w:pPr>
              <w:pStyle w:val="24"/>
              <w:snapToGrid/>
              <w:spacing w:before="0" w:beforeAutospacing="0" w:after="0" w:afterAutospacing="0" w:line="420" w:lineRule="atLeast"/>
              <w:jc w:val="center"/>
              <w:rPr>
                <w:sz w:val="21"/>
              </w:rPr>
            </w:pPr>
          </w:p>
        </w:tc>
        <w:tc>
          <w:tcPr>
            <w:tcW w:w="366" w:type="dxa"/>
            <w:vAlign w:val="center"/>
          </w:tcPr>
          <w:p w14:paraId="7072BB1A">
            <w:pPr>
              <w:pStyle w:val="24"/>
              <w:snapToGrid/>
              <w:spacing w:before="0" w:beforeAutospacing="0" w:after="0" w:afterAutospacing="0" w:line="420" w:lineRule="atLeast"/>
              <w:jc w:val="center"/>
              <w:rPr>
                <w:sz w:val="21"/>
              </w:rPr>
            </w:pPr>
          </w:p>
        </w:tc>
        <w:tc>
          <w:tcPr>
            <w:tcW w:w="221" w:type="dxa"/>
            <w:vAlign w:val="center"/>
          </w:tcPr>
          <w:p w14:paraId="221DE066">
            <w:pPr>
              <w:pStyle w:val="24"/>
              <w:snapToGrid/>
              <w:spacing w:before="0" w:beforeAutospacing="0" w:after="0" w:afterAutospacing="0" w:line="420" w:lineRule="atLeast"/>
              <w:jc w:val="center"/>
              <w:rPr>
                <w:sz w:val="21"/>
              </w:rPr>
            </w:pPr>
          </w:p>
        </w:tc>
        <w:tc>
          <w:tcPr>
            <w:tcW w:w="221" w:type="dxa"/>
            <w:vAlign w:val="center"/>
          </w:tcPr>
          <w:p w14:paraId="7DBA5928">
            <w:pPr>
              <w:pStyle w:val="24"/>
              <w:snapToGrid/>
              <w:spacing w:before="0" w:beforeAutospacing="0" w:after="0" w:afterAutospacing="0" w:line="420" w:lineRule="atLeast"/>
              <w:jc w:val="center"/>
              <w:rPr>
                <w:sz w:val="21"/>
              </w:rPr>
            </w:pPr>
          </w:p>
        </w:tc>
        <w:tc>
          <w:tcPr>
            <w:tcW w:w="221" w:type="dxa"/>
            <w:vAlign w:val="center"/>
          </w:tcPr>
          <w:p w14:paraId="12172D0C">
            <w:pPr>
              <w:pStyle w:val="24"/>
              <w:snapToGrid/>
              <w:spacing w:before="0" w:beforeAutospacing="0" w:after="0" w:afterAutospacing="0" w:line="420" w:lineRule="atLeast"/>
              <w:jc w:val="center"/>
              <w:rPr>
                <w:sz w:val="21"/>
              </w:rPr>
            </w:pPr>
          </w:p>
        </w:tc>
        <w:tc>
          <w:tcPr>
            <w:tcW w:w="221" w:type="dxa"/>
            <w:vAlign w:val="center"/>
          </w:tcPr>
          <w:p w14:paraId="106E300E">
            <w:pPr>
              <w:pStyle w:val="24"/>
              <w:snapToGrid/>
              <w:spacing w:before="0" w:beforeAutospacing="0" w:after="0" w:afterAutospacing="0" w:line="420" w:lineRule="atLeast"/>
              <w:jc w:val="center"/>
              <w:rPr>
                <w:sz w:val="21"/>
              </w:rPr>
            </w:pPr>
          </w:p>
        </w:tc>
      </w:tr>
    </w:tbl>
    <w:p w14:paraId="550A7B09">
      <w:pPr>
        <w:pStyle w:val="24"/>
        <w:snapToGrid/>
        <w:spacing w:before="0" w:beforeAutospacing="0" w:after="0" w:afterAutospacing="0" w:line="420" w:lineRule="atLeast"/>
        <w:jc w:val="both"/>
        <w:rPr>
          <w:sz w:val="21"/>
        </w:rPr>
      </w:pPr>
    </w:p>
    <w:p w14:paraId="2278E025">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404F8727"/>
    <w:p w14:paraId="4B5C361F"/>
    <w:p w14:paraId="70B8FF0D"/>
    <w:p w14:paraId="523410A6">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11</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6B8E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658B1713">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58FD6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78A512FD">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117487ED">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132B23BA">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501840D2">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5990B3D8">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406989C5">
            <w:pPr>
              <w:pStyle w:val="24"/>
              <w:snapToGrid/>
              <w:spacing w:before="0" w:beforeAutospacing="0" w:after="0" w:afterAutospacing="0" w:line="420" w:lineRule="atLeast"/>
              <w:jc w:val="center"/>
              <w:rPr>
                <w:sz w:val="21"/>
              </w:rPr>
            </w:pPr>
            <w:r>
              <w:rPr>
                <w:rFonts w:hint="eastAsia"/>
                <w:sz w:val="21"/>
              </w:rPr>
              <w:t>单设备非国产芯片数量（颗）</w:t>
            </w:r>
          </w:p>
        </w:tc>
      </w:tr>
      <w:tr w14:paraId="3141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61660057">
            <w:pPr>
              <w:pStyle w:val="24"/>
              <w:snapToGrid/>
              <w:spacing w:before="0" w:beforeAutospacing="0" w:after="0" w:afterAutospacing="0" w:line="420" w:lineRule="atLeast"/>
              <w:jc w:val="center"/>
              <w:rPr>
                <w:sz w:val="21"/>
                <w:u w:val="single"/>
              </w:rPr>
            </w:pPr>
            <w:r>
              <w:rPr>
                <w:rFonts w:hint="eastAsia"/>
                <w:sz w:val="21"/>
                <w:u w:val="single"/>
              </w:rPr>
              <w:t>正向隔离装置</w:t>
            </w:r>
          </w:p>
          <w:p w14:paraId="7F7E4799">
            <w:pPr>
              <w:pStyle w:val="24"/>
              <w:snapToGrid/>
              <w:spacing w:before="0" w:beforeAutospacing="0" w:after="0" w:afterAutospacing="0" w:line="420" w:lineRule="atLeast"/>
              <w:jc w:val="center"/>
              <w:rPr>
                <w:sz w:val="21"/>
                <w:u w:val="single"/>
              </w:rPr>
            </w:pPr>
          </w:p>
        </w:tc>
        <w:tc>
          <w:tcPr>
            <w:tcW w:w="1545" w:type="dxa"/>
            <w:vAlign w:val="center"/>
          </w:tcPr>
          <w:p w14:paraId="44B7142D">
            <w:pPr>
              <w:pStyle w:val="24"/>
              <w:snapToGrid/>
              <w:spacing w:before="0" w:beforeAutospacing="0" w:after="0" w:afterAutospacing="0" w:line="420" w:lineRule="atLeast"/>
              <w:jc w:val="center"/>
              <w:rPr>
                <w:sz w:val="21"/>
              </w:rPr>
            </w:pPr>
          </w:p>
        </w:tc>
        <w:tc>
          <w:tcPr>
            <w:tcW w:w="1420" w:type="dxa"/>
            <w:vAlign w:val="center"/>
          </w:tcPr>
          <w:p w14:paraId="17A26611">
            <w:pPr>
              <w:pStyle w:val="24"/>
              <w:snapToGrid/>
              <w:spacing w:before="0" w:beforeAutospacing="0" w:after="0" w:afterAutospacing="0" w:line="420" w:lineRule="atLeast"/>
              <w:jc w:val="center"/>
              <w:rPr>
                <w:sz w:val="21"/>
              </w:rPr>
            </w:pPr>
          </w:p>
        </w:tc>
        <w:tc>
          <w:tcPr>
            <w:tcW w:w="1420" w:type="dxa"/>
            <w:vAlign w:val="center"/>
          </w:tcPr>
          <w:p w14:paraId="61407480">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036A9775">
            <w:pPr>
              <w:pStyle w:val="24"/>
              <w:snapToGrid/>
              <w:spacing w:before="0" w:beforeAutospacing="0" w:after="0" w:afterAutospacing="0" w:line="420" w:lineRule="atLeast"/>
              <w:jc w:val="center"/>
              <w:rPr>
                <w:sz w:val="21"/>
              </w:rPr>
            </w:pPr>
          </w:p>
        </w:tc>
        <w:tc>
          <w:tcPr>
            <w:tcW w:w="1421" w:type="dxa"/>
            <w:vAlign w:val="center"/>
          </w:tcPr>
          <w:p w14:paraId="35930F89">
            <w:pPr>
              <w:pStyle w:val="24"/>
              <w:snapToGrid/>
              <w:spacing w:before="0" w:beforeAutospacing="0" w:after="0" w:afterAutospacing="0" w:line="420" w:lineRule="atLeast"/>
              <w:jc w:val="center"/>
              <w:rPr>
                <w:sz w:val="21"/>
              </w:rPr>
            </w:pPr>
          </w:p>
        </w:tc>
      </w:tr>
      <w:tr w14:paraId="1246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468E9EC3">
            <w:pPr>
              <w:pStyle w:val="24"/>
              <w:snapToGrid/>
              <w:spacing w:before="0" w:beforeAutospacing="0" w:after="0" w:afterAutospacing="0" w:line="420" w:lineRule="atLeast"/>
              <w:jc w:val="center"/>
              <w:rPr>
                <w:sz w:val="21"/>
              </w:rPr>
            </w:pPr>
          </w:p>
        </w:tc>
        <w:tc>
          <w:tcPr>
            <w:tcW w:w="1545" w:type="dxa"/>
            <w:vAlign w:val="center"/>
          </w:tcPr>
          <w:p w14:paraId="243C614B">
            <w:pPr>
              <w:pStyle w:val="24"/>
              <w:snapToGrid/>
              <w:spacing w:before="0" w:beforeAutospacing="0" w:after="0" w:afterAutospacing="0" w:line="420" w:lineRule="atLeast"/>
              <w:jc w:val="center"/>
              <w:rPr>
                <w:sz w:val="21"/>
              </w:rPr>
            </w:pPr>
          </w:p>
        </w:tc>
        <w:tc>
          <w:tcPr>
            <w:tcW w:w="1420" w:type="dxa"/>
            <w:vAlign w:val="center"/>
          </w:tcPr>
          <w:p w14:paraId="403B36CE">
            <w:pPr>
              <w:pStyle w:val="24"/>
              <w:snapToGrid/>
              <w:spacing w:before="0" w:beforeAutospacing="0" w:after="0" w:afterAutospacing="0" w:line="420" w:lineRule="atLeast"/>
              <w:jc w:val="center"/>
              <w:rPr>
                <w:sz w:val="21"/>
              </w:rPr>
            </w:pPr>
          </w:p>
        </w:tc>
        <w:tc>
          <w:tcPr>
            <w:tcW w:w="1420" w:type="dxa"/>
            <w:vAlign w:val="center"/>
          </w:tcPr>
          <w:p w14:paraId="2F9707A3">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6EAE195D">
            <w:pPr>
              <w:pStyle w:val="24"/>
              <w:snapToGrid/>
              <w:spacing w:before="0" w:beforeAutospacing="0" w:after="0" w:afterAutospacing="0" w:line="420" w:lineRule="atLeast"/>
              <w:jc w:val="center"/>
              <w:rPr>
                <w:sz w:val="21"/>
              </w:rPr>
            </w:pPr>
          </w:p>
        </w:tc>
        <w:tc>
          <w:tcPr>
            <w:tcW w:w="1421" w:type="dxa"/>
            <w:vAlign w:val="center"/>
          </w:tcPr>
          <w:p w14:paraId="278F9B88">
            <w:pPr>
              <w:pStyle w:val="24"/>
              <w:snapToGrid/>
              <w:spacing w:before="0" w:beforeAutospacing="0" w:after="0" w:afterAutospacing="0" w:line="420" w:lineRule="atLeast"/>
              <w:jc w:val="center"/>
              <w:rPr>
                <w:sz w:val="21"/>
              </w:rPr>
            </w:pPr>
          </w:p>
        </w:tc>
      </w:tr>
      <w:tr w14:paraId="3632E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365D56BD">
            <w:pPr>
              <w:pStyle w:val="24"/>
              <w:snapToGrid/>
              <w:spacing w:before="0" w:beforeAutospacing="0" w:after="0" w:afterAutospacing="0" w:line="420" w:lineRule="atLeast"/>
              <w:jc w:val="center"/>
              <w:rPr>
                <w:sz w:val="21"/>
              </w:rPr>
            </w:pPr>
          </w:p>
        </w:tc>
        <w:tc>
          <w:tcPr>
            <w:tcW w:w="1545" w:type="dxa"/>
            <w:vAlign w:val="center"/>
          </w:tcPr>
          <w:p w14:paraId="2464214C">
            <w:pPr>
              <w:pStyle w:val="24"/>
              <w:snapToGrid/>
              <w:spacing w:before="0" w:beforeAutospacing="0" w:after="0" w:afterAutospacing="0" w:line="420" w:lineRule="atLeast"/>
              <w:jc w:val="center"/>
              <w:rPr>
                <w:sz w:val="21"/>
              </w:rPr>
            </w:pPr>
          </w:p>
        </w:tc>
        <w:tc>
          <w:tcPr>
            <w:tcW w:w="1420" w:type="dxa"/>
            <w:vAlign w:val="center"/>
          </w:tcPr>
          <w:p w14:paraId="32BA9276">
            <w:pPr>
              <w:pStyle w:val="24"/>
              <w:snapToGrid/>
              <w:spacing w:before="0" w:beforeAutospacing="0" w:after="0" w:afterAutospacing="0" w:line="420" w:lineRule="atLeast"/>
              <w:jc w:val="center"/>
              <w:rPr>
                <w:sz w:val="21"/>
              </w:rPr>
            </w:pPr>
          </w:p>
        </w:tc>
        <w:tc>
          <w:tcPr>
            <w:tcW w:w="1420" w:type="dxa"/>
            <w:vAlign w:val="center"/>
          </w:tcPr>
          <w:p w14:paraId="5B082227">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625FC49F">
            <w:pPr>
              <w:pStyle w:val="24"/>
              <w:snapToGrid/>
              <w:spacing w:before="0" w:beforeAutospacing="0" w:after="0" w:afterAutospacing="0" w:line="420" w:lineRule="atLeast"/>
              <w:jc w:val="center"/>
              <w:rPr>
                <w:sz w:val="21"/>
              </w:rPr>
            </w:pPr>
          </w:p>
        </w:tc>
        <w:tc>
          <w:tcPr>
            <w:tcW w:w="1421" w:type="dxa"/>
            <w:vAlign w:val="center"/>
          </w:tcPr>
          <w:p w14:paraId="167F4995">
            <w:pPr>
              <w:pStyle w:val="24"/>
              <w:snapToGrid/>
              <w:spacing w:before="0" w:beforeAutospacing="0" w:after="0" w:afterAutospacing="0" w:line="420" w:lineRule="atLeast"/>
              <w:jc w:val="center"/>
              <w:rPr>
                <w:sz w:val="21"/>
              </w:rPr>
            </w:pPr>
          </w:p>
        </w:tc>
      </w:tr>
      <w:tr w14:paraId="1C4B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5A15727E">
            <w:pPr>
              <w:pStyle w:val="24"/>
              <w:snapToGrid/>
              <w:spacing w:before="0" w:beforeAutospacing="0" w:after="0" w:afterAutospacing="0" w:line="420" w:lineRule="atLeast"/>
              <w:jc w:val="center"/>
              <w:rPr>
                <w:sz w:val="21"/>
              </w:rPr>
            </w:pPr>
          </w:p>
        </w:tc>
        <w:tc>
          <w:tcPr>
            <w:tcW w:w="1545" w:type="dxa"/>
            <w:vAlign w:val="center"/>
          </w:tcPr>
          <w:p w14:paraId="436F51E4">
            <w:pPr>
              <w:pStyle w:val="24"/>
              <w:snapToGrid/>
              <w:spacing w:before="0" w:beforeAutospacing="0" w:after="0" w:afterAutospacing="0" w:line="420" w:lineRule="atLeast"/>
              <w:jc w:val="center"/>
              <w:rPr>
                <w:sz w:val="21"/>
              </w:rPr>
            </w:pPr>
          </w:p>
        </w:tc>
        <w:tc>
          <w:tcPr>
            <w:tcW w:w="1420" w:type="dxa"/>
            <w:vAlign w:val="center"/>
          </w:tcPr>
          <w:p w14:paraId="37E5653C">
            <w:pPr>
              <w:pStyle w:val="24"/>
              <w:snapToGrid/>
              <w:spacing w:before="0" w:beforeAutospacing="0" w:after="0" w:afterAutospacing="0" w:line="420" w:lineRule="atLeast"/>
              <w:jc w:val="center"/>
              <w:rPr>
                <w:sz w:val="21"/>
              </w:rPr>
            </w:pPr>
          </w:p>
        </w:tc>
        <w:tc>
          <w:tcPr>
            <w:tcW w:w="1420" w:type="dxa"/>
            <w:vAlign w:val="center"/>
          </w:tcPr>
          <w:p w14:paraId="034134E6">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12861E58">
            <w:pPr>
              <w:pStyle w:val="24"/>
              <w:snapToGrid/>
              <w:spacing w:before="0" w:beforeAutospacing="0" w:after="0" w:afterAutospacing="0" w:line="420" w:lineRule="atLeast"/>
              <w:jc w:val="center"/>
              <w:rPr>
                <w:sz w:val="21"/>
              </w:rPr>
            </w:pPr>
          </w:p>
        </w:tc>
        <w:tc>
          <w:tcPr>
            <w:tcW w:w="1421" w:type="dxa"/>
            <w:vAlign w:val="center"/>
          </w:tcPr>
          <w:p w14:paraId="07A750A5">
            <w:pPr>
              <w:pStyle w:val="24"/>
              <w:snapToGrid/>
              <w:spacing w:before="0" w:beforeAutospacing="0" w:after="0" w:afterAutospacing="0" w:line="420" w:lineRule="atLeast"/>
              <w:jc w:val="center"/>
              <w:rPr>
                <w:sz w:val="21"/>
              </w:rPr>
            </w:pPr>
          </w:p>
        </w:tc>
      </w:tr>
      <w:tr w14:paraId="0D78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1E823B1">
            <w:pPr>
              <w:pStyle w:val="24"/>
              <w:snapToGrid/>
              <w:spacing w:before="0" w:beforeAutospacing="0" w:after="0" w:afterAutospacing="0" w:line="420" w:lineRule="atLeast"/>
              <w:jc w:val="center"/>
              <w:rPr>
                <w:sz w:val="21"/>
              </w:rPr>
            </w:pPr>
          </w:p>
        </w:tc>
        <w:tc>
          <w:tcPr>
            <w:tcW w:w="1545" w:type="dxa"/>
            <w:vAlign w:val="center"/>
          </w:tcPr>
          <w:p w14:paraId="1406A7FE">
            <w:pPr>
              <w:pStyle w:val="24"/>
              <w:snapToGrid/>
              <w:spacing w:before="0" w:beforeAutospacing="0" w:after="0" w:afterAutospacing="0" w:line="420" w:lineRule="atLeast"/>
              <w:jc w:val="center"/>
              <w:rPr>
                <w:sz w:val="21"/>
              </w:rPr>
            </w:pPr>
          </w:p>
        </w:tc>
        <w:tc>
          <w:tcPr>
            <w:tcW w:w="1420" w:type="dxa"/>
            <w:vAlign w:val="center"/>
          </w:tcPr>
          <w:p w14:paraId="5002610E">
            <w:pPr>
              <w:pStyle w:val="24"/>
              <w:snapToGrid/>
              <w:spacing w:before="0" w:beforeAutospacing="0" w:after="0" w:afterAutospacing="0" w:line="420" w:lineRule="atLeast"/>
              <w:jc w:val="center"/>
              <w:rPr>
                <w:sz w:val="21"/>
              </w:rPr>
            </w:pPr>
          </w:p>
        </w:tc>
        <w:tc>
          <w:tcPr>
            <w:tcW w:w="1420" w:type="dxa"/>
            <w:vAlign w:val="center"/>
          </w:tcPr>
          <w:p w14:paraId="584F725E">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79348F51">
            <w:pPr>
              <w:pStyle w:val="24"/>
              <w:snapToGrid/>
              <w:spacing w:before="0" w:beforeAutospacing="0" w:after="0" w:afterAutospacing="0" w:line="420" w:lineRule="atLeast"/>
              <w:jc w:val="center"/>
              <w:rPr>
                <w:sz w:val="21"/>
              </w:rPr>
            </w:pPr>
          </w:p>
        </w:tc>
        <w:tc>
          <w:tcPr>
            <w:tcW w:w="1421" w:type="dxa"/>
            <w:vAlign w:val="center"/>
          </w:tcPr>
          <w:p w14:paraId="3F23DCC1">
            <w:pPr>
              <w:pStyle w:val="24"/>
              <w:snapToGrid/>
              <w:spacing w:before="0" w:beforeAutospacing="0" w:after="0" w:afterAutospacing="0" w:line="420" w:lineRule="atLeast"/>
              <w:jc w:val="center"/>
              <w:rPr>
                <w:sz w:val="21"/>
              </w:rPr>
            </w:pPr>
          </w:p>
        </w:tc>
      </w:tr>
      <w:tr w14:paraId="1DE1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3990065C">
            <w:pPr>
              <w:pStyle w:val="24"/>
              <w:snapToGrid/>
              <w:spacing w:before="0" w:beforeAutospacing="0" w:after="0" w:afterAutospacing="0" w:line="420" w:lineRule="atLeast"/>
              <w:jc w:val="center"/>
              <w:rPr>
                <w:sz w:val="21"/>
              </w:rPr>
            </w:pPr>
          </w:p>
        </w:tc>
        <w:tc>
          <w:tcPr>
            <w:tcW w:w="1545" w:type="dxa"/>
            <w:vAlign w:val="center"/>
          </w:tcPr>
          <w:p w14:paraId="5155AAA3">
            <w:pPr>
              <w:pStyle w:val="24"/>
              <w:snapToGrid/>
              <w:spacing w:before="0" w:beforeAutospacing="0" w:after="0" w:afterAutospacing="0" w:line="420" w:lineRule="atLeast"/>
              <w:jc w:val="center"/>
              <w:rPr>
                <w:sz w:val="21"/>
              </w:rPr>
            </w:pPr>
          </w:p>
        </w:tc>
        <w:tc>
          <w:tcPr>
            <w:tcW w:w="1420" w:type="dxa"/>
            <w:vAlign w:val="center"/>
          </w:tcPr>
          <w:p w14:paraId="52D9FEF5">
            <w:pPr>
              <w:pStyle w:val="24"/>
              <w:snapToGrid/>
              <w:spacing w:before="0" w:beforeAutospacing="0" w:after="0" w:afterAutospacing="0" w:line="420" w:lineRule="atLeast"/>
              <w:jc w:val="center"/>
              <w:rPr>
                <w:sz w:val="21"/>
              </w:rPr>
            </w:pPr>
          </w:p>
        </w:tc>
        <w:tc>
          <w:tcPr>
            <w:tcW w:w="1420" w:type="dxa"/>
            <w:vAlign w:val="center"/>
          </w:tcPr>
          <w:p w14:paraId="20032C44">
            <w:pPr>
              <w:widowControl/>
              <w:snapToGrid/>
              <w:spacing w:line="420" w:lineRule="atLeast"/>
              <w:jc w:val="center"/>
            </w:pPr>
            <w:r>
              <w:rPr>
                <w:rFonts w:hint="eastAsia"/>
              </w:rPr>
              <w:t>电源模块控制芯片</w:t>
            </w:r>
          </w:p>
        </w:tc>
        <w:tc>
          <w:tcPr>
            <w:tcW w:w="1421" w:type="dxa"/>
            <w:vAlign w:val="center"/>
          </w:tcPr>
          <w:p w14:paraId="5D78B850">
            <w:pPr>
              <w:pStyle w:val="24"/>
              <w:snapToGrid/>
              <w:spacing w:before="0" w:beforeAutospacing="0" w:after="0" w:afterAutospacing="0" w:line="420" w:lineRule="atLeast"/>
              <w:jc w:val="center"/>
              <w:rPr>
                <w:sz w:val="21"/>
              </w:rPr>
            </w:pPr>
          </w:p>
        </w:tc>
        <w:tc>
          <w:tcPr>
            <w:tcW w:w="1421" w:type="dxa"/>
            <w:vAlign w:val="center"/>
          </w:tcPr>
          <w:p w14:paraId="5F7F102E">
            <w:pPr>
              <w:pStyle w:val="24"/>
              <w:snapToGrid/>
              <w:spacing w:before="0" w:beforeAutospacing="0" w:after="0" w:afterAutospacing="0" w:line="420" w:lineRule="atLeast"/>
              <w:jc w:val="center"/>
              <w:rPr>
                <w:sz w:val="21"/>
              </w:rPr>
            </w:pPr>
          </w:p>
        </w:tc>
      </w:tr>
      <w:tr w14:paraId="7C59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6562BACB">
            <w:pPr>
              <w:pStyle w:val="24"/>
              <w:snapToGrid/>
              <w:spacing w:before="0" w:beforeAutospacing="0" w:after="0" w:afterAutospacing="0" w:line="420" w:lineRule="atLeast"/>
              <w:jc w:val="center"/>
              <w:rPr>
                <w:sz w:val="21"/>
              </w:rPr>
            </w:pPr>
          </w:p>
        </w:tc>
        <w:tc>
          <w:tcPr>
            <w:tcW w:w="1545" w:type="dxa"/>
            <w:vAlign w:val="center"/>
          </w:tcPr>
          <w:p w14:paraId="3E37AD9D">
            <w:pPr>
              <w:pStyle w:val="24"/>
              <w:snapToGrid/>
              <w:spacing w:before="0" w:beforeAutospacing="0" w:after="0" w:afterAutospacing="0" w:line="420" w:lineRule="atLeast"/>
              <w:jc w:val="center"/>
              <w:rPr>
                <w:sz w:val="21"/>
              </w:rPr>
            </w:pPr>
          </w:p>
        </w:tc>
        <w:tc>
          <w:tcPr>
            <w:tcW w:w="1420" w:type="dxa"/>
            <w:vAlign w:val="center"/>
          </w:tcPr>
          <w:p w14:paraId="46239036">
            <w:pPr>
              <w:pStyle w:val="24"/>
              <w:snapToGrid/>
              <w:spacing w:before="0" w:beforeAutospacing="0" w:after="0" w:afterAutospacing="0" w:line="420" w:lineRule="atLeast"/>
              <w:jc w:val="center"/>
              <w:rPr>
                <w:sz w:val="21"/>
              </w:rPr>
            </w:pPr>
          </w:p>
        </w:tc>
        <w:tc>
          <w:tcPr>
            <w:tcW w:w="1420" w:type="dxa"/>
            <w:vAlign w:val="center"/>
          </w:tcPr>
          <w:p w14:paraId="0CFD60E0">
            <w:pPr>
              <w:widowControl/>
              <w:snapToGrid/>
              <w:spacing w:line="420" w:lineRule="atLeast"/>
              <w:jc w:val="center"/>
              <w:rPr>
                <w:rFonts w:hint="eastAsia"/>
              </w:rPr>
            </w:pPr>
            <w:r>
              <w:rPr>
                <w:rFonts w:hint="eastAsia"/>
              </w:rPr>
              <w:t>加密芯片</w:t>
            </w:r>
          </w:p>
        </w:tc>
        <w:tc>
          <w:tcPr>
            <w:tcW w:w="1421" w:type="dxa"/>
            <w:vAlign w:val="center"/>
          </w:tcPr>
          <w:p w14:paraId="06F4352D">
            <w:pPr>
              <w:pStyle w:val="24"/>
              <w:snapToGrid/>
              <w:spacing w:before="0" w:beforeAutospacing="0" w:after="0" w:afterAutospacing="0" w:line="420" w:lineRule="atLeast"/>
              <w:jc w:val="center"/>
              <w:rPr>
                <w:sz w:val="21"/>
              </w:rPr>
            </w:pPr>
          </w:p>
        </w:tc>
        <w:tc>
          <w:tcPr>
            <w:tcW w:w="1421" w:type="dxa"/>
            <w:vAlign w:val="center"/>
          </w:tcPr>
          <w:p w14:paraId="49FAD332">
            <w:pPr>
              <w:pStyle w:val="24"/>
              <w:snapToGrid/>
              <w:spacing w:before="0" w:beforeAutospacing="0" w:after="0" w:afterAutospacing="0" w:line="420" w:lineRule="atLeast"/>
              <w:jc w:val="center"/>
              <w:rPr>
                <w:sz w:val="21"/>
              </w:rPr>
            </w:pPr>
          </w:p>
        </w:tc>
      </w:tr>
      <w:tr w14:paraId="473B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7C931C2F">
            <w:pPr>
              <w:pStyle w:val="24"/>
              <w:snapToGrid/>
              <w:spacing w:before="0" w:beforeAutospacing="0" w:after="0" w:afterAutospacing="0" w:line="420" w:lineRule="atLeast"/>
              <w:jc w:val="center"/>
              <w:rPr>
                <w:sz w:val="21"/>
              </w:rPr>
            </w:pPr>
          </w:p>
        </w:tc>
        <w:tc>
          <w:tcPr>
            <w:tcW w:w="1545" w:type="dxa"/>
            <w:vAlign w:val="center"/>
          </w:tcPr>
          <w:p w14:paraId="5C431FF9">
            <w:pPr>
              <w:pStyle w:val="24"/>
              <w:snapToGrid/>
              <w:spacing w:before="0" w:beforeAutospacing="0" w:after="0" w:afterAutospacing="0" w:line="420" w:lineRule="atLeast"/>
              <w:jc w:val="center"/>
              <w:rPr>
                <w:sz w:val="21"/>
              </w:rPr>
            </w:pPr>
          </w:p>
        </w:tc>
        <w:tc>
          <w:tcPr>
            <w:tcW w:w="1420" w:type="dxa"/>
            <w:vAlign w:val="center"/>
          </w:tcPr>
          <w:p w14:paraId="33B385EA">
            <w:pPr>
              <w:pStyle w:val="24"/>
              <w:snapToGrid/>
              <w:spacing w:before="0" w:beforeAutospacing="0" w:after="0" w:afterAutospacing="0" w:line="420" w:lineRule="atLeast"/>
              <w:jc w:val="center"/>
              <w:rPr>
                <w:sz w:val="21"/>
              </w:rPr>
            </w:pPr>
          </w:p>
        </w:tc>
        <w:tc>
          <w:tcPr>
            <w:tcW w:w="1420" w:type="dxa"/>
            <w:vAlign w:val="center"/>
          </w:tcPr>
          <w:p w14:paraId="2B605E53">
            <w:pPr>
              <w:widowControl/>
              <w:snapToGrid/>
              <w:spacing w:line="420" w:lineRule="atLeast"/>
              <w:jc w:val="center"/>
              <w:rPr>
                <w:rFonts w:hint="eastAsia"/>
              </w:rPr>
            </w:pPr>
            <w:r>
              <w:rPr>
                <w:rFonts w:hint="eastAsia"/>
              </w:rPr>
              <w:t>FPGA</w:t>
            </w:r>
          </w:p>
        </w:tc>
        <w:tc>
          <w:tcPr>
            <w:tcW w:w="1421" w:type="dxa"/>
            <w:vAlign w:val="center"/>
          </w:tcPr>
          <w:p w14:paraId="20D2C7C0">
            <w:pPr>
              <w:pStyle w:val="24"/>
              <w:snapToGrid/>
              <w:spacing w:before="0" w:beforeAutospacing="0" w:after="0" w:afterAutospacing="0" w:line="420" w:lineRule="atLeast"/>
              <w:jc w:val="center"/>
              <w:rPr>
                <w:sz w:val="21"/>
              </w:rPr>
            </w:pPr>
          </w:p>
        </w:tc>
        <w:tc>
          <w:tcPr>
            <w:tcW w:w="1421" w:type="dxa"/>
            <w:vAlign w:val="center"/>
          </w:tcPr>
          <w:p w14:paraId="38568282">
            <w:pPr>
              <w:pStyle w:val="24"/>
              <w:snapToGrid/>
              <w:spacing w:before="0" w:beforeAutospacing="0" w:after="0" w:afterAutospacing="0" w:line="420" w:lineRule="atLeast"/>
              <w:jc w:val="center"/>
              <w:rPr>
                <w:sz w:val="21"/>
              </w:rPr>
            </w:pPr>
          </w:p>
        </w:tc>
      </w:tr>
    </w:tbl>
    <w:p w14:paraId="4BC87118">
      <w:pPr>
        <w:pStyle w:val="24"/>
        <w:spacing w:before="900" w:beforeAutospacing="0" w:after="0" w:afterAutospacing="0" w:line="420" w:lineRule="atLeast"/>
        <w:jc w:val="both"/>
        <w:rPr>
          <w:rFonts w:cs="宋体"/>
          <w:sz w:val="28"/>
          <w:szCs w:val="28"/>
        </w:rPr>
      </w:pPr>
    </w:p>
    <w:p w14:paraId="3DDD986B">
      <w:pPr>
        <w:pStyle w:val="24"/>
        <w:spacing w:before="900" w:beforeAutospacing="0" w:after="0" w:afterAutospacing="0" w:line="420" w:lineRule="atLeast"/>
        <w:jc w:val="both"/>
        <w:rPr>
          <w:rFonts w:cs="宋体"/>
          <w:sz w:val="28"/>
          <w:szCs w:val="28"/>
        </w:rPr>
      </w:pPr>
    </w:p>
    <w:p w14:paraId="00EAF5EC">
      <w:pPr>
        <w:pStyle w:val="24"/>
        <w:spacing w:before="900" w:beforeAutospacing="0" w:after="0" w:afterAutospacing="0" w:line="420" w:lineRule="atLeast"/>
        <w:jc w:val="both"/>
        <w:rPr>
          <w:rFonts w:cs="宋体"/>
          <w:sz w:val="28"/>
          <w:szCs w:val="28"/>
        </w:rPr>
      </w:pPr>
    </w:p>
    <w:p w14:paraId="00D452E0">
      <w:pPr>
        <w:pStyle w:val="24"/>
        <w:spacing w:before="900" w:beforeAutospacing="0" w:after="0" w:afterAutospacing="0" w:line="420" w:lineRule="atLeast"/>
        <w:jc w:val="both"/>
        <w:rPr>
          <w:rFonts w:cs="宋体"/>
          <w:sz w:val="28"/>
          <w:szCs w:val="28"/>
        </w:rPr>
      </w:pPr>
    </w:p>
    <w:p w14:paraId="4EDFCFF7">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12</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4CBF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5CB5F35A">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1C54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1D09E925">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14768AF4">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003CE4E8">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1BCA0E0B">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026221EF">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101AD966">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3FFA1032">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4E89C252">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00C4B8D8">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72631EC9">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4FA728CB">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15DBFA36">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358DAA29">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35B02802">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655955E7">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14F9FADA">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2CF8884E">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316B8791">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0D7EB775">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7CA49D0C">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46749FC3">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358FBEDD">
            <w:pPr>
              <w:pStyle w:val="24"/>
              <w:snapToGrid/>
              <w:spacing w:before="0" w:beforeAutospacing="0" w:after="0" w:afterAutospacing="0" w:line="420" w:lineRule="atLeast"/>
              <w:jc w:val="center"/>
              <w:rPr>
                <w:sz w:val="21"/>
              </w:rPr>
            </w:pPr>
            <w:r>
              <w:rPr>
                <w:rFonts w:hint="eastAsia"/>
                <w:sz w:val="21"/>
              </w:rPr>
              <w:t>境内/境外</w:t>
            </w:r>
          </w:p>
        </w:tc>
      </w:tr>
      <w:tr w14:paraId="33DFE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03685793">
            <w:pPr>
              <w:pStyle w:val="24"/>
              <w:snapToGrid/>
              <w:spacing w:before="0" w:beforeAutospacing="0" w:after="0" w:afterAutospacing="0" w:line="420" w:lineRule="atLeast"/>
              <w:jc w:val="center"/>
              <w:rPr>
                <w:sz w:val="21"/>
              </w:rPr>
            </w:pPr>
          </w:p>
        </w:tc>
        <w:tc>
          <w:tcPr>
            <w:tcW w:w="366" w:type="dxa"/>
            <w:vAlign w:val="center"/>
          </w:tcPr>
          <w:p w14:paraId="1B6C8466">
            <w:pPr>
              <w:pStyle w:val="24"/>
              <w:snapToGrid/>
              <w:spacing w:before="0" w:beforeAutospacing="0" w:after="0" w:afterAutospacing="0" w:line="420" w:lineRule="atLeast"/>
              <w:jc w:val="center"/>
              <w:rPr>
                <w:sz w:val="21"/>
              </w:rPr>
            </w:pPr>
          </w:p>
        </w:tc>
        <w:tc>
          <w:tcPr>
            <w:tcW w:w="366" w:type="dxa"/>
            <w:vAlign w:val="center"/>
          </w:tcPr>
          <w:p w14:paraId="04E89CB9">
            <w:pPr>
              <w:pStyle w:val="24"/>
              <w:snapToGrid/>
              <w:spacing w:before="0" w:beforeAutospacing="0" w:after="0" w:afterAutospacing="0" w:line="420" w:lineRule="atLeast"/>
              <w:jc w:val="center"/>
              <w:rPr>
                <w:sz w:val="21"/>
              </w:rPr>
            </w:pPr>
          </w:p>
        </w:tc>
        <w:tc>
          <w:tcPr>
            <w:tcW w:w="366" w:type="dxa"/>
            <w:vAlign w:val="center"/>
          </w:tcPr>
          <w:p w14:paraId="14262186">
            <w:pPr>
              <w:pStyle w:val="24"/>
              <w:snapToGrid/>
              <w:spacing w:before="0" w:beforeAutospacing="0" w:after="0" w:afterAutospacing="0" w:line="420" w:lineRule="atLeast"/>
              <w:jc w:val="center"/>
              <w:rPr>
                <w:sz w:val="21"/>
              </w:rPr>
            </w:pPr>
          </w:p>
        </w:tc>
        <w:tc>
          <w:tcPr>
            <w:tcW w:w="366" w:type="dxa"/>
            <w:vAlign w:val="center"/>
          </w:tcPr>
          <w:p w14:paraId="4F941B64">
            <w:pPr>
              <w:pStyle w:val="24"/>
              <w:snapToGrid/>
              <w:spacing w:before="0" w:beforeAutospacing="0" w:after="0" w:afterAutospacing="0" w:line="420" w:lineRule="atLeast"/>
              <w:jc w:val="center"/>
              <w:rPr>
                <w:sz w:val="21"/>
              </w:rPr>
            </w:pPr>
          </w:p>
        </w:tc>
        <w:tc>
          <w:tcPr>
            <w:tcW w:w="516" w:type="dxa"/>
            <w:vAlign w:val="center"/>
          </w:tcPr>
          <w:p w14:paraId="1AF9F2F4">
            <w:pPr>
              <w:pStyle w:val="24"/>
              <w:snapToGrid/>
              <w:spacing w:before="0" w:beforeAutospacing="0" w:after="0" w:afterAutospacing="0" w:line="420" w:lineRule="atLeast"/>
              <w:jc w:val="center"/>
              <w:rPr>
                <w:sz w:val="21"/>
              </w:rPr>
            </w:pPr>
          </w:p>
        </w:tc>
        <w:tc>
          <w:tcPr>
            <w:tcW w:w="366" w:type="dxa"/>
            <w:vAlign w:val="center"/>
          </w:tcPr>
          <w:p w14:paraId="7724C5DD">
            <w:pPr>
              <w:pStyle w:val="24"/>
              <w:snapToGrid/>
              <w:spacing w:before="0" w:beforeAutospacing="0" w:after="0" w:afterAutospacing="0" w:line="420" w:lineRule="atLeast"/>
              <w:jc w:val="center"/>
              <w:rPr>
                <w:sz w:val="21"/>
              </w:rPr>
            </w:pPr>
          </w:p>
        </w:tc>
        <w:tc>
          <w:tcPr>
            <w:tcW w:w="366" w:type="dxa"/>
            <w:vAlign w:val="center"/>
          </w:tcPr>
          <w:p w14:paraId="2ECEE1E6">
            <w:pPr>
              <w:pStyle w:val="24"/>
              <w:snapToGrid/>
              <w:spacing w:before="0" w:beforeAutospacing="0" w:after="0" w:afterAutospacing="0" w:line="420" w:lineRule="atLeast"/>
              <w:jc w:val="center"/>
              <w:rPr>
                <w:sz w:val="21"/>
              </w:rPr>
            </w:pPr>
          </w:p>
        </w:tc>
        <w:tc>
          <w:tcPr>
            <w:tcW w:w="516" w:type="dxa"/>
            <w:vAlign w:val="center"/>
          </w:tcPr>
          <w:p w14:paraId="7DA65FC3">
            <w:pPr>
              <w:pStyle w:val="24"/>
              <w:snapToGrid/>
              <w:spacing w:before="0" w:beforeAutospacing="0" w:after="0" w:afterAutospacing="0" w:line="420" w:lineRule="atLeast"/>
              <w:jc w:val="center"/>
              <w:rPr>
                <w:sz w:val="21"/>
              </w:rPr>
            </w:pPr>
          </w:p>
        </w:tc>
        <w:tc>
          <w:tcPr>
            <w:tcW w:w="366" w:type="dxa"/>
            <w:vAlign w:val="center"/>
          </w:tcPr>
          <w:p w14:paraId="0AC8AEDD">
            <w:pPr>
              <w:pStyle w:val="24"/>
              <w:snapToGrid/>
              <w:spacing w:before="0" w:beforeAutospacing="0" w:after="0" w:afterAutospacing="0" w:line="420" w:lineRule="atLeast"/>
              <w:jc w:val="center"/>
              <w:rPr>
                <w:sz w:val="21"/>
              </w:rPr>
            </w:pPr>
          </w:p>
        </w:tc>
        <w:tc>
          <w:tcPr>
            <w:tcW w:w="516" w:type="dxa"/>
            <w:vAlign w:val="center"/>
          </w:tcPr>
          <w:p w14:paraId="311B954C">
            <w:pPr>
              <w:pStyle w:val="24"/>
              <w:snapToGrid/>
              <w:spacing w:before="0" w:beforeAutospacing="0" w:after="0" w:afterAutospacing="0" w:line="420" w:lineRule="atLeast"/>
              <w:jc w:val="center"/>
              <w:rPr>
                <w:sz w:val="21"/>
              </w:rPr>
            </w:pPr>
          </w:p>
        </w:tc>
        <w:tc>
          <w:tcPr>
            <w:tcW w:w="366" w:type="dxa"/>
            <w:vAlign w:val="center"/>
          </w:tcPr>
          <w:p w14:paraId="33B3CF8A">
            <w:pPr>
              <w:pStyle w:val="24"/>
              <w:snapToGrid/>
              <w:spacing w:before="0" w:beforeAutospacing="0" w:after="0" w:afterAutospacing="0" w:line="420" w:lineRule="atLeast"/>
              <w:jc w:val="center"/>
              <w:rPr>
                <w:sz w:val="21"/>
              </w:rPr>
            </w:pPr>
          </w:p>
        </w:tc>
        <w:tc>
          <w:tcPr>
            <w:tcW w:w="666" w:type="dxa"/>
            <w:vAlign w:val="center"/>
          </w:tcPr>
          <w:p w14:paraId="178853B6">
            <w:pPr>
              <w:pStyle w:val="24"/>
              <w:snapToGrid/>
              <w:spacing w:before="0" w:beforeAutospacing="0" w:after="0" w:afterAutospacing="0" w:line="420" w:lineRule="atLeast"/>
              <w:jc w:val="center"/>
              <w:rPr>
                <w:sz w:val="21"/>
              </w:rPr>
            </w:pPr>
          </w:p>
        </w:tc>
        <w:tc>
          <w:tcPr>
            <w:tcW w:w="516" w:type="dxa"/>
            <w:vAlign w:val="center"/>
          </w:tcPr>
          <w:p w14:paraId="3CE888CE">
            <w:pPr>
              <w:pStyle w:val="24"/>
              <w:snapToGrid/>
              <w:spacing w:before="0" w:beforeAutospacing="0" w:after="0" w:afterAutospacing="0" w:line="420" w:lineRule="atLeast"/>
              <w:jc w:val="center"/>
              <w:rPr>
                <w:sz w:val="21"/>
              </w:rPr>
            </w:pPr>
          </w:p>
        </w:tc>
        <w:tc>
          <w:tcPr>
            <w:tcW w:w="366" w:type="dxa"/>
            <w:vAlign w:val="center"/>
          </w:tcPr>
          <w:p w14:paraId="72A2BC69">
            <w:pPr>
              <w:pStyle w:val="24"/>
              <w:snapToGrid/>
              <w:spacing w:before="0" w:beforeAutospacing="0" w:after="0" w:afterAutospacing="0" w:line="420" w:lineRule="atLeast"/>
              <w:jc w:val="center"/>
              <w:rPr>
                <w:sz w:val="21"/>
              </w:rPr>
            </w:pPr>
          </w:p>
        </w:tc>
        <w:tc>
          <w:tcPr>
            <w:tcW w:w="366" w:type="dxa"/>
            <w:vAlign w:val="center"/>
          </w:tcPr>
          <w:p w14:paraId="7D6F661B">
            <w:pPr>
              <w:pStyle w:val="24"/>
              <w:snapToGrid/>
              <w:spacing w:before="0" w:beforeAutospacing="0" w:after="0" w:afterAutospacing="0" w:line="420" w:lineRule="atLeast"/>
              <w:jc w:val="center"/>
              <w:rPr>
                <w:sz w:val="21"/>
              </w:rPr>
            </w:pPr>
          </w:p>
        </w:tc>
        <w:tc>
          <w:tcPr>
            <w:tcW w:w="516" w:type="dxa"/>
            <w:vAlign w:val="center"/>
          </w:tcPr>
          <w:p w14:paraId="410C1315">
            <w:pPr>
              <w:pStyle w:val="24"/>
              <w:snapToGrid/>
              <w:spacing w:before="0" w:beforeAutospacing="0" w:after="0" w:afterAutospacing="0" w:line="420" w:lineRule="atLeast"/>
              <w:jc w:val="center"/>
              <w:rPr>
                <w:sz w:val="21"/>
              </w:rPr>
            </w:pPr>
          </w:p>
        </w:tc>
        <w:tc>
          <w:tcPr>
            <w:tcW w:w="366" w:type="dxa"/>
            <w:vAlign w:val="center"/>
          </w:tcPr>
          <w:p w14:paraId="1F809E9D">
            <w:pPr>
              <w:pStyle w:val="24"/>
              <w:snapToGrid/>
              <w:spacing w:before="0" w:beforeAutospacing="0" w:after="0" w:afterAutospacing="0" w:line="420" w:lineRule="atLeast"/>
              <w:jc w:val="center"/>
              <w:rPr>
                <w:sz w:val="21"/>
              </w:rPr>
            </w:pPr>
          </w:p>
        </w:tc>
        <w:tc>
          <w:tcPr>
            <w:tcW w:w="221" w:type="dxa"/>
            <w:vAlign w:val="center"/>
          </w:tcPr>
          <w:p w14:paraId="71AC9B98">
            <w:pPr>
              <w:pStyle w:val="24"/>
              <w:snapToGrid/>
              <w:spacing w:before="0" w:beforeAutospacing="0" w:after="0" w:afterAutospacing="0" w:line="420" w:lineRule="atLeast"/>
              <w:jc w:val="center"/>
              <w:rPr>
                <w:sz w:val="21"/>
              </w:rPr>
            </w:pPr>
          </w:p>
        </w:tc>
        <w:tc>
          <w:tcPr>
            <w:tcW w:w="221" w:type="dxa"/>
            <w:vAlign w:val="center"/>
          </w:tcPr>
          <w:p w14:paraId="4B2E69F6">
            <w:pPr>
              <w:pStyle w:val="24"/>
              <w:snapToGrid/>
              <w:spacing w:before="0" w:beforeAutospacing="0" w:after="0" w:afterAutospacing="0" w:line="420" w:lineRule="atLeast"/>
              <w:jc w:val="center"/>
              <w:rPr>
                <w:sz w:val="21"/>
              </w:rPr>
            </w:pPr>
          </w:p>
        </w:tc>
        <w:tc>
          <w:tcPr>
            <w:tcW w:w="221" w:type="dxa"/>
            <w:vAlign w:val="center"/>
          </w:tcPr>
          <w:p w14:paraId="42D6323B">
            <w:pPr>
              <w:pStyle w:val="24"/>
              <w:snapToGrid/>
              <w:spacing w:before="0" w:beforeAutospacing="0" w:after="0" w:afterAutospacing="0" w:line="420" w:lineRule="atLeast"/>
              <w:jc w:val="center"/>
              <w:rPr>
                <w:sz w:val="21"/>
              </w:rPr>
            </w:pPr>
          </w:p>
        </w:tc>
        <w:tc>
          <w:tcPr>
            <w:tcW w:w="221" w:type="dxa"/>
            <w:vAlign w:val="center"/>
          </w:tcPr>
          <w:p w14:paraId="4D925920">
            <w:pPr>
              <w:pStyle w:val="24"/>
              <w:snapToGrid/>
              <w:spacing w:before="0" w:beforeAutospacing="0" w:after="0" w:afterAutospacing="0" w:line="420" w:lineRule="atLeast"/>
              <w:jc w:val="center"/>
              <w:rPr>
                <w:sz w:val="21"/>
              </w:rPr>
            </w:pPr>
          </w:p>
        </w:tc>
      </w:tr>
      <w:tr w14:paraId="2DAE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7D8E023D">
            <w:pPr>
              <w:pStyle w:val="24"/>
              <w:snapToGrid/>
              <w:spacing w:before="0" w:beforeAutospacing="0" w:after="0" w:afterAutospacing="0" w:line="420" w:lineRule="atLeast"/>
              <w:jc w:val="center"/>
              <w:rPr>
                <w:sz w:val="21"/>
              </w:rPr>
            </w:pPr>
          </w:p>
        </w:tc>
        <w:tc>
          <w:tcPr>
            <w:tcW w:w="366" w:type="dxa"/>
            <w:vAlign w:val="center"/>
          </w:tcPr>
          <w:p w14:paraId="2664C90B">
            <w:pPr>
              <w:pStyle w:val="24"/>
              <w:snapToGrid/>
              <w:spacing w:before="0" w:beforeAutospacing="0" w:after="0" w:afterAutospacing="0" w:line="420" w:lineRule="atLeast"/>
              <w:jc w:val="center"/>
              <w:rPr>
                <w:sz w:val="21"/>
              </w:rPr>
            </w:pPr>
          </w:p>
        </w:tc>
        <w:tc>
          <w:tcPr>
            <w:tcW w:w="366" w:type="dxa"/>
            <w:vAlign w:val="center"/>
          </w:tcPr>
          <w:p w14:paraId="6C4BA3B2">
            <w:pPr>
              <w:pStyle w:val="24"/>
              <w:snapToGrid/>
              <w:spacing w:before="0" w:beforeAutospacing="0" w:after="0" w:afterAutospacing="0" w:line="420" w:lineRule="atLeast"/>
              <w:jc w:val="center"/>
              <w:rPr>
                <w:sz w:val="21"/>
              </w:rPr>
            </w:pPr>
          </w:p>
        </w:tc>
        <w:tc>
          <w:tcPr>
            <w:tcW w:w="366" w:type="dxa"/>
            <w:vAlign w:val="center"/>
          </w:tcPr>
          <w:p w14:paraId="5B3DD5AF">
            <w:pPr>
              <w:pStyle w:val="24"/>
              <w:snapToGrid/>
              <w:spacing w:before="0" w:beforeAutospacing="0" w:after="0" w:afterAutospacing="0" w:line="420" w:lineRule="atLeast"/>
              <w:jc w:val="center"/>
              <w:rPr>
                <w:sz w:val="21"/>
              </w:rPr>
            </w:pPr>
          </w:p>
        </w:tc>
        <w:tc>
          <w:tcPr>
            <w:tcW w:w="366" w:type="dxa"/>
            <w:vAlign w:val="center"/>
          </w:tcPr>
          <w:p w14:paraId="48410366">
            <w:pPr>
              <w:pStyle w:val="24"/>
              <w:snapToGrid/>
              <w:spacing w:before="0" w:beforeAutospacing="0" w:after="0" w:afterAutospacing="0" w:line="420" w:lineRule="atLeast"/>
              <w:jc w:val="center"/>
              <w:rPr>
                <w:sz w:val="21"/>
              </w:rPr>
            </w:pPr>
          </w:p>
        </w:tc>
        <w:tc>
          <w:tcPr>
            <w:tcW w:w="516" w:type="dxa"/>
            <w:vAlign w:val="center"/>
          </w:tcPr>
          <w:p w14:paraId="56C28E56">
            <w:pPr>
              <w:pStyle w:val="24"/>
              <w:snapToGrid/>
              <w:spacing w:before="0" w:beforeAutospacing="0" w:after="0" w:afterAutospacing="0" w:line="420" w:lineRule="atLeast"/>
              <w:jc w:val="center"/>
              <w:rPr>
                <w:sz w:val="21"/>
              </w:rPr>
            </w:pPr>
          </w:p>
        </w:tc>
        <w:tc>
          <w:tcPr>
            <w:tcW w:w="366" w:type="dxa"/>
            <w:vAlign w:val="center"/>
          </w:tcPr>
          <w:p w14:paraId="261B2F21">
            <w:pPr>
              <w:pStyle w:val="24"/>
              <w:snapToGrid/>
              <w:spacing w:before="0" w:beforeAutospacing="0" w:after="0" w:afterAutospacing="0" w:line="420" w:lineRule="atLeast"/>
              <w:jc w:val="center"/>
              <w:rPr>
                <w:sz w:val="21"/>
              </w:rPr>
            </w:pPr>
          </w:p>
        </w:tc>
        <w:tc>
          <w:tcPr>
            <w:tcW w:w="366" w:type="dxa"/>
            <w:vAlign w:val="center"/>
          </w:tcPr>
          <w:p w14:paraId="4A83EC96">
            <w:pPr>
              <w:pStyle w:val="24"/>
              <w:snapToGrid/>
              <w:spacing w:before="0" w:beforeAutospacing="0" w:after="0" w:afterAutospacing="0" w:line="420" w:lineRule="atLeast"/>
              <w:jc w:val="center"/>
              <w:rPr>
                <w:sz w:val="21"/>
              </w:rPr>
            </w:pPr>
          </w:p>
        </w:tc>
        <w:tc>
          <w:tcPr>
            <w:tcW w:w="516" w:type="dxa"/>
            <w:vAlign w:val="center"/>
          </w:tcPr>
          <w:p w14:paraId="1E4784CB">
            <w:pPr>
              <w:pStyle w:val="24"/>
              <w:snapToGrid/>
              <w:spacing w:before="0" w:beforeAutospacing="0" w:after="0" w:afterAutospacing="0" w:line="420" w:lineRule="atLeast"/>
              <w:jc w:val="center"/>
              <w:rPr>
                <w:sz w:val="21"/>
              </w:rPr>
            </w:pPr>
          </w:p>
        </w:tc>
        <w:tc>
          <w:tcPr>
            <w:tcW w:w="366" w:type="dxa"/>
            <w:vAlign w:val="center"/>
          </w:tcPr>
          <w:p w14:paraId="07425A7C">
            <w:pPr>
              <w:pStyle w:val="24"/>
              <w:snapToGrid/>
              <w:spacing w:before="0" w:beforeAutospacing="0" w:after="0" w:afterAutospacing="0" w:line="420" w:lineRule="atLeast"/>
              <w:jc w:val="center"/>
              <w:rPr>
                <w:sz w:val="21"/>
              </w:rPr>
            </w:pPr>
          </w:p>
        </w:tc>
        <w:tc>
          <w:tcPr>
            <w:tcW w:w="516" w:type="dxa"/>
            <w:vAlign w:val="center"/>
          </w:tcPr>
          <w:p w14:paraId="3E0E5DAE">
            <w:pPr>
              <w:pStyle w:val="24"/>
              <w:snapToGrid/>
              <w:spacing w:before="0" w:beforeAutospacing="0" w:after="0" w:afterAutospacing="0" w:line="420" w:lineRule="atLeast"/>
              <w:jc w:val="center"/>
              <w:rPr>
                <w:sz w:val="21"/>
              </w:rPr>
            </w:pPr>
          </w:p>
        </w:tc>
        <w:tc>
          <w:tcPr>
            <w:tcW w:w="366" w:type="dxa"/>
            <w:vAlign w:val="center"/>
          </w:tcPr>
          <w:p w14:paraId="7FB26DE6">
            <w:pPr>
              <w:pStyle w:val="24"/>
              <w:snapToGrid/>
              <w:spacing w:before="0" w:beforeAutospacing="0" w:after="0" w:afterAutospacing="0" w:line="420" w:lineRule="atLeast"/>
              <w:jc w:val="center"/>
              <w:rPr>
                <w:sz w:val="21"/>
              </w:rPr>
            </w:pPr>
          </w:p>
        </w:tc>
        <w:tc>
          <w:tcPr>
            <w:tcW w:w="666" w:type="dxa"/>
            <w:vAlign w:val="center"/>
          </w:tcPr>
          <w:p w14:paraId="46DB9188">
            <w:pPr>
              <w:pStyle w:val="24"/>
              <w:snapToGrid/>
              <w:spacing w:before="0" w:beforeAutospacing="0" w:after="0" w:afterAutospacing="0" w:line="420" w:lineRule="atLeast"/>
              <w:jc w:val="center"/>
              <w:rPr>
                <w:sz w:val="21"/>
              </w:rPr>
            </w:pPr>
          </w:p>
        </w:tc>
        <w:tc>
          <w:tcPr>
            <w:tcW w:w="516" w:type="dxa"/>
            <w:vAlign w:val="center"/>
          </w:tcPr>
          <w:p w14:paraId="16C17105">
            <w:pPr>
              <w:pStyle w:val="24"/>
              <w:snapToGrid/>
              <w:spacing w:before="0" w:beforeAutospacing="0" w:after="0" w:afterAutospacing="0" w:line="420" w:lineRule="atLeast"/>
              <w:jc w:val="center"/>
              <w:rPr>
                <w:sz w:val="21"/>
              </w:rPr>
            </w:pPr>
          </w:p>
        </w:tc>
        <w:tc>
          <w:tcPr>
            <w:tcW w:w="366" w:type="dxa"/>
            <w:vAlign w:val="center"/>
          </w:tcPr>
          <w:p w14:paraId="5CC89C70">
            <w:pPr>
              <w:pStyle w:val="24"/>
              <w:snapToGrid/>
              <w:spacing w:before="0" w:beforeAutospacing="0" w:after="0" w:afterAutospacing="0" w:line="420" w:lineRule="atLeast"/>
              <w:jc w:val="center"/>
              <w:rPr>
                <w:sz w:val="21"/>
              </w:rPr>
            </w:pPr>
          </w:p>
        </w:tc>
        <w:tc>
          <w:tcPr>
            <w:tcW w:w="366" w:type="dxa"/>
            <w:vAlign w:val="center"/>
          </w:tcPr>
          <w:p w14:paraId="55E3935A">
            <w:pPr>
              <w:pStyle w:val="24"/>
              <w:snapToGrid/>
              <w:spacing w:before="0" w:beforeAutospacing="0" w:after="0" w:afterAutospacing="0" w:line="420" w:lineRule="atLeast"/>
              <w:jc w:val="center"/>
              <w:rPr>
                <w:sz w:val="21"/>
              </w:rPr>
            </w:pPr>
          </w:p>
        </w:tc>
        <w:tc>
          <w:tcPr>
            <w:tcW w:w="516" w:type="dxa"/>
            <w:vAlign w:val="center"/>
          </w:tcPr>
          <w:p w14:paraId="7CE100F5">
            <w:pPr>
              <w:pStyle w:val="24"/>
              <w:snapToGrid/>
              <w:spacing w:before="0" w:beforeAutospacing="0" w:after="0" w:afterAutospacing="0" w:line="420" w:lineRule="atLeast"/>
              <w:jc w:val="center"/>
              <w:rPr>
                <w:sz w:val="21"/>
              </w:rPr>
            </w:pPr>
          </w:p>
        </w:tc>
        <w:tc>
          <w:tcPr>
            <w:tcW w:w="366" w:type="dxa"/>
            <w:vAlign w:val="center"/>
          </w:tcPr>
          <w:p w14:paraId="23B36634">
            <w:pPr>
              <w:pStyle w:val="24"/>
              <w:snapToGrid/>
              <w:spacing w:before="0" w:beforeAutospacing="0" w:after="0" w:afterAutospacing="0" w:line="420" w:lineRule="atLeast"/>
              <w:jc w:val="center"/>
              <w:rPr>
                <w:sz w:val="21"/>
              </w:rPr>
            </w:pPr>
          </w:p>
        </w:tc>
        <w:tc>
          <w:tcPr>
            <w:tcW w:w="221" w:type="dxa"/>
            <w:vAlign w:val="center"/>
          </w:tcPr>
          <w:p w14:paraId="326F06CB">
            <w:pPr>
              <w:pStyle w:val="24"/>
              <w:snapToGrid/>
              <w:spacing w:before="0" w:beforeAutospacing="0" w:after="0" w:afterAutospacing="0" w:line="420" w:lineRule="atLeast"/>
              <w:jc w:val="center"/>
              <w:rPr>
                <w:sz w:val="21"/>
              </w:rPr>
            </w:pPr>
          </w:p>
        </w:tc>
        <w:tc>
          <w:tcPr>
            <w:tcW w:w="221" w:type="dxa"/>
            <w:vAlign w:val="center"/>
          </w:tcPr>
          <w:p w14:paraId="38ACC7BF">
            <w:pPr>
              <w:pStyle w:val="24"/>
              <w:snapToGrid/>
              <w:spacing w:before="0" w:beforeAutospacing="0" w:after="0" w:afterAutospacing="0" w:line="420" w:lineRule="atLeast"/>
              <w:jc w:val="center"/>
              <w:rPr>
                <w:sz w:val="21"/>
              </w:rPr>
            </w:pPr>
          </w:p>
        </w:tc>
        <w:tc>
          <w:tcPr>
            <w:tcW w:w="221" w:type="dxa"/>
            <w:vAlign w:val="center"/>
          </w:tcPr>
          <w:p w14:paraId="5DD8D6F2">
            <w:pPr>
              <w:pStyle w:val="24"/>
              <w:snapToGrid/>
              <w:spacing w:before="0" w:beforeAutospacing="0" w:after="0" w:afterAutospacing="0" w:line="420" w:lineRule="atLeast"/>
              <w:jc w:val="center"/>
              <w:rPr>
                <w:sz w:val="21"/>
              </w:rPr>
            </w:pPr>
          </w:p>
        </w:tc>
        <w:tc>
          <w:tcPr>
            <w:tcW w:w="221" w:type="dxa"/>
            <w:vAlign w:val="center"/>
          </w:tcPr>
          <w:p w14:paraId="25DD18D6">
            <w:pPr>
              <w:pStyle w:val="24"/>
              <w:snapToGrid/>
              <w:spacing w:before="0" w:beforeAutospacing="0" w:after="0" w:afterAutospacing="0" w:line="420" w:lineRule="atLeast"/>
              <w:jc w:val="center"/>
              <w:rPr>
                <w:sz w:val="21"/>
              </w:rPr>
            </w:pPr>
          </w:p>
        </w:tc>
      </w:tr>
    </w:tbl>
    <w:p w14:paraId="654BA26D">
      <w:pPr>
        <w:pStyle w:val="24"/>
        <w:snapToGrid/>
        <w:spacing w:before="0" w:beforeAutospacing="0" w:after="0" w:afterAutospacing="0" w:line="420" w:lineRule="atLeast"/>
        <w:jc w:val="both"/>
        <w:rPr>
          <w:sz w:val="21"/>
        </w:rPr>
      </w:pPr>
    </w:p>
    <w:p w14:paraId="36DDA935">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5C6CCDE5"/>
    <w:p w14:paraId="6EC8928C"/>
    <w:p w14:paraId="06AB379E"/>
    <w:p w14:paraId="523CA3F8"/>
    <w:p w14:paraId="76664E23"/>
    <w:p w14:paraId="3E823DA6">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13</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24707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70482509">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1DA8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34ED691C">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65E0CCE3">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3C112226">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667A1F7F">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2EE9814A">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28E75E8A">
            <w:pPr>
              <w:pStyle w:val="24"/>
              <w:snapToGrid/>
              <w:spacing w:before="0" w:beforeAutospacing="0" w:after="0" w:afterAutospacing="0" w:line="420" w:lineRule="atLeast"/>
              <w:jc w:val="center"/>
              <w:rPr>
                <w:sz w:val="21"/>
              </w:rPr>
            </w:pPr>
            <w:r>
              <w:rPr>
                <w:rFonts w:hint="eastAsia"/>
                <w:sz w:val="21"/>
              </w:rPr>
              <w:t>单设备非国产芯片数量（颗）</w:t>
            </w:r>
          </w:p>
        </w:tc>
      </w:tr>
      <w:tr w14:paraId="58E9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5DF09C5E">
            <w:pPr>
              <w:pStyle w:val="24"/>
              <w:snapToGrid/>
              <w:spacing w:before="0" w:beforeAutospacing="0" w:after="0" w:afterAutospacing="0" w:line="420" w:lineRule="atLeast"/>
              <w:jc w:val="center"/>
              <w:rPr>
                <w:sz w:val="21"/>
                <w:u w:val="single"/>
              </w:rPr>
            </w:pPr>
            <w:r>
              <w:rPr>
                <w:rFonts w:hint="eastAsia"/>
                <w:sz w:val="21"/>
                <w:u w:val="single"/>
                <w:lang w:val="en-US" w:eastAsia="zh-CN"/>
              </w:rPr>
              <w:t>反</w:t>
            </w:r>
            <w:r>
              <w:rPr>
                <w:rFonts w:hint="eastAsia"/>
                <w:sz w:val="21"/>
                <w:u w:val="single"/>
              </w:rPr>
              <w:t>向隔离装置</w:t>
            </w:r>
          </w:p>
          <w:p w14:paraId="37293A6D">
            <w:pPr>
              <w:pStyle w:val="24"/>
              <w:snapToGrid/>
              <w:spacing w:before="0" w:beforeAutospacing="0" w:after="0" w:afterAutospacing="0" w:line="420" w:lineRule="atLeast"/>
              <w:jc w:val="center"/>
              <w:rPr>
                <w:sz w:val="21"/>
                <w:u w:val="single"/>
              </w:rPr>
            </w:pPr>
          </w:p>
        </w:tc>
        <w:tc>
          <w:tcPr>
            <w:tcW w:w="1545" w:type="dxa"/>
            <w:vAlign w:val="center"/>
          </w:tcPr>
          <w:p w14:paraId="364F51CD">
            <w:pPr>
              <w:pStyle w:val="24"/>
              <w:snapToGrid/>
              <w:spacing w:before="0" w:beforeAutospacing="0" w:after="0" w:afterAutospacing="0" w:line="420" w:lineRule="atLeast"/>
              <w:jc w:val="center"/>
              <w:rPr>
                <w:sz w:val="21"/>
              </w:rPr>
            </w:pPr>
          </w:p>
        </w:tc>
        <w:tc>
          <w:tcPr>
            <w:tcW w:w="1420" w:type="dxa"/>
            <w:vAlign w:val="center"/>
          </w:tcPr>
          <w:p w14:paraId="13644C2D">
            <w:pPr>
              <w:pStyle w:val="24"/>
              <w:snapToGrid/>
              <w:spacing w:before="0" w:beforeAutospacing="0" w:after="0" w:afterAutospacing="0" w:line="420" w:lineRule="atLeast"/>
              <w:jc w:val="center"/>
              <w:rPr>
                <w:sz w:val="21"/>
              </w:rPr>
            </w:pPr>
          </w:p>
        </w:tc>
        <w:tc>
          <w:tcPr>
            <w:tcW w:w="1420" w:type="dxa"/>
            <w:vAlign w:val="center"/>
          </w:tcPr>
          <w:p w14:paraId="1A6B904E">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42908776">
            <w:pPr>
              <w:pStyle w:val="24"/>
              <w:snapToGrid/>
              <w:spacing w:before="0" w:beforeAutospacing="0" w:after="0" w:afterAutospacing="0" w:line="420" w:lineRule="atLeast"/>
              <w:jc w:val="center"/>
              <w:rPr>
                <w:sz w:val="21"/>
              </w:rPr>
            </w:pPr>
          </w:p>
        </w:tc>
        <w:tc>
          <w:tcPr>
            <w:tcW w:w="1421" w:type="dxa"/>
            <w:vAlign w:val="center"/>
          </w:tcPr>
          <w:p w14:paraId="2A8432C4">
            <w:pPr>
              <w:pStyle w:val="24"/>
              <w:snapToGrid/>
              <w:spacing w:before="0" w:beforeAutospacing="0" w:after="0" w:afterAutospacing="0" w:line="420" w:lineRule="atLeast"/>
              <w:jc w:val="center"/>
              <w:rPr>
                <w:sz w:val="21"/>
              </w:rPr>
            </w:pPr>
          </w:p>
        </w:tc>
      </w:tr>
      <w:tr w14:paraId="562B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3FEBE6A8">
            <w:pPr>
              <w:pStyle w:val="24"/>
              <w:snapToGrid/>
              <w:spacing w:before="0" w:beforeAutospacing="0" w:after="0" w:afterAutospacing="0" w:line="420" w:lineRule="atLeast"/>
              <w:jc w:val="center"/>
              <w:rPr>
                <w:sz w:val="21"/>
              </w:rPr>
            </w:pPr>
          </w:p>
        </w:tc>
        <w:tc>
          <w:tcPr>
            <w:tcW w:w="1545" w:type="dxa"/>
            <w:vAlign w:val="center"/>
          </w:tcPr>
          <w:p w14:paraId="21D034D9">
            <w:pPr>
              <w:pStyle w:val="24"/>
              <w:snapToGrid/>
              <w:spacing w:before="0" w:beforeAutospacing="0" w:after="0" w:afterAutospacing="0" w:line="420" w:lineRule="atLeast"/>
              <w:jc w:val="center"/>
              <w:rPr>
                <w:sz w:val="21"/>
              </w:rPr>
            </w:pPr>
          </w:p>
        </w:tc>
        <w:tc>
          <w:tcPr>
            <w:tcW w:w="1420" w:type="dxa"/>
            <w:vAlign w:val="center"/>
          </w:tcPr>
          <w:p w14:paraId="05A00FF3">
            <w:pPr>
              <w:pStyle w:val="24"/>
              <w:snapToGrid/>
              <w:spacing w:before="0" w:beforeAutospacing="0" w:after="0" w:afterAutospacing="0" w:line="420" w:lineRule="atLeast"/>
              <w:jc w:val="center"/>
              <w:rPr>
                <w:sz w:val="21"/>
              </w:rPr>
            </w:pPr>
          </w:p>
        </w:tc>
        <w:tc>
          <w:tcPr>
            <w:tcW w:w="1420" w:type="dxa"/>
            <w:vAlign w:val="center"/>
          </w:tcPr>
          <w:p w14:paraId="665E8B7D">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3D03B9BA">
            <w:pPr>
              <w:pStyle w:val="24"/>
              <w:snapToGrid/>
              <w:spacing w:before="0" w:beforeAutospacing="0" w:after="0" w:afterAutospacing="0" w:line="420" w:lineRule="atLeast"/>
              <w:jc w:val="center"/>
              <w:rPr>
                <w:sz w:val="21"/>
              </w:rPr>
            </w:pPr>
          </w:p>
        </w:tc>
        <w:tc>
          <w:tcPr>
            <w:tcW w:w="1421" w:type="dxa"/>
            <w:vAlign w:val="center"/>
          </w:tcPr>
          <w:p w14:paraId="0619ED3F">
            <w:pPr>
              <w:pStyle w:val="24"/>
              <w:snapToGrid/>
              <w:spacing w:before="0" w:beforeAutospacing="0" w:after="0" w:afterAutospacing="0" w:line="420" w:lineRule="atLeast"/>
              <w:jc w:val="center"/>
              <w:rPr>
                <w:sz w:val="21"/>
              </w:rPr>
            </w:pPr>
          </w:p>
        </w:tc>
      </w:tr>
      <w:tr w14:paraId="0D515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6F640D0D">
            <w:pPr>
              <w:pStyle w:val="24"/>
              <w:snapToGrid/>
              <w:spacing w:before="0" w:beforeAutospacing="0" w:after="0" w:afterAutospacing="0" w:line="420" w:lineRule="atLeast"/>
              <w:jc w:val="center"/>
              <w:rPr>
                <w:sz w:val="21"/>
              </w:rPr>
            </w:pPr>
          </w:p>
        </w:tc>
        <w:tc>
          <w:tcPr>
            <w:tcW w:w="1545" w:type="dxa"/>
            <w:vAlign w:val="center"/>
          </w:tcPr>
          <w:p w14:paraId="1E60CA8E">
            <w:pPr>
              <w:pStyle w:val="24"/>
              <w:snapToGrid/>
              <w:spacing w:before="0" w:beforeAutospacing="0" w:after="0" w:afterAutospacing="0" w:line="420" w:lineRule="atLeast"/>
              <w:jc w:val="center"/>
              <w:rPr>
                <w:sz w:val="21"/>
              </w:rPr>
            </w:pPr>
          </w:p>
        </w:tc>
        <w:tc>
          <w:tcPr>
            <w:tcW w:w="1420" w:type="dxa"/>
            <w:vAlign w:val="center"/>
          </w:tcPr>
          <w:p w14:paraId="6315ECEB">
            <w:pPr>
              <w:pStyle w:val="24"/>
              <w:snapToGrid/>
              <w:spacing w:before="0" w:beforeAutospacing="0" w:after="0" w:afterAutospacing="0" w:line="420" w:lineRule="atLeast"/>
              <w:jc w:val="center"/>
              <w:rPr>
                <w:sz w:val="21"/>
              </w:rPr>
            </w:pPr>
          </w:p>
        </w:tc>
        <w:tc>
          <w:tcPr>
            <w:tcW w:w="1420" w:type="dxa"/>
            <w:vAlign w:val="center"/>
          </w:tcPr>
          <w:p w14:paraId="177156A8">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74B862D8">
            <w:pPr>
              <w:pStyle w:val="24"/>
              <w:snapToGrid/>
              <w:spacing w:before="0" w:beforeAutospacing="0" w:after="0" w:afterAutospacing="0" w:line="420" w:lineRule="atLeast"/>
              <w:jc w:val="center"/>
              <w:rPr>
                <w:sz w:val="21"/>
              </w:rPr>
            </w:pPr>
          </w:p>
        </w:tc>
        <w:tc>
          <w:tcPr>
            <w:tcW w:w="1421" w:type="dxa"/>
            <w:vAlign w:val="center"/>
          </w:tcPr>
          <w:p w14:paraId="3FF35302">
            <w:pPr>
              <w:pStyle w:val="24"/>
              <w:snapToGrid/>
              <w:spacing w:before="0" w:beforeAutospacing="0" w:after="0" w:afterAutospacing="0" w:line="420" w:lineRule="atLeast"/>
              <w:jc w:val="center"/>
              <w:rPr>
                <w:sz w:val="21"/>
              </w:rPr>
            </w:pPr>
          </w:p>
        </w:tc>
      </w:tr>
      <w:tr w14:paraId="3BAB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03E095E1">
            <w:pPr>
              <w:pStyle w:val="24"/>
              <w:snapToGrid/>
              <w:spacing w:before="0" w:beforeAutospacing="0" w:after="0" w:afterAutospacing="0" w:line="420" w:lineRule="atLeast"/>
              <w:jc w:val="center"/>
              <w:rPr>
                <w:sz w:val="21"/>
              </w:rPr>
            </w:pPr>
          </w:p>
        </w:tc>
        <w:tc>
          <w:tcPr>
            <w:tcW w:w="1545" w:type="dxa"/>
            <w:vAlign w:val="center"/>
          </w:tcPr>
          <w:p w14:paraId="0C2A1E93">
            <w:pPr>
              <w:pStyle w:val="24"/>
              <w:snapToGrid/>
              <w:spacing w:before="0" w:beforeAutospacing="0" w:after="0" w:afterAutospacing="0" w:line="420" w:lineRule="atLeast"/>
              <w:jc w:val="center"/>
              <w:rPr>
                <w:sz w:val="21"/>
              </w:rPr>
            </w:pPr>
          </w:p>
        </w:tc>
        <w:tc>
          <w:tcPr>
            <w:tcW w:w="1420" w:type="dxa"/>
            <w:vAlign w:val="center"/>
          </w:tcPr>
          <w:p w14:paraId="7F2C2CBF">
            <w:pPr>
              <w:pStyle w:val="24"/>
              <w:snapToGrid/>
              <w:spacing w:before="0" w:beforeAutospacing="0" w:after="0" w:afterAutospacing="0" w:line="420" w:lineRule="atLeast"/>
              <w:jc w:val="center"/>
              <w:rPr>
                <w:sz w:val="21"/>
              </w:rPr>
            </w:pPr>
          </w:p>
        </w:tc>
        <w:tc>
          <w:tcPr>
            <w:tcW w:w="1420" w:type="dxa"/>
            <w:vAlign w:val="center"/>
          </w:tcPr>
          <w:p w14:paraId="3ECD41E3">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3BBB729D">
            <w:pPr>
              <w:pStyle w:val="24"/>
              <w:snapToGrid/>
              <w:spacing w:before="0" w:beforeAutospacing="0" w:after="0" w:afterAutospacing="0" w:line="420" w:lineRule="atLeast"/>
              <w:jc w:val="center"/>
              <w:rPr>
                <w:sz w:val="21"/>
              </w:rPr>
            </w:pPr>
          </w:p>
        </w:tc>
        <w:tc>
          <w:tcPr>
            <w:tcW w:w="1421" w:type="dxa"/>
            <w:vAlign w:val="center"/>
          </w:tcPr>
          <w:p w14:paraId="27312872">
            <w:pPr>
              <w:pStyle w:val="24"/>
              <w:snapToGrid/>
              <w:spacing w:before="0" w:beforeAutospacing="0" w:after="0" w:afterAutospacing="0" w:line="420" w:lineRule="atLeast"/>
              <w:jc w:val="center"/>
              <w:rPr>
                <w:sz w:val="21"/>
              </w:rPr>
            </w:pPr>
          </w:p>
        </w:tc>
      </w:tr>
      <w:tr w14:paraId="7533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33DFD95">
            <w:pPr>
              <w:pStyle w:val="24"/>
              <w:snapToGrid/>
              <w:spacing w:before="0" w:beforeAutospacing="0" w:after="0" w:afterAutospacing="0" w:line="420" w:lineRule="atLeast"/>
              <w:jc w:val="center"/>
              <w:rPr>
                <w:sz w:val="21"/>
              </w:rPr>
            </w:pPr>
          </w:p>
        </w:tc>
        <w:tc>
          <w:tcPr>
            <w:tcW w:w="1545" w:type="dxa"/>
            <w:vAlign w:val="center"/>
          </w:tcPr>
          <w:p w14:paraId="2300FA72">
            <w:pPr>
              <w:pStyle w:val="24"/>
              <w:snapToGrid/>
              <w:spacing w:before="0" w:beforeAutospacing="0" w:after="0" w:afterAutospacing="0" w:line="420" w:lineRule="atLeast"/>
              <w:jc w:val="center"/>
              <w:rPr>
                <w:sz w:val="21"/>
              </w:rPr>
            </w:pPr>
          </w:p>
        </w:tc>
        <w:tc>
          <w:tcPr>
            <w:tcW w:w="1420" w:type="dxa"/>
            <w:vAlign w:val="center"/>
          </w:tcPr>
          <w:p w14:paraId="7467227B">
            <w:pPr>
              <w:pStyle w:val="24"/>
              <w:snapToGrid/>
              <w:spacing w:before="0" w:beforeAutospacing="0" w:after="0" w:afterAutospacing="0" w:line="420" w:lineRule="atLeast"/>
              <w:jc w:val="center"/>
              <w:rPr>
                <w:sz w:val="21"/>
              </w:rPr>
            </w:pPr>
          </w:p>
        </w:tc>
        <w:tc>
          <w:tcPr>
            <w:tcW w:w="1420" w:type="dxa"/>
            <w:vAlign w:val="center"/>
          </w:tcPr>
          <w:p w14:paraId="0A3D856D">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52850ACA">
            <w:pPr>
              <w:pStyle w:val="24"/>
              <w:snapToGrid/>
              <w:spacing w:before="0" w:beforeAutospacing="0" w:after="0" w:afterAutospacing="0" w:line="420" w:lineRule="atLeast"/>
              <w:jc w:val="center"/>
              <w:rPr>
                <w:sz w:val="21"/>
              </w:rPr>
            </w:pPr>
          </w:p>
        </w:tc>
        <w:tc>
          <w:tcPr>
            <w:tcW w:w="1421" w:type="dxa"/>
            <w:vAlign w:val="center"/>
          </w:tcPr>
          <w:p w14:paraId="1851F693">
            <w:pPr>
              <w:pStyle w:val="24"/>
              <w:snapToGrid/>
              <w:spacing w:before="0" w:beforeAutospacing="0" w:after="0" w:afterAutospacing="0" w:line="420" w:lineRule="atLeast"/>
              <w:jc w:val="center"/>
              <w:rPr>
                <w:sz w:val="21"/>
              </w:rPr>
            </w:pPr>
          </w:p>
        </w:tc>
      </w:tr>
      <w:tr w14:paraId="50D8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jc w:val="center"/>
        </w:trPr>
        <w:tc>
          <w:tcPr>
            <w:tcW w:w="1295" w:type="dxa"/>
            <w:vMerge w:val="continue"/>
            <w:vAlign w:val="center"/>
          </w:tcPr>
          <w:p w14:paraId="0C9DA454">
            <w:pPr>
              <w:pStyle w:val="24"/>
              <w:snapToGrid/>
              <w:spacing w:before="0" w:beforeAutospacing="0" w:after="0" w:afterAutospacing="0" w:line="420" w:lineRule="atLeast"/>
              <w:jc w:val="center"/>
              <w:rPr>
                <w:sz w:val="21"/>
              </w:rPr>
            </w:pPr>
          </w:p>
        </w:tc>
        <w:tc>
          <w:tcPr>
            <w:tcW w:w="1545" w:type="dxa"/>
            <w:vAlign w:val="center"/>
          </w:tcPr>
          <w:p w14:paraId="430D409C">
            <w:pPr>
              <w:pStyle w:val="24"/>
              <w:snapToGrid/>
              <w:spacing w:before="0" w:beforeAutospacing="0" w:after="0" w:afterAutospacing="0" w:line="420" w:lineRule="atLeast"/>
              <w:jc w:val="center"/>
              <w:rPr>
                <w:sz w:val="21"/>
              </w:rPr>
            </w:pPr>
          </w:p>
        </w:tc>
        <w:tc>
          <w:tcPr>
            <w:tcW w:w="1420" w:type="dxa"/>
            <w:vAlign w:val="center"/>
          </w:tcPr>
          <w:p w14:paraId="167CDF1B">
            <w:pPr>
              <w:pStyle w:val="24"/>
              <w:snapToGrid/>
              <w:spacing w:before="0" w:beforeAutospacing="0" w:after="0" w:afterAutospacing="0" w:line="420" w:lineRule="atLeast"/>
              <w:jc w:val="center"/>
              <w:rPr>
                <w:sz w:val="21"/>
              </w:rPr>
            </w:pPr>
          </w:p>
        </w:tc>
        <w:tc>
          <w:tcPr>
            <w:tcW w:w="1420" w:type="dxa"/>
            <w:vAlign w:val="center"/>
          </w:tcPr>
          <w:p w14:paraId="06FF3886">
            <w:pPr>
              <w:widowControl/>
              <w:snapToGrid/>
              <w:spacing w:line="420" w:lineRule="atLeast"/>
              <w:jc w:val="center"/>
            </w:pPr>
            <w:r>
              <w:rPr>
                <w:rFonts w:hint="eastAsia"/>
              </w:rPr>
              <w:t>电源模块控制芯片</w:t>
            </w:r>
          </w:p>
        </w:tc>
        <w:tc>
          <w:tcPr>
            <w:tcW w:w="1421" w:type="dxa"/>
            <w:vAlign w:val="center"/>
          </w:tcPr>
          <w:p w14:paraId="18A73257">
            <w:pPr>
              <w:pStyle w:val="24"/>
              <w:snapToGrid/>
              <w:spacing w:before="0" w:beforeAutospacing="0" w:after="0" w:afterAutospacing="0" w:line="420" w:lineRule="atLeast"/>
              <w:jc w:val="center"/>
              <w:rPr>
                <w:sz w:val="21"/>
              </w:rPr>
            </w:pPr>
          </w:p>
        </w:tc>
        <w:tc>
          <w:tcPr>
            <w:tcW w:w="1421" w:type="dxa"/>
            <w:vAlign w:val="center"/>
          </w:tcPr>
          <w:p w14:paraId="1EF4A867">
            <w:pPr>
              <w:pStyle w:val="24"/>
              <w:snapToGrid/>
              <w:spacing w:before="0" w:beforeAutospacing="0" w:after="0" w:afterAutospacing="0" w:line="420" w:lineRule="atLeast"/>
              <w:jc w:val="center"/>
              <w:rPr>
                <w:sz w:val="21"/>
              </w:rPr>
            </w:pPr>
          </w:p>
        </w:tc>
      </w:tr>
      <w:tr w14:paraId="0DC7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550032CF">
            <w:pPr>
              <w:pStyle w:val="24"/>
              <w:snapToGrid/>
              <w:spacing w:before="0" w:beforeAutospacing="0" w:after="0" w:afterAutospacing="0" w:line="420" w:lineRule="atLeast"/>
              <w:jc w:val="center"/>
              <w:rPr>
                <w:sz w:val="21"/>
              </w:rPr>
            </w:pPr>
          </w:p>
        </w:tc>
        <w:tc>
          <w:tcPr>
            <w:tcW w:w="1545" w:type="dxa"/>
            <w:vAlign w:val="center"/>
          </w:tcPr>
          <w:p w14:paraId="65B7E13B">
            <w:pPr>
              <w:pStyle w:val="24"/>
              <w:snapToGrid/>
              <w:spacing w:before="0" w:beforeAutospacing="0" w:after="0" w:afterAutospacing="0" w:line="420" w:lineRule="atLeast"/>
              <w:jc w:val="center"/>
              <w:rPr>
                <w:sz w:val="21"/>
              </w:rPr>
            </w:pPr>
          </w:p>
        </w:tc>
        <w:tc>
          <w:tcPr>
            <w:tcW w:w="1420" w:type="dxa"/>
            <w:vAlign w:val="center"/>
          </w:tcPr>
          <w:p w14:paraId="772E2412">
            <w:pPr>
              <w:pStyle w:val="24"/>
              <w:snapToGrid/>
              <w:spacing w:before="0" w:beforeAutospacing="0" w:after="0" w:afterAutospacing="0" w:line="420" w:lineRule="atLeast"/>
              <w:jc w:val="center"/>
              <w:rPr>
                <w:sz w:val="21"/>
              </w:rPr>
            </w:pPr>
          </w:p>
        </w:tc>
        <w:tc>
          <w:tcPr>
            <w:tcW w:w="1420" w:type="dxa"/>
            <w:vAlign w:val="center"/>
          </w:tcPr>
          <w:p w14:paraId="7BF37E3F">
            <w:pPr>
              <w:widowControl/>
              <w:snapToGrid/>
              <w:spacing w:line="420" w:lineRule="atLeast"/>
              <w:jc w:val="center"/>
              <w:rPr>
                <w:rFonts w:hint="eastAsia"/>
              </w:rPr>
            </w:pPr>
            <w:r>
              <w:rPr>
                <w:rFonts w:hint="eastAsia"/>
              </w:rPr>
              <w:t>加密芯片</w:t>
            </w:r>
          </w:p>
        </w:tc>
        <w:tc>
          <w:tcPr>
            <w:tcW w:w="1421" w:type="dxa"/>
            <w:vAlign w:val="center"/>
          </w:tcPr>
          <w:p w14:paraId="234F9421">
            <w:pPr>
              <w:pStyle w:val="24"/>
              <w:snapToGrid/>
              <w:spacing w:before="0" w:beforeAutospacing="0" w:after="0" w:afterAutospacing="0" w:line="420" w:lineRule="atLeast"/>
              <w:jc w:val="center"/>
              <w:rPr>
                <w:sz w:val="21"/>
              </w:rPr>
            </w:pPr>
          </w:p>
        </w:tc>
        <w:tc>
          <w:tcPr>
            <w:tcW w:w="1421" w:type="dxa"/>
            <w:vAlign w:val="center"/>
          </w:tcPr>
          <w:p w14:paraId="21B6531F">
            <w:pPr>
              <w:pStyle w:val="24"/>
              <w:snapToGrid/>
              <w:spacing w:before="0" w:beforeAutospacing="0" w:after="0" w:afterAutospacing="0" w:line="420" w:lineRule="atLeast"/>
              <w:jc w:val="center"/>
              <w:rPr>
                <w:sz w:val="21"/>
              </w:rPr>
            </w:pPr>
          </w:p>
        </w:tc>
      </w:tr>
      <w:tr w14:paraId="2FA3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7A33DA86">
            <w:pPr>
              <w:pStyle w:val="24"/>
              <w:snapToGrid/>
              <w:spacing w:before="0" w:beforeAutospacing="0" w:after="0" w:afterAutospacing="0" w:line="420" w:lineRule="atLeast"/>
              <w:jc w:val="center"/>
              <w:rPr>
                <w:sz w:val="21"/>
              </w:rPr>
            </w:pPr>
          </w:p>
        </w:tc>
        <w:tc>
          <w:tcPr>
            <w:tcW w:w="1545" w:type="dxa"/>
            <w:vAlign w:val="center"/>
          </w:tcPr>
          <w:p w14:paraId="5ED0F529">
            <w:pPr>
              <w:pStyle w:val="24"/>
              <w:snapToGrid/>
              <w:spacing w:before="0" w:beforeAutospacing="0" w:after="0" w:afterAutospacing="0" w:line="420" w:lineRule="atLeast"/>
              <w:jc w:val="center"/>
              <w:rPr>
                <w:sz w:val="21"/>
              </w:rPr>
            </w:pPr>
          </w:p>
        </w:tc>
        <w:tc>
          <w:tcPr>
            <w:tcW w:w="1420" w:type="dxa"/>
            <w:vAlign w:val="center"/>
          </w:tcPr>
          <w:p w14:paraId="7A133EBC">
            <w:pPr>
              <w:pStyle w:val="24"/>
              <w:snapToGrid/>
              <w:spacing w:before="0" w:beforeAutospacing="0" w:after="0" w:afterAutospacing="0" w:line="420" w:lineRule="atLeast"/>
              <w:jc w:val="center"/>
              <w:rPr>
                <w:sz w:val="21"/>
              </w:rPr>
            </w:pPr>
          </w:p>
        </w:tc>
        <w:tc>
          <w:tcPr>
            <w:tcW w:w="1420" w:type="dxa"/>
            <w:vAlign w:val="center"/>
          </w:tcPr>
          <w:p w14:paraId="72E526B2">
            <w:pPr>
              <w:widowControl/>
              <w:snapToGrid/>
              <w:spacing w:line="420" w:lineRule="atLeast"/>
              <w:jc w:val="center"/>
              <w:rPr>
                <w:rFonts w:hint="eastAsia"/>
              </w:rPr>
            </w:pPr>
            <w:r>
              <w:rPr>
                <w:rFonts w:hint="eastAsia"/>
              </w:rPr>
              <w:t>FPGA</w:t>
            </w:r>
          </w:p>
        </w:tc>
        <w:tc>
          <w:tcPr>
            <w:tcW w:w="1421" w:type="dxa"/>
            <w:vAlign w:val="center"/>
          </w:tcPr>
          <w:p w14:paraId="6C85FB7F">
            <w:pPr>
              <w:pStyle w:val="24"/>
              <w:snapToGrid/>
              <w:spacing w:before="0" w:beforeAutospacing="0" w:after="0" w:afterAutospacing="0" w:line="420" w:lineRule="atLeast"/>
              <w:jc w:val="center"/>
              <w:rPr>
                <w:sz w:val="21"/>
              </w:rPr>
            </w:pPr>
          </w:p>
        </w:tc>
        <w:tc>
          <w:tcPr>
            <w:tcW w:w="1421" w:type="dxa"/>
            <w:vAlign w:val="center"/>
          </w:tcPr>
          <w:p w14:paraId="33615A89">
            <w:pPr>
              <w:pStyle w:val="24"/>
              <w:snapToGrid/>
              <w:spacing w:before="0" w:beforeAutospacing="0" w:after="0" w:afterAutospacing="0" w:line="420" w:lineRule="atLeast"/>
              <w:jc w:val="center"/>
              <w:rPr>
                <w:sz w:val="21"/>
              </w:rPr>
            </w:pPr>
          </w:p>
        </w:tc>
      </w:tr>
    </w:tbl>
    <w:p w14:paraId="088A286F">
      <w:pPr>
        <w:pStyle w:val="24"/>
        <w:spacing w:before="900" w:beforeAutospacing="0" w:after="0" w:afterAutospacing="0" w:line="420" w:lineRule="atLeast"/>
        <w:jc w:val="both"/>
        <w:rPr>
          <w:rFonts w:cs="宋体"/>
          <w:sz w:val="28"/>
          <w:szCs w:val="28"/>
        </w:rPr>
      </w:pPr>
    </w:p>
    <w:p w14:paraId="5D733CEA">
      <w:pPr>
        <w:pStyle w:val="24"/>
        <w:spacing w:before="900" w:beforeAutospacing="0" w:after="0" w:afterAutospacing="0" w:line="420" w:lineRule="atLeast"/>
        <w:jc w:val="both"/>
        <w:rPr>
          <w:rFonts w:cs="宋体"/>
          <w:sz w:val="28"/>
          <w:szCs w:val="28"/>
        </w:rPr>
      </w:pPr>
    </w:p>
    <w:p w14:paraId="4F7592F3">
      <w:pPr>
        <w:pStyle w:val="24"/>
        <w:spacing w:before="900" w:beforeAutospacing="0" w:after="0" w:afterAutospacing="0" w:line="420" w:lineRule="atLeast"/>
        <w:jc w:val="both"/>
        <w:rPr>
          <w:rFonts w:cs="宋体"/>
          <w:sz w:val="28"/>
          <w:szCs w:val="28"/>
        </w:rPr>
      </w:pPr>
    </w:p>
    <w:p w14:paraId="52F5B199">
      <w:pPr>
        <w:pStyle w:val="24"/>
        <w:spacing w:before="900" w:beforeAutospacing="0" w:after="0" w:afterAutospacing="0" w:line="420" w:lineRule="atLeast"/>
        <w:jc w:val="both"/>
        <w:rPr>
          <w:rFonts w:cs="宋体"/>
          <w:sz w:val="28"/>
          <w:szCs w:val="28"/>
        </w:rPr>
      </w:pPr>
    </w:p>
    <w:p w14:paraId="7B63E45A">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14</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36CA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515E4781">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4B05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4CC290B8">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04D6B6AC">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2514BB79">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1A3F3F0F">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570BBF6D">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5259EBD5">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203B8C97">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5EB1D0A3">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53743EEA">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417B7CFB">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31D743A8">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45506060">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2FC8F255">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265BBCB9">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7E8D7B10">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411963EF">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5ECABF55">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5E61846B">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3B83DF99">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0C5464A3">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5DE9D1AA">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781C7240">
            <w:pPr>
              <w:pStyle w:val="24"/>
              <w:snapToGrid/>
              <w:spacing w:before="0" w:beforeAutospacing="0" w:after="0" w:afterAutospacing="0" w:line="420" w:lineRule="atLeast"/>
              <w:jc w:val="center"/>
              <w:rPr>
                <w:sz w:val="21"/>
              </w:rPr>
            </w:pPr>
            <w:r>
              <w:rPr>
                <w:rFonts w:hint="eastAsia"/>
                <w:sz w:val="21"/>
              </w:rPr>
              <w:t>境内/境外</w:t>
            </w:r>
          </w:p>
        </w:tc>
      </w:tr>
      <w:tr w14:paraId="26FB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0C03FAA8">
            <w:pPr>
              <w:pStyle w:val="24"/>
              <w:snapToGrid/>
              <w:spacing w:before="0" w:beforeAutospacing="0" w:after="0" w:afterAutospacing="0" w:line="420" w:lineRule="atLeast"/>
              <w:jc w:val="center"/>
              <w:rPr>
                <w:sz w:val="21"/>
              </w:rPr>
            </w:pPr>
          </w:p>
        </w:tc>
        <w:tc>
          <w:tcPr>
            <w:tcW w:w="366" w:type="dxa"/>
            <w:vAlign w:val="center"/>
          </w:tcPr>
          <w:p w14:paraId="7B35B2E4">
            <w:pPr>
              <w:pStyle w:val="24"/>
              <w:snapToGrid/>
              <w:spacing w:before="0" w:beforeAutospacing="0" w:after="0" w:afterAutospacing="0" w:line="420" w:lineRule="atLeast"/>
              <w:jc w:val="center"/>
              <w:rPr>
                <w:sz w:val="21"/>
              </w:rPr>
            </w:pPr>
          </w:p>
        </w:tc>
        <w:tc>
          <w:tcPr>
            <w:tcW w:w="366" w:type="dxa"/>
            <w:vAlign w:val="center"/>
          </w:tcPr>
          <w:p w14:paraId="52384AD4">
            <w:pPr>
              <w:pStyle w:val="24"/>
              <w:snapToGrid/>
              <w:spacing w:before="0" w:beforeAutospacing="0" w:after="0" w:afterAutospacing="0" w:line="420" w:lineRule="atLeast"/>
              <w:jc w:val="center"/>
              <w:rPr>
                <w:sz w:val="21"/>
              </w:rPr>
            </w:pPr>
          </w:p>
        </w:tc>
        <w:tc>
          <w:tcPr>
            <w:tcW w:w="366" w:type="dxa"/>
            <w:vAlign w:val="center"/>
          </w:tcPr>
          <w:p w14:paraId="10DCACB0">
            <w:pPr>
              <w:pStyle w:val="24"/>
              <w:snapToGrid/>
              <w:spacing w:before="0" w:beforeAutospacing="0" w:after="0" w:afterAutospacing="0" w:line="420" w:lineRule="atLeast"/>
              <w:jc w:val="center"/>
              <w:rPr>
                <w:sz w:val="21"/>
              </w:rPr>
            </w:pPr>
          </w:p>
        </w:tc>
        <w:tc>
          <w:tcPr>
            <w:tcW w:w="366" w:type="dxa"/>
            <w:vAlign w:val="center"/>
          </w:tcPr>
          <w:p w14:paraId="7BE8A124">
            <w:pPr>
              <w:pStyle w:val="24"/>
              <w:snapToGrid/>
              <w:spacing w:before="0" w:beforeAutospacing="0" w:after="0" w:afterAutospacing="0" w:line="420" w:lineRule="atLeast"/>
              <w:jc w:val="center"/>
              <w:rPr>
                <w:sz w:val="21"/>
              </w:rPr>
            </w:pPr>
          </w:p>
        </w:tc>
        <w:tc>
          <w:tcPr>
            <w:tcW w:w="516" w:type="dxa"/>
            <w:vAlign w:val="center"/>
          </w:tcPr>
          <w:p w14:paraId="6EA35F92">
            <w:pPr>
              <w:pStyle w:val="24"/>
              <w:snapToGrid/>
              <w:spacing w:before="0" w:beforeAutospacing="0" w:after="0" w:afterAutospacing="0" w:line="420" w:lineRule="atLeast"/>
              <w:jc w:val="center"/>
              <w:rPr>
                <w:sz w:val="21"/>
              </w:rPr>
            </w:pPr>
          </w:p>
        </w:tc>
        <w:tc>
          <w:tcPr>
            <w:tcW w:w="366" w:type="dxa"/>
            <w:vAlign w:val="center"/>
          </w:tcPr>
          <w:p w14:paraId="24B7D273">
            <w:pPr>
              <w:pStyle w:val="24"/>
              <w:snapToGrid/>
              <w:spacing w:before="0" w:beforeAutospacing="0" w:after="0" w:afterAutospacing="0" w:line="420" w:lineRule="atLeast"/>
              <w:jc w:val="center"/>
              <w:rPr>
                <w:sz w:val="21"/>
              </w:rPr>
            </w:pPr>
          </w:p>
        </w:tc>
        <w:tc>
          <w:tcPr>
            <w:tcW w:w="366" w:type="dxa"/>
            <w:vAlign w:val="center"/>
          </w:tcPr>
          <w:p w14:paraId="7C7521EA">
            <w:pPr>
              <w:pStyle w:val="24"/>
              <w:snapToGrid/>
              <w:spacing w:before="0" w:beforeAutospacing="0" w:after="0" w:afterAutospacing="0" w:line="420" w:lineRule="atLeast"/>
              <w:jc w:val="center"/>
              <w:rPr>
                <w:sz w:val="21"/>
              </w:rPr>
            </w:pPr>
          </w:p>
        </w:tc>
        <w:tc>
          <w:tcPr>
            <w:tcW w:w="516" w:type="dxa"/>
            <w:vAlign w:val="center"/>
          </w:tcPr>
          <w:p w14:paraId="747CF653">
            <w:pPr>
              <w:pStyle w:val="24"/>
              <w:snapToGrid/>
              <w:spacing w:before="0" w:beforeAutospacing="0" w:after="0" w:afterAutospacing="0" w:line="420" w:lineRule="atLeast"/>
              <w:jc w:val="center"/>
              <w:rPr>
                <w:sz w:val="21"/>
              </w:rPr>
            </w:pPr>
          </w:p>
        </w:tc>
        <w:tc>
          <w:tcPr>
            <w:tcW w:w="366" w:type="dxa"/>
            <w:vAlign w:val="center"/>
          </w:tcPr>
          <w:p w14:paraId="1362997A">
            <w:pPr>
              <w:pStyle w:val="24"/>
              <w:snapToGrid/>
              <w:spacing w:before="0" w:beforeAutospacing="0" w:after="0" w:afterAutospacing="0" w:line="420" w:lineRule="atLeast"/>
              <w:jc w:val="center"/>
              <w:rPr>
                <w:sz w:val="21"/>
              </w:rPr>
            </w:pPr>
          </w:p>
        </w:tc>
        <w:tc>
          <w:tcPr>
            <w:tcW w:w="516" w:type="dxa"/>
            <w:vAlign w:val="center"/>
          </w:tcPr>
          <w:p w14:paraId="4E64107E">
            <w:pPr>
              <w:pStyle w:val="24"/>
              <w:snapToGrid/>
              <w:spacing w:before="0" w:beforeAutospacing="0" w:after="0" w:afterAutospacing="0" w:line="420" w:lineRule="atLeast"/>
              <w:jc w:val="center"/>
              <w:rPr>
                <w:sz w:val="21"/>
              </w:rPr>
            </w:pPr>
          </w:p>
        </w:tc>
        <w:tc>
          <w:tcPr>
            <w:tcW w:w="366" w:type="dxa"/>
            <w:vAlign w:val="center"/>
          </w:tcPr>
          <w:p w14:paraId="18A7502C">
            <w:pPr>
              <w:pStyle w:val="24"/>
              <w:snapToGrid/>
              <w:spacing w:before="0" w:beforeAutospacing="0" w:after="0" w:afterAutospacing="0" w:line="420" w:lineRule="atLeast"/>
              <w:jc w:val="center"/>
              <w:rPr>
                <w:sz w:val="21"/>
              </w:rPr>
            </w:pPr>
          </w:p>
        </w:tc>
        <w:tc>
          <w:tcPr>
            <w:tcW w:w="666" w:type="dxa"/>
            <w:vAlign w:val="center"/>
          </w:tcPr>
          <w:p w14:paraId="1C2FC813">
            <w:pPr>
              <w:pStyle w:val="24"/>
              <w:snapToGrid/>
              <w:spacing w:before="0" w:beforeAutospacing="0" w:after="0" w:afterAutospacing="0" w:line="420" w:lineRule="atLeast"/>
              <w:jc w:val="center"/>
              <w:rPr>
                <w:sz w:val="21"/>
              </w:rPr>
            </w:pPr>
          </w:p>
        </w:tc>
        <w:tc>
          <w:tcPr>
            <w:tcW w:w="516" w:type="dxa"/>
            <w:vAlign w:val="center"/>
          </w:tcPr>
          <w:p w14:paraId="12B4AF02">
            <w:pPr>
              <w:pStyle w:val="24"/>
              <w:snapToGrid/>
              <w:spacing w:before="0" w:beforeAutospacing="0" w:after="0" w:afterAutospacing="0" w:line="420" w:lineRule="atLeast"/>
              <w:jc w:val="center"/>
              <w:rPr>
                <w:sz w:val="21"/>
              </w:rPr>
            </w:pPr>
          </w:p>
        </w:tc>
        <w:tc>
          <w:tcPr>
            <w:tcW w:w="366" w:type="dxa"/>
            <w:vAlign w:val="center"/>
          </w:tcPr>
          <w:p w14:paraId="7A87ECB1">
            <w:pPr>
              <w:pStyle w:val="24"/>
              <w:snapToGrid/>
              <w:spacing w:before="0" w:beforeAutospacing="0" w:after="0" w:afterAutospacing="0" w:line="420" w:lineRule="atLeast"/>
              <w:jc w:val="center"/>
              <w:rPr>
                <w:sz w:val="21"/>
              </w:rPr>
            </w:pPr>
          </w:p>
        </w:tc>
        <w:tc>
          <w:tcPr>
            <w:tcW w:w="366" w:type="dxa"/>
            <w:vAlign w:val="center"/>
          </w:tcPr>
          <w:p w14:paraId="69F05828">
            <w:pPr>
              <w:pStyle w:val="24"/>
              <w:snapToGrid/>
              <w:spacing w:before="0" w:beforeAutospacing="0" w:after="0" w:afterAutospacing="0" w:line="420" w:lineRule="atLeast"/>
              <w:jc w:val="center"/>
              <w:rPr>
                <w:sz w:val="21"/>
              </w:rPr>
            </w:pPr>
          </w:p>
        </w:tc>
        <w:tc>
          <w:tcPr>
            <w:tcW w:w="516" w:type="dxa"/>
            <w:vAlign w:val="center"/>
          </w:tcPr>
          <w:p w14:paraId="11170776">
            <w:pPr>
              <w:pStyle w:val="24"/>
              <w:snapToGrid/>
              <w:spacing w:before="0" w:beforeAutospacing="0" w:after="0" w:afterAutospacing="0" w:line="420" w:lineRule="atLeast"/>
              <w:jc w:val="center"/>
              <w:rPr>
                <w:sz w:val="21"/>
              </w:rPr>
            </w:pPr>
          </w:p>
        </w:tc>
        <w:tc>
          <w:tcPr>
            <w:tcW w:w="366" w:type="dxa"/>
            <w:vAlign w:val="center"/>
          </w:tcPr>
          <w:p w14:paraId="727366C9">
            <w:pPr>
              <w:pStyle w:val="24"/>
              <w:snapToGrid/>
              <w:spacing w:before="0" w:beforeAutospacing="0" w:after="0" w:afterAutospacing="0" w:line="420" w:lineRule="atLeast"/>
              <w:jc w:val="center"/>
              <w:rPr>
                <w:sz w:val="21"/>
              </w:rPr>
            </w:pPr>
          </w:p>
        </w:tc>
        <w:tc>
          <w:tcPr>
            <w:tcW w:w="221" w:type="dxa"/>
            <w:vAlign w:val="center"/>
          </w:tcPr>
          <w:p w14:paraId="314DC0C0">
            <w:pPr>
              <w:pStyle w:val="24"/>
              <w:snapToGrid/>
              <w:spacing w:before="0" w:beforeAutospacing="0" w:after="0" w:afterAutospacing="0" w:line="420" w:lineRule="atLeast"/>
              <w:jc w:val="center"/>
              <w:rPr>
                <w:sz w:val="21"/>
              </w:rPr>
            </w:pPr>
          </w:p>
        </w:tc>
        <w:tc>
          <w:tcPr>
            <w:tcW w:w="221" w:type="dxa"/>
            <w:vAlign w:val="center"/>
          </w:tcPr>
          <w:p w14:paraId="2089628B">
            <w:pPr>
              <w:pStyle w:val="24"/>
              <w:snapToGrid/>
              <w:spacing w:before="0" w:beforeAutospacing="0" w:after="0" w:afterAutospacing="0" w:line="420" w:lineRule="atLeast"/>
              <w:jc w:val="center"/>
              <w:rPr>
                <w:sz w:val="21"/>
              </w:rPr>
            </w:pPr>
          </w:p>
        </w:tc>
        <w:tc>
          <w:tcPr>
            <w:tcW w:w="221" w:type="dxa"/>
            <w:vAlign w:val="center"/>
          </w:tcPr>
          <w:p w14:paraId="61F1DB99">
            <w:pPr>
              <w:pStyle w:val="24"/>
              <w:snapToGrid/>
              <w:spacing w:before="0" w:beforeAutospacing="0" w:after="0" w:afterAutospacing="0" w:line="420" w:lineRule="atLeast"/>
              <w:jc w:val="center"/>
              <w:rPr>
                <w:sz w:val="21"/>
              </w:rPr>
            </w:pPr>
          </w:p>
        </w:tc>
        <w:tc>
          <w:tcPr>
            <w:tcW w:w="221" w:type="dxa"/>
            <w:vAlign w:val="center"/>
          </w:tcPr>
          <w:p w14:paraId="4FB8A2C9">
            <w:pPr>
              <w:pStyle w:val="24"/>
              <w:snapToGrid/>
              <w:spacing w:before="0" w:beforeAutospacing="0" w:after="0" w:afterAutospacing="0" w:line="420" w:lineRule="atLeast"/>
              <w:jc w:val="center"/>
              <w:rPr>
                <w:sz w:val="21"/>
              </w:rPr>
            </w:pPr>
          </w:p>
        </w:tc>
      </w:tr>
      <w:tr w14:paraId="6A40D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537396FD">
            <w:pPr>
              <w:pStyle w:val="24"/>
              <w:snapToGrid/>
              <w:spacing w:before="0" w:beforeAutospacing="0" w:after="0" w:afterAutospacing="0" w:line="420" w:lineRule="atLeast"/>
              <w:jc w:val="center"/>
              <w:rPr>
                <w:sz w:val="21"/>
              </w:rPr>
            </w:pPr>
          </w:p>
        </w:tc>
        <w:tc>
          <w:tcPr>
            <w:tcW w:w="366" w:type="dxa"/>
            <w:vAlign w:val="center"/>
          </w:tcPr>
          <w:p w14:paraId="405548F4">
            <w:pPr>
              <w:pStyle w:val="24"/>
              <w:snapToGrid/>
              <w:spacing w:before="0" w:beforeAutospacing="0" w:after="0" w:afterAutospacing="0" w:line="420" w:lineRule="atLeast"/>
              <w:jc w:val="center"/>
              <w:rPr>
                <w:sz w:val="21"/>
              </w:rPr>
            </w:pPr>
          </w:p>
        </w:tc>
        <w:tc>
          <w:tcPr>
            <w:tcW w:w="366" w:type="dxa"/>
            <w:vAlign w:val="center"/>
          </w:tcPr>
          <w:p w14:paraId="2BBB351D">
            <w:pPr>
              <w:pStyle w:val="24"/>
              <w:snapToGrid/>
              <w:spacing w:before="0" w:beforeAutospacing="0" w:after="0" w:afterAutospacing="0" w:line="420" w:lineRule="atLeast"/>
              <w:jc w:val="center"/>
              <w:rPr>
                <w:sz w:val="21"/>
              </w:rPr>
            </w:pPr>
          </w:p>
        </w:tc>
        <w:tc>
          <w:tcPr>
            <w:tcW w:w="366" w:type="dxa"/>
            <w:vAlign w:val="center"/>
          </w:tcPr>
          <w:p w14:paraId="71090718">
            <w:pPr>
              <w:pStyle w:val="24"/>
              <w:snapToGrid/>
              <w:spacing w:before="0" w:beforeAutospacing="0" w:after="0" w:afterAutospacing="0" w:line="420" w:lineRule="atLeast"/>
              <w:jc w:val="center"/>
              <w:rPr>
                <w:sz w:val="21"/>
              </w:rPr>
            </w:pPr>
          </w:p>
        </w:tc>
        <w:tc>
          <w:tcPr>
            <w:tcW w:w="366" w:type="dxa"/>
            <w:vAlign w:val="center"/>
          </w:tcPr>
          <w:p w14:paraId="2B427D78">
            <w:pPr>
              <w:pStyle w:val="24"/>
              <w:snapToGrid/>
              <w:spacing w:before="0" w:beforeAutospacing="0" w:after="0" w:afterAutospacing="0" w:line="420" w:lineRule="atLeast"/>
              <w:jc w:val="center"/>
              <w:rPr>
                <w:sz w:val="21"/>
              </w:rPr>
            </w:pPr>
          </w:p>
        </w:tc>
        <w:tc>
          <w:tcPr>
            <w:tcW w:w="516" w:type="dxa"/>
            <w:vAlign w:val="center"/>
          </w:tcPr>
          <w:p w14:paraId="7D29FB34">
            <w:pPr>
              <w:pStyle w:val="24"/>
              <w:snapToGrid/>
              <w:spacing w:before="0" w:beforeAutospacing="0" w:after="0" w:afterAutospacing="0" w:line="420" w:lineRule="atLeast"/>
              <w:jc w:val="center"/>
              <w:rPr>
                <w:sz w:val="21"/>
              </w:rPr>
            </w:pPr>
          </w:p>
        </w:tc>
        <w:tc>
          <w:tcPr>
            <w:tcW w:w="366" w:type="dxa"/>
            <w:vAlign w:val="center"/>
          </w:tcPr>
          <w:p w14:paraId="5A25B4CA">
            <w:pPr>
              <w:pStyle w:val="24"/>
              <w:snapToGrid/>
              <w:spacing w:before="0" w:beforeAutospacing="0" w:after="0" w:afterAutospacing="0" w:line="420" w:lineRule="atLeast"/>
              <w:jc w:val="center"/>
              <w:rPr>
                <w:sz w:val="21"/>
              </w:rPr>
            </w:pPr>
          </w:p>
        </w:tc>
        <w:tc>
          <w:tcPr>
            <w:tcW w:w="366" w:type="dxa"/>
            <w:vAlign w:val="center"/>
          </w:tcPr>
          <w:p w14:paraId="1DC3C450">
            <w:pPr>
              <w:pStyle w:val="24"/>
              <w:snapToGrid/>
              <w:spacing w:before="0" w:beforeAutospacing="0" w:after="0" w:afterAutospacing="0" w:line="420" w:lineRule="atLeast"/>
              <w:jc w:val="center"/>
              <w:rPr>
                <w:sz w:val="21"/>
              </w:rPr>
            </w:pPr>
          </w:p>
        </w:tc>
        <w:tc>
          <w:tcPr>
            <w:tcW w:w="516" w:type="dxa"/>
            <w:vAlign w:val="center"/>
          </w:tcPr>
          <w:p w14:paraId="20998B40">
            <w:pPr>
              <w:pStyle w:val="24"/>
              <w:snapToGrid/>
              <w:spacing w:before="0" w:beforeAutospacing="0" w:after="0" w:afterAutospacing="0" w:line="420" w:lineRule="atLeast"/>
              <w:jc w:val="center"/>
              <w:rPr>
                <w:sz w:val="21"/>
              </w:rPr>
            </w:pPr>
          </w:p>
        </w:tc>
        <w:tc>
          <w:tcPr>
            <w:tcW w:w="366" w:type="dxa"/>
            <w:vAlign w:val="center"/>
          </w:tcPr>
          <w:p w14:paraId="3935119B">
            <w:pPr>
              <w:pStyle w:val="24"/>
              <w:snapToGrid/>
              <w:spacing w:before="0" w:beforeAutospacing="0" w:after="0" w:afterAutospacing="0" w:line="420" w:lineRule="atLeast"/>
              <w:jc w:val="center"/>
              <w:rPr>
                <w:sz w:val="21"/>
              </w:rPr>
            </w:pPr>
          </w:p>
        </w:tc>
        <w:tc>
          <w:tcPr>
            <w:tcW w:w="516" w:type="dxa"/>
            <w:vAlign w:val="center"/>
          </w:tcPr>
          <w:p w14:paraId="38248919">
            <w:pPr>
              <w:pStyle w:val="24"/>
              <w:snapToGrid/>
              <w:spacing w:before="0" w:beforeAutospacing="0" w:after="0" w:afterAutospacing="0" w:line="420" w:lineRule="atLeast"/>
              <w:jc w:val="center"/>
              <w:rPr>
                <w:sz w:val="21"/>
              </w:rPr>
            </w:pPr>
          </w:p>
        </w:tc>
        <w:tc>
          <w:tcPr>
            <w:tcW w:w="366" w:type="dxa"/>
            <w:vAlign w:val="center"/>
          </w:tcPr>
          <w:p w14:paraId="1B2A8D1C">
            <w:pPr>
              <w:pStyle w:val="24"/>
              <w:snapToGrid/>
              <w:spacing w:before="0" w:beforeAutospacing="0" w:after="0" w:afterAutospacing="0" w:line="420" w:lineRule="atLeast"/>
              <w:jc w:val="center"/>
              <w:rPr>
                <w:sz w:val="21"/>
              </w:rPr>
            </w:pPr>
          </w:p>
        </w:tc>
        <w:tc>
          <w:tcPr>
            <w:tcW w:w="666" w:type="dxa"/>
            <w:vAlign w:val="center"/>
          </w:tcPr>
          <w:p w14:paraId="65ECE677">
            <w:pPr>
              <w:pStyle w:val="24"/>
              <w:snapToGrid/>
              <w:spacing w:before="0" w:beforeAutospacing="0" w:after="0" w:afterAutospacing="0" w:line="420" w:lineRule="atLeast"/>
              <w:jc w:val="center"/>
              <w:rPr>
                <w:sz w:val="21"/>
              </w:rPr>
            </w:pPr>
          </w:p>
        </w:tc>
        <w:tc>
          <w:tcPr>
            <w:tcW w:w="516" w:type="dxa"/>
            <w:vAlign w:val="center"/>
          </w:tcPr>
          <w:p w14:paraId="2D710714">
            <w:pPr>
              <w:pStyle w:val="24"/>
              <w:snapToGrid/>
              <w:spacing w:before="0" w:beforeAutospacing="0" w:after="0" w:afterAutospacing="0" w:line="420" w:lineRule="atLeast"/>
              <w:jc w:val="center"/>
              <w:rPr>
                <w:sz w:val="21"/>
              </w:rPr>
            </w:pPr>
          </w:p>
        </w:tc>
        <w:tc>
          <w:tcPr>
            <w:tcW w:w="366" w:type="dxa"/>
            <w:vAlign w:val="center"/>
          </w:tcPr>
          <w:p w14:paraId="562617F4">
            <w:pPr>
              <w:pStyle w:val="24"/>
              <w:snapToGrid/>
              <w:spacing w:before="0" w:beforeAutospacing="0" w:after="0" w:afterAutospacing="0" w:line="420" w:lineRule="atLeast"/>
              <w:jc w:val="center"/>
              <w:rPr>
                <w:sz w:val="21"/>
              </w:rPr>
            </w:pPr>
          </w:p>
        </w:tc>
        <w:tc>
          <w:tcPr>
            <w:tcW w:w="366" w:type="dxa"/>
            <w:vAlign w:val="center"/>
          </w:tcPr>
          <w:p w14:paraId="2737D280">
            <w:pPr>
              <w:pStyle w:val="24"/>
              <w:snapToGrid/>
              <w:spacing w:before="0" w:beforeAutospacing="0" w:after="0" w:afterAutospacing="0" w:line="420" w:lineRule="atLeast"/>
              <w:jc w:val="center"/>
              <w:rPr>
                <w:sz w:val="21"/>
              </w:rPr>
            </w:pPr>
          </w:p>
        </w:tc>
        <w:tc>
          <w:tcPr>
            <w:tcW w:w="516" w:type="dxa"/>
            <w:vAlign w:val="center"/>
          </w:tcPr>
          <w:p w14:paraId="25FF058C">
            <w:pPr>
              <w:pStyle w:val="24"/>
              <w:snapToGrid/>
              <w:spacing w:before="0" w:beforeAutospacing="0" w:after="0" w:afterAutospacing="0" w:line="420" w:lineRule="atLeast"/>
              <w:jc w:val="center"/>
              <w:rPr>
                <w:sz w:val="21"/>
              </w:rPr>
            </w:pPr>
          </w:p>
        </w:tc>
        <w:tc>
          <w:tcPr>
            <w:tcW w:w="366" w:type="dxa"/>
            <w:vAlign w:val="center"/>
          </w:tcPr>
          <w:p w14:paraId="66156BF8">
            <w:pPr>
              <w:pStyle w:val="24"/>
              <w:snapToGrid/>
              <w:spacing w:before="0" w:beforeAutospacing="0" w:after="0" w:afterAutospacing="0" w:line="420" w:lineRule="atLeast"/>
              <w:jc w:val="center"/>
              <w:rPr>
                <w:sz w:val="21"/>
              </w:rPr>
            </w:pPr>
          </w:p>
        </w:tc>
        <w:tc>
          <w:tcPr>
            <w:tcW w:w="221" w:type="dxa"/>
            <w:vAlign w:val="center"/>
          </w:tcPr>
          <w:p w14:paraId="0A4E110D">
            <w:pPr>
              <w:pStyle w:val="24"/>
              <w:snapToGrid/>
              <w:spacing w:before="0" w:beforeAutospacing="0" w:after="0" w:afterAutospacing="0" w:line="420" w:lineRule="atLeast"/>
              <w:jc w:val="center"/>
              <w:rPr>
                <w:sz w:val="21"/>
              </w:rPr>
            </w:pPr>
          </w:p>
        </w:tc>
        <w:tc>
          <w:tcPr>
            <w:tcW w:w="221" w:type="dxa"/>
            <w:vAlign w:val="center"/>
          </w:tcPr>
          <w:p w14:paraId="5FCECAB0">
            <w:pPr>
              <w:pStyle w:val="24"/>
              <w:snapToGrid/>
              <w:spacing w:before="0" w:beforeAutospacing="0" w:after="0" w:afterAutospacing="0" w:line="420" w:lineRule="atLeast"/>
              <w:jc w:val="center"/>
              <w:rPr>
                <w:sz w:val="21"/>
              </w:rPr>
            </w:pPr>
          </w:p>
        </w:tc>
        <w:tc>
          <w:tcPr>
            <w:tcW w:w="221" w:type="dxa"/>
            <w:vAlign w:val="center"/>
          </w:tcPr>
          <w:p w14:paraId="69425D71">
            <w:pPr>
              <w:pStyle w:val="24"/>
              <w:snapToGrid/>
              <w:spacing w:before="0" w:beforeAutospacing="0" w:after="0" w:afterAutospacing="0" w:line="420" w:lineRule="atLeast"/>
              <w:jc w:val="center"/>
              <w:rPr>
                <w:sz w:val="21"/>
              </w:rPr>
            </w:pPr>
          </w:p>
        </w:tc>
        <w:tc>
          <w:tcPr>
            <w:tcW w:w="221" w:type="dxa"/>
            <w:vAlign w:val="center"/>
          </w:tcPr>
          <w:p w14:paraId="73824D44">
            <w:pPr>
              <w:pStyle w:val="24"/>
              <w:snapToGrid/>
              <w:spacing w:before="0" w:beforeAutospacing="0" w:after="0" w:afterAutospacing="0" w:line="420" w:lineRule="atLeast"/>
              <w:jc w:val="center"/>
              <w:rPr>
                <w:sz w:val="21"/>
              </w:rPr>
            </w:pPr>
          </w:p>
        </w:tc>
      </w:tr>
    </w:tbl>
    <w:p w14:paraId="6330B06A">
      <w:pPr>
        <w:pStyle w:val="24"/>
        <w:snapToGrid/>
        <w:spacing w:before="0" w:beforeAutospacing="0" w:after="0" w:afterAutospacing="0" w:line="420" w:lineRule="atLeast"/>
        <w:jc w:val="both"/>
        <w:rPr>
          <w:sz w:val="21"/>
        </w:rPr>
      </w:pPr>
    </w:p>
    <w:p w14:paraId="7F98175C">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0FC38CE6"/>
    <w:p w14:paraId="237568FB"/>
    <w:p w14:paraId="098979A2">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15</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16E2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4BF79FDB">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37C9A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4AFA3C4A">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2DB1FEA7">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4B851812">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713D850B">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141A9EE0">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39242FE7">
            <w:pPr>
              <w:pStyle w:val="24"/>
              <w:snapToGrid/>
              <w:spacing w:before="0" w:beforeAutospacing="0" w:after="0" w:afterAutospacing="0" w:line="420" w:lineRule="atLeast"/>
              <w:jc w:val="center"/>
              <w:rPr>
                <w:sz w:val="21"/>
              </w:rPr>
            </w:pPr>
            <w:r>
              <w:rPr>
                <w:rFonts w:hint="eastAsia"/>
                <w:sz w:val="21"/>
              </w:rPr>
              <w:t>单设备非国产芯片数量（颗）</w:t>
            </w:r>
          </w:p>
        </w:tc>
      </w:tr>
      <w:tr w14:paraId="3C60B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096F1103">
            <w:pPr>
              <w:pStyle w:val="24"/>
              <w:snapToGrid/>
              <w:spacing w:before="0" w:beforeAutospacing="0" w:after="0" w:afterAutospacing="0" w:line="420" w:lineRule="atLeast"/>
              <w:jc w:val="center"/>
              <w:rPr>
                <w:sz w:val="21"/>
                <w:u w:val="single"/>
              </w:rPr>
            </w:pPr>
            <w:r>
              <w:rPr>
                <w:rFonts w:hint="eastAsia"/>
                <w:sz w:val="21"/>
                <w:u w:val="single"/>
                <w:lang w:val="en-US" w:eastAsia="zh-CN"/>
              </w:rPr>
              <w:t>纵向加密</w:t>
            </w:r>
            <w:r>
              <w:rPr>
                <w:rFonts w:hint="eastAsia"/>
                <w:sz w:val="21"/>
                <w:u w:val="single"/>
              </w:rPr>
              <w:t>装置</w:t>
            </w:r>
          </w:p>
          <w:p w14:paraId="07A1B371">
            <w:pPr>
              <w:pStyle w:val="24"/>
              <w:snapToGrid/>
              <w:spacing w:before="0" w:beforeAutospacing="0" w:after="0" w:afterAutospacing="0" w:line="420" w:lineRule="atLeast"/>
              <w:jc w:val="center"/>
              <w:rPr>
                <w:sz w:val="21"/>
                <w:u w:val="single"/>
              </w:rPr>
            </w:pPr>
          </w:p>
        </w:tc>
        <w:tc>
          <w:tcPr>
            <w:tcW w:w="1545" w:type="dxa"/>
            <w:vAlign w:val="center"/>
          </w:tcPr>
          <w:p w14:paraId="6B877DF2">
            <w:pPr>
              <w:pStyle w:val="24"/>
              <w:snapToGrid/>
              <w:spacing w:before="0" w:beforeAutospacing="0" w:after="0" w:afterAutospacing="0" w:line="420" w:lineRule="atLeast"/>
              <w:jc w:val="center"/>
              <w:rPr>
                <w:sz w:val="21"/>
              </w:rPr>
            </w:pPr>
          </w:p>
        </w:tc>
        <w:tc>
          <w:tcPr>
            <w:tcW w:w="1420" w:type="dxa"/>
            <w:vAlign w:val="center"/>
          </w:tcPr>
          <w:p w14:paraId="6BD9E20D">
            <w:pPr>
              <w:pStyle w:val="24"/>
              <w:snapToGrid/>
              <w:spacing w:before="0" w:beforeAutospacing="0" w:after="0" w:afterAutospacing="0" w:line="420" w:lineRule="atLeast"/>
              <w:jc w:val="center"/>
              <w:rPr>
                <w:sz w:val="21"/>
              </w:rPr>
            </w:pPr>
          </w:p>
        </w:tc>
        <w:tc>
          <w:tcPr>
            <w:tcW w:w="1420" w:type="dxa"/>
            <w:vAlign w:val="center"/>
          </w:tcPr>
          <w:p w14:paraId="796AD50C">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5F6008E1">
            <w:pPr>
              <w:pStyle w:val="24"/>
              <w:snapToGrid/>
              <w:spacing w:before="0" w:beforeAutospacing="0" w:after="0" w:afterAutospacing="0" w:line="420" w:lineRule="atLeast"/>
              <w:jc w:val="center"/>
              <w:rPr>
                <w:sz w:val="21"/>
              </w:rPr>
            </w:pPr>
          </w:p>
        </w:tc>
        <w:tc>
          <w:tcPr>
            <w:tcW w:w="1421" w:type="dxa"/>
            <w:vAlign w:val="center"/>
          </w:tcPr>
          <w:p w14:paraId="5811E712">
            <w:pPr>
              <w:pStyle w:val="24"/>
              <w:snapToGrid/>
              <w:spacing w:before="0" w:beforeAutospacing="0" w:after="0" w:afterAutospacing="0" w:line="420" w:lineRule="atLeast"/>
              <w:jc w:val="center"/>
              <w:rPr>
                <w:sz w:val="21"/>
              </w:rPr>
            </w:pPr>
          </w:p>
        </w:tc>
      </w:tr>
      <w:tr w14:paraId="02BBA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6E17AB9">
            <w:pPr>
              <w:pStyle w:val="24"/>
              <w:snapToGrid/>
              <w:spacing w:before="0" w:beforeAutospacing="0" w:after="0" w:afterAutospacing="0" w:line="420" w:lineRule="atLeast"/>
              <w:jc w:val="center"/>
              <w:rPr>
                <w:sz w:val="21"/>
              </w:rPr>
            </w:pPr>
          </w:p>
        </w:tc>
        <w:tc>
          <w:tcPr>
            <w:tcW w:w="1545" w:type="dxa"/>
            <w:vAlign w:val="center"/>
          </w:tcPr>
          <w:p w14:paraId="30F4A8A1">
            <w:pPr>
              <w:pStyle w:val="24"/>
              <w:snapToGrid/>
              <w:spacing w:before="0" w:beforeAutospacing="0" w:after="0" w:afterAutospacing="0" w:line="420" w:lineRule="atLeast"/>
              <w:jc w:val="center"/>
              <w:rPr>
                <w:sz w:val="21"/>
              </w:rPr>
            </w:pPr>
          </w:p>
        </w:tc>
        <w:tc>
          <w:tcPr>
            <w:tcW w:w="1420" w:type="dxa"/>
            <w:vAlign w:val="center"/>
          </w:tcPr>
          <w:p w14:paraId="5B639EC8">
            <w:pPr>
              <w:pStyle w:val="24"/>
              <w:snapToGrid/>
              <w:spacing w:before="0" w:beforeAutospacing="0" w:after="0" w:afterAutospacing="0" w:line="420" w:lineRule="atLeast"/>
              <w:jc w:val="center"/>
              <w:rPr>
                <w:sz w:val="21"/>
              </w:rPr>
            </w:pPr>
          </w:p>
        </w:tc>
        <w:tc>
          <w:tcPr>
            <w:tcW w:w="1420" w:type="dxa"/>
            <w:vAlign w:val="center"/>
          </w:tcPr>
          <w:p w14:paraId="04CD5DE7">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0DF6DDC8">
            <w:pPr>
              <w:pStyle w:val="24"/>
              <w:snapToGrid/>
              <w:spacing w:before="0" w:beforeAutospacing="0" w:after="0" w:afterAutospacing="0" w:line="420" w:lineRule="atLeast"/>
              <w:jc w:val="center"/>
              <w:rPr>
                <w:sz w:val="21"/>
              </w:rPr>
            </w:pPr>
          </w:p>
        </w:tc>
        <w:tc>
          <w:tcPr>
            <w:tcW w:w="1421" w:type="dxa"/>
            <w:vAlign w:val="center"/>
          </w:tcPr>
          <w:p w14:paraId="0E55BA38">
            <w:pPr>
              <w:pStyle w:val="24"/>
              <w:snapToGrid/>
              <w:spacing w:before="0" w:beforeAutospacing="0" w:after="0" w:afterAutospacing="0" w:line="420" w:lineRule="atLeast"/>
              <w:jc w:val="center"/>
              <w:rPr>
                <w:sz w:val="21"/>
              </w:rPr>
            </w:pPr>
          </w:p>
        </w:tc>
      </w:tr>
      <w:tr w14:paraId="0B609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6BE188A8">
            <w:pPr>
              <w:pStyle w:val="24"/>
              <w:snapToGrid/>
              <w:spacing w:before="0" w:beforeAutospacing="0" w:after="0" w:afterAutospacing="0" w:line="420" w:lineRule="atLeast"/>
              <w:jc w:val="center"/>
              <w:rPr>
                <w:sz w:val="21"/>
              </w:rPr>
            </w:pPr>
          </w:p>
        </w:tc>
        <w:tc>
          <w:tcPr>
            <w:tcW w:w="1545" w:type="dxa"/>
            <w:vAlign w:val="center"/>
          </w:tcPr>
          <w:p w14:paraId="76C739E8">
            <w:pPr>
              <w:pStyle w:val="24"/>
              <w:snapToGrid/>
              <w:spacing w:before="0" w:beforeAutospacing="0" w:after="0" w:afterAutospacing="0" w:line="420" w:lineRule="atLeast"/>
              <w:jc w:val="center"/>
              <w:rPr>
                <w:sz w:val="21"/>
              </w:rPr>
            </w:pPr>
          </w:p>
        </w:tc>
        <w:tc>
          <w:tcPr>
            <w:tcW w:w="1420" w:type="dxa"/>
            <w:vAlign w:val="center"/>
          </w:tcPr>
          <w:p w14:paraId="0F4E2713">
            <w:pPr>
              <w:pStyle w:val="24"/>
              <w:snapToGrid/>
              <w:spacing w:before="0" w:beforeAutospacing="0" w:after="0" w:afterAutospacing="0" w:line="420" w:lineRule="atLeast"/>
              <w:jc w:val="center"/>
              <w:rPr>
                <w:sz w:val="21"/>
              </w:rPr>
            </w:pPr>
          </w:p>
        </w:tc>
        <w:tc>
          <w:tcPr>
            <w:tcW w:w="1420" w:type="dxa"/>
            <w:vAlign w:val="center"/>
          </w:tcPr>
          <w:p w14:paraId="27A22DF9">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2E9D4D9C">
            <w:pPr>
              <w:pStyle w:val="24"/>
              <w:snapToGrid/>
              <w:spacing w:before="0" w:beforeAutospacing="0" w:after="0" w:afterAutospacing="0" w:line="420" w:lineRule="atLeast"/>
              <w:jc w:val="center"/>
              <w:rPr>
                <w:sz w:val="21"/>
              </w:rPr>
            </w:pPr>
          </w:p>
        </w:tc>
        <w:tc>
          <w:tcPr>
            <w:tcW w:w="1421" w:type="dxa"/>
            <w:vAlign w:val="center"/>
          </w:tcPr>
          <w:p w14:paraId="14E9D8E7">
            <w:pPr>
              <w:pStyle w:val="24"/>
              <w:snapToGrid/>
              <w:spacing w:before="0" w:beforeAutospacing="0" w:after="0" w:afterAutospacing="0" w:line="420" w:lineRule="atLeast"/>
              <w:jc w:val="center"/>
              <w:rPr>
                <w:sz w:val="21"/>
              </w:rPr>
            </w:pPr>
          </w:p>
        </w:tc>
      </w:tr>
      <w:tr w14:paraId="2F91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0F809B38">
            <w:pPr>
              <w:pStyle w:val="24"/>
              <w:snapToGrid/>
              <w:spacing w:before="0" w:beforeAutospacing="0" w:after="0" w:afterAutospacing="0" w:line="420" w:lineRule="atLeast"/>
              <w:jc w:val="center"/>
              <w:rPr>
                <w:sz w:val="21"/>
              </w:rPr>
            </w:pPr>
          </w:p>
        </w:tc>
        <w:tc>
          <w:tcPr>
            <w:tcW w:w="1545" w:type="dxa"/>
            <w:vAlign w:val="center"/>
          </w:tcPr>
          <w:p w14:paraId="759AA51D">
            <w:pPr>
              <w:pStyle w:val="24"/>
              <w:snapToGrid/>
              <w:spacing w:before="0" w:beforeAutospacing="0" w:after="0" w:afterAutospacing="0" w:line="420" w:lineRule="atLeast"/>
              <w:jc w:val="center"/>
              <w:rPr>
                <w:sz w:val="21"/>
              </w:rPr>
            </w:pPr>
          </w:p>
        </w:tc>
        <w:tc>
          <w:tcPr>
            <w:tcW w:w="1420" w:type="dxa"/>
            <w:vAlign w:val="center"/>
          </w:tcPr>
          <w:p w14:paraId="370224C3">
            <w:pPr>
              <w:pStyle w:val="24"/>
              <w:snapToGrid/>
              <w:spacing w:before="0" w:beforeAutospacing="0" w:after="0" w:afterAutospacing="0" w:line="420" w:lineRule="atLeast"/>
              <w:jc w:val="center"/>
              <w:rPr>
                <w:sz w:val="21"/>
              </w:rPr>
            </w:pPr>
          </w:p>
        </w:tc>
        <w:tc>
          <w:tcPr>
            <w:tcW w:w="1420" w:type="dxa"/>
            <w:vAlign w:val="center"/>
          </w:tcPr>
          <w:p w14:paraId="36BB7722">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3090764E">
            <w:pPr>
              <w:pStyle w:val="24"/>
              <w:snapToGrid/>
              <w:spacing w:before="0" w:beforeAutospacing="0" w:after="0" w:afterAutospacing="0" w:line="420" w:lineRule="atLeast"/>
              <w:jc w:val="center"/>
              <w:rPr>
                <w:sz w:val="21"/>
              </w:rPr>
            </w:pPr>
          </w:p>
        </w:tc>
        <w:tc>
          <w:tcPr>
            <w:tcW w:w="1421" w:type="dxa"/>
            <w:vAlign w:val="center"/>
          </w:tcPr>
          <w:p w14:paraId="5D81891E">
            <w:pPr>
              <w:pStyle w:val="24"/>
              <w:snapToGrid/>
              <w:spacing w:before="0" w:beforeAutospacing="0" w:after="0" w:afterAutospacing="0" w:line="420" w:lineRule="atLeast"/>
              <w:jc w:val="center"/>
              <w:rPr>
                <w:sz w:val="21"/>
              </w:rPr>
            </w:pPr>
          </w:p>
        </w:tc>
      </w:tr>
      <w:tr w14:paraId="2FE9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0CFEB334">
            <w:pPr>
              <w:pStyle w:val="24"/>
              <w:snapToGrid/>
              <w:spacing w:before="0" w:beforeAutospacing="0" w:after="0" w:afterAutospacing="0" w:line="420" w:lineRule="atLeast"/>
              <w:jc w:val="center"/>
              <w:rPr>
                <w:sz w:val="21"/>
              </w:rPr>
            </w:pPr>
          </w:p>
        </w:tc>
        <w:tc>
          <w:tcPr>
            <w:tcW w:w="1545" w:type="dxa"/>
            <w:vAlign w:val="center"/>
          </w:tcPr>
          <w:p w14:paraId="6DAD1B08">
            <w:pPr>
              <w:pStyle w:val="24"/>
              <w:snapToGrid/>
              <w:spacing w:before="0" w:beforeAutospacing="0" w:after="0" w:afterAutospacing="0" w:line="420" w:lineRule="atLeast"/>
              <w:jc w:val="center"/>
              <w:rPr>
                <w:sz w:val="21"/>
              </w:rPr>
            </w:pPr>
          </w:p>
        </w:tc>
        <w:tc>
          <w:tcPr>
            <w:tcW w:w="1420" w:type="dxa"/>
            <w:vAlign w:val="center"/>
          </w:tcPr>
          <w:p w14:paraId="47EDCA1A">
            <w:pPr>
              <w:pStyle w:val="24"/>
              <w:snapToGrid/>
              <w:spacing w:before="0" w:beforeAutospacing="0" w:after="0" w:afterAutospacing="0" w:line="420" w:lineRule="atLeast"/>
              <w:jc w:val="center"/>
              <w:rPr>
                <w:sz w:val="21"/>
              </w:rPr>
            </w:pPr>
          </w:p>
        </w:tc>
        <w:tc>
          <w:tcPr>
            <w:tcW w:w="1420" w:type="dxa"/>
            <w:vAlign w:val="center"/>
          </w:tcPr>
          <w:p w14:paraId="60ED211B">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3EFFAF9D">
            <w:pPr>
              <w:pStyle w:val="24"/>
              <w:snapToGrid/>
              <w:spacing w:before="0" w:beforeAutospacing="0" w:after="0" w:afterAutospacing="0" w:line="420" w:lineRule="atLeast"/>
              <w:jc w:val="center"/>
              <w:rPr>
                <w:sz w:val="21"/>
              </w:rPr>
            </w:pPr>
          </w:p>
        </w:tc>
        <w:tc>
          <w:tcPr>
            <w:tcW w:w="1421" w:type="dxa"/>
            <w:vAlign w:val="center"/>
          </w:tcPr>
          <w:p w14:paraId="316731E3">
            <w:pPr>
              <w:pStyle w:val="24"/>
              <w:snapToGrid/>
              <w:spacing w:before="0" w:beforeAutospacing="0" w:after="0" w:afterAutospacing="0" w:line="420" w:lineRule="atLeast"/>
              <w:jc w:val="center"/>
              <w:rPr>
                <w:sz w:val="21"/>
              </w:rPr>
            </w:pPr>
          </w:p>
        </w:tc>
      </w:tr>
      <w:tr w14:paraId="1D1F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03B55317">
            <w:pPr>
              <w:pStyle w:val="24"/>
              <w:snapToGrid/>
              <w:spacing w:before="0" w:beforeAutospacing="0" w:after="0" w:afterAutospacing="0" w:line="420" w:lineRule="atLeast"/>
              <w:jc w:val="center"/>
              <w:rPr>
                <w:sz w:val="21"/>
              </w:rPr>
            </w:pPr>
          </w:p>
        </w:tc>
        <w:tc>
          <w:tcPr>
            <w:tcW w:w="1545" w:type="dxa"/>
            <w:vAlign w:val="center"/>
          </w:tcPr>
          <w:p w14:paraId="0A5B681D">
            <w:pPr>
              <w:pStyle w:val="24"/>
              <w:snapToGrid/>
              <w:spacing w:before="0" w:beforeAutospacing="0" w:after="0" w:afterAutospacing="0" w:line="420" w:lineRule="atLeast"/>
              <w:jc w:val="center"/>
              <w:rPr>
                <w:sz w:val="21"/>
              </w:rPr>
            </w:pPr>
          </w:p>
        </w:tc>
        <w:tc>
          <w:tcPr>
            <w:tcW w:w="1420" w:type="dxa"/>
            <w:vAlign w:val="center"/>
          </w:tcPr>
          <w:p w14:paraId="5DD7EA79">
            <w:pPr>
              <w:pStyle w:val="24"/>
              <w:snapToGrid/>
              <w:spacing w:before="0" w:beforeAutospacing="0" w:after="0" w:afterAutospacing="0" w:line="420" w:lineRule="atLeast"/>
              <w:jc w:val="center"/>
              <w:rPr>
                <w:sz w:val="21"/>
              </w:rPr>
            </w:pPr>
          </w:p>
        </w:tc>
        <w:tc>
          <w:tcPr>
            <w:tcW w:w="1420" w:type="dxa"/>
            <w:vAlign w:val="center"/>
          </w:tcPr>
          <w:p w14:paraId="293ABD2A">
            <w:pPr>
              <w:widowControl/>
              <w:snapToGrid/>
              <w:spacing w:line="420" w:lineRule="atLeast"/>
              <w:jc w:val="center"/>
            </w:pPr>
            <w:r>
              <w:rPr>
                <w:rFonts w:hint="eastAsia"/>
              </w:rPr>
              <w:t>电源模块控制芯片</w:t>
            </w:r>
          </w:p>
        </w:tc>
        <w:tc>
          <w:tcPr>
            <w:tcW w:w="1421" w:type="dxa"/>
            <w:vAlign w:val="center"/>
          </w:tcPr>
          <w:p w14:paraId="7FB60381">
            <w:pPr>
              <w:pStyle w:val="24"/>
              <w:snapToGrid/>
              <w:spacing w:before="0" w:beforeAutospacing="0" w:after="0" w:afterAutospacing="0" w:line="420" w:lineRule="atLeast"/>
              <w:jc w:val="center"/>
              <w:rPr>
                <w:sz w:val="21"/>
              </w:rPr>
            </w:pPr>
          </w:p>
        </w:tc>
        <w:tc>
          <w:tcPr>
            <w:tcW w:w="1421" w:type="dxa"/>
            <w:vAlign w:val="center"/>
          </w:tcPr>
          <w:p w14:paraId="631ACE21">
            <w:pPr>
              <w:pStyle w:val="24"/>
              <w:snapToGrid/>
              <w:spacing w:before="0" w:beforeAutospacing="0" w:after="0" w:afterAutospacing="0" w:line="420" w:lineRule="atLeast"/>
              <w:jc w:val="center"/>
              <w:rPr>
                <w:sz w:val="21"/>
              </w:rPr>
            </w:pPr>
          </w:p>
        </w:tc>
      </w:tr>
      <w:tr w14:paraId="0932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79689399">
            <w:pPr>
              <w:pStyle w:val="24"/>
              <w:snapToGrid/>
              <w:spacing w:before="0" w:beforeAutospacing="0" w:after="0" w:afterAutospacing="0" w:line="420" w:lineRule="atLeast"/>
              <w:jc w:val="center"/>
              <w:rPr>
                <w:sz w:val="21"/>
              </w:rPr>
            </w:pPr>
          </w:p>
        </w:tc>
        <w:tc>
          <w:tcPr>
            <w:tcW w:w="1545" w:type="dxa"/>
            <w:vAlign w:val="center"/>
          </w:tcPr>
          <w:p w14:paraId="25353ED8">
            <w:pPr>
              <w:pStyle w:val="24"/>
              <w:snapToGrid/>
              <w:spacing w:before="0" w:beforeAutospacing="0" w:after="0" w:afterAutospacing="0" w:line="420" w:lineRule="atLeast"/>
              <w:jc w:val="center"/>
              <w:rPr>
                <w:sz w:val="21"/>
              </w:rPr>
            </w:pPr>
          </w:p>
        </w:tc>
        <w:tc>
          <w:tcPr>
            <w:tcW w:w="1420" w:type="dxa"/>
            <w:vAlign w:val="center"/>
          </w:tcPr>
          <w:p w14:paraId="4B87112C">
            <w:pPr>
              <w:pStyle w:val="24"/>
              <w:snapToGrid/>
              <w:spacing w:before="0" w:beforeAutospacing="0" w:after="0" w:afterAutospacing="0" w:line="420" w:lineRule="atLeast"/>
              <w:jc w:val="center"/>
              <w:rPr>
                <w:sz w:val="21"/>
              </w:rPr>
            </w:pPr>
          </w:p>
        </w:tc>
        <w:tc>
          <w:tcPr>
            <w:tcW w:w="1420" w:type="dxa"/>
            <w:vAlign w:val="center"/>
          </w:tcPr>
          <w:p w14:paraId="6C5E2158">
            <w:pPr>
              <w:widowControl/>
              <w:snapToGrid/>
              <w:spacing w:line="420" w:lineRule="atLeast"/>
              <w:jc w:val="center"/>
              <w:rPr>
                <w:rFonts w:hint="eastAsia"/>
              </w:rPr>
            </w:pPr>
            <w:r>
              <w:rPr>
                <w:rFonts w:hint="eastAsia"/>
              </w:rPr>
              <w:t>加密芯片</w:t>
            </w:r>
          </w:p>
        </w:tc>
        <w:tc>
          <w:tcPr>
            <w:tcW w:w="1421" w:type="dxa"/>
            <w:vAlign w:val="center"/>
          </w:tcPr>
          <w:p w14:paraId="5560EC1F">
            <w:pPr>
              <w:pStyle w:val="24"/>
              <w:snapToGrid/>
              <w:spacing w:before="0" w:beforeAutospacing="0" w:after="0" w:afterAutospacing="0" w:line="420" w:lineRule="atLeast"/>
              <w:jc w:val="center"/>
              <w:rPr>
                <w:sz w:val="21"/>
              </w:rPr>
            </w:pPr>
          </w:p>
        </w:tc>
        <w:tc>
          <w:tcPr>
            <w:tcW w:w="1421" w:type="dxa"/>
            <w:vAlign w:val="center"/>
          </w:tcPr>
          <w:p w14:paraId="2BC06BA5">
            <w:pPr>
              <w:pStyle w:val="24"/>
              <w:snapToGrid/>
              <w:spacing w:before="0" w:beforeAutospacing="0" w:after="0" w:afterAutospacing="0" w:line="420" w:lineRule="atLeast"/>
              <w:jc w:val="center"/>
              <w:rPr>
                <w:sz w:val="21"/>
              </w:rPr>
            </w:pPr>
          </w:p>
        </w:tc>
      </w:tr>
      <w:tr w14:paraId="7002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05E1750B">
            <w:pPr>
              <w:pStyle w:val="24"/>
              <w:snapToGrid/>
              <w:spacing w:before="0" w:beforeAutospacing="0" w:after="0" w:afterAutospacing="0" w:line="420" w:lineRule="atLeast"/>
              <w:jc w:val="center"/>
              <w:rPr>
                <w:sz w:val="21"/>
              </w:rPr>
            </w:pPr>
          </w:p>
        </w:tc>
        <w:tc>
          <w:tcPr>
            <w:tcW w:w="1545" w:type="dxa"/>
            <w:vAlign w:val="center"/>
          </w:tcPr>
          <w:p w14:paraId="0787F1F6">
            <w:pPr>
              <w:pStyle w:val="24"/>
              <w:snapToGrid/>
              <w:spacing w:before="0" w:beforeAutospacing="0" w:after="0" w:afterAutospacing="0" w:line="420" w:lineRule="atLeast"/>
              <w:jc w:val="center"/>
              <w:rPr>
                <w:sz w:val="21"/>
              </w:rPr>
            </w:pPr>
          </w:p>
        </w:tc>
        <w:tc>
          <w:tcPr>
            <w:tcW w:w="1420" w:type="dxa"/>
            <w:vAlign w:val="center"/>
          </w:tcPr>
          <w:p w14:paraId="1046A3E8">
            <w:pPr>
              <w:pStyle w:val="24"/>
              <w:snapToGrid/>
              <w:spacing w:before="0" w:beforeAutospacing="0" w:after="0" w:afterAutospacing="0" w:line="420" w:lineRule="atLeast"/>
              <w:jc w:val="center"/>
              <w:rPr>
                <w:sz w:val="21"/>
              </w:rPr>
            </w:pPr>
          </w:p>
        </w:tc>
        <w:tc>
          <w:tcPr>
            <w:tcW w:w="1420" w:type="dxa"/>
            <w:vAlign w:val="center"/>
          </w:tcPr>
          <w:p w14:paraId="5B60EE0E">
            <w:pPr>
              <w:widowControl/>
              <w:snapToGrid/>
              <w:spacing w:line="420" w:lineRule="atLeast"/>
              <w:jc w:val="center"/>
              <w:rPr>
                <w:rFonts w:hint="eastAsia"/>
              </w:rPr>
            </w:pPr>
            <w:r>
              <w:rPr>
                <w:rFonts w:hint="eastAsia"/>
              </w:rPr>
              <w:t>FPGA</w:t>
            </w:r>
          </w:p>
        </w:tc>
        <w:tc>
          <w:tcPr>
            <w:tcW w:w="1421" w:type="dxa"/>
            <w:vAlign w:val="center"/>
          </w:tcPr>
          <w:p w14:paraId="7230EDE7">
            <w:pPr>
              <w:pStyle w:val="24"/>
              <w:snapToGrid/>
              <w:spacing w:before="0" w:beforeAutospacing="0" w:after="0" w:afterAutospacing="0" w:line="420" w:lineRule="atLeast"/>
              <w:jc w:val="center"/>
              <w:rPr>
                <w:sz w:val="21"/>
              </w:rPr>
            </w:pPr>
          </w:p>
        </w:tc>
        <w:tc>
          <w:tcPr>
            <w:tcW w:w="1421" w:type="dxa"/>
            <w:vAlign w:val="center"/>
          </w:tcPr>
          <w:p w14:paraId="6453FF68">
            <w:pPr>
              <w:pStyle w:val="24"/>
              <w:snapToGrid/>
              <w:spacing w:before="0" w:beforeAutospacing="0" w:after="0" w:afterAutospacing="0" w:line="420" w:lineRule="atLeast"/>
              <w:jc w:val="center"/>
              <w:rPr>
                <w:sz w:val="21"/>
              </w:rPr>
            </w:pPr>
          </w:p>
        </w:tc>
      </w:tr>
    </w:tbl>
    <w:p w14:paraId="1982A921">
      <w:pPr>
        <w:pStyle w:val="24"/>
        <w:spacing w:before="900" w:beforeAutospacing="0" w:after="0" w:afterAutospacing="0" w:line="420" w:lineRule="atLeast"/>
        <w:jc w:val="both"/>
        <w:rPr>
          <w:rFonts w:cs="宋体"/>
          <w:sz w:val="28"/>
          <w:szCs w:val="28"/>
        </w:rPr>
      </w:pPr>
    </w:p>
    <w:p w14:paraId="792ED5A6">
      <w:pPr>
        <w:pStyle w:val="24"/>
        <w:spacing w:before="900" w:beforeAutospacing="0" w:after="0" w:afterAutospacing="0" w:line="420" w:lineRule="atLeast"/>
        <w:jc w:val="both"/>
        <w:rPr>
          <w:rFonts w:cs="宋体"/>
          <w:sz w:val="28"/>
          <w:szCs w:val="28"/>
        </w:rPr>
      </w:pPr>
    </w:p>
    <w:p w14:paraId="2C3ADAE0">
      <w:pPr>
        <w:pStyle w:val="24"/>
        <w:spacing w:before="900" w:beforeAutospacing="0" w:after="0" w:afterAutospacing="0" w:line="420" w:lineRule="atLeast"/>
        <w:jc w:val="both"/>
        <w:rPr>
          <w:rFonts w:cs="宋体"/>
          <w:sz w:val="28"/>
          <w:szCs w:val="28"/>
        </w:rPr>
      </w:pPr>
    </w:p>
    <w:p w14:paraId="7930BEE3">
      <w:pPr>
        <w:pStyle w:val="24"/>
        <w:spacing w:before="900" w:beforeAutospacing="0" w:after="0" w:afterAutospacing="0" w:line="420" w:lineRule="atLeast"/>
        <w:jc w:val="both"/>
        <w:rPr>
          <w:rFonts w:cs="宋体"/>
          <w:sz w:val="28"/>
          <w:szCs w:val="28"/>
        </w:rPr>
      </w:pPr>
    </w:p>
    <w:p w14:paraId="3F0EF51E">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16</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37F7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3D1F4882">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3982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41BCB498">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51D5DCFE">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6DCD4470">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64645DB0">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2711B737">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24C4A63A">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26A32665">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7733FBA5">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4780B09A">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7E5A9C90">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5A3DCB2A">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190F8069">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6D9880E9">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0E746809">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2D4875BB">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091E0C29">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5F605150">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2087461B">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159C7727">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6F684CD3">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2C198375">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2120EE34">
            <w:pPr>
              <w:pStyle w:val="24"/>
              <w:snapToGrid/>
              <w:spacing w:before="0" w:beforeAutospacing="0" w:after="0" w:afterAutospacing="0" w:line="420" w:lineRule="atLeast"/>
              <w:jc w:val="center"/>
              <w:rPr>
                <w:sz w:val="21"/>
              </w:rPr>
            </w:pPr>
            <w:r>
              <w:rPr>
                <w:rFonts w:hint="eastAsia"/>
                <w:sz w:val="21"/>
              </w:rPr>
              <w:t>境内/境外</w:t>
            </w:r>
          </w:p>
        </w:tc>
      </w:tr>
      <w:tr w14:paraId="580AC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1A29F6B7">
            <w:pPr>
              <w:pStyle w:val="24"/>
              <w:snapToGrid/>
              <w:spacing w:before="0" w:beforeAutospacing="0" w:after="0" w:afterAutospacing="0" w:line="420" w:lineRule="atLeast"/>
              <w:jc w:val="center"/>
              <w:rPr>
                <w:sz w:val="21"/>
              </w:rPr>
            </w:pPr>
          </w:p>
        </w:tc>
        <w:tc>
          <w:tcPr>
            <w:tcW w:w="366" w:type="dxa"/>
            <w:vAlign w:val="center"/>
          </w:tcPr>
          <w:p w14:paraId="4E690D1B">
            <w:pPr>
              <w:pStyle w:val="24"/>
              <w:snapToGrid/>
              <w:spacing w:before="0" w:beforeAutospacing="0" w:after="0" w:afterAutospacing="0" w:line="420" w:lineRule="atLeast"/>
              <w:jc w:val="center"/>
              <w:rPr>
                <w:sz w:val="21"/>
              </w:rPr>
            </w:pPr>
          </w:p>
        </w:tc>
        <w:tc>
          <w:tcPr>
            <w:tcW w:w="366" w:type="dxa"/>
            <w:vAlign w:val="center"/>
          </w:tcPr>
          <w:p w14:paraId="4A89D2CE">
            <w:pPr>
              <w:pStyle w:val="24"/>
              <w:snapToGrid/>
              <w:spacing w:before="0" w:beforeAutospacing="0" w:after="0" w:afterAutospacing="0" w:line="420" w:lineRule="atLeast"/>
              <w:jc w:val="center"/>
              <w:rPr>
                <w:sz w:val="21"/>
              </w:rPr>
            </w:pPr>
          </w:p>
        </w:tc>
        <w:tc>
          <w:tcPr>
            <w:tcW w:w="366" w:type="dxa"/>
            <w:vAlign w:val="center"/>
          </w:tcPr>
          <w:p w14:paraId="3A93F536">
            <w:pPr>
              <w:pStyle w:val="24"/>
              <w:snapToGrid/>
              <w:spacing w:before="0" w:beforeAutospacing="0" w:after="0" w:afterAutospacing="0" w:line="420" w:lineRule="atLeast"/>
              <w:jc w:val="center"/>
              <w:rPr>
                <w:sz w:val="21"/>
              </w:rPr>
            </w:pPr>
          </w:p>
        </w:tc>
        <w:tc>
          <w:tcPr>
            <w:tcW w:w="366" w:type="dxa"/>
            <w:vAlign w:val="center"/>
          </w:tcPr>
          <w:p w14:paraId="7E95A60A">
            <w:pPr>
              <w:pStyle w:val="24"/>
              <w:snapToGrid/>
              <w:spacing w:before="0" w:beforeAutospacing="0" w:after="0" w:afterAutospacing="0" w:line="420" w:lineRule="atLeast"/>
              <w:jc w:val="center"/>
              <w:rPr>
                <w:sz w:val="21"/>
              </w:rPr>
            </w:pPr>
          </w:p>
        </w:tc>
        <w:tc>
          <w:tcPr>
            <w:tcW w:w="516" w:type="dxa"/>
            <w:vAlign w:val="center"/>
          </w:tcPr>
          <w:p w14:paraId="12A73040">
            <w:pPr>
              <w:pStyle w:val="24"/>
              <w:snapToGrid/>
              <w:spacing w:before="0" w:beforeAutospacing="0" w:after="0" w:afterAutospacing="0" w:line="420" w:lineRule="atLeast"/>
              <w:jc w:val="center"/>
              <w:rPr>
                <w:sz w:val="21"/>
              </w:rPr>
            </w:pPr>
          </w:p>
        </w:tc>
        <w:tc>
          <w:tcPr>
            <w:tcW w:w="366" w:type="dxa"/>
            <w:vAlign w:val="center"/>
          </w:tcPr>
          <w:p w14:paraId="058A9F10">
            <w:pPr>
              <w:pStyle w:val="24"/>
              <w:snapToGrid/>
              <w:spacing w:before="0" w:beforeAutospacing="0" w:after="0" w:afterAutospacing="0" w:line="420" w:lineRule="atLeast"/>
              <w:jc w:val="center"/>
              <w:rPr>
                <w:sz w:val="21"/>
              </w:rPr>
            </w:pPr>
          </w:p>
        </w:tc>
        <w:tc>
          <w:tcPr>
            <w:tcW w:w="366" w:type="dxa"/>
            <w:vAlign w:val="center"/>
          </w:tcPr>
          <w:p w14:paraId="2DFDC801">
            <w:pPr>
              <w:pStyle w:val="24"/>
              <w:snapToGrid/>
              <w:spacing w:before="0" w:beforeAutospacing="0" w:after="0" w:afterAutospacing="0" w:line="420" w:lineRule="atLeast"/>
              <w:jc w:val="center"/>
              <w:rPr>
                <w:sz w:val="21"/>
              </w:rPr>
            </w:pPr>
          </w:p>
        </w:tc>
        <w:tc>
          <w:tcPr>
            <w:tcW w:w="516" w:type="dxa"/>
            <w:vAlign w:val="center"/>
          </w:tcPr>
          <w:p w14:paraId="5FE82BF5">
            <w:pPr>
              <w:pStyle w:val="24"/>
              <w:snapToGrid/>
              <w:spacing w:before="0" w:beforeAutospacing="0" w:after="0" w:afterAutospacing="0" w:line="420" w:lineRule="atLeast"/>
              <w:jc w:val="center"/>
              <w:rPr>
                <w:sz w:val="21"/>
              </w:rPr>
            </w:pPr>
          </w:p>
        </w:tc>
        <w:tc>
          <w:tcPr>
            <w:tcW w:w="366" w:type="dxa"/>
            <w:vAlign w:val="center"/>
          </w:tcPr>
          <w:p w14:paraId="7BC653B9">
            <w:pPr>
              <w:pStyle w:val="24"/>
              <w:snapToGrid/>
              <w:spacing w:before="0" w:beforeAutospacing="0" w:after="0" w:afterAutospacing="0" w:line="420" w:lineRule="atLeast"/>
              <w:jc w:val="center"/>
              <w:rPr>
                <w:sz w:val="21"/>
              </w:rPr>
            </w:pPr>
          </w:p>
        </w:tc>
        <w:tc>
          <w:tcPr>
            <w:tcW w:w="516" w:type="dxa"/>
            <w:vAlign w:val="center"/>
          </w:tcPr>
          <w:p w14:paraId="46F9E4B0">
            <w:pPr>
              <w:pStyle w:val="24"/>
              <w:snapToGrid/>
              <w:spacing w:before="0" w:beforeAutospacing="0" w:after="0" w:afterAutospacing="0" w:line="420" w:lineRule="atLeast"/>
              <w:jc w:val="center"/>
              <w:rPr>
                <w:sz w:val="21"/>
              </w:rPr>
            </w:pPr>
          </w:p>
        </w:tc>
        <w:tc>
          <w:tcPr>
            <w:tcW w:w="366" w:type="dxa"/>
            <w:vAlign w:val="center"/>
          </w:tcPr>
          <w:p w14:paraId="73738E64">
            <w:pPr>
              <w:pStyle w:val="24"/>
              <w:snapToGrid/>
              <w:spacing w:before="0" w:beforeAutospacing="0" w:after="0" w:afterAutospacing="0" w:line="420" w:lineRule="atLeast"/>
              <w:jc w:val="center"/>
              <w:rPr>
                <w:sz w:val="21"/>
              </w:rPr>
            </w:pPr>
          </w:p>
        </w:tc>
        <w:tc>
          <w:tcPr>
            <w:tcW w:w="666" w:type="dxa"/>
            <w:vAlign w:val="center"/>
          </w:tcPr>
          <w:p w14:paraId="706EF84E">
            <w:pPr>
              <w:pStyle w:val="24"/>
              <w:snapToGrid/>
              <w:spacing w:before="0" w:beforeAutospacing="0" w:after="0" w:afterAutospacing="0" w:line="420" w:lineRule="atLeast"/>
              <w:jc w:val="center"/>
              <w:rPr>
                <w:sz w:val="21"/>
              </w:rPr>
            </w:pPr>
          </w:p>
        </w:tc>
        <w:tc>
          <w:tcPr>
            <w:tcW w:w="516" w:type="dxa"/>
            <w:vAlign w:val="center"/>
          </w:tcPr>
          <w:p w14:paraId="12DD976C">
            <w:pPr>
              <w:pStyle w:val="24"/>
              <w:snapToGrid/>
              <w:spacing w:before="0" w:beforeAutospacing="0" w:after="0" w:afterAutospacing="0" w:line="420" w:lineRule="atLeast"/>
              <w:jc w:val="center"/>
              <w:rPr>
                <w:sz w:val="21"/>
              </w:rPr>
            </w:pPr>
          </w:p>
        </w:tc>
        <w:tc>
          <w:tcPr>
            <w:tcW w:w="366" w:type="dxa"/>
            <w:vAlign w:val="center"/>
          </w:tcPr>
          <w:p w14:paraId="6F5B0939">
            <w:pPr>
              <w:pStyle w:val="24"/>
              <w:snapToGrid/>
              <w:spacing w:before="0" w:beforeAutospacing="0" w:after="0" w:afterAutospacing="0" w:line="420" w:lineRule="atLeast"/>
              <w:jc w:val="center"/>
              <w:rPr>
                <w:sz w:val="21"/>
              </w:rPr>
            </w:pPr>
          </w:p>
        </w:tc>
        <w:tc>
          <w:tcPr>
            <w:tcW w:w="366" w:type="dxa"/>
            <w:vAlign w:val="center"/>
          </w:tcPr>
          <w:p w14:paraId="4B30D979">
            <w:pPr>
              <w:pStyle w:val="24"/>
              <w:snapToGrid/>
              <w:spacing w:before="0" w:beforeAutospacing="0" w:after="0" w:afterAutospacing="0" w:line="420" w:lineRule="atLeast"/>
              <w:jc w:val="center"/>
              <w:rPr>
                <w:sz w:val="21"/>
              </w:rPr>
            </w:pPr>
          </w:p>
        </w:tc>
        <w:tc>
          <w:tcPr>
            <w:tcW w:w="516" w:type="dxa"/>
            <w:vAlign w:val="center"/>
          </w:tcPr>
          <w:p w14:paraId="12BBFF0D">
            <w:pPr>
              <w:pStyle w:val="24"/>
              <w:snapToGrid/>
              <w:spacing w:before="0" w:beforeAutospacing="0" w:after="0" w:afterAutospacing="0" w:line="420" w:lineRule="atLeast"/>
              <w:jc w:val="center"/>
              <w:rPr>
                <w:sz w:val="21"/>
              </w:rPr>
            </w:pPr>
          </w:p>
        </w:tc>
        <w:tc>
          <w:tcPr>
            <w:tcW w:w="366" w:type="dxa"/>
            <w:vAlign w:val="center"/>
          </w:tcPr>
          <w:p w14:paraId="3DED0A27">
            <w:pPr>
              <w:pStyle w:val="24"/>
              <w:snapToGrid/>
              <w:spacing w:before="0" w:beforeAutospacing="0" w:after="0" w:afterAutospacing="0" w:line="420" w:lineRule="atLeast"/>
              <w:jc w:val="center"/>
              <w:rPr>
                <w:sz w:val="21"/>
              </w:rPr>
            </w:pPr>
          </w:p>
        </w:tc>
        <w:tc>
          <w:tcPr>
            <w:tcW w:w="221" w:type="dxa"/>
            <w:vAlign w:val="center"/>
          </w:tcPr>
          <w:p w14:paraId="570B0BC6">
            <w:pPr>
              <w:pStyle w:val="24"/>
              <w:snapToGrid/>
              <w:spacing w:before="0" w:beforeAutospacing="0" w:after="0" w:afterAutospacing="0" w:line="420" w:lineRule="atLeast"/>
              <w:jc w:val="center"/>
              <w:rPr>
                <w:sz w:val="21"/>
              </w:rPr>
            </w:pPr>
          </w:p>
        </w:tc>
        <w:tc>
          <w:tcPr>
            <w:tcW w:w="221" w:type="dxa"/>
            <w:vAlign w:val="center"/>
          </w:tcPr>
          <w:p w14:paraId="2953F059">
            <w:pPr>
              <w:pStyle w:val="24"/>
              <w:snapToGrid/>
              <w:spacing w:before="0" w:beforeAutospacing="0" w:after="0" w:afterAutospacing="0" w:line="420" w:lineRule="atLeast"/>
              <w:jc w:val="center"/>
              <w:rPr>
                <w:sz w:val="21"/>
              </w:rPr>
            </w:pPr>
          </w:p>
        </w:tc>
        <w:tc>
          <w:tcPr>
            <w:tcW w:w="221" w:type="dxa"/>
            <w:vAlign w:val="center"/>
          </w:tcPr>
          <w:p w14:paraId="67936C59">
            <w:pPr>
              <w:pStyle w:val="24"/>
              <w:snapToGrid/>
              <w:spacing w:before="0" w:beforeAutospacing="0" w:after="0" w:afterAutospacing="0" w:line="420" w:lineRule="atLeast"/>
              <w:jc w:val="center"/>
              <w:rPr>
                <w:sz w:val="21"/>
              </w:rPr>
            </w:pPr>
          </w:p>
        </w:tc>
        <w:tc>
          <w:tcPr>
            <w:tcW w:w="221" w:type="dxa"/>
            <w:vAlign w:val="center"/>
          </w:tcPr>
          <w:p w14:paraId="445F7105">
            <w:pPr>
              <w:pStyle w:val="24"/>
              <w:snapToGrid/>
              <w:spacing w:before="0" w:beforeAutospacing="0" w:after="0" w:afterAutospacing="0" w:line="420" w:lineRule="atLeast"/>
              <w:jc w:val="center"/>
              <w:rPr>
                <w:sz w:val="21"/>
              </w:rPr>
            </w:pPr>
          </w:p>
        </w:tc>
      </w:tr>
      <w:tr w14:paraId="63D4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258A30A0">
            <w:pPr>
              <w:pStyle w:val="24"/>
              <w:snapToGrid/>
              <w:spacing w:before="0" w:beforeAutospacing="0" w:after="0" w:afterAutospacing="0" w:line="420" w:lineRule="atLeast"/>
              <w:jc w:val="center"/>
              <w:rPr>
                <w:sz w:val="21"/>
              </w:rPr>
            </w:pPr>
          </w:p>
        </w:tc>
        <w:tc>
          <w:tcPr>
            <w:tcW w:w="366" w:type="dxa"/>
            <w:vAlign w:val="center"/>
          </w:tcPr>
          <w:p w14:paraId="3BC47926">
            <w:pPr>
              <w:pStyle w:val="24"/>
              <w:snapToGrid/>
              <w:spacing w:before="0" w:beforeAutospacing="0" w:after="0" w:afterAutospacing="0" w:line="420" w:lineRule="atLeast"/>
              <w:jc w:val="center"/>
              <w:rPr>
                <w:sz w:val="21"/>
              </w:rPr>
            </w:pPr>
          </w:p>
        </w:tc>
        <w:tc>
          <w:tcPr>
            <w:tcW w:w="366" w:type="dxa"/>
            <w:vAlign w:val="center"/>
          </w:tcPr>
          <w:p w14:paraId="2AB350B9">
            <w:pPr>
              <w:pStyle w:val="24"/>
              <w:snapToGrid/>
              <w:spacing w:before="0" w:beforeAutospacing="0" w:after="0" w:afterAutospacing="0" w:line="420" w:lineRule="atLeast"/>
              <w:jc w:val="center"/>
              <w:rPr>
                <w:sz w:val="21"/>
              </w:rPr>
            </w:pPr>
          </w:p>
        </w:tc>
        <w:tc>
          <w:tcPr>
            <w:tcW w:w="366" w:type="dxa"/>
            <w:vAlign w:val="center"/>
          </w:tcPr>
          <w:p w14:paraId="2EEE44A4">
            <w:pPr>
              <w:pStyle w:val="24"/>
              <w:snapToGrid/>
              <w:spacing w:before="0" w:beforeAutospacing="0" w:after="0" w:afterAutospacing="0" w:line="420" w:lineRule="atLeast"/>
              <w:jc w:val="center"/>
              <w:rPr>
                <w:sz w:val="21"/>
              </w:rPr>
            </w:pPr>
          </w:p>
        </w:tc>
        <w:tc>
          <w:tcPr>
            <w:tcW w:w="366" w:type="dxa"/>
            <w:vAlign w:val="center"/>
          </w:tcPr>
          <w:p w14:paraId="374F7438">
            <w:pPr>
              <w:pStyle w:val="24"/>
              <w:snapToGrid/>
              <w:spacing w:before="0" w:beforeAutospacing="0" w:after="0" w:afterAutospacing="0" w:line="420" w:lineRule="atLeast"/>
              <w:jc w:val="center"/>
              <w:rPr>
                <w:sz w:val="21"/>
              </w:rPr>
            </w:pPr>
          </w:p>
        </w:tc>
        <w:tc>
          <w:tcPr>
            <w:tcW w:w="516" w:type="dxa"/>
            <w:vAlign w:val="center"/>
          </w:tcPr>
          <w:p w14:paraId="621E692C">
            <w:pPr>
              <w:pStyle w:val="24"/>
              <w:snapToGrid/>
              <w:spacing w:before="0" w:beforeAutospacing="0" w:after="0" w:afterAutospacing="0" w:line="420" w:lineRule="atLeast"/>
              <w:jc w:val="center"/>
              <w:rPr>
                <w:sz w:val="21"/>
              </w:rPr>
            </w:pPr>
          </w:p>
        </w:tc>
        <w:tc>
          <w:tcPr>
            <w:tcW w:w="366" w:type="dxa"/>
            <w:vAlign w:val="center"/>
          </w:tcPr>
          <w:p w14:paraId="5C64897E">
            <w:pPr>
              <w:pStyle w:val="24"/>
              <w:snapToGrid/>
              <w:spacing w:before="0" w:beforeAutospacing="0" w:after="0" w:afterAutospacing="0" w:line="420" w:lineRule="atLeast"/>
              <w:jc w:val="center"/>
              <w:rPr>
                <w:sz w:val="21"/>
              </w:rPr>
            </w:pPr>
          </w:p>
        </w:tc>
        <w:tc>
          <w:tcPr>
            <w:tcW w:w="366" w:type="dxa"/>
            <w:vAlign w:val="center"/>
          </w:tcPr>
          <w:p w14:paraId="4C73CD7A">
            <w:pPr>
              <w:pStyle w:val="24"/>
              <w:snapToGrid/>
              <w:spacing w:before="0" w:beforeAutospacing="0" w:after="0" w:afterAutospacing="0" w:line="420" w:lineRule="atLeast"/>
              <w:jc w:val="center"/>
              <w:rPr>
                <w:sz w:val="21"/>
              </w:rPr>
            </w:pPr>
          </w:p>
        </w:tc>
        <w:tc>
          <w:tcPr>
            <w:tcW w:w="516" w:type="dxa"/>
            <w:vAlign w:val="center"/>
          </w:tcPr>
          <w:p w14:paraId="5E9BDF80">
            <w:pPr>
              <w:pStyle w:val="24"/>
              <w:snapToGrid/>
              <w:spacing w:before="0" w:beforeAutospacing="0" w:after="0" w:afterAutospacing="0" w:line="420" w:lineRule="atLeast"/>
              <w:jc w:val="center"/>
              <w:rPr>
                <w:sz w:val="21"/>
              </w:rPr>
            </w:pPr>
          </w:p>
        </w:tc>
        <w:tc>
          <w:tcPr>
            <w:tcW w:w="366" w:type="dxa"/>
            <w:vAlign w:val="center"/>
          </w:tcPr>
          <w:p w14:paraId="4675816A">
            <w:pPr>
              <w:pStyle w:val="24"/>
              <w:snapToGrid/>
              <w:spacing w:before="0" w:beforeAutospacing="0" w:after="0" w:afterAutospacing="0" w:line="420" w:lineRule="atLeast"/>
              <w:jc w:val="center"/>
              <w:rPr>
                <w:sz w:val="21"/>
              </w:rPr>
            </w:pPr>
          </w:p>
        </w:tc>
        <w:tc>
          <w:tcPr>
            <w:tcW w:w="516" w:type="dxa"/>
            <w:vAlign w:val="center"/>
          </w:tcPr>
          <w:p w14:paraId="145113FD">
            <w:pPr>
              <w:pStyle w:val="24"/>
              <w:snapToGrid/>
              <w:spacing w:before="0" w:beforeAutospacing="0" w:after="0" w:afterAutospacing="0" w:line="420" w:lineRule="atLeast"/>
              <w:jc w:val="center"/>
              <w:rPr>
                <w:sz w:val="21"/>
              </w:rPr>
            </w:pPr>
          </w:p>
        </w:tc>
        <w:tc>
          <w:tcPr>
            <w:tcW w:w="366" w:type="dxa"/>
            <w:vAlign w:val="center"/>
          </w:tcPr>
          <w:p w14:paraId="60FAD8AE">
            <w:pPr>
              <w:pStyle w:val="24"/>
              <w:snapToGrid/>
              <w:spacing w:before="0" w:beforeAutospacing="0" w:after="0" w:afterAutospacing="0" w:line="420" w:lineRule="atLeast"/>
              <w:jc w:val="center"/>
              <w:rPr>
                <w:sz w:val="21"/>
              </w:rPr>
            </w:pPr>
          </w:p>
        </w:tc>
        <w:tc>
          <w:tcPr>
            <w:tcW w:w="666" w:type="dxa"/>
            <w:vAlign w:val="center"/>
          </w:tcPr>
          <w:p w14:paraId="5FBAE000">
            <w:pPr>
              <w:pStyle w:val="24"/>
              <w:snapToGrid/>
              <w:spacing w:before="0" w:beforeAutospacing="0" w:after="0" w:afterAutospacing="0" w:line="420" w:lineRule="atLeast"/>
              <w:jc w:val="center"/>
              <w:rPr>
                <w:sz w:val="21"/>
              </w:rPr>
            </w:pPr>
          </w:p>
        </w:tc>
        <w:tc>
          <w:tcPr>
            <w:tcW w:w="516" w:type="dxa"/>
            <w:vAlign w:val="center"/>
          </w:tcPr>
          <w:p w14:paraId="29C6805D">
            <w:pPr>
              <w:pStyle w:val="24"/>
              <w:snapToGrid/>
              <w:spacing w:before="0" w:beforeAutospacing="0" w:after="0" w:afterAutospacing="0" w:line="420" w:lineRule="atLeast"/>
              <w:jc w:val="center"/>
              <w:rPr>
                <w:sz w:val="21"/>
              </w:rPr>
            </w:pPr>
          </w:p>
        </w:tc>
        <w:tc>
          <w:tcPr>
            <w:tcW w:w="366" w:type="dxa"/>
            <w:vAlign w:val="center"/>
          </w:tcPr>
          <w:p w14:paraId="36ACDDFC">
            <w:pPr>
              <w:pStyle w:val="24"/>
              <w:snapToGrid/>
              <w:spacing w:before="0" w:beforeAutospacing="0" w:after="0" w:afterAutospacing="0" w:line="420" w:lineRule="atLeast"/>
              <w:jc w:val="center"/>
              <w:rPr>
                <w:sz w:val="21"/>
              </w:rPr>
            </w:pPr>
          </w:p>
        </w:tc>
        <w:tc>
          <w:tcPr>
            <w:tcW w:w="366" w:type="dxa"/>
            <w:vAlign w:val="center"/>
          </w:tcPr>
          <w:p w14:paraId="69A75055">
            <w:pPr>
              <w:pStyle w:val="24"/>
              <w:snapToGrid/>
              <w:spacing w:before="0" w:beforeAutospacing="0" w:after="0" w:afterAutospacing="0" w:line="420" w:lineRule="atLeast"/>
              <w:jc w:val="center"/>
              <w:rPr>
                <w:sz w:val="21"/>
              </w:rPr>
            </w:pPr>
          </w:p>
        </w:tc>
        <w:tc>
          <w:tcPr>
            <w:tcW w:w="516" w:type="dxa"/>
            <w:vAlign w:val="center"/>
          </w:tcPr>
          <w:p w14:paraId="1CE9C958">
            <w:pPr>
              <w:pStyle w:val="24"/>
              <w:snapToGrid/>
              <w:spacing w:before="0" w:beforeAutospacing="0" w:after="0" w:afterAutospacing="0" w:line="420" w:lineRule="atLeast"/>
              <w:jc w:val="center"/>
              <w:rPr>
                <w:sz w:val="21"/>
              </w:rPr>
            </w:pPr>
          </w:p>
        </w:tc>
        <w:tc>
          <w:tcPr>
            <w:tcW w:w="366" w:type="dxa"/>
            <w:vAlign w:val="center"/>
          </w:tcPr>
          <w:p w14:paraId="795E28F3">
            <w:pPr>
              <w:pStyle w:val="24"/>
              <w:snapToGrid/>
              <w:spacing w:before="0" w:beforeAutospacing="0" w:after="0" w:afterAutospacing="0" w:line="420" w:lineRule="atLeast"/>
              <w:jc w:val="center"/>
              <w:rPr>
                <w:sz w:val="21"/>
              </w:rPr>
            </w:pPr>
          </w:p>
        </w:tc>
        <w:tc>
          <w:tcPr>
            <w:tcW w:w="221" w:type="dxa"/>
            <w:vAlign w:val="center"/>
          </w:tcPr>
          <w:p w14:paraId="2B23464E">
            <w:pPr>
              <w:pStyle w:val="24"/>
              <w:snapToGrid/>
              <w:spacing w:before="0" w:beforeAutospacing="0" w:after="0" w:afterAutospacing="0" w:line="420" w:lineRule="atLeast"/>
              <w:jc w:val="center"/>
              <w:rPr>
                <w:sz w:val="21"/>
              </w:rPr>
            </w:pPr>
          </w:p>
        </w:tc>
        <w:tc>
          <w:tcPr>
            <w:tcW w:w="221" w:type="dxa"/>
            <w:vAlign w:val="center"/>
          </w:tcPr>
          <w:p w14:paraId="0DC5E200">
            <w:pPr>
              <w:pStyle w:val="24"/>
              <w:snapToGrid/>
              <w:spacing w:before="0" w:beforeAutospacing="0" w:after="0" w:afterAutospacing="0" w:line="420" w:lineRule="atLeast"/>
              <w:jc w:val="center"/>
              <w:rPr>
                <w:sz w:val="21"/>
              </w:rPr>
            </w:pPr>
          </w:p>
        </w:tc>
        <w:tc>
          <w:tcPr>
            <w:tcW w:w="221" w:type="dxa"/>
            <w:vAlign w:val="center"/>
          </w:tcPr>
          <w:p w14:paraId="48CD5503">
            <w:pPr>
              <w:pStyle w:val="24"/>
              <w:snapToGrid/>
              <w:spacing w:before="0" w:beforeAutospacing="0" w:after="0" w:afterAutospacing="0" w:line="420" w:lineRule="atLeast"/>
              <w:jc w:val="center"/>
              <w:rPr>
                <w:sz w:val="21"/>
              </w:rPr>
            </w:pPr>
          </w:p>
        </w:tc>
        <w:tc>
          <w:tcPr>
            <w:tcW w:w="221" w:type="dxa"/>
            <w:vAlign w:val="center"/>
          </w:tcPr>
          <w:p w14:paraId="3CF6170B">
            <w:pPr>
              <w:pStyle w:val="24"/>
              <w:snapToGrid/>
              <w:spacing w:before="0" w:beforeAutospacing="0" w:after="0" w:afterAutospacing="0" w:line="420" w:lineRule="atLeast"/>
              <w:jc w:val="center"/>
              <w:rPr>
                <w:sz w:val="21"/>
              </w:rPr>
            </w:pPr>
          </w:p>
        </w:tc>
      </w:tr>
    </w:tbl>
    <w:p w14:paraId="4804AB4A">
      <w:pPr>
        <w:pStyle w:val="24"/>
        <w:snapToGrid/>
        <w:spacing w:before="0" w:beforeAutospacing="0" w:after="0" w:afterAutospacing="0" w:line="420" w:lineRule="atLeast"/>
        <w:jc w:val="both"/>
        <w:rPr>
          <w:sz w:val="21"/>
        </w:rPr>
      </w:pPr>
    </w:p>
    <w:p w14:paraId="33675501">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0B4ED4C1"/>
    <w:p w14:paraId="19E85329"/>
    <w:p w14:paraId="233D90F5"/>
    <w:p w14:paraId="349F52EE"/>
    <w:p w14:paraId="59E6B56F"/>
    <w:p w14:paraId="65A411D0">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17</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5C92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07726045">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1A7C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03FCC0F8">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6C4461E6">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69CBFCF0">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3550C24A">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7EF07D62">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0A4F3356">
            <w:pPr>
              <w:pStyle w:val="24"/>
              <w:snapToGrid/>
              <w:spacing w:before="0" w:beforeAutospacing="0" w:after="0" w:afterAutospacing="0" w:line="420" w:lineRule="atLeast"/>
              <w:jc w:val="center"/>
              <w:rPr>
                <w:sz w:val="21"/>
              </w:rPr>
            </w:pPr>
            <w:r>
              <w:rPr>
                <w:rFonts w:hint="eastAsia"/>
                <w:sz w:val="21"/>
              </w:rPr>
              <w:t>单设备非国产芯片数量（颗）</w:t>
            </w:r>
          </w:p>
        </w:tc>
      </w:tr>
      <w:tr w14:paraId="7D52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3975866C">
            <w:pPr>
              <w:pStyle w:val="24"/>
              <w:snapToGrid/>
              <w:spacing w:before="0" w:beforeAutospacing="0" w:after="0" w:afterAutospacing="0" w:line="420" w:lineRule="atLeast"/>
              <w:jc w:val="center"/>
              <w:rPr>
                <w:rFonts w:hint="default" w:eastAsia="宋体"/>
                <w:sz w:val="21"/>
                <w:u w:val="single"/>
                <w:lang w:val="en-US" w:eastAsia="zh-CN"/>
              </w:rPr>
            </w:pPr>
            <w:r>
              <w:rPr>
                <w:rFonts w:hint="eastAsia"/>
                <w:sz w:val="21"/>
                <w:u w:val="single"/>
                <w:lang w:val="en-US" w:eastAsia="zh-CN"/>
              </w:rPr>
              <w:t>WAF</w:t>
            </w:r>
          </w:p>
        </w:tc>
        <w:tc>
          <w:tcPr>
            <w:tcW w:w="1545" w:type="dxa"/>
            <w:vAlign w:val="center"/>
          </w:tcPr>
          <w:p w14:paraId="6F798EE0">
            <w:pPr>
              <w:pStyle w:val="24"/>
              <w:snapToGrid/>
              <w:spacing w:before="0" w:beforeAutospacing="0" w:after="0" w:afterAutospacing="0" w:line="420" w:lineRule="atLeast"/>
              <w:jc w:val="center"/>
              <w:rPr>
                <w:sz w:val="21"/>
              </w:rPr>
            </w:pPr>
          </w:p>
        </w:tc>
        <w:tc>
          <w:tcPr>
            <w:tcW w:w="1420" w:type="dxa"/>
            <w:vAlign w:val="center"/>
          </w:tcPr>
          <w:p w14:paraId="4D183B94">
            <w:pPr>
              <w:pStyle w:val="24"/>
              <w:snapToGrid/>
              <w:spacing w:before="0" w:beforeAutospacing="0" w:after="0" w:afterAutospacing="0" w:line="420" w:lineRule="atLeast"/>
              <w:jc w:val="center"/>
              <w:rPr>
                <w:sz w:val="21"/>
              </w:rPr>
            </w:pPr>
          </w:p>
        </w:tc>
        <w:tc>
          <w:tcPr>
            <w:tcW w:w="1420" w:type="dxa"/>
            <w:vAlign w:val="center"/>
          </w:tcPr>
          <w:p w14:paraId="43BB7D3C">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601DD92D">
            <w:pPr>
              <w:pStyle w:val="24"/>
              <w:snapToGrid/>
              <w:spacing w:before="0" w:beforeAutospacing="0" w:after="0" w:afterAutospacing="0" w:line="420" w:lineRule="atLeast"/>
              <w:jc w:val="center"/>
              <w:rPr>
                <w:sz w:val="21"/>
              </w:rPr>
            </w:pPr>
          </w:p>
        </w:tc>
        <w:tc>
          <w:tcPr>
            <w:tcW w:w="1421" w:type="dxa"/>
            <w:vAlign w:val="center"/>
          </w:tcPr>
          <w:p w14:paraId="102B6B42">
            <w:pPr>
              <w:pStyle w:val="24"/>
              <w:snapToGrid/>
              <w:spacing w:before="0" w:beforeAutospacing="0" w:after="0" w:afterAutospacing="0" w:line="420" w:lineRule="atLeast"/>
              <w:jc w:val="center"/>
              <w:rPr>
                <w:sz w:val="21"/>
              </w:rPr>
            </w:pPr>
          </w:p>
        </w:tc>
      </w:tr>
      <w:tr w14:paraId="1091F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619C82DA">
            <w:pPr>
              <w:pStyle w:val="24"/>
              <w:snapToGrid/>
              <w:spacing w:before="0" w:beforeAutospacing="0" w:after="0" w:afterAutospacing="0" w:line="420" w:lineRule="atLeast"/>
              <w:jc w:val="center"/>
              <w:rPr>
                <w:sz w:val="21"/>
              </w:rPr>
            </w:pPr>
          </w:p>
        </w:tc>
        <w:tc>
          <w:tcPr>
            <w:tcW w:w="1545" w:type="dxa"/>
            <w:vAlign w:val="center"/>
          </w:tcPr>
          <w:p w14:paraId="7AB088B3">
            <w:pPr>
              <w:pStyle w:val="24"/>
              <w:snapToGrid/>
              <w:spacing w:before="0" w:beforeAutospacing="0" w:after="0" w:afterAutospacing="0" w:line="420" w:lineRule="atLeast"/>
              <w:jc w:val="center"/>
              <w:rPr>
                <w:sz w:val="21"/>
              </w:rPr>
            </w:pPr>
          </w:p>
        </w:tc>
        <w:tc>
          <w:tcPr>
            <w:tcW w:w="1420" w:type="dxa"/>
            <w:vAlign w:val="center"/>
          </w:tcPr>
          <w:p w14:paraId="034EEC22">
            <w:pPr>
              <w:pStyle w:val="24"/>
              <w:snapToGrid/>
              <w:spacing w:before="0" w:beforeAutospacing="0" w:after="0" w:afterAutospacing="0" w:line="420" w:lineRule="atLeast"/>
              <w:jc w:val="center"/>
              <w:rPr>
                <w:sz w:val="21"/>
              </w:rPr>
            </w:pPr>
          </w:p>
        </w:tc>
        <w:tc>
          <w:tcPr>
            <w:tcW w:w="1420" w:type="dxa"/>
            <w:vAlign w:val="center"/>
          </w:tcPr>
          <w:p w14:paraId="7CED80E3">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4BED92F3">
            <w:pPr>
              <w:pStyle w:val="24"/>
              <w:snapToGrid/>
              <w:spacing w:before="0" w:beforeAutospacing="0" w:after="0" w:afterAutospacing="0" w:line="420" w:lineRule="atLeast"/>
              <w:jc w:val="center"/>
              <w:rPr>
                <w:sz w:val="21"/>
              </w:rPr>
            </w:pPr>
          </w:p>
        </w:tc>
        <w:tc>
          <w:tcPr>
            <w:tcW w:w="1421" w:type="dxa"/>
            <w:vAlign w:val="center"/>
          </w:tcPr>
          <w:p w14:paraId="70A4C46A">
            <w:pPr>
              <w:pStyle w:val="24"/>
              <w:snapToGrid/>
              <w:spacing w:before="0" w:beforeAutospacing="0" w:after="0" w:afterAutospacing="0" w:line="420" w:lineRule="atLeast"/>
              <w:jc w:val="center"/>
              <w:rPr>
                <w:sz w:val="21"/>
              </w:rPr>
            </w:pPr>
          </w:p>
        </w:tc>
      </w:tr>
      <w:tr w14:paraId="445A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23271C35">
            <w:pPr>
              <w:pStyle w:val="24"/>
              <w:snapToGrid/>
              <w:spacing w:before="0" w:beforeAutospacing="0" w:after="0" w:afterAutospacing="0" w:line="420" w:lineRule="atLeast"/>
              <w:jc w:val="center"/>
              <w:rPr>
                <w:sz w:val="21"/>
              </w:rPr>
            </w:pPr>
          </w:p>
        </w:tc>
        <w:tc>
          <w:tcPr>
            <w:tcW w:w="1545" w:type="dxa"/>
            <w:vAlign w:val="center"/>
          </w:tcPr>
          <w:p w14:paraId="336FE3FD">
            <w:pPr>
              <w:pStyle w:val="24"/>
              <w:snapToGrid/>
              <w:spacing w:before="0" w:beforeAutospacing="0" w:after="0" w:afterAutospacing="0" w:line="420" w:lineRule="atLeast"/>
              <w:jc w:val="center"/>
              <w:rPr>
                <w:sz w:val="21"/>
              </w:rPr>
            </w:pPr>
          </w:p>
        </w:tc>
        <w:tc>
          <w:tcPr>
            <w:tcW w:w="1420" w:type="dxa"/>
            <w:vAlign w:val="center"/>
          </w:tcPr>
          <w:p w14:paraId="556BDD23">
            <w:pPr>
              <w:pStyle w:val="24"/>
              <w:snapToGrid/>
              <w:spacing w:before="0" w:beforeAutospacing="0" w:after="0" w:afterAutospacing="0" w:line="420" w:lineRule="atLeast"/>
              <w:jc w:val="center"/>
              <w:rPr>
                <w:sz w:val="21"/>
              </w:rPr>
            </w:pPr>
          </w:p>
        </w:tc>
        <w:tc>
          <w:tcPr>
            <w:tcW w:w="1420" w:type="dxa"/>
            <w:vAlign w:val="center"/>
          </w:tcPr>
          <w:p w14:paraId="1E4A50DC">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5BD2A352">
            <w:pPr>
              <w:pStyle w:val="24"/>
              <w:snapToGrid/>
              <w:spacing w:before="0" w:beforeAutospacing="0" w:after="0" w:afterAutospacing="0" w:line="420" w:lineRule="atLeast"/>
              <w:jc w:val="center"/>
              <w:rPr>
                <w:sz w:val="21"/>
              </w:rPr>
            </w:pPr>
          </w:p>
        </w:tc>
        <w:tc>
          <w:tcPr>
            <w:tcW w:w="1421" w:type="dxa"/>
            <w:vAlign w:val="center"/>
          </w:tcPr>
          <w:p w14:paraId="01973D75">
            <w:pPr>
              <w:pStyle w:val="24"/>
              <w:snapToGrid/>
              <w:spacing w:before="0" w:beforeAutospacing="0" w:after="0" w:afterAutospacing="0" w:line="420" w:lineRule="atLeast"/>
              <w:jc w:val="center"/>
              <w:rPr>
                <w:sz w:val="21"/>
              </w:rPr>
            </w:pPr>
          </w:p>
        </w:tc>
      </w:tr>
      <w:tr w14:paraId="5DB6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48D915A8">
            <w:pPr>
              <w:pStyle w:val="24"/>
              <w:snapToGrid/>
              <w:spacing w:before="0" w:beforeAutospacing="0" w:after="0" w:afterAutospacing="0" w:line="420" w:lineRule="atLeast"/>
              <w:jc w:val="center"/>
              <w:rPr>
                <w:sz w:val="21"/>
              </w:rPr>
            </w:pPr>
          </w:p>
        </w:tc>
        <w:tc>
          <w:tcPr>
            <w:tcW w:w="1545" w:type="dxa"/>
            <w:vAlign w:val="center"/>
          </w:tcPr>
          <w:p w14:paraId="2E3F402D">
            <w:pPr>
              <w:pStyle w:val="24"/>
              <w:snapToGrid/>
              <w:spacing w:before="0" w:beforeAutospacing="0" w:after="0" w:afterAutospacing="0" w:line="420" w:lineRule="atLeast"/>
              <w:jc w:val="center"/>
              <w:rPr>
                <w:sz w:val="21"/>
              </w:rPr>
            </w:pPr>
          </w:p>
        </w:tc>
        <w:tc>
          <w:tcPr>
            <w:tcW w:w="1420" w:type="dxa"/>
            <w:vAlign w:val="center"/>
          </w:tcPr>
          <w:p w14:paraId="17350FDE">
            <w:pPr>
              <w:pStyle w:val="24"/>
              <w:snapToGrid/>
              <w:spacing w:before="0" w:beforeAutospacing="0" w:after="0" w:afterAutospacing="0" w:line="420" w:lineRule="atLeast"/>
              <w:jc w:val="center"/>
              <w:rPr>
                <w:sz w:val="21"/>
              </w:rPr>
            </w:pPr>
          </w:p>
        </w:tc>
        <w:tc>
          <w:tcPr>
            <w:tcW w:w="1420" w:type="dxa"/>
            <w:vAlign w:val="center"/>
          </w:tcPr>
          <w:p w14:paraId="725FAF4E">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1AE21AF4">
            <w:pPr>
              <w:pStyle w:val="24"/>
              <w:snapToGrid/>
              <w:spacing w:before="0" w:beforeAutospacing="0" w:after="0" w:afterAutospacing="0" w:line="420" w:lineRule="atLeast"/>
              <w:jc w:val="center"/>
              <w:rPr>
                <w:sz w:val="21"/>
              </w:rPr>
            </w:pPr>
          </w:p>
        </w:tc>
        <w:tc>
          <w:tcPr>
            <w:tcW w:w="1421" w:type="dxa"/>
            <w:vAlign w:val="center"/>
          </w:tcPr>
          <w:p w14:paraId="31555133">
            <w:pPr>
              <w:pStyle w:val="24"/>
              <w:snapToGrid/>
              <w:spacing w:before="0" w:beforeAutospacing="0" w:after="0" w:afterAutospacing="0" w:line="420" w:lineRule="atLeast"/>
              <w:jc w:val="center"/>
              <w:rPr>
                <w:sz w:val="21"/>
              </w:rPr>
            </w:pPr>
          </w:p>
        </w:tc>
      </w:tr>
      <w:tr w14:paraId="2BAE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4B035E55">
            <w:pPr>
              <w:pStyle w:val="24"/>
              <w:snapToGrid/>
              <w:spacing w:before="0" w:beforeAutospacing="0" w:after="0" w:afterAutospacing="0" w:line="420" w:lineRule="atLeast"/>
              <w:jc w:val="center"/>
              <w:rPr>
                <w:sz w:val="21"/>
              </w:rPr>
            </w:pPr>
          </w:p>
        </w:tc>
        <w:tc>
          <w:tcPr>
            <w:tcW w:w="1545" w:type="dxa"/>
            <w:vAlign w:val="center"/>
          </w:tcPr>
          <w:p w14:paraId="14111D77">
            <w:pPr>
              <w:pStyle w:val="24"/>
              <w:snapToGrid/>
              <w:spacing w:before="0" w:beforeAutospacing="0" w:after="0" w:afterAutospacing="0" w:line="420" w:lineRule="atLeast"/>
              <w:jc w:val="center"/>
              <w:rPr>
                <w:sz w:val="21"/>
              </w:rPr>
            </w:pPr>
          </w:p>
        </w:tc>
        <w:tc>
          <w:tcPr>
            <w:tcW w:w="1420" w:type="dxa"/>
            <w:vAlign w:val="center"/>
          </w:tcPr>
          <w:p w14:paraId="37038BCC">
            <w:pPr>
              <w:pStyle w:val="24"/>
              <w:snapToGrid/>
              <w:spacing w:before="0" w:beforeAutospacing="0" w:after="0" w:afterAutospacing="0" w:line="420" w:lineRule="atLeast"/>
              <w:jc w:val="center"/>
              <w:rPr>
                <w:sz w:val="21"/>
              </w:rPr>
            </w:pPr>
          </w:p>
        </w:tc>
        <w:tc>
          <w:tcPr>
            <w:tcW w:w="1420" w:type="dxa"/>
            <w:vAlign w:val="center"/>
          </w:tcPr>
          <w:p w14:paraId="099CA8F2">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584E27E0">
            <w:pPr>
              <w:pStyle w:val="24"/>
              <w:snapToGrid/>
              <w:spacing w:before="0" w:beforeAutospacing="0" w:after="0" w:afterAutospacing="0" w:line="420" w:lineRule="atLeast"/>
              <w:jc w:val="center"/>
              <w:rPr>
                <w:sz w:val="21"/>
              </w:rPr>
            </w:pPr>
          </w:p>
        </w:tc>
        <w:tc>
          <w:tcPr>
            <w:tcW w:w="1421" w:type="dxa"/>
            <w:vAlign w:val="center"/>
          </w:tcPr>
          <w:p w14:paraId="7304DB43">
            <w:pPr>
              <w:pStyle w:val="24"/>
              <w:snapToGrid/>
              <w:spacing w:before="0" w:beforeAutospacing="0" w:after="0" w:afterAutospacing="0" w:line="420" w:lineRule="atLeast"/>
              <w:jc w:val="center"/>
              <w:rPr>
                <w:sz w:val="21"/>
              </w:rPr>
            </w:pPr>
          </w:p>
        </w:tc>
      </w:tr>
      <w:tr w14:paraId="5996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5035A613">
            <w:pPr>
              <w:pStyle w:val="24"/>
              <w:snapToGrid/>
              <w:spacing w:before="0" w:beforeAutospacing="0" w:after="0" w:afterAutospacing="0" w:line="420" w:lineRule="atLeast"/>
              <w:jc w:val="center"/>
              <w:rPr>
                <w:sz w:val="21"/>
              </w:rPr>
            </w:pPr>
          </w:p>
        </w:tc>
        <w:tc>
          <w:tcPr>
            <w:tcW w:w="1545" w:type="dxa"/>
            <w:vAlign w:val="center"/>
          </w:tcPr>
          <w:p w14:paraId="1C7DD3AB">
            <w:pPr>
              <w:pStyle w:val="24"/>
              <w:snapToGrid/>
              <w:spacing w:before="0" w:beforeAutospacing="0" w:after="0" w:afterAutospacing="0" w:line="420" w:lineRule="atLeast"/>
              <w:jc w:val="center"/>
              <w:rPr>
                <w:sz w:val="21"/>
              </w:rPr>
            </w:pPr>
          </w:p>
        </w:tc>
        <w:tc>
          <w:tcPr>
            <w:tcW w:w="1420" w:type="dxa"/>
            <w:vAlign w:val="center"/>
          </w:tcPr>
          <w:p w14:paraId="4F0ACAD1">
            <w:pPr>
              <w:pStyle w:val="24"/>
              <w:snapToGrid/>
              <w:spacing w:before="0" w:beforeAutospacing="0" w:after="0" w:afterAutospacing="0" w:line="420" w:lineRule="atLeast"/>
              <w:jc w:val="center"/>
              <w:rPr>
                <w:sz w:val="21"/>
              </w:rPr>
            </w:pPr>
          </w:p>
        </w:tc>
        <w:tc>
          <w:tcPr>
            <w:tcW w:w="1420" w:type="dxa"/>
            <w:vAlign w:val="center"/>
          </w:tcPr>
          <w:p w14:paraId="4C32C049">
            <w:pPr>
              <w:widowControl/>
              <w:snapToGrid/>
              <w:spacing w:line="420" w:lineRule="atLeast"/>
              <w:jc w:val="center"/>
            </w:pPr>
            <w:r>
              <w:rPr>
                <w:rFonts w:hint="eastAsia"/>
              </w:rPr>
              <w:t>电源模块控制芯片</w:t>
            </w:r>
          </w:p>
        </w:tc>
        <w:tc>
          <w:tcPr>
            <w:tcW w:w="1421" w:type="dxa"/>
            <w:vAlign w:val="center"/>
          </w:tcPr>
          <w:p w14:paraId="599F445A">
            <w:pPr>
              <w:pStyle w:val="24"/>
              <w:snapToGrid/>
              <w:spacing w:before="0" w:beforeAutospacing="0" w:after="0" w:afterAutospacing="0" w:line="420" w:lineRule="atLeast"/>
              <w:jc w:val="center"/>
              <w:rPr>
                <w:sz w:val="21"/>
              </w:rPr>
            </w:pPr>
          </w:p>
        </w:tc>
        <w:tc>
          <w:tcPr>
            <w:tcW w:w="1421" w:type="dxa"/>
            <w:vAlign w:val="center"/>
          </w:tcPr>
          <w:p w14:paraId="3483E1A5">
            <w:pPr>
              <w:pStyle w:val="24"/>
              <w:snapToGrid/>
              <w:spacing w:before="0" w:beforeAutospacing="0" w:after="0" w:afterAutospacing="0" w:line="420" w:lineRule="atLeast"/>
              <w:jc w:val="center"/>
              <w:rPr>
                <w:sz w:val="21"/>
              </w:rPr>
            </w:pPr>
          </w:p>
        </w:tc>
      </w:tr>
    </w:tbl>
    <w:p w14:paraId="675525DA">
      <w:pPr>
        <w:pStyle w:val="24"/>
        <w:spacing w:before="900" w:beforeAutospacing="0" w:after="0" w:afterAutospacing="0" w:line="420" w:lineRule="atLeast"/>
        <w:jc w:val="both"/>
        <w:rPr>
          <w:rFonts w:cs="宋体"/>
          <w:sz w:val="28"/>
          <w:szCs w:val="28"/>
        </w:rPr>
      </w:pPr>
    </w:p>
    <w:p w14:paraId="550C01CB">
      <w:pPr>
        <w:pStyle w:val="24"/>
        <w:spacing w:before="900" w:beforeAutospacing="0" w:after="0" w:afterAutospacing="0" w:line="420" w:lineRule="atLeast"/>
        <w:jc w:val="both"/>
        <w:rPr>
          <w:rFonts w:cs="宋体"/>
          <w:sz w:val="28"/>
          <w:szCs w:val="28"/>
        </w:rPr>
      </w:pPr>
    </w:p>
    <w:p w14:paraId="5B7EC0BA">
      <w:pPr>
        <w:pStyle w:val="24"/>
        <w:spacing w:before="900" w:beforeAutospacing="0" w:after="0" w:afterAutospacing="0" w:line="420" w:lineRule="atLeast"/>
        <w:jc w:val="both"/>
        <w:rPr>
          <w:rFonts w:cs="宋体"/>
          <w:sz w:val="28"/>
          <w:szCs w:val="28"/>
        </w:rPr>
      </w:pPr>
    </w:p>
    <w:p w14:paraId="3A6DC15D">
      <w:pPr>
        <w:pStyle w:val="24"/>
        <w:spacing w:before="900" w:beforeAutospacing="0" w:after="0" w:afterAutospacing="0" w:line="420" w:lineRule="atLeast"/>
        <w:jc w:val="both"/>
        <w:rPr>
          <w:rFonts w:cs="宋体"/>
          <w:sz w:val="28"/>
          <w:szCs w:val="28"/>
        </w:rPr>
      </w:pPr>
    </w:p>
    <w:p w14:paraId="387E9969">
      <w:pPr>
        <w:pStyle w:val="24"/>
        <w:spacing w:before="900" w:beforeAutospacing="0" w:after="0" w:afterAutospacing="0" w:line="420" w:lineRule="atLeast"/>
        <w:jc w:val="both"/>
        <w:rPr>
          <w:rFonts w:cs="宋体"/>
          <w:sz w:val="28"/>
          <w:szCs w:val="28"/>
        </w:rPr>
      </w:pPr>
    </w:p>
    <w:p w14:paraId="4BE8A64B">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18</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19DE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09B942B2">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13F8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1BDC1740">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74A7503B">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58F02564">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387C8284">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5A64875F">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51330965">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68AB5A9D">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63815625">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7F9FD386">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42B48C12">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45CA16F5">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5BA1C8BB">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263815E3">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5A0E1267">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64460F29">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609AA333">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59FE47DA">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632AD9F8">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571E9FD6">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3482EB05">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7CC1C6AC">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1E265A0E">
            <w:pPr>
              <w:pStyle w:val="24"/>
              <w:snapToGrid/>
              <w:spacing w:before="0" w:beforeAutospacing="0" w:after="0" w:afterAutospacing="0" w:line="420" w:lineRule="atLeast"/>
              <w:jc w:val="center"/>
              <w:rPr>
                <w:sz w:val="21"/>
              </w:rPr>
            </w:pPr>
            <w:r>
              <w:rPr>
                <w:rFonts w:hint="eastAsia"/>
                <w:sz w:val="21"/>
              </w:rPr>
              <w:t>境内/境外</w:t>
            </w:r>
          </w:p>
        </w:tc>
      </w:tr>
      <w:tr w14:paraId="2A72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45366506">
            <w:pPr>
              <w:pStyle w:val="24"/>
              <w:snapToGrid/>
              <w:spacing w:before="0" w:beforeAutospacing="0" w:after="0" w:afterAutospacing="0" w:line="420" w:lineRule="atLeast"/>
              <w:jc w:val="center"/>
              <w:rPr>
                <w:sz w:val="21"/>
              </w:rPr>
            </w:pPr>
          </w:p>
        </w:tc>
        <w:tc>
          <w:tcPr>
            <w:tcW w:w="366" w:type="dxa"/>
            <w:vAlign w:val="center"/>
          </w:tcPr>
          <w:p w14:paraId="437EE6ED">
            <w:pPr>
              <w:pStyle w:val="24"/>
              <w:snapToGrid/>
              <w:spacing w:before="0" w:beforeAutospacing="0" w:after="0" w:afterAutospacing="0" w:line="420" w:lineRule="atLeast"/>
              <w:jc w:val="center"/>
              <w:rPr>
                <w:sz w:val="21"/>
              </w:rPr>
            </w:pPr>
          </w:p>
        </w:tc>
        <w:tc>
          <w:tcPr>
            <w:tcW w:w="366" w:type="dxa"/>
            <w:vAlign w:val="center"/>
          </w:tcPr>
          <w:p w14:paraId="46FB1081">
            <w:pPr>
              <w:pStyle w:val="24"/>
              <w:snapToGrid/>
              <w:spacing w:before="0" w:beforeAutospacing="0" w:after="0" w:afterAutospacing="0" w:line="420" w:lineRule="atLeast"/>
              <w:jc w:val="center"/>
              <w:rPr>
                <w:sz w:val="21"/>
              </w:rPr>
            </w:pPr>
          </w:p>
        </w:tc>
        <w:tc>
          <w:tcPr>
            <w:tcW w:w="366" w:type="dxa"/>
            <w:vAlign w:val="center"/>
          </w:tcPr>
          <w:p w14:paraId="4AF9F11D">
            <w:pPr>
              <w:pStyle w:val="24"/>
              <w:snapToGrid/>
              <w:spacing w:before="0" w:beforeAutospacing="0" w:after="0" w:afterAutospacing="0" w:line="420" w:lineRule="atLeast"/>
              <w:jc w:val="center"/>
              <w:rPr>
                <w:sz w:val="21"/>
              </w:rPr>
            </w:pPr>
          </w:p>
        </w:tc>
        <w:tc>
          <w:tcPr>
            <w:tcW w:w="366" w:type="dxa"/>
            <w:vAlign w:val="center"/>
          </w:tcPr>
          <w:p w14:paraId="569DF6E2">
            <w:pPr>
              <w:pStyle w:val="24"/>
              <w:snapToGrid/>
              <w:spacing w:before="0" w:beforeAutospacing="0" w:after="0" w:afterAutospacing="0" w:line="420" w:lineRule="atLeast"/>
              <w:jc w:val="center"/>
              <w:rPr>
                <w:sz w:val="21"/>
              </w:rPr>
            </w:pPr>
          </w:p>
        </w:tc>
        <w:tc>
          <w:tcPr>
            <w:tcW w:w="516" w:type="dxa"/>
            <w:vAlign w:val="center"/>
          </w:tcPr>
          <w:p w14:paraId="05950295">
            <w:pPr>
              <w:pStyle w:val="24"/>
              <w:snapToGrid/>
              <w:spacing w:before="0" w:beforeAutospacing="0" w:after="0" w:afterAutospacing="0" w:line="420" w:lineRule="atLeast"/>
              <w:jc w:val="center"/>
              <w:rPr>
                <w:sz w:val="21"/>
              </w:rPr>
            </w:pPr>
          </w:p>
        </w:tc>
        <w:tc>
          <w:tcPr>
            <w:tcW w:w="366" w:type="dxa"/>
            <w:vAlign w:val="center"/>
          </w:tcPr>
          <w:p w14:paraId="5F0D355F">
            <w:pPr>
              <w:pStyle w:val="24"/>
              <w:snapToGrid/>
              <w:spacing w:before="0" w:beforeAutospacing="0" w:after="0" w:afterAutospacing="0" w:line="420" w:lineRule="atLeast"/>
              <w:jc w:val="center"/>
              <w:rPr>
                <w:sz w:val="21"/>
              </w:rPr>
            </w:pPr>
          </w:p>
        </w:tc>
        <w:tc>
          <w:tcPr>
            <w:tcW w:w="366" w:type="dxa"/>
            <w:vAlign w:val="center"/>
          </w:tcPr>
          <w:p w14:paraId="61DDD531">
            <w:pPr>
              <w:pStyle w:val="24"/>
              <w:snapToGrid/>
              <w:spacing w:before="0" w:beforeAutospacing="0" w:after="0" w:afterAutospacing="0" w:line="420" w:lineRule="atLeast"/>
              <w:jc w:val="center"/>
              <w:rPr>
                <w:sz w:val="21"/>
              </w:rPr>
            </w:pPr>
          </w:p>
        </w:tc>
        <w:tc>
          <w:tcPr>
            <w:tcW w:w="516" w:type="dxa"/>
            <w:vAlign w:val="center"/>
          </w:tcPr>
          <w:p w14:paraId="719BF2CC">
            <w:pPr>
              <w:pStyle w:val="24"/>
              <w:snapToGrid/>
              <w:spacing w:before="0" w:beforeAutospacing="0" w:after="0" w:afterAutospacing="0" w:line="420" w:lineRule="atLeast"/>
              <w:jc w:val="center"/>
              <w:rPr>
                <w:sz w:val="21"/>
              </w:rPr>
            </w:pPr>
          </w:p>
        </w:tc>
        <w:tc>
          <w:tcPr>
            <w:tcW w:w="366" w:type="dxa"/>
            <w:vAlign w:val="center"/>
          </w:tcPr>
          <w:p w14:paraId="52D97AD4">
            <w:pPr>
              <w:pStyle w:val="24"/>
              <w:snapToGrid/>
              <w:spacing w:before="0" w:beforeAutospacing="0" w:after="0" w:afterAutospacing="0" w:line="420" w:lineRule="atLeast"/>
              <w:jc w:val="center"/>
              <w:rPr>
                <w:sz w:val="21"/>
              </w:rPr>
            </w:pPr>
          </w:p>
        </w:tc>
        <w:tc>
          <w:tcPr>
            <w:tcW w:w="516" w:type="dxa"/>
            <w:vAlign w:val="center"/>
          </w:tcPr>
          <w:p w14:paraId="41D7088E">
            <w:pPr>
              <w:pStyle w:val="24"/>
              <w:snapToGrid/>
              <w:spacing w:before="0" w:beforeAutospacing="0" w:after="0" w:afterAutospacing="0" w:line="420" w:lineRule="atLeast"/>
              <w:jc w:val="center"/>
              <w:rPr>
                <w:sz w:val="21"/>
              </w:rPr>
            </w:pPr>
          </w:p>
        </w:tc>
        <w:tc>
          <w:tcPr>
            <w:tcW w:w="366" w:type="dxa"/>
            <w:vAlign w:val="center"/>
          </w:tcPr>
          <w:p w14:paraId="1841D4A4">
            <w:pPr>
              <w:pStyle w:val="24"/>
              <w:snapToGrid/>
              <w:spacing w:before="0" w:beforeAutospacing="0" w:after="0" w:afterAutospacing="0" w:line="420" w:lineRule="atLeast"/>
              <w:jc w:val="center"/>
              <w:rPr>
                <w:sz w:val="21"/>
              </w:rPr>
            </w:pPr>
          </w:p>
        </w:tc>
        <w:tc>
          <w:tcPr>
            <w:tcW w:w="666" w:type="dxa"/>
            <w:vAlign w:val="center"/>
          </w:tcPr>
          <w:p w14:paraId="2F92333B">
            <w:pPr>
              <w:pStyle w:val="24"/>
              <w:snapToGrid/>
              <w:spacing w:before="0" w:beforeAutospacing="0" w:after="0" w:afterAutospacing="0" w:line="420" w:lineRule="atLeast"/>
              <w:jc w:val="center"/>
              <w:rPr>
                <w:sz w:val="21"/>
              </w:rPr>
            </w:pPr>
          </w:p>
        </w:tc>
        <w:tc>
          <w:tcPr>
            <w:tcW w:w="516" w:type="dxa"/>
            <w:vAlign w:val="center"/>
          </w:tcPr>
          <w:p w14:paraId="1B035E91">
            <w:pPr>
              <w:pStyle w:val="24"/>
              <w:snapToGrid/>
              <w:spacing w:before="0" w:beforeAutospacing="0" w:after="0" w:afterAutospacing="0" w:line="420" w:lineRule="atLeast"/>
              <w:jc w:val="center"/>
              <w:rPr>
                <w:sz w:val="21"/>
              </w:rPr>
            </w:pPr>
          </w:p>
        </w:tc>
        <w:tc>
          <w:tcPr>
            <w:tcW w:w="366" w:type="dxa"/>
            <w:vAlign w:val="center"/>
          </w:tcPr>
          <w:p w14:paraId="12BD4AFF">
            <w:pPr>
              <w:pStyle w:val="24"/>
              <w:snapToGrid/>
              <w:spacing w:before="0" w:beforeAutospacing="0" w:after="0" w:afterAutospacing="0" w:line="420" w:lineRule="atLeast"/>
              <w:jc w:val="center"/>
              <w:rPr>
                <w:sz w:val="21"/>
              </w:rPr>
            </w:pPr>
          </w:p>
        </w:tc>
        <w:tc>
          <w:tcPr>
            <w:tcW w:w="366" w:type="dxa"/>
            <w:vAlign w:val="center"/>
          </w:tcPr>
          <w:p w14:paraId="3219333B">
            <w:pPr>
              <w:pStyle w:val="24"/>
              <w:snapToGrid/>
              <w:spacing w:before="0" w:beforeAutospacing="0" w:after="0" w:afterAutospacing="0" w:line="420" w:lineRule="atLeast"/>
              <w:jc w:val="center"/>
              <w:rPr>
                <w:sz w:val="21"/>
              </w:rPr>
            </w:pPr>
          </w:p>
        </w:tc>
        <w:tc>
          <w:tcPr>
            <w:tcW w:w="516" w:type="dxa"/>
            <w:vAlign w:val="center"/>
          </w:tcPr>
          <w:p w14:paraId="0FB41FF2">
            <w:pPr>
              <w:pStyle w:val="24"/>
              <w:snapToGrid/>
              <w:spacing w:before="0" w:beforeAutospacing="0" w:after="0" w:afterAutospacing="0" w:line="420" w:lineRule="atLeast"/>
              <w:jc w:val="center"/>
              <w:rPr>
                <w:sz w:val="21"/>
              </w:rPr>
            </w:pPr>
          </w:p>
        </w:tc>
        <w:tc>
          <w:tcPr>
            <w:tcW w:w="366" w:type="dxa"/>
            <w:vAlign w:val="center"/>
          </w:tcPr>
          <w:p w14:paraId="344BD75F">
            <w:pPr>
              <w:pStyle w:val="24"/>
              <w:snapToGrid/>
              <w:spacing w:before="0" w:beforeAutospacing="0" w:after="0" w:afterAutospacing="0" w:line="420" w:lineRule="atLeast"/>
              <w:jc w:val="center"/>
              <w:rPr>
                <w:sz w:val="21"/>
              </w:rPr>
            </w:pPr>
          </w:p>
        </w:tc>
        <w:tc>
          <w:tcPr>
            <w:tcW w:w="221" w:type="dxa"/>
            <w:vAlign w:val="center"/>
          </w:tcPr>
          <w:p w14:paraId="62D1BED7">
            <w:pPr>
              <w:pStyle w:val="24"/>
              <w:snapToGrid/>
              <w:spacing w:before="0" w:beforeAutospacing="0" w:after="0" w:afterAutospacing="0" w:line="420" w:lineRule="atLeast"/>
              <w:jc w:val="center"/>
              <w:rPr>
                <w:sz w:val="21"/>
              </w:rPr>
            </w:pPr>
          </w:p>
        </w:tc>
        <w:tc>
          <w:tcPr>
            <w:tcW w:w="221" w:type="dxa"/>
            <w:vAlign w:val="center"/>
          </w:tcPr>
          <w:p w14:paraId="3F25B73D">
            <w:pPr>
              <w:pStyle w:val="24"/>
              <w:snapToGrid/>
              <w:spacing w:before="0" w:beforeAutospacing="0" w:after="0" w:afterAutospacing="0" w:line="420" w:lineRule="atLeast"/>
              <w:jc w:val="center"/>
              <w:rPr>
                <w:sz w:val="21"/>
              </w:rPr>
            </w:pPr>
          </w:p>
        </w:tc>
        <w:tc>
          <w:tcPr>
            <w:tcW w:w="221" w:type="dxa"/>
            <w:vAlign w:val="center"/>
          </w:tcPr>
          <w:p w14:paraId="0EEAC1C4">
            <w:pPr>
              <w:pStyle w:val="24"/>
              <w:snapToGrid/>
              <w:spacing w:before="0" w:beforeAutospacing="0" w:after="0" w:afterAutospacing="0" w:line="420" w:lineRule="atLeast"/>
              <w:jc w:val="center"/>
              <w:rPr>
                <w:sz w:val="21"/>
              </w:rPr>
            </w:pPr>
          </w:p>
        </w:tc>
        <w:tc>
          <w:tcPr>
            <w:tcW w:w="221" w:type="dxa"/>
            <w:vAlign w:val="center"/>
          </w:tcPr>
          <w:p w14:paraId="4994B3C7">
            <w:pPr>
              <w:pStyle w:val="24"/>
              <w:snapToGrid/>
              <w:spacing w:before="0" w:beforeAutospacing="0" w:after="0" w:afterAutospacing="0" w:line="420" w:lineRule="atLeast"/>
              <w:jc w:val="center"/>
              <w:rPr>
                <w:sz w:val="21"/>
              </w:rPr>
            </w:pPr>
          </w:p>
        </w:tc>
      </w:tr>
      <w:tr w14:paraId="555B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5620F76C">
            <w:pPr>
              <w:pStyle w:val="24"/>
              <w:snapToGrid/>
              <w:spacing w:before="0" w:beforeAutospacing="0" w:after="0" w:afterAutospacing="0" w:line="420" w:lineRule="atLeast"/>
              <w:jc w:val="center"/>
              <w:rPr>
                <w:sz w:val="21"/>
              </w:rPr>
            </w:pPr>
          </w:p>
        </w:tc>
        <w:tc>
          <w:tcPr>
            <w:tcW w:w="366" w:type="dxa"/>
            <w:vAlign w:val="center"/>
          </w:tcPr>
          <w:p w14:paraId="1450134B">
            <w:pPr>
              <w:pStyle w:val="24"/>
              <w:snapToGrid/>
              <w:spacing w:before="0" w:beforeAutospacing="0" w:after="0" w:afterAutospacing="0" w:line="420" w:lineRule="atLeast"/>
              <w:jc w:val="center"/>
              <w:rPr>
                <w:sz w:val="21"/>
              </w:rPr>
            </w:pPr>
          </w:p>
        </w:tc>
        <w:tc>
          <w:tcPr>
            <w:tcW w:w="366" w:type="dxa"/>
            <w:vAlign w:val="center"/>
          </w:tcPr>
          <w:p w14:paraId="10D342E9">
            <w:pPr>
              <w:pStyle w:val="24"/>
              <w:snapToGrid/>
              <w:spacing w:before="0" w:beforeAutospacing="0" w:after="0" w:afterAutospacing="0" w:line="420" w:lineRule="atLeast"/>
              <w:jc w:val="center"/>
              <w:rPr>
                <w:sz w:val="21"/>
              </w:rPr>
            </w:pPr>
          </w:p>
        </w:tc>
        <w:tc>
          <w:tcPr>
            <w:tcW w:w="366" w:type="dxa"/>
            <w:vAlign w:val="center"/>
          </w:tcPr>
          <w:p w14:paraId="3611874F">
            <w:pPr>
              <w:pStyle w:val="24"/>
              <w:snapToGrid/>
              <w:spacing w:before="0" w:beforeAutospacing="0" w:after="0" w:afterAutospacing="0" w:line="420" w:lineRule="atLeast"/>
              <w:jc w:val="center"/>
              <w:rPr>
                <w:sz w:val="21"/>
              </w:rPr>
            </w:pPr>
          </w:p>
        </w:tc>
        <w:tc>
          <w:tcPr>
            <w:tcW w:w="366" w:type="dxa"/>
            <w:vAlign w:val="center"/>
          </w:tcPr>
          <w:p w14:paraId="203CC60D">
            <w:pPr>
              <w:pStyle w:val="24"/>
              <w:snapToGrid/>
              <w:spacing w:before="0" w:beforeAutospacing="0" w:after="0" w:afterAutospacing="0" w:line="420" w:lineRule="atLeast"/>
              <w:jc w:val="center"/>
              <w:rPr>
                <w:sz w:val="21"/>
              </w:rPr>
            </w:pPr>
          </w:p>
        </w:tc>
        <w:tc>
          <w:tcPr>
            <w:tcW w:w="516" w:type="dxa"/>
            <w:vAlign w:val="center"/>
          </w:tcPr>
          <w:p w14:paraId="62076FA3">
            <w:pPr>
              <w:pStyle w:val="24"/>
              <w:snapToGrid/>
              <w:spacing w:before="0" w:beforeAutospacing="0" w:after="0" w:afterAutospacing="0" w:line="420" w:lineRule="atLeast"/>
              <w:jc w:val="center"/>
              <w:rPr>
                <w:sz w:val="21"/>
              </w:rPr>
            </w:pPr>
          </w:p>
        </w:tc>
        <w:tc>
          <w:tcPr>
            <w:tcW w:w="366" w:type="dxa"/>
            <w:vAlign w:val="center"/>
          </w:tcPr>
          <w:p w14:paraId="46D79EB0">
            <w:pPr>
              <w:pStyle w:val="24"/>
              <w:snapToGrid/>
              <w:spacing w:before="0" w:beforeAutospacing="0" w:after="0" w:afterAutospacing="0" w:line="420" w:lineRule="atLeast"/>
              <w:jc w:val="center"/>
              <w:rPr>
                <w:sz w:val="21"/>
              </w:rPr>
            </w:pPr>
          </w:p>
        </w:tc>
        <w:tc>
          <w:tcPr>
            <w:tcW w:w="366" w:type="dxa"/>
            <w:vAlign w:val="center"/>
          </w:tcPr>
          <w:p w14:paraId="53EB2069">
            <w:pPr>
              <w:pStyle w:val="24"/>
              <w:snapToGrid/>
              <w:spacing w:before="0" w:beforeAutospacing="0" w:after="0" w:afterAutospacing="0" w:line="420" w:lineRule="atLeast"/>
              <w:jc w:val="center"/>
              <w:rPr>
                <w:sz w:val="21"/>
              </w:rPr>
            </w:pPr>
          </w:p>
        </w:tc>
        <w:tc>
          <w:tcPr>
            <w:tcW w:w="516" w:type="dxa"/>
            <w:vAlign w:val="center"/>
          </w:tcPr>
          <w:p w14:paraId="3482D1B5">
            <w:pPr>
              <w:pStyle w:val="24"/>
              <w:snapToGrid/>
              <w:spacing w:before="0" w:beforeAutospacing="0" w:after="0" w:afterAutospacing="0" w:line="420" w:lineRule="atLeast"/>
              <w:jc w:val="center"/>
              <w:rPr>
                <w:sz w:val="21"/>
              </w:rPr>
            </w:pPr>
          </w:p>
        </w:tc>
        <w:tc>
          <w:tcPr>
            <w:tcW w:w="366" w:type="dxa"/>
            <w:vAlign w:val="center"/>
          </w:tcPr>
          <w:p w14:paraId="4D6E0268">
            <w:pPr>
              <w:pStyle w:val="24"/>
              <w:snapToGrid/>
              <w:spacing w:before="0" w:beforeAutospacing="0" w:after="0" w:afterAutospacing="0" w:line="420" w:lineRule="atLeast"/>
              <w:jc w:val="center"/>
              <w:rPr>
                <w:sz w:val="21"/>
              </w:rPr>
            </w:pPr>
          </w:p>
        </w:tc>
        <w:tc>
          <w:tcPr>
            <w:tcW w:w="516" w:type="dxa"/>
            <w:vAlign w:val="center"/>
          </w:tcPr>
          <w:p w14:paraId="73CEC118">
            <w:pPr>
              <w:pStyle w:val="24"/>
              <w:snapToGrid/>
              <w:spacing w:before="0" w:beforeAutospacing="0" w:after="0" w:afterAutospacing="0" w:line="420" w:lineRule="atLeast"/>
              <w:jc w:val="center"/>
              <w:rPr>
                <w:sz w:val="21"/>
              </w:rPr>
            </w:pPr>
          </w:p>
        </w:tc>
        <w:tc>
          <w:tcPr>
            <w:tcW w:w="366" w:type="dxa"/>
            <w:vAlign w:val="center"/>
          </w:tcPr>
          <w:p w14:paraId="312C60FC">
            <w:pPr>
              <w:pStyle w:val="24"/>
              <w:snapToGrid/>
              <w:spacing w:before="0" w:beforeAutospacing="0" w:after="0" w:afterAutospacing="0" w:line="420" w:lineRule="atLeast"/>
              <w:jc w:val="center"/>
              <w:rPr>
                <w:sz w:val="21"/>
              </w:rPr>
            </w:pPr>
          </w:p>
        </w:tc>
        <w:tc>
          <w:tcPr>
            <w:tcW w:w="666" w:type="dxa"/>
            <w:vAlign w:val="center"/>
          </w:tcPr>
          <w:p w14:paraId="59364F0A">
            <w:pPr>
              <w:pStyle w:val="24"/>
              <w:snapToGrid/>
              <w:spacing w:before="0" w:beforeAutospacing="0" w:after="0" w:afterAutospacing="0" w:line="420" w:lineRule="atLeast"/>
              <w:jc w:val="center"/>
              <w:rPr>
                <w:sz w:val="21"/>
              </w:rPr>
            </w:pPr>
          </w:p>
        </w:tc>
        <w:tc>
          <w:tcPr>
            <w:tcW w:w="516" w:type="dxa"/>
            <w:vAlign w:val="center"/>
          </w:tcPr>
          <w:p w14:paraId="2EECCB59">
            <w:pPr>
              <w:pStyle w:val="24"/>
              <w:snapToGrid/>
              <w:spacing w:before="0" w:beforeAutospacing="0" w:after="0" w:afterAutospacing="0" w:line="420" w:lineRule="atLeast"/>
              <w:jc w:val="center"/>
              <w:rPr>
                <w:sz w:val="21"/>
              </w:rPr>
            </w:pPr>
          </w:p>
        </w:tc>
        <w:tc>
          <w:tcPr>
            <w:tcW w:w="366" w:type="dxa"/>
            <w:vAlign w:val="center"/>
          </w:tcPr>
          <w:p w14:paraId="1DFBD94F">
            <w:pPr>
              <w:pStyle w:val="24"/>
              <w:snapToGrid/>
              <w:spacing w:before="0" w:beforeAutospacing="0" w:after="0" w:afterAutospacing="0" w:line="420" w:lineRule="atLeast"/>
              <w:jc w:val="center"/>
              <w:rPr>
                <w:sz w:val="21"/>
              </w:rPr>
            </w:pPr>
          </w:p>
        </w:tc>
        <w:tc>
          <w:tcPr>
            <w:tcW w:w="366" w:type="dxa"/>
            <w:vAlign w:val="center"/>
          </w:tcPr>
          <w:p w14:paraId="6ADC4C7D">
            <w:pPr>
              <w:pStyle w:val="24"/>
              <w:snapToGrid/>
              <w:spacing w:before="0" w:beforeAutospacing="0" w:after="0" w:afterAutospacing="0" w:line="420" w:lineRule="atLeast"/>
              <w:jc w:val="center"/>
              <w:rPr>
                <w:sz w:val="21"/>
              </w:rPr>
            </w:pPr>
          </w:p>
        </w:tc>
        <w:tc>
          <w:tcPr>
            <w:tcW w:w="516" w:type="dxa"/>
            <w:vAlign w:val="center"/>
          </w:tcPr>
          <w:p w14:paraId="0F7B9B08">
            <w:pPr>
              <w:pStyle w:val="24"/>
              <w:snapToGrid/>
              <w:spacing w:before="0" w:beforeAutospacing="0" w:after="0" w:afterAutospacing="0" w:line="420" w:lineRule="atLeast"/>
              <w:jc w:val="center"/>
              <w:rPr>
                <w:sz w:val="21"/>
              </w:rPr>
            </w:pPr>
          </w:p>
        </w:tc>
        <w:tc>
          <w:tcPr>
            <w:tcW w:w="366" w:type="dxa"/>
            <w:vAlign w:val="center"/>
          </w:tcPr>
          <w:p w14:paraId="191001CA">
            <w:pPr>
              <w:pStyle w:val="24"/>
              <w:snapToGrid/>
              <w:spacing w:before="0" w:beforeAutospacing="0" w:after="0" w:afterAutospacing="0" w:line="420" w:lineRule="atLeast"/>
              <w:jc w:val="center"/>
              <w:rPr>
                <w:sz w:val="21"/>
              </w:rPr>
            </w:pPr>
          </w:p>
        </w:tc>
        <w:tc>
          <w:tcPr>
            <w:tcW w:w="221" w:type="dxa"/>
            <w:vAlign w:val="center"/>
          </w:tcPr>
          <w:p w14:paraId="08E96B92">
            <w:pPr>
              <w:pStyle w:val="24"/>
              <w:snapToGrid/>
              <w:spacing w:before="0" w:beforeAutospacing="0" w:after="0" w:afterAutospacing="0" w:line="420" w:lineRule="atLeast"/>
              <w:jc w:val="center"/>
              <w:rPr>
                <w:sz w:val="21"/>
              </w:rPr>
            </w:pPr>
          </w:p>
        </w:tc>
        <w:tc>
          <w:tcPr>
            <w:tcW w:w="221" w:type="dxa"/>
            <w:vAlign w:val="center"/>
          </w:tcPr>
          <w:p w14:paraId="7DE69D9F">
            <w:pPr>
              <w:pStyle w:val="24"/>
              <w:snapToGrid/>
              <w:spacing w:before="0" w:beforeAutospacing="0" w:after="0" w:afterAutospacing="0" w:line="420" w:lineRule="atLeast"/>
              <w:jc w:val="center"/>
              <w:rPr>
                <w:sz w:val="21"/>
              </w:rPr>
            </w:pPr>
          </w:p>
        </w:tc>
        <w:tc>
          <w:tcPr>
            <w:tcW w:w="221" w:type="dxa"/>
            <w:vAlign w:val="center"/>
          </w:tcPr>
          <w:p w14:paraId="2315A2B0">
            <w:pPr>
              <w:pStyle w:val="24"/>
              <w:snapToGrid/>
              <w:spacing w:before="0" w:beforeAutospacing="0" w:after="0" w:afterAutospacing="0" w:line="420" w:lineRule="atLeast"/>
              <w:jc w:val="center"/>
              <w:rPr>
                <w:sz w:val="21"/>
              </w:rPr>
            </w:pPr>
          </w:p>
        </w:tc>
        <w:tc>
          <w:tcPr>
            <w:tcW w:w="221" w:type="dxa"/>
            <w:vAlign w:val="center"/>
          </w:tcPr>
          <w:p w14:paraId="1ABE8A84">
            <w:pPr>
              <w:pStyle w:val="24"/>
              <w:snapToGrid/>
              <w:spacing w:before="0" w:beforeAutospacing="0" w:after="0" w:afterAutospacing="0" w:line="420" w:lineRule="atLeast"/>
              <w:jc w:val="center"/>
              <w:rPr>
                <w:sz w:val="21"/>
              </w:rPr>
            </w:pPr>
          </w:p>
        </w:tc>
      </w:tr>
    </w:tbl>
    <w:p w14:paraId="28771E81">
      <w:pPr>
        <w:pStyle w:val="24"/>
        <w:snapToGrid/>
        <w:spacing w:before="0" w:beforeAutospacing="0" w:after="0" w:afterAutospacing="0" w:line="420" w:lineRule="atLeast"/>
        <w:jc w:val="both"/>
        <w:rPr>
          <w:sz w:val="21"/>
        </w:rPr>
      </w:pPr>
    </w:p>
    <w:p w14:paraId="1803B56E">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3A59E45A"/>
    <w:p w14:paraId="1E07A3CF">
      <w:pPr>
        <w:pStyle w:val="24"/>
        <w:spacing w:before="900" w:beforeAutospacing="0" w:after="0" w:afterAutospacing="0" w:line="420" w:lineRule="atLeast"/>
        <w:jc w:val="both"/>
        <w:rPr>
          <w:rFonts w:hint="eastAsia" w:cs="宋体"/>
          <w:sz w:val="28"/>
          <w:szCs w:val="28"/>
        </w:rPr>
      </w:pPr>
    </w:p>
    <w:p w14:paraId="571AD160">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19</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463E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5941FC5C">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535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059C87DE">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69197E90">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154C121E">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7A9F36C3">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441C02F9">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0B92803D">
            <w:pPr>
              <w:pStyle w:val="24"/>
              <w:snapToGrid/>
              <w:spacing w:before="0" w:beforeAutospacing="0" w:after="0" w:afterAutospacing="0" w:line="420" w:lineRule="atLeast"/>
              <w:jc w:val="center"/>
              <w:rPr>
                <w:sz w:val="21"/>
              </w:rPr>
            </w:pPr>
            <w:r>
              <w:rPr>
                <w:rFonts w:hint="eastAsia"/>
                <w:sz w:val="21"/>
              </w:rPr>
              <w:t>单设备非国产芯片数量（颗）</w:t>
            </w:r>
          </w:p>
        </w:tc>
      </w:tr>
      <w:tr w14:paraId="5E41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6A27E8F7">
            <w:pPr>
              <w:pStyle w:val="24"/>
              <w:snapToGrid/>
              <w:spacing w:before="0" w:beforeAutospacing="0" w:after="0" w:afterAutospacing="0" w:line="420" w:lineRule="atLeast"/>
              <w:jc w:val="center"/>
              <w:rPr>
                <w:rFonts w:hint="default" w:eastAsia="宋体"/>
                <w:sz w:val="21"/>
                <w:u w:val="single"/>
                <w:lang w:val="en-US" w:eastAsia="zh-CN"/>
              </w:rPr>
            </w:pPr>
            <w:r>
              <w:rPr>
                <w:rFonts w:hint="eastAsia"/>
                <w:sz w:val="21"/>
                <w:u w:val="single"/>
                <w:lang w:val="en-US" w:eastAsia="zh-CN"/>
              </w:rPr>
              <w:t>IPS</w:t>
            </w:r>
          </w:p>
        </w:tc>
        <w:tc>
          <w:tcPr>
            <w:tcW w:w="1545" w:type="dxa"/>
            <w:vAlign w:val="center"/>
          </w:tcPr>
          <w:p w14:paraId="545FBEC7">
            <w:pPr>
              <w:pStyle w:val="24"/>
              <w:snapToGrid/>
              <w:spacing w:before="0" w:beforeAutospacing="0" w:after="0" w:afterAutospacing="0" w:line="420" w:lineRule="atLeast"/>
              <w:jc w:val="center"/>
              <w:rPr>
                <w:sz w:val="21"/>
              </w:rPr>
            </w:pPr>
          </w:p>
        </w:tc>
        <w:tc>
          <w:tcPr>
            <w:tcW w:w="1420" w:type="dxa"/>
            <w:vAlign w:val="center"/>
          </w:tcPr>
          <w:p w14:paraId="6B37E9FD">
            <w:pPr>
              <w:pStyle w:val="24"/>
              <w:snapToGrid/>
              <w:spacing w:before="0" w:beforeAutospacing="0" w:after="0" w:afterAutospacing="0" w:line="420" w:lineRule="atLeast"/>
              <w:jc w:val="center"/>
              <w:rPr>
                <w:sz w:val="21"/>
              </w:rPr>
            </w:pPr>
          </w:p>
        </w:tc>
        <w:tc>
          <w:tcPr>
            <w:tcW w:w="1420" w:type="dxa"/>
            <w:vAlign w:val="center"/>
          </w:tcPr>
          <w:p w14:paraId="5D22AF8D">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0FB92366">
            <w:pPr>
              <w:pStyle w:val="24"/>
              <w:snapToGrid/>
              <w:spacing w:before="0" w:beforeAutospacing="0" w:after="0" w:afterAutospacing="0" w:line="420" w:lineRule="atLeast"/>
              <w:jc w:val="center"/>
              <w:rPr>
                <w:sz w:val="21"/>
              </w:rPr>
            </w:pPr>
          </w:p>
        </w:tc>
        <w:tc>
          <w:tcPr>
            <w:tcW w:w="1421" w:type="dxa"/>
            <w:vAlign w:val="center"/>
          </w:tcPr>
          <w:p w14:paraId="45FD82DD">
            <w:pPr>
              <w:pStyle w:val="24"/>
              <w:snapToGrid/>
              <w:spacing w:before="0" w:beforeAutospacing="0" w:after="0" w:afterAutospacing="0" w:line="420" w:lineRule="atLeast"/>
              <w:jc w:val="center"/>
              <w:rPr>
                <w:sz w:val="21"/>
              </w:rPr>
            </w:pPr>
          </w:p>
        </w:tc>
      </w:tr>
      <w:tr w14:paraId="0DDF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1148FE54">
            <w:pPr>
              <w:pStyle w:val="24"/>
              <w:snapToGrid/>
              <w:spacing w:before="0" w:beforeAutospacing="0" w:after="0" w:afterAutospacing="0" w:line="420" w:lineRule="atLeast"/>
              <w:jc w:val="center"/>
              <w:rPr>
                <w:sz w:val="21"/>
              </w:rPr>
            </w:pPr>
          </w:p>
        </w:tc>
        <w:tc>
          <w:tcPr>
            <w:tcW w:w="1545" w:type="dxa"/>
            <w:vAlign w:val="center"/>
          </w:tcPr>
          <w:p w14:paraId="19D26A18">
            <w:pPr>
              <w:pStyle w:val="24"/>
              <w:snapToGrid/>
              <w:spacing w:before="0" w:beforeAutospacing="0" w:after="0" w:afterAutospacing="0" w:line="420" w:lineRule="atLeast"/>
              <w:jc w:val="center"/>
              <w:rPr>
                <w:sz w:val="21"/>
              </w:rPr>
            </w:pPr>
          </w:p>
        </w:tc>
        <w:tc>
          <w:tcPr>
            <w:tcW w:w="1420" w:type="dxa"/>
            <w:vAlign w:val="center"/>
          </w:tcPr>
          <w:p w14:paraId="641F92B6">
            <w:pPr>
              <w:pStyle w:val="24"/>
              <w:snapToGrid/>
              <w:spacing w:before="0" w:beforeAutospacing="0" w:after="0" w:afterAutospacing="0" w:line="420" w:lineRule="atLeast"/>
              <w:jc w:val="center"/>
              <w:rPr>
                <w:sz w:val="21"/>
              </w:rPr>
            </w:pPr>
          </w:p>
        </w:tc>
        <w:tc>
          <w:tcPr>
            <w:tcW w:w="1420" w:type="dxa"/>
            <w:vAlign w:val="center"/>
          </w:tcPr>
          <w:p w14:paraId="6D494D82">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2C19BC4C">
            <w:pPr>
              <w:pStyle w:val="24"/>
              <w:snapToGrid/>
              <w:spacing w:before="0" w:beforeAutospacing="0" w:after="0" w:afterAutospacing="0" w:line="420" w:lineRule="atLeast"/>
              <w:jc w:val="center"/>
              <w:rPr>
                <w:sz w:val="21"/>
              </w:rPr>
            </w:pPr>
          </w:p>
        </w:tc>
        <w:tc>
          <w:tcPr>
            <w:tcW w:w="1421" w:type="dxa"/>
            <w:vAlign w:val="center"/>
          </w:tcPr>
          <w:p w14:paraId="2721BCE8">
            <w:pPr>
              <w:pStyle w:val="24"/>
              <w:snapToGrid/>
              <w:spacing w:before="0" w:beforeAutospacing="0" w:after="0" w:afterAutospacing="0" w:line="420" w:lineRule="atLeast"/>
              <w:jc w:val="center"/>
              <w:rPr>
                <w:sz w:val="21"/>
              </w:rPr>
            </w:pPr>
          </w:p>
        </w:tc>
      </w:tr>
      <w:tr w14:paraId="16F1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4B0C4A7F">
            <w:pPr>
              <w:pStyle w:val="24"/>
              <w:snapToGrid/>
              <w:spacing w:before="0" w:beforeAutospacing="0" w:after="0" w:afterAutospacing="0" w:line="420" w:lineRule="atLeast"/>
              <w:jc w:val="center"/>
              <w:rPr>
                <w:sz w:val="21"/>
              </w:rPr>
            </w:pPr>
          </w:p>
        </w:tc>
        <w:tc>
          <w:tcPr>
            <w:tcW w:w="1545" w:type="dxa"/>
            <w:vAlign w:val="center"/>
          </w:tcPr>
          <w:p w14:paraId="0623D9AD">
            <w:pPr>
              <w:pStyle w:val="24"/>
              <w:snapToGrid/>
              <w:spacing w:before="0" w:beforeAutospacing="0" w:after="0" w:afterAutospacing="0" w:line="420" w:lineRule="atLeast"/>
              <w:jc w:val="center"/>
              <w:rPr>
                <w:sz w:val="21"/>
              </w:rPr>
            </w:pPr>
          </w:p>
        </w:tc>
        <w:tc>
          <w:tcPr>
            <w:tcW w:w="1420" w:type="dxa"/>
            <w:vAlign w:val="center"/>
          </w:tcPr>
          <w:p w14:paraId="5F5ED68E">
            <w:pPr>
              <w:pStyle w:val="24"/>
              <w:snapToGrid/>
              <w:spacing w:before="0" w:beforeAutospacing="0" w:after="0" w:afterAutospacing="0" w:line="420" w:lineRule="atLeast"/>
              <w:jc w:val="center"/>
              <w:rPr>
                <w:sz w:val="21"/>
              </w:rPr>
            </w:pPr>
          </w:p>
        </w:tc>
        <w:tc>
          <w:tcPr>
            <w:tcW w:w="1420" w:type="dxa"/>
            <w:vAlign w:val="center"/>
          </w:tcPr>
          <w:p w14:paraId="10D8BEEC">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655948A4">
            <w:pPr>
              <w:pStyle w:val="24"/>
              <w:snapToGrid/>
              <w:spacing w:before="0" w:beforeAutospacing="0" w:after="0" w:afterAutospacing="0" w:line="420" w:lineRule="atLeast"/>
              <w:jc w:val="center"/>
              <w:rPr>
                <w:sz w:val="21"/>
              </w:rPr>
            </w:pPr>
          </w:p>
        </w:tc>
        <w:tc>
          <w:tcPr>
            <w:tcW w:w="1421" w:type="dxa"/>
            <w:vAlign w:val="center"/>
          </w:tcPr>
          <w:p w14:paraId="4359C499">
            <w:pPr>
              <w:pStyle w:val="24"/>
              <w:snapToGrid/>
              <w:spacing w:before="0" w:beforeAutospacing="0" w:after="0" w:afterAutospacing="0" w:line="420" w:lineRule="atLeast"/>
              <w:jc w:val="center"/>
              <w:rPr>
                <w:sz w:val="21"/>
              </w:rPr>
            </w:pPr>
          </w:p>
        </w:tc>
      </w:tr>
      <w:tr w14:paraId="7470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511552F5">
            <w:pPr>
              <w:pStyle w:val="24"/>
              <w:snapToGrid/>
              <w:spacing w:before="0" w:beforeAutospacing="0" w:after="0" w:afterAutospacing="0" w:line="420" w:lineRule="atLeast"/>
              <w:jc w:val="center"/>
              <w:rPr>
                <w:sz w:val="21"/>
              </w:rPr>
            </w:pPr>
          </w:p>
        </w:tc>
        <w:tc>
          <w:tcPr>
            <w:tcW w:w="1545" w:type="dxa"/>
            <w:vAlign w:val="center"/>
          </w:tcPr>
          <w:p w14:paraId="1E8454B9">
            <w:pPr>
              <w:pStyle w:val="24"/>
              <w:snapToGrid/>
              <w:spacing w:before="0" w:beforeAutospacing="0" w:after="0" w:afterAutospacing="0" w:line="420" w:lineRule="atLeast"/>
              <w:jc w:val="center"/>
              <w:rPr>
                <w:sz w:val="21"/>
              </w:rPr>
            </w:pPr>
          </w:p>
        </w:tc>
        <w:tc>
          <w:tcPr>
            <w:tcW w:w="1420" w:type="dxa"/>
            <w:vAlign w:val="center"/>
          </w:tcPr>
          <w:p w14:paraId="0553A794">
            <w:pPr>
              <w:pStyle w:val="24"/>
              <w:snapToGrid/>
              <w:spacing w:before="0" w:beforeAutospacing="0" w:after="0" w:afterAutospacing="0" w:line="420" w:lineRule="atLeast"/>
              <w:jc w:val="center"/>
              <w:rPr>
                <w:sz w:val="21"/>
              </w:rPr>
            </w:pPr>
          </w:p>
        </w:tc>
        <w:tc>
          <w:tcPr>
            <w:tcW w:w="1420" w:type="dxa"/>
            <w:vAlign w:val="center"/>
          </w:tcPr>
          <w:p w14:paraId="7B3FCD9D">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0E1A7CFB">
            <w:pPr>
              <w:pStyle w:val="24"/>
              <w:snapToGrid/>
              <w:spacing w:before="0" w:beforeAutospacing="0" w:after="0" w:afterAutospacing="0" w:line="420" w:lineRule="atLeast"/>
              <w:jc w:val="center"/>
              <w:rPr>
                <w:sz w:val="21"/>
              </w:rPr>
            </w:pPr>
          </w:p>
        </w:tc>
        <w:tc>
          <w:tcPr>
            <w:tcW w:w="1421" w:type="dxa"/>
            <w:vAlign w:val="center"/>
          </w:tcPr>
          <w:p w14:paraId="4740FAA6">
            <w:pPr>
              <w:pStyle w:val="24"/>
              <w:snapToGrid/>
              <w:spacing w:before="0" w:beforeAutospacing="0" w:after="0" w:afterAutospacing="0" w:line="420" w:lineRule="atLeast"/>
              <w:jc w:val="center"/>
              <w:rPr>
                <w:sz w:val="21"/>
              </w:rPr>
            </w:pPr>
          </w:p>
        </w:tc>
      </w:tr>
      <w:tr w14:paraId="77D9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592024CA">
            <w:pPr>
              <w:pStyle w:val="24"/>
              <w:snapToGrid/>
              <w:spacing w:before="0" w:beforeAutospacing="0" w:after="0" w:afterAutospacing="0" w:line="420" w:lineRule="atLeast"/>
              <w:jc w:val="center"/>
              <w:rPr>
                <w:sz w:val="21"/>
              </w:rPr>
            </w:pPr>
          </w:p>
        </w:tc>
        <w:tc>
          <w:tcPr>
            <w:tcW w:w="1545" w:type="dxa"/>
            <w:vAlign w:val="center"/>
          </w:tcPr>
          <w:p w14:paraId="4390139D">
            <w:pPr>
              <w:pStyle w:val="24"/>
              <w:snapToGrid/>
              <w:spacing w:before="0" w:beforeAutospacing="0" w:after="0" w:afterAutospacing="0" w:line="420" w:lineRule="atLeast"/>
              <w:jc w:val="center"/>
              <w:rPr>
                <w:sz w:val="21"/>
              </w:rPr>
            </w:pPr>
          </w:p>
        </w:tc>
        <w:tc>
          <w:tcPr>
            <w:tcW w:w="1420" w:type="dxa"/>
            <w:vAlign w:val="center"/>
          </w:tcPr>
          <w:p w14:paraId="5B2DF936">
            <w:pPr>
              <w:pStyle w:val="24"/>
              <w:snapToGrid/>
              <w:spacing w:before="0" w:beforeAutospacing="0" w:after="0" w:afterAutospacing="0" w:line="420" w:lineRule="atLeast"/>
              <w:jc w:val="center"/>
              <w:rPr>
                <w:sz w:val="21"/>
              </w:rPr>
            </w:pPr>
          </w:p>
        </w:tc>
        <w:tc>
          <w:tcPr>
            <w:tcW w:w="1420" w:type="dxa"/>
            <w:vAlign w:val="center"/>
          </w:tcPr>
          <w:p w14:paraId="534CA3A0">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37976E0D">
            <w:pPr>
              <w:pStyle w:val="24"/>
              <w:snapToGrid/>
              <w:spacing w:before="0" w:beforeAutospacing="0" w:after="0" w:afterAutospacing="0" w:line="420" w:lineRule="atLeast"/>
              <w:jc w:val="center"/>
              <w:rPr>
                <w:sz w:val="21"/>
              </w:rPr>
            </w:pPr>
          </w:p>
        </w:tc>
        <w:tc>
          <w:tcPr>
            <w:tcW w:w="1421" w:type="dxa"/>
            <w:vAlign w:val="center"/>
          </w:tcPr>
          <w:p w14:paraId="4BD2780D">
            <w:pPr>
              <w:pStyle w:val="24"/>
              <w:snapToGrid/>
              <w:spacing w:before="0" w:beforeAutospacing="0" w:after="0" w:afterAutospacing="0" w:line="420" w:lineRule="atLeast"/>
              <w:jc w:val="center"/>
              <w:rPr>
                <w:sz w:val="21"/>
              </w:rPr>
            </w:pPr>
          </w:p>
        </w:tc>
      </w:tr>
      <w:tr w14:paraId="5D36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0EE23205">
            <w:pPr>
              <w:pStyle w:val="24"/>
              <w:snapToGrid/>
              <w:spacing w:before="0" w:beforeAutospacing="0" w:after="0" w:afterAutospacing="0" w:line="420" w:lineRule="atLeast"/>
              <w:jc w:val="center"/>
              <w:rPr>
                <w:sz w:val="21"/>
              </w:rPr>
            </w:pPr>
          </w:p>
        </w:tc>
        <w:tc>
          <w:tcPr>
            <w:tcW w:w="1545" w:type="dxa"/>
            <w:vAlign w:val="center"/>
          </w:tcPr>
          <w:p w14:paraId="1AF4F438">
            <w:pPr>
              <w:pStyle w:val="24"/>
              <w:snapToGrid/>
              <w:spacing w:before="0" w:beforeAutospacing="0" w:after="0" w:afterAutospacing="0" w:line="420" w:lineRule="atLeast"/>
              <w:jc w:val="center"/>
              <w:rPr>
                <w:sz w:val="21"/>
              </w:rPr>
            </w:pPr>
          </w:p>
        </w:tc>
        <w:tc>
          <w:tcPr>
            <w:tcW w:w="1420" w:type="dxa"/>
            <w:vAlign w:val="center"/>
          </w:tcPr>
          <w:p w14:paraId="2F8EFEAA">
            <w:pPr>
              <w:pStyle w:val="24"/>
              <w:snapToGrid/>
              <w:spacing w:before="0" w:beforeAutospacing="0" w:after="0" w:afterAutospacing="0" w:line="420" w:lineRule="atLeast"/>
              <w:jc w:val="center"/>
              <w:rPr>
                <w:sz w:val="21"/>
              </w:rPr>
            </w:pPr>
          </w:p>
        </w:tc>
        <w:tc>
          <w:tcPr>
            <w:tcW w:w="1420" w:type="dxa"/>
            <w:vAlign w:val="center"/>
          </w:tcPr>
          <w:p w14:paraId="2B0D7FD9">
            <w:pPr>
              <w:widowControl/>
              <w:snapToGrid/>
              <w:spacing w:line="420" w:lineRule="atLeast"/>
              <w:jc w:val="center"/>
            </w:pPr>
            <w:r>
              <w:rPr>
                <w:rFonts w:hint="eastAsia"/>
              </w:rPr>
              <w:t>电源模块控制芯片</w:t>
            </w:r>
          </w:p>
        </w:tc>
        <w:tc>
          <w:tcPr>
            <w:tcW w:w="1421" w:type="dxa"/>
            <w:vAlign w:val="center"/>
          </w:tcPr>
          <w:p w14:paraId="73EC7B65">
            <w:pPr>
              <w:pStyle w:val="24"/>
              <w:snapToGrid/>
              <w:spacing w:before="0" w:beforeAutospacing="0" w:after="0" w:afterAutospacing="0" w:line="420" w:lineRule="atLeast"/>
              <w:jc w:val="center"/>
              <w:rPr>
                <w:sz w:val="21"/>
              </w:rPr>
            </w:pPr>
          </w:p>
        </w:tc>
        <w:tc>
          <w:tcPr>
            <w:tcW w:w="1421" w:type="dxa"/>
            <w:vAlign w:val="center"/>
          </w:tcPr>
          <w:p w14:paraId="1D387677">
            <w:pPr>
              <w:pStyle w:val="24"/>
              <w:snapToGrid/>
              <w:spacing w:before="0" w:beforeAutospacing="0" w:after="0" w:afterAutospacing="0" w:line="420" w:lineRule="atLeast"/>
              <w:jc w:val="center"/>
              <w:rPr>
                <w:sz w:val="21"/>
              </w:rPr>
            </w:pPr>
          </w:p>
        </w:tc>
      </w:tr>
    </w:tbl>
    <w:p w14:paraId="393FFA76">
      <w:pPr>
        <w:pStyle w:val="24"/>
        <w:spacing w:before="900" w:beforeAutospacing="0" w:after="0" w:afterAutospacing="0" w:line="420" w:lineRule="atLeast"/>
        <w:jc w:val="both"/>
        <w:rPr>
          <w:rFonts w:cs="宋体"/>
          <w:sz w:val="28"/>
          <w:szCs w:val="28"/>
        </w:rPr>
      </w:pPr>
    </w:p>
    <w:p w14:paraId="0BA9990E">
      <w:pPr>
        <w:pStyle w:val="24"/>
        <w:spacing w:before="900" w:beforeAutospacing="0" w:after="0" w:afterAutospacing="0" w:line="420" w:lineRule="atLeast"/>
        <w:jc w:val="both"/>
        <w:rPr>
          <w:rFonts w:cs="宋体"/>
          <w:sz w:val="28"/>
          <w:szCs w:val="28"/>
        </w:rPr>
      </w:pPr>
    </w:p>
    <w:p w14:paraId="65093448">
      <w:pPr>
        <w:pStyle w:val="24"/>
        <w:spacing w:before="900" w:beforeAutospacing="0" w:after="0" w:afterAutospacing="0" w:line="420" w:lineRule="atLeast"/>
        <w:jc w:val="both"/>
        <w:rPr>
          <w:rFonts w:cs="宋体"/>
          <w:sz w:val="28"/>
          <w:szCs w:val="28"/>
        </w:rPr>
      </w:pPr>
    </w:p>
    <w:p w14:paraId="700D93A7">
      <w:pPr>
        <w:pStyle w:val="24"/>
        <w:spacing w:before="900" w:beforeAutospacing="0" w:after="0" w:afterAutospacing="0" w:line="420" w:lineRule="atLeast"/>
        <w:jc w:val="both"/>
        <w:rPr>
          <w:rFonts w:cs="宋体"/>
          <w:sz w:val="28"/>
          <w:szCs w:val="28"/>
        </w:rPr>
      </w:pPr>
    </w:p>
    <w:p w14:paraId="7419AC5F">
      <w:pPr>
        <w:pStyle w:val="24"/>
        <w:spacing w:before="900" w:beforeAutospacing="0" w:after="0" w:afterAutospacing="0" w:line="420" w:lineRule="atLeast"/>
        <w:jc w:val="both"/>
        <w:rPr>
          <w:rFonts w:cs="宋体"/>
          <w:sz w:val="28"/>
          <w:szCs w:val="28"/>
        </w:rPr>
      </w:pPr>
    </w:p>
    <w:p w14:paraId="62697407">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20</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1647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2C2988BE">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7FBAA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3D573AA1">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5A54153E">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76B32BD3">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477F8BAE">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76651EDB">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36BE2193">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561C5DD4">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7E50ABC4">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7991FE6D">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1DF161E2">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728071C5">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28763D1D">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060C81CC">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73B631C6">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4670F4FD">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3938D835">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275340A8">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132BCD78">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32713666">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65004763">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78F2AD4E">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6B532C39">
            <w:pPr>
              <w:pStyle w:val="24"/>
              <w:snapToGrid/>
              <w:spacing w:before="0" w:beforeAutospacing="0" w:after="0" w:afterAutospacing="0" w:line="420" w:lineRule="atLeast"/>
              <w:jc w:val="center"/>
              <w:rPr>
                <w:sz w:val="21"/>
              </w:rPr>
            </w:pPr>
            <w:r>
              <w:rPr>
                <w:rFonts w:hint="eastAsia"/>
                <w:sz w:val="21"/>
              </w:rPr>
              <w:t>境内/境外</w:t>
            </w:r>
          </w:p>
        </w:tc>
      </w:tr>
      <w:tr w14:paraId="7098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350C95DA">
            <w:pPr>
              <w:pStyle w:val="24"/>
              <w:snapToGrid/>
              <w:spacing w:before="0" w:beforeAutospacing="0" w:after="0" w:afterAutospacing="0" w:line="420" w:lineRule="atLeast"/>
              <w:jc w:val="center"/>
              <w:rPr>
                <w:sz w:val="21"/>
              </w:rPr>
            </w:pPr>
          </w:p>
        </w:tc>
        <w:tc>
          <w:tcPr>
            <w:tcW w:w="366" w:type="dxa"/>
            <w:vAlign w:val="center"/>
          </w:tcPr>
          <w:p w14:paraId="020B37B8">
            <w:pPr>
              <w:pStyle w:val="24"/>
              <w:snapToGrid/>
              <w:spacing w:before="0" w:beforeAutospacing="0" w:after="0" w:afterAutospacing="0" w:line="420" w:lineRule="atLeast"/>
              <w:jc w:val="center"/>
              <w:rPr>
                <w:sz w:val="21"/>
              </w:rPr>
            </w:pPr>
          </w:p>
        </w:tc>
        <w:tc>
          <w:tcPr>
            <w:tcW w:w="366" w:type="dxa"/>
            <w:vAlign w:val="center"/>
          </w:tcPr>
          <w:p w14:paraId="32D38361">
            <w:pPr>
              <w:pStyle w:val="24"/>
              <w:snapToGrid/>
              <w:spacing w:before="0" w:beforeAutospacing="0" w:after="0" w:afterAutospacing="0" w:line="420" w:lineRule="atLeast"/>
              <w:jc w:val="center"/>
              <w:rPr>
                <w:sz w:val="21"/>
              </w:rPr>
            </w:pPr>
          </w:p>
        </w:tc>
        <w:tc>
          <w:tcPr>
            <w:tcW w:w="366" w:type="dxa"/>
            <w:vAlign w:val="center"/>
          </w:tcPr>
          <w:p w14:paraId="494A0D9D">
            <w:pPr>
              <w:pStyle w:val="24"/>
              <w:snapToGrid/>
              <w:spacing w:before="0" w:beforeAutospacing="0" w:after="0" w:afterAutospacing="0" w:line="420" w:lineRule="atLeast"/>
              <w:jc w:val="center"/>
              <w:rPr>
                <w:sz w:val="21"/>
              </w:rPr>
            </w:pPr>
          </w:p>
        </w:tc>
        <w:tc>
          <w:tcPr>
            <w:tcW w:w="366" w:type="dxa"/>
            <w:vAlign w:val="center"/>
          </w:tcPr>
          <w:p w14:paraId="656FC97E">
            <w:pPr>
              <w:pStyle w:val="24"/>
              <w:snapToGrid/>
              <w:spacing w:before="0" w:beforeAutospacing="0" w:after="0" w:afterAutospacing="0" w:line="420" w:lineRule="atLeast"/>
              <w:jc w:val="center"/>
              <w:rPr>
                <w:sz w:val="21"/>
              </w:rPr>
            </w:pPr>
          </w:p>
        </w:tc>
        <w:tc>
          <w:tcPr>
            <w:tcW w:w="516" w:type="dxa"/>
            <w:vAlign w:val="center"/>
          </w:tcPr>
          <w:p w14:paraId="0D4CFDB9">
            <w:pPr>
              <w:pStyle w:val="24"/>
              <w:snapToGrid/>
              <w:spacing w:before="0" w:beforeAutospacing="0" w:after="0" w:afterAutospacing="0" w:line="420" w:lineRule="atLeast"/>
              <w:jc w:val="center"/>
              <w:rPr>
                <w:sz w:val="21"/>
              </w:rPr>
            </w:pPr>
          </w:p>
        </w:tc>
        <w:tc>
          <w:tcPr>
            <w:tcW w:w="366" w:type="dxa"/>
            <w:vAlign w:val="center"/>
          </w:tcPr>
          <w:p w14:paraId="15A40DA4">
            <w:pPr>
              <w:pStyle w:val="24"/>
              <w:snapToGrid/>
              <w:spacing w:before="0" w:beforeAutospacing="0" w:after="0" w:afterAutospacing="0" w:line="420" w:lineRule="atLeast"/>
              <w:jc w:val="center"/>
              <w:rPr>
                <w:sz w:val="21"/>
              </w:rPr>
            </w:pPr>
          </w:p>
        </w:tc>
        <w:tc>
          <w:tcPr>
            <w:tcW w:w="366" w:type="dxa"/>
            <w:vAlign w:val="center"/>
          </w:tcPr>
          <w:p w14:paraId="6A5B878D">
            <w:pPr>
              <w:pStyle w:val="24"/>
              <w:snapToGrid/>
              <w:spacing w:before="0" w:beforeAutospacing="0" w:after="0" w:afterAutospacing="0" w:line="420" w:lineRule="atLeast"/>
              <w:jc w:val="center"/>
              <w:rPr>
                <w:sz w:val="21"/>
              </w:rPr>
            </w:pPr>
          </w:p>
        </w:tc>
        <w:tc>
          <w:tcPr>
            <w:tcW w:w="516" w:type="dxa"/>
            <w:vAlign w:val="center"/>
          </w:tcPr>
          <w:p w14:paraId="78B6492E">
            <w:pPr>
              <w:pStyle w:val="24"/>
              <w:snapToGrid/>
              <w:spacing w:before="0" w:beforeAutospacing="0" w:after="0" w:afterAutospacing="0" w:line="420" w:lineRule="atLeast"/>
              <w:jc w:val="center"/>
              <w:rPr>
                <w:sz w:val="21"/>
              </w:rPr>
            </w:pPr>
          </w:p>
        </w:tc>
        <w:tc>
          <w:tcPr>
            <w:tcW w:w="366" w:type="dxa"/>
            <w:vAlign w:val="center"/>
          </w:tcPr>
          <w:p w14:paraId="52192483">
            <w:pPr>
              <w:pStyle w:val="24"/>
              <w:snapToGrid/>
              <w:spacing w:before="0" w:beforeAutospacing="0" w:after="0" w:afterAutospacing="0" w:line="420" w:lineRule="atLeast"/>
              <w:jc w:val="center"/>
              <w:rPr>
                <w:sz w:val="21"/>
              </w:rPr>
            </w:pPr>
          </w:p>
        </w:tc>
        <w:tc>
          <w:tcPr>
            <w:tcW w:w="516" w:type="dxa"/>
            <w:vAlign w:val="center"/>
          </w:tcPr>
          <w:p w14:paraId="268D98C7">
            <w:pPr>
              <w:pStyle w:val="24"/>
              <w:snapToGrid/>
              <w:spacing w:before="0" w:beforeAutospacing="0" w:after="0" w:afterAutospacing="0" w:line="420" w:lineRule="atLeast"/>
              <w:jc w:val="center"/>
              <w:rPr>
                <w:sz w:val="21"/>
              </w:rPr>
            </w:pPr>
          </w:p>
        </w:tc>
        <w:tc>
          <w:tcPr>
            <w:tcW w:w="366" w:type="dxa"/>
            <w:vAlign w:val="center"/>
          </w:tcPr>
          <w:p w14:paraId="2194EC3D">
            <w:pPr>
              <w:pStyle w:val="24"/>
              <w:snapToGrid/>
              <w:spacing w:before="0" w:beforeAutospacing="0" w:after="0" w:afterAutospacing="0" w:line="420" w:lineRule="atLeast"/>
              <w:jc w:val="center"/>
              <w:rPr>
                <w:sz w:val="21"/>
              </w:rPr>
            </w:pPr>
          </w:p>
        </w:tc>
        <w:tc>
          <w:tcPr>
            <w:tcW w:w="666" w:type="dxa"/>
            <w:vAlign w:val="center"/>
          </w:tcPr>
          <w:p w14:paraId="641FEE2E">
            <w:pPr>
              <w:pStyle w:val="24"/>
              <w:snapToGrid/>
              <w:spacing w:before="0" w:beforeAutospacing="0" w:after="0" w:afterAutospacing="0" w:line="420" w:lineRule="atLeast"/>
              <w:jc w:val="center"/>
              <w:rPr>
                <w:sz w:val="21"/>
              </w:rPr>
            </w:pPr>
          </w:p>
        </w:tc>
        <w:tc>
          <w:tcPr>
            <w:tcW w:w="516" w:type="dxa"/>
            <w:vAlign w:val="center"/>
          </w:tcPr>
          <w:p w14:paraId="7CE95F90">
            <w:pPr>
              <w:pStyle w:val="24"/>
              <w:snapToGrid/>
              <w:spacing w:before="0" w:beforeAutospacing="0" w:after="0" w:afterAutospacing="0" w:line="420" w:lineRule="atLeast"/>
              <w:jc w:val="center"/>
              <w:rPr>
                <w:sz w:val="21"/>
              </w:rPr>
            </w:pPr>
          </w:p>
        </w:tc>
        <w:tc>
          <w:tcPr>
            <w:tcW w:w="366" w:type="dxa"/>
            <w:vAlign w:val="center"/>
          </w:tcPr>
          <w:p w14:paraId="0EB2FDFD">
            <w:pPr>
              <w:pStyle w:val="24"/>
              <w:snapToGrid/>
              <w:spacing w:before="0" w:beforeAutospacing="0" w:after="0" w:afterAutospacing="0" w:line="420" w:lineRule="atLeast"/>
              <w:jc w:val="center"/>
              <w:rPr>
                <w:sz w:val="21"/>
              </w:rPr>
            </w:pPr>
          </w:p>
        </w:tc>
        <w:tc>
          <w:tcPr>
            <w:tcW w:w="366" w:type="dxa"/>
            <w:vAlign w:val="center"/>
          </w:tcPr>
          <w:p w14:paraId="210008A5">
            <w:pPr>
              <w:pStyle w:val="24"/>
              <w:snapToGrid/>
              <w:spacing w:before="0" w:beforeAutospacing="0" w:after="0" w:afterAutospacing="0" w:line="420" w:lineRule="atLeast"/>
              <w:jc w:val="center"/>
              <w:rPr>
                <w:sz w:val="21"/>
              </w:rPr>
            </w:pPr>
          </w:p>
        </w:tc>
        <w:tc>
          <w:tcPr>
            <w:tcW w:w="516" w:type="dxa"/>
            <w:vAlign w:val="center"/>
          </w:tcPr>
          <w:p w14:paraId="29D8D3BE">
            <w:pPr>
              <w:pStyle w:val="24"/>
              <w:snapToGrid/>
              <w:spacing w:before="0" w:beforeAutospacing="0" w:after="0" w:afterAutospacing="0" w:line="420" w:lineRule="atLeast"/>
              <w:jc w:val="center"/>
              <w:rPr>
                <w:sz w:val="21"/>
              </w:rPr>
            </w:pPr>
          </w:p>
        </w:tc>
        <w:tc>
          <w:tcPr>
            <w:tcW w:w="366" w:type="dxa"/>
            <w:vAlign w:val="center"/>
          </w:tcPr>
          <w:p w14:paraId="149B08D9">
            <w:pPr>
              <w:pStyle w:val="24"/>
              <w:snapToGrid/>
              <w:spacing w:before="0" w:beforeAutospacing="0" w:after="0" w:afterAutospacing="0" w:line="420" w:lineRule="atLeast"/>
              <w:jc w:val="center"/>
              <w:rPr>
                <w:sz w:val="21"/>
              </w:rPr>
            </w:pPr>
          </w:p>
        </w:tc>
        <w:tc>
          <w:tcPr>
            <w:tcW w:w="221" w:type="dxa"/>
            <w:vAlign w:val="center"/>
          </w:tcPr>
          <w:p w14:paraId="2F90B115">
            <w:pPr>
              <w:pStyle w:val="24"/>
              <w:snapToGrid/>
              <w:spacing w:before="0" w:beforeAutospacing="0" w:after="0" w:afterAutospacing="0" w:line="420" w:lineRule="atLeast"/>
              <w:jc w:val="center"/>
              <w:rPr>
                <w:sz w:val="21"/>
              </w:rPr>
            </w:pPr>
          </w:p>
        </w:tc>
        <w:tc>
          <w:tcPr>
            <w:tcW w:w="221" w:type="dxa"/>
            <w:vAlign w:val="center"/>
          </w:tcPr>
          <w:p w14:paraId="36374301">
            <w:pPr>
              <w:pStyle w:val="24"/>
              <w:snapToGrid/>
              <w:spacing w:before="0" w:beforeAutospacing="0" w:after="0" w:afterAutospacing="0" w:line="420" w:lineRule="atLeast"/>
              <w:jc w:val="center"/>
              <w:rPr>
                <w:sz w:val="21"/>
              </w:rPr>
            </w:pPr>
          </w:p>
        </w:tc>
        <w:tc>
          <w:tcPr>
            <w:tcW w:w="221" w:type="dxa"/>
            <w:vAlign w:val="center"/>
          </w:tcPr>
          <w:p w14:paraId="2815AEF7">
            <w:pPr>
              <w:pStyle w:val="24"/>
              <w:snapToGrid/>
              <w:spacing w:before="0" w:beforeAutospacing="0" w:after="0" w:afterAutospacing="0" w:line="420" w:lineRule="atLeast"/>
              <w:jc w:val="center"/>
              <w:rPr>
                <w:sz w:val="21"/>
              </w:rPr>
            </w:pPr>
          </w:p>
        </w:tc>
        <w:tc>
          <w:tcPr>
            <w:tcW w:w="221" w:type="dxa"/>
            <w:vAlign w:val="center"/>
          </w:tcPr>
          <w:p w14:paraId="696656FD">
            <w:pPr>
              <w:pStyle w:val="24"/>
              <w:snapToGrid/>
              <w:spacing w:before="0" w:beforeAutospacing="0" w:after="0" w:afterAutospacing="0" w:line="420" w:lineRule="atLeast"/>
              <w:jc w:val="center"/>
              <w:rPr>
                <w:sz w:val="21"/>
              </w:rPr>
            </w:pPr>
          </w:p>
        </w:tc>
      </w:tr>
      <w:tr w14:paraId="4C01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4336EEAA">
            <w:pPr>
              <w:pStyle w:val="24"/>
              <w:snapToGrid/>
              <w:spacing w:before="0" w:beforeAutospacing="0" w:after="0" w:afterAutospacing="0" w:line="420" w:lineRule="atLeast"/>
              <w:jc w:val="center"/>
              <w:rPr>
                <w:sz w:val="21"/>
              </w:rPr>
            </w:pPr>
          </w:p>
        </w:tc>
        <w:tc>
          <w:tcPr>
            <w:tcW w:w="366" w:type="dxa"/>
            <w:vAlign w:val="center"/>
          </w:tcPr>
          <w:p w14:paraId="0604A69A">
            <w:pPr>
              <w:pStyle w:val="24"/>
              <w:snapToGrid/>
              <w:spacing w:before="0" w:beforeAutospacing="0" w:after="0" w:afterAutospacing="0" w:line="420" w:lineRule="atLeast"/>
              <w:jc w:val="center"/>
              <w:rPr>
                <w:sz w:val="21"/>
              </w:rPr>
            </w:pPr>
          </w:p>
        </w:tc>
        <w:tc>
          <w:tcPr>
            <w:tcW w:w="366" w:type="dxa"/>
            <w:vAlign w:val="center"/>
          </w:tcPr>
          <w:p w14:paraId="0E509A79">
            <w:pPr>
              <w:pStyle w:val="24"/>
              <w:snapToGrid/>
              <w:spacing w:before="0" w:beforeAutospacing="0" w:after="0" w:afterAutospacing="0" w:line="420" w:lineRule="atLeast"/>
              <w:jc w:val="center"/>
              <w:rPr>
                <w:sz w:val="21"/>
              </w:rPr>
            </w:pPr>
          </w:p>
        </w:tc>
        <w:tc>
          <w:tcPr>
            <w:tcW w:w="366" w:type="dxa"/>
            <w:vAlign w:val="center"/>
          </w:tcPr>
          <w:p w14:paraId="18F5DBCC">
            <w:pPr>
              <w:pStyle w:val="24"/>
              <w:snapToGrid/>
              <w:spacing w:before="0" w:beforeAutospacing="0" w:after="0" w:afterAutospacing="0" w:line="420" w:lineRule="atLeast"/>
              <w:jc w:val="center"/>
              <w:rPr>
                <w:sz w:val="21"/>
              </w:rPr>
            </w:pPr>
          </w:p>
        </w:tc>
        <w:tc>
          <w:tcPr>
            <w:tcW w:w="366" w:type="dxa"/>
            <w:vAlign w:val="center"/>
          </w:tcPr>
          <w:p w14:paraId="09A85289">
            <w:pPr>
              <w:pStyle w:val="24"/>
              <w:snapToGrid/>
              <w:spacing w:before="0" w:beforeAutospacing="0" w:after="0" w:afterAutospacing="0" w:line="420" w:lineRule="atLeast"/>
              <w:jc w:val="center"/>
              <w:rPr>
                <w:sz w:val="21"/>
              </w:rPr>
            </w:pPr>
          </w:p>
        </w:tc>
        <w:tc>
          <w:tcPr>
            <w:tcW w:w="516" w:type="dxa"/>
            <w:vAlign w:val="center"/>
          </w:tcPr>
          <w:p w14:paraId="5D50D5C8">
            <w:pPr>
              <w:pStyle w:val="24"/>
              <w:snapToGrid/>
              <w:spacing w:before="0" w:beforeAutospacing="0" w:after="0" w:afterAutospacing="0" w:line="420" w:lineRule="atLeast"/>
              <w:jc w:val="center"/>
              <w:rPr>
                <w:sz w:val="21"/>
              </w:rPr>
            </w:pPr>
          </w:p>
        </w:tc>
        <w:tc>
          <w:tcPr>
            <w:tcW w:w="366" w:type="dxa"/>
            <w:vAlign w:val="center"/>
          </w:tcPr>
          <w:p w14:paraId="45B5289B">
            <w:pPr>
              <w:pStyle w:val="24"/>
              <w:snapToGrid/>
              <w:spacing w:before="0" w:beforeAutospacing="0" w:after="0" w:afterAutospacing="0" w:line="420" w:lineRule="atLeast"/>
              <w:jc w:val="center"/>
              <w:rPr>
                <w:sz w:val="21"/>
              </w:rPr>
            </w:pPr>
          </w:p>
        </w:tc>
        <w:tc>
          <w:tcPr>
            <w:tcW w:w="366" w:type="dxa"/>
            <w:vAlign w:val="center"/>
          </w:tcPr>
          <w:p w14:paraId="4F2BD1C4">
            <w:pPr>
              <w:pStyle w:val="24"/>
              <w:snapToGrid/>
              <w:spacing w:before="0" w:beforeAutospacing="0" w:after="0" w:afterAutospacing="0" w:line="420" w:lineRule="atLeast"/>
              <w:jc w:val="center"/>
              <w:rPr>
                <w:sz w:val="21"/>
              </w:rPr>
            </w:pPr>
          </w:p>
        </w:tc>
        <w:tc>
          <w:tcPr>
            <w:tcW w:w="516" w:type="dxa"/>
            <w:vAlign w:val="center"/>
          </w:tcPr>
          <w:p w14:paraId="1A79B6FE">
            <w:pPr>
              <w:pStyle w:val="24"/>
              <w:snapToGrid/>
              <w:spacing w:before="0" w:beforeAutospacing="0" w:after="0" w:afterAutospacing="0" w:line="420" w:lineRule="atLeast"/>
              <w:jc w:val="center"/>
              <w:rPr>
                <w:sz w:val="21"/>
              </w:rPr>
            </w:pPr>
          </w:p>
        </w:tc>
        <w:tc>
          <w:tcPr>
            <w:tcW w:w="366" w:type="dxa"/>
            <w:vAlign w:val="center"/>
          </w:tcPr>
          <w:p w14:paraId="518F7CCB">
            <w:pPr>
              <w:pStyle w:val="24"/>
              <w:snapToGrid/>
              <w:spacing w:before="0" w:beforeAutospacing="0" w:after="0" w:afterAutospacing="0" w:line="420" w:lineRule="atLeast"/>
              <w:jc w:val="center"/>
              <w:rPr>
                <w:sz w:val="21"/>
              </w:rPr>
            </w:pPr>
          </w:p>
        </w:tc>
        <w:tc>
          <w:tcPr>
            <w:tcW w:w="516" w:type="dxa"/>
            <w:vAlign w:val="center"/>
          </w:tcPr>
          <w:p w14:paraId="04A3EAD2">
            <w:pPr>
              <w:pStyle w:val="24"/>
              <w:snapToGrid/>
              <w:spacing w:before="0" w:beforeAutospacing="0" w:after="0" w:afterAutospacing="0" w:line="420" w:lineRule="atLeast"/>
              <w:jc w:val="center"/>
              <w:rPr>
                <w:sz w:val="21"/>
              </w:rPr>
            </w:pPr>
          </w:p>
        </w:tc>
        <w:tc>
          <w:tcPr>
            <w:tcW w:w="366" w:type="dxa"/>
            <w:vAlign w:val="center"/>
          </w:tcPr>
          <w:p w14:paraId="48D1A01B">
            <w:pPr>
              <w:pStyle w:val="24"/>
              <w:snapToGrid/>
              <w:spacing w:before="0" w:beforeAutospacing="0" w:after="0" w:afterAutospacing="0" w:line="420" w:lineRule="atLeast"/>
              <w:jc w:val="center"/>
              <w:rPr>
                <w:sz w:val="21"/>
              </w:rPr>
            </w:pPr>
          </w:p>
        </w:tc>
        <w:tc>
          <w:tcPr>
            <w:tcW w:w="666" w:type="dxa"/>
            <w:vAlign w:val="center"/>
          </w:tcPr>
          <w:p w14:paraId="6F867E4C">
            <w:pPr>
              <w:pStyle w:val="24"/>
              <w:snapToGrid/>
              <w:spacing w:before="0" w:beforeAutospacing="0" w:after="0" w:afterAutospacing="0" w:line="420" w:lineRule="atLeast"/>
              <w:jc w:val="center"/>
              <w:rPr>
                <w:sz w:val="21"/>
              </w:rPr>
            </w:pPr>
          </w:p>
        </w:tc>
        <w:tc>
          <w:tcPr>
            <w:tcW w:w="516" w:type="dxa"/>
            <w:vAlign w:val="center"/>
          </w:tcPr>
          <w:p w14:paraId="39AD95E0">
            <w:pPr>
              <w:pStyle w:val="24"/>
              <w:snapToGrid/>
              <w:spacing w:before="0" w:beforeAutospacing="0" w:after="0" w:afterAutospacing="0" w:line="420" w:lineRule="atLeast"/>
              <w:jc w:val="center"/>
              <w:rPr>
                <w:sz w:val="21"/>
              </w:rPr>
            </w:pPr>
          </w:p>
        </w:tc>
        <w:tc>
          <w:tcPr>
            <w:tcW w:w="366" w:type="dxa"/>
            <w:vAlign w:val="center"/>
          </w:tcPr>
          <w:p w14:paraId="7BCF3782">
            <w:pPr>
              <w:pStyle w:val="24"/>
              <w:snapToGrid/>
              <w:spacing w:before="0" w:beforeAutospacing="0" w:after="0" w:afterAutospacing="0" w:line="420" w:lineRule="atLeast"/>
              <w:jc w:val="center"/>
              <w:rPr>
                <w:sz w:val="21"/>
              </w:rPr>
            </w:pPr>
          </w:p>
        </w:tc>
        <w:tc>
          <w:tcPr>
            <w:tcW w:w="366" w:type="dxa"/>
            <w:vAlign w:val="center"/>
          </w:tcPr>
          <w:p w14:paraId="47839912">
            <w:pPr>
              <w:pStyle w:val="24"/>
              <w:snapToGrid/>
              <w:spacing w:before="0" w:beforeAutospacing="0" w:after="0" w:afterAutospacing="0" w:line="420" w:lineRule="atLeast"/>
              <w:jc w:val="center"/>
              <w:rPr>
                <w:sz w:val="21"/>
              </w:rPr>
            </w:pPr>
          </w:p>
        </w:tc>
        <w:tc>
          <w:tcPr>
            <w:tcW w:w="516" w:type="dxa"/>
            <w:vAlign w:val="center"/>
          </w:tcPr>
          <w:p w14:paraId="7C4263A0">
            <w:pPr>
              <w:pStyle w:val="24"/>
              <w:snapToGrid/>
              <w:spacing w:before="0" w:beforeAutospacing="0" w:after="0" w:afterAutospacing="0" w:line="420" w:lineRule="atLeast"/>
              <w:jc w:val="center"/>
              <w:rPr>
                <w:sz w:val="21"/>
              </w:rPr>
            </w:pPr>
          </w:p>
        </w:tc>
        <w:tc>
          <w:tcPr>
            <w:tcW w:w="366" w:type="dxa"/>
            <w:vAlign w:val="center"/>
          </w:tcPr>
          <w:p w14:paraId="7077BEE0">
            <w:pPr>
              <w:pStyle w:val="24"/>
              <w:snapToGrid/>
              <w:spacing w:before="0" w:beforeAutospacing="0" w:after="0" w:afterAutospacing="0" w:line="420" w:lineRule="atLeast"/>
              <w:jc w:val="center"/>
              <w:rPr>
                <w:sz w:val="21"/>
              </w:rPr>
            </w:pPr>
          </w:p>
        </w:tc>
        <w:tc>
          <w:tcPr>
            <w:tcW w:w="221" w:type="dxa"/>
            <w:vAlign w:val="center"/>
          </w:tcPr>
          <w:p w14:paraId="60BDBEE7">
            <w:pPr>
              <w:pStyle w:val="24"/>
              <w:snapToGrid/>
              <w:spacing w:before="0" w:beforeAutospacing="0" w:after="0" w:afterAutospacing="0" w:line="420" w:lineRule="atLeast"/>
              <w:jc w:val="center"/>
              <w:rPr>
                <w:sz w:val="21"/>
              </w:rPr>
            </w:pPr>
          </w:p>
        </w:tc>
        <w:tc>
          <w:tcPr>
            <w:tcW w:w="221" w:type="dxa"/>
            <w:vAlign w:val="center"/>
          </w:tcPr>
          <w:p w14:paraId="276EEF9E">
            <w:pPr>
              <w:pStyle w:val="24"/>
              <w:snapToGrid/>
              <w:spacing w:before="0" w:beforeAutospacing="0" w:after="0" w:afterAutospacing="0" w:line="420" w:lineRule="atLeast"/>
              <w:jc w:val="center"/>
              <w:rPr>
                <w:sz w:val="21"/>
              </w:rPr>
            </w:pPr>
          </w:p>
        </w:tc>
        <w:tc>
          <w:tcPr>
            <w:tcW w:w="221" w:type="dxa"/>
            <w:vAlign w:val="center"/>
          </w:tcPr>
          <w:p w14:paraId="0B02888F">
            <w:pPr>
              <w:pStyle w:val="24"/>
              <w:snapToGrid/>
              <w:spacing w:before="0" w:beforeAutospacing="0" w:after="0" w:afterAutospacing="0" w:line="420" w:lineRule="atLeast"/>
              <w:jc w:val="center"/>
              <w:rPr>
                <w:sz w:val="21"/>
              </w:rPr>
            </w:pPr>
          </w:p>
        </w:tc>
        <w:tc>
          <w:tcPr>
            <w:tcW w:w="221" w:type="dxa"/>
            <w:vAlign w:val="center"/>
          </w:tcPr>
          <w:p w14:paraId="39404DCA">
            <w:pPr>
              <w:pStyle w:val="24"/>
              <w:snapToGrid/>
              <w:spacing w:before="0" w:beforeAutospacing="0" w:after="0" w:afterAutospacing="0" w:line="420" w:lineRule="atLeast"/>
              <w:jc w:val="center"/>
              <w:rPr>
                <w:sz w:val="21"/>
              </w:rPr>
            </w:pPr>
          </w:p>
        </w:tc>
      </w:tr>
    </w:tbl>
    <w:p w14:paraId="21EA4BC6">
      <w:pPr>
        <w:pStyle w:val="24"/>
        <w:snapToGrid/>
        <w:spacing w:before="0" w:beforeAutospacing="0" w:after="0" w:afterAutospacing="0" w:line="420" w:lineRule="atLeast"/>
        <w:jc w:val="both"/>
        <w:rPr>
          <w:sz w:val="21"/>
        </w:rPr>
      </w:pPr>
    </w:p>
    <w:p w14:paraId="39CAE01F">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614990D5"/>
    <w:p w14:paraId="646B371A"/>
    <w:p w14:paraId="2EE73FD1"/>
    <w:p w14:paraId="0FF45242">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21</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52C61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0832F0A1">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5A39C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631A0088">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1E294FBA">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36B42149">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522C756C">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556F917B">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0F7FFCE7">
            <w:pPr>
              <w:pStyle w:val="24"/>
              <w:snapToGrid/>
              <w:spacing w:before="0" w:beforeAutospacing="0" w:after="0" w:afterAutospacing="0" w:line="420" w:lineRule="atLeast"/>
              <w:jc w:val="center"/>
              <w:rPr>
                <w:sz w:val="21"/>
              </w:rPr>
            </w:pPr>
            <w:r>
              <w:rPr>
                <w:rFonts w:hint="eastAsia"/>
                <w:sz w:val="21"/>
              </w:rPr>
              <w:t>单设备非国产芯片数量（颗）</w:t>
            </w:r>
          </w:p>
        </w:tc>
      </w:tr>
      <w:tr w14:paraId="078E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08E1B615">
            <w:pPr>
              <w:pStyle w:val="24"/>
              <w:snapToGrid/>
              <w:spacing w:before="0" w:beforeAutospacing="0" w:after="0" w:afterAutospacing="0" w:line="420" w:lineRule="atLeast"/>
              <w:jc w:val="center"/>
              <w:rPr>
                <w:rFonts w:hint="default" w:eastAsia="宋体"/>
                <w:sz w:val="21"/>
                <w:u w:val="single"/>
                <w:lang w:val="en-US" w:eastAsia="zh-CN"/>
              </w:rPr>
            </w:pPr>
            <w:r>
              <w:rPr>
                <w:rFonts w:hint="eastAsia"/>
                <w:sz w:val="21"/>
                <w:u w:val="single"/>
                <w:lang w:val="en-US" w:eastAsia="zh-CN"/>
              </w:rPr>
              <w:t>抗DDOS</w:t>
            </w:r>
          </w:p>
        </w:tc>
        <w:tc>
          <w:tcPr>
            <w:tcW w:w="1545" w:type="dxa"/>
            <w:vAlign w:val="center"/>
          </w:tcPr>
          <w:p w14:paraId="058801BA">
            <w:pPr>
              <w:pStyle w:val="24"/>
              <w:snapToGrid/>
              <w:spacing w:before="0" w:beforeAutospacing="0" w:after="0" w:afterAutospacing="0" w:line="420" w:lineRule="atLeast"/>
              <w:jc w:val="center"/>
              <w:rPr>
                <w:sz w:val="21"/>
              </w:rPr>
            </w:pPr>
          </w:p>
        </w:tc>
        <w:tc>
          <w:tcPr>
            <w:tcW w:w="1420" w:type="dxa"/>
            <w:vAlign w:val="center"/>
          </w:tcPr>
          <w:p w14:paraId="206D5904">
            <w:pPr>
              <w:pStyle w:val="24"/>
              <w:snapToGrid/>
              <w:spacing w:before="0" w:beforeAutospacing="0" w:after="0" w:afterAutospacing="0" w:line="420" w:lineRule="atLeast"/>
              <w:jc w:val="center"/>
              <w:rPr>
                <w:sz w:val="21"/>
              </w:rPr>
            </w:pPr>
          </w:p>
        </w:tc>
        <w:tc>
          <w:tcPr>
            <w:tcW w:w="1420" w:type="dxa"/>
            <w:vAlign w:val="center"/>
          </w:tcPr>
          <w:p w14:paraId="5114E7C6">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23C56914">
            <w:pPr>
              <w:pStyle w:val="24"/>
              <w:snapToGrid/>
              <w:spacing w:before="0" w:beforeAutospacing="0" w:after="0" w:afterAutospacing="0" w:line="420" w:lineRule="atLeast"/>
              <w:jc w:val="center"/>
              <w:rPr>
                <w:sz w:val="21"/>
              </w:rPr>
            </w:pPr>
          </w:p>
        </w:tc>
        <w:tc>
          <w:tcPr>
            <w:tcW w:w="1421" w:type="dxa"/>
            <w:vAlign w:val="center"/>
          </w:tcPr>
          <w:p w14:paraId="6C414A9C">
            <w:pPr>
              <w:pStyle w:val="24"/>
              <w:snapToGrid/>
              <w:spacing w:before="0" w:beforeAutospacing="0" w:after="0" w:afterAutospacing="0" w:line="420" w:lineRule="atLeast"/>
              <w:jc w:val="center"/>
              <w:rPr>
                <w:sz w:val="21"/>
              </w:rPr>
            </w:pPr>
          </w:p>
        </w:tc>
      </w:tr>
      <w:tr w14:paraId="5F4C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29D09581">
            <w:pPr>
              <w:pStyle w:val="24"/>
              <w:snapToGrid/>
              <w:spacing w:before="0" w:beforeAutospacing="0" w:after="0" w:afterAutospacing="0" w:line="420" w:lineRule="atLeast"/>
              <w:jc w:val="center"/>
              <w:rPr>
                <w:sz w:val="21"/>
              </w:rPr>
            </w:pPr>
          </w:p>
        </w:tc>
        <w:tc>
          <w:tcPr>
            <w:tcW w:w="1545" w:type="dxa"/>
            <w:vAlign w:val="center"/>
          </w:tcPr>
          <w:p w14:paraId="4EF03E77">
            <w:pPr>
              <w:pStyle w:val="24"/>
              <w:snapToGrid/>
              <w:spacing w:before="0" w:beforeAutospacing="0" w:after="0" w:afterAutospacing="0" w:line="420" w:lineRule="atLeast"/>
              <w:jc w:val="center"/>
              <w:rPr>
                <w:sz w:val="21"/>
              </w:rPr>
            </w:pPr>
          </w:p>
        </w:tc>
        <w:tc>
          <w:tcPr>
            <w:tcW w:w="1420" w:type="dxa"/>
            <w:vAlign w:val="center"/>
          </w:tcPr>
          <w:p w14:paraId="35F93808">
            <w:pPr>
              <w:pStyle w:val="24"/>
              <w:snapToGrid/>
              <w:spacing w:before="0" w:beforeAutospacing="0" w:after="0" w:afterAutospacing="0" w:line="420" w:lineRule="atLeast"/>
              <w:jc w:val="center"/>
              <w:rPr>
                <w:sz w:val="21"/>
              </w:rPr>
            </w:pPr>
          </w:p>
        </w:tc>
        <w:tc>
          <w:tcPr>
            <w:tcW w:w="1420" w:type="dxa"/>
            <w:vAlign w:val="center"/>
          </w:tcPr>
          <w:p w14:paraId="01AC1328">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0D28992A">
            <w:pPr>
              <w:pStyle w:val="24"/>
              <w:snapToGrid/>
              <w:spacing w:before="0" w:beforeAutospacing="0" w:after="0" w:afterAutospacing="0" w:line="420" w:lineRule="atLeast"/>
              <w:jc w:val="center"/>
              <w:rPr>
                <w:sz w:val="21"/>
              </w:rPr>
            </w:pPr>
          </w:p>
        </w:tc>
        <w:tc>
          <w:tcPr>
            <w:tcW w:w="1421" w:type="dxa"/>
            <w:vAlign w:val="center"/>
          </w:tcPr>
          <w:p w14:paraId="4F6C5B10">
            <w:pPr>
              <w:pStyle w:val="24"/>
              <w:snapToGrid/>
              <w:spacing w:before="0" w:beforeAutospacing="0" w:after="0" w:afterAutospacing="0" w:line="420" w:lineRule="atLeast"/>
              <w:jc w:val="center"/>
              <w:rPr>
                <w:sz w:val="21"/>
              </w:rPr>
            </w:pPr>
          </w:p>
        </w:tc>
      </w:tr>
      <w:tr w14:paraId="6EA8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4A2A7183">
            <w:pPr>
              <w:pStyle w:val="24"/>
              <w:snapToGrid/>
              <w:spacing w:before="0" w:beforeAutospacing="0" w:after="0" w:afterAutospacing="0" w:line="420" w:lineRule="atLeast"/>
              <w:jc w:val="center"/>
              <w:rPr>
                <w:sz w:val="21"/>
              </w:rPr>
            </w:pPr>
          </w:p>
        </w:tc>
        <w:tc>
          <w:tcPr>
            <w:tcW w:w="1545" w:type="dxa"/>
            <w:vAlign w:val="center"/>
          </w:tcPr>
          <w:p w14:paraId="105C2EF0">
            <w:pPr>
              <w:pStyle w:val="24"/>
              <w:snapToGrid/>
              <w:spacing w:before="0" w:beforeAutospacing="0" w:after="0" w:afterAutospacing="0" w:line="420" w:lineRule="atLeast"/>
              <w:jc w:val="center"/>
              <w:rPr>
                <w:sz w:val="21"/>
              </w:rPr>
            </w:pPr>
          </w:p>
        </w:tc>
        <w:tc>
          <w:tcPr>
            <w:tcW w:w="1420" w:type="dxa"/>
            <w:vAlign w:val="center"/>
          </w:tcPr>
          <w:p w14:paraId="47120A1D">
            <w:pPr>
              <w:pStyle w:val="24"/>
              <w:snapToGrid/>
              <w:spacing w:before="0" w:beforeAutospacing="0" w:after="0" w:afterAutospacing="0" w:line="420" w:lineRule="atLeast"/>
              <w:jc w:val="center"/>
              <w:rPr>
                <w:sz w:val="21"/>
              </w:rPr>
            </w:pPr>
          </w:p>
        </w:tc>
        <w:tc>
          <w:tcPr>
            <w:tcW w:w="1420" w:type="dxa"/>
            <w:vAlign w:val="center"/>
          </w:tcPr>
          <w:p w14:paraId="7549AB43">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4C6CFF69">
            <w:pPr>
              <w:pStyle w:val="24"/>
              <w:snapToGrid/>
              <w:spacing w:before="0" w:beforeAutospacing="0" w:after="0" w:afterAutospacing="0" w:line="420" w:lineRule="atLeast"/>
              <w:jc w:val="center"/>
              <w:rPr>
                <w:sz w:val="21"/>
              </w:rPr>
            </w:pPr>
          </w:p>
        </w:tc>
        <w:tc>
          <w:tcPr>
            <w:tcW w:w="1421" w:type="dxa"/>
            <w:vAlign w:val="center"/>
          </w:tcPr>
          <w:p w14:paraId="72B44B9C">
            <w:pPr>
              <w:pStyle w:val="24"/>
              <w:snapToGrid/>
              <w:spacing w:before="0" w:beforeAutospacing="0" w:after="0" w:afterAutospacing="0" w:line="420" w:lineRule="atLeast"/>
              <w:jc w:val="center"/>
              <w:rPr>
                <w:sz w:val="21"/>
              </w:rPr>
            </w:pPr>
          </w:p>
        </w:tc>
      </w:tr>
      <w:tr w14:paraId="12A6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42E383F7">
            <w:pPr>
              <w:pStyle w:val="24"/>
              <w:snapToGrid/>
              <w:spacing w:before="0" w:beforeAutospacing="0" w:after="0" w:afterAutospacing="0" w:line="420" w:lineRule="atLeast"/>
              <w:jc w:val="center"/>
              <w:rPr>
                <w:sz w:val="21"/>
              </w:rPr>
            </w:pPr>
          </w:p>
        </w:tc>
        <w:tc>
          <w:tcPr>
            <w:tcW w:w="1545" w:type="dxa"/>
            <w:vAlign w:val="center"/>
          </w:tcPr>
          <w:p w14:paraId="148BD5DE">
            <w:pPr>
              <w:pStyle w:val="24"/>
              <w:snapToGrid/>
              <w:spacing w:before="0" w:beforeAutospacing="0" w:after="0" w:afterAutospacing="0" w:line="420" w:lineRule="atLeast"/>
              <w:jc w:val="center"/>
              <w:rPr>
                <w:sz w:val="21"/>
              </w:rPr>
            </w:pPr>
          </w:p>
        </w:tc>
        <w:tc>
          <w:tcPr>
            <w:tcW w:w="1420" w:type="dxa"/>
            <w:vAlign w:val="center"/>
          </w:tcPr>
          <w:p w14:paraId="7D37ED13">
            <w:pPr>
              <w:pStyle w:val="24"/>
              <w:snapToGrid/>
              <w:spacing w:before="0" w:beforeAutospacing="0" w:after="0" w:afterAutospacing="0" w:line="420" w:lineRule="atLeast"/>
              <w:jc w:val="center"/>
              <w:rPr>
                <w:sz w:val="21"/>
              </w:rPr>
            </w:pPr>
          </w:p>
        </w:tc>
        <w:tc>
          <w:tcPr>
            <w:tcW w:w="1420" w:type="dxa"/>
            <w:vAlign w:val="center"/>
          </w:tcPr>
          <w:p w14:paraId="4101DA1D">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1E25368E">
            <w:pPr>
              <w:pStyle w:val="24"/>
              <w:snapToGrid/>
              <w:spacing w:before="0" w:beforeAutospacing="0" w:after="0" w:afterAutospacing="0" w:line="420" w:lineRule="atLeast"/>
              <w:jc w:val="center"/>
              <w:rPr>
                <w:sz w:val="21"/>
              </w:rPr>
            </w:pPr>
          </w:p>
        </w:tc>
        <w:tc>
          <w:tcPr>
            <w:tcW w:w="1421" w:type="dxa"/>
            <w:vAlign w:val="center"/>
          </w:tcPr>
          <w:p w14:paraId="1215D750">
            <w:pPr>
              <w:pStyle w:val="24"/>
              <w:snapToGrid/>
              <w:spacing w:before="0" w:beforeAutospacing="0" w:after="0" w:afterAutospacing="0" w:line="420" w:lineRule="atLeast"/>
              <w:jc w:val="center"/>
              <w:rPr>
                <w:sz w:val="21"/>
              </w:rPr>
            </w:pPr>
          </w:p>
        </w:tc>
      </w:tr>
      <w:tr w14:paraId="5976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74835BFB">
            <w:pPr>
              <w:pStyle w:val="24"/>
              <w:snapToGrid/>
              <w:spacing w:before="0" w:beforeAutospacing="0" w:after="0" w:afterAutospacing="0" w:line="420" w:lineRule="atLeast"/>
              <w:jc w:val="center"/>
              <w:rPr>
                <w:sz w:val="21"/>
              </w:rPr>
            </w:pPr>
          </w:p>
        </w:tc>
        <w:tc>
          <w:tcPr>
            <w:tcW w:w="1545" w:type="dxa"/>
            <w:vAlign w:val="center"/>
          </w:tcPr>
          <w:p w14:paraId="18FADFC2">
            <w:pPr>
              <w:pStyle w:val="24"/>
              <w:snapToGrid/>
              <w:spacing w:before="0" w:beforeAutospacing="0" w:after="0" w:afterAutospacing="0" w:line="420" w:lineRule="atLeast"/>
              <w:jc w:val="center"/>
              <w:rPr>
                <w:sz w:val="21"/>
              </w:rPr>
            </w:pPr>
          </w:p>
        </w:tc>
        <w:tc>
          <w:tcPr>
            <w:tcW w:w="1420" w:type="dxa"/>
            <w:vAlign w:val="center"/>
          </w:tcPr>
          <w:p w14:paraId="47C2911F">
            <w:pPr>
              <w:pStyle w:val="24"/>
              <w:snapToGrid/>
              <w:spacing w:before="0" w:beforeAutospacing="0" w:after="0" w:afterAutospacing="0" w:line="420" w:lineRule="atLeast"/>
              <w:jc w:val="center"/>
              <w:rPr>
                <w:sz w:val="21"/>
              </w:rPr>
            </w:pPr>
          </w:p>
        </w:tc>
        <w:tc>
          <w:tcPr>
            <w:tcW w:w="1420" w:type="dxa"/>
            <w:vAlign w:val="center"/>
          </w:tcPr>
          <w:p w14:paraId="57053F06">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50FB4626">
            <w:pPr>
              <w:pStyle w:val="24"/>
              <w:snapToGrid/>
              <w:spacing w:before="0" w:beforeAutospacing="0" w:after="0" w:afterAutospacing="0" w:line="420" w:lineRule="atLeast"/>
              <w:jc w:val="center"/>
              <w:rPr>
                <w:sz w:val="21"/>
              </w:rPr>
            </w:pPr>
          </w:p>
        </w:tc>
        <w:tc>
          <w:tcPr>
            <w:tcW w:w="1421" w:type="dxa"/>
            <w:vAlign w:val="center"/>
          </w:tcPr>
          <w:p w14:paraId="478A5EF5">
            <w:pPr>
              <w:pStyle w:val="24"/>
              <w:snapToGrid/>
              <w:spacing w:before="0" w:beforeAutospacing="0" w:after="0" w:afterAutospacing="0" w:line="420" w:lineRule="atLeast"/>
              <w:jc w:val="center"/>
              <w:rPr>
                <w:sz w:val="21"/>
              </w:rPr>
            </w:pPr>
          </w:p>
        </w:tc>
      </w:tr>
      <w:tr w14:paraId="2D1A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03225B83">
            <w:pPr>
              <w:pStyle w:val="24"/>
              <w:snapToGrid/>
              <w:spacing w:before="0" w:beforeAutospacing="0" w:after="0" w:afterAutospacing="0" w:line="420" w:lineRule="atLeast"/>
              <w:jc w:val="center"/>
              <w:rPr>
                <w:sz w:val="21"/>
              </w:rPr>
            </w:pPr>
          </w:p>
        </w:tc>
        <w:tc>
          <w:tcPr>
            <w:tcW w:w="1545" w:type="dxa"/>
            <w:vAlign w:val="center"/>
          </w:tcPr>
          <w:p w14:paraId="1CCC99F9">
            <w:pPr>
              <w:pStyle w:val="24"/>
              <w:snapToGrid/>
              <w:spacing w:before="0" w:beforeAutospacing="0" w:after="0" w:afterAutospacing="0" w:line="420" w:lineRule="atLeast"/>
              <w:jc w:val="center"/>
              <w:rPr>
                <w:sz w:val="21"/>
              </w:rPr>
            </w:pPr>
          </w:p>
        </w:tc>
        <w:tc>
          <w:tcPr>
            <w:tcW w:w="1420" w:type="dxa"/>
            <w:vAlign w:val="center"/>
          </w:tcPr>
          <w:p w14:paraId="027C4E0F">
            <w:pPr>
              <w:pStyle w:val="24"/>
              <w:snapToGrid/>
              <w:spacing w:before="0" w:beforeAutospacing="0" w:after="0" w:afterAutospacing="0" w:line="420" w:lineRule="atLeast"/>
              <w:jc w:val="center"/>
              <w:rPr>
                <w:sz w:val="21"/>
              </w:rPr>
            </w:pPr>
          </w:p>
        </w:tc>
        <w:tc>
          <w:tcPr>
            <w:tcW w:w="1420" w:type="dxa"/>
            <w:vAlign w:val="center"/>
          </w:tcPr>
          <w:p w14:paraId="421E8CEF">
            <w:pPr>
              <w:widowControl/>
              <w:snapToGrid/>
              <w:spacing w:line="420" w:lineRule="atLeast"/>
              <w:jc w:val="center"/>
            </w:pPr>
            <w:r>
              <w:rPr>
                <w:rFonts w:hint="eastAsia"/>
              </w:rPr>
              <w:t>电源模块控制芯片</w:t>
            </w:r>
          </w:p>
        </w:tc>
        <w:tc>
          <w:tcPr>
            <w:tcW w:w="1421" w:type="dxa"/>
            <w:vAlign w:val="center"/>
          </w:tcPr>
          <w:p w14:paraId="78D59D1B">
            <w:pPr>
              <w:pStyle w:val="24"/>
              <w:snapToGrid/>
              <w:spacing w:before="0" w:beforeAutospacing="0" w:after="0" w:afterAutospacing="0" w:line="420" w:lineRule="atLeast"/>
              <w:jc w:val="center"/>
              <w:rPr>
                <w:sz w:val="21"/>
              </w:rPr>
            </w:pPr>
          </w:p>
        </w:tc>
        <w:tc>
          <w:tcPr>
            <w:tcW w:w="1421" w:type="dxa"/>
            <w:vAlign w:val="center"/>
          </w:tcPr>
          <w:p w14:paraId="2A757017">
            <w:pPr>
              <w:pStyle w:val="24"/>
              <w:snapToGrid/>
              <w:spacing w:before="0" w:beforeAutospacing="0" w:after="0" w:afterAutospacing="0" w:line="420" w:lineRule="atLeast"/>
              <w:jc w:val="center"/>
              <w:rPr>
                <w:sz w:val="21"/>
              </w:rPr>
            </w:pPr>
          </w:p>
        </w:tc>
      </w:tr>
    </w:tbl>
    <w:p w14:paraId="5DD6B741">
      <w:pPr>
        <w:pStyle w:val="24"/>
        <w:spacing w:before="900" w:beforeAutospacing="0" w:after="0" w:afterAutospacing="0" w:line="420" w:lineRule="atLeast"/>
        <w:jc w:val="both"/>
        <w:rPr>
          <w:rFonts w:cs="宋体"/>
          <w:sz w:val="28"/>
          <w:szCs w:val="28"/>
        </w:rPr>
      </w:pPr>
    </w:p>
    <w:p w14:paraId="72804E36">
      <w:pPr>
        <w:pStyle w:val="24"/>
        <w:spacing w:before="900" w:beforeAutospacing="0" w:after="0" w:afterAutospacing="0" w:line="420" w:lineRule="atLeast"/>
        <w:jc w:val="both"/>
        <w:rPr>
          <w:rFonts w:cs="宋体"/>
          <w:sz w:val="28"/>
          <w:szCs w:val="28"/>
        </w:rPr>
      </w:pPr>
    </w:p>
    <w:p w14:paraId="40A783F5">
      <w:pPr>
        <w:pStyle w:val="24"/>
        <w:spacing w:before="900" w:beforeAutospacing="0" w:after="0" w:afterAutospacing="0" w:line="420" w:lineRule="atLeast"/>
        <w:jc w:val="both"/>
        <w:rPr>
          <w:rFonts w:cs="宋体"/>
          <w:sz w:val="28"/>
          <w:szCs w:val="28"/>
        </w:rPr>
      </w:pPr>
    </w:p>
    <w:p w14:paraId="7E2906B8">
      <w:pPr>
        <w:pStyle w:val="24"/>
        <w:spacing w:before="900" w:beforeAutospacing="0" w:after="0" w:afterAutospacing="0" w:line="420" w:lineRule="atLeast"/>
        <w:jc w:val="both"/>
        <w:rPr>
          <w:rFonts w:cs="宋体"/>
          <w:sz w:val="28"/>
          <w:szCs w:val="28"/>
        </w:rPr>
      </w:pPr>
    </w:p>
    <w:p w14:paraId="67D96521">
      <w:pPr>
        <w:pStyle w:val="24"/>
        <w:spacing w:before="900" w:beforeAutospacing="0" w:after="0" w:afterAutospacing="0" w:line="420" w:lineRule="atLeast"/>
        <w:jc w:val="both"/>
        <w:rPr>
          <w:rFonts w:cs="宋体"/>
          <w:sz w:val="28"/>
          <w:szCs w:val="28"/>
        </w:rPr>
      </w:pPr>
    </w:p>
    <w:p w14:paraId="7307B7E9">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22</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447D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16BA1A7C">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196B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5FA7EDFD">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1545C0FD">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5880508A">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4678CBDB">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30DA9A5C">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54A78DEC">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41A269AC">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59E27CE2">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61B46F00">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33E504E8">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37F9B35D">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261E5CF1">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4224BBC4">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48397D53">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2BED03C3">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2496C7D7">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4ADD7B13">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33762439">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05A7E6CB">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095C6C4B">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67FB952C">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1B83ACAF">
            <w:pPr>
              <w:pStyle w:val="24"/>
              <w:snapToGrid/>
              <w:spacing w:before="0" w:beforeAutospacing="0" w:after="0" w:afterAutospacing="0" w:line="420" w:lineRule="atLeast"/>
              <w:jc w:val="center"/>
              <w:rPr>
                <w:sz w:val="21"/>
              </w:rPr>
            </w:pPr>
            <w:r>
              <w:rPr>
                <w:rFonts w:hint="eastAsia"/>
                <w:sz w:val="21"/>
              </w:rPr>
              <w:t>境内/境外</w:t>
            </w:r>
          </w:p>
        </w:tc>
      </w:tr>
      <w:tr w14:paraId="4E11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1D52D9A2">
            <w:pPr>
              <w:pStyle w:val="24"/>
              <w:snapToGrid/>
              <w:spacing w:before="0" w:beforeAutospacing="0" w:after="0" w:afterAutospacing="0" w:line="420" w:lineRule="atLeast"/>
              <w:jc w:val="center"/>
              <w:rPr>
                <w:sz w:val="21"/>
              </w:rPr>
            </w:pPr>
          </w:p>
        </w:tc>
        <w:tc>
          <w:tcPr>
            <w:tcW w:w="366" w:type="dxa"/>
            <w:vAlign w:val="center"/>
          </w:tcPr>
          <w:p w14:paraId="423A24F3">
            <w:pPr>
              <w:pStyle w:val="24"/>
              <w:snapToGrid/>
              <w:spacing w:before="0" w:beforeAutospacing="0" w:after="0" w:afterAutospacing="0" w:line="420" w:lineRule="atLeast"/>
              <w:jc w:val="center"/>
              <w:rPr>
                <w:sz w:val="21"/>
              </w:rPr>
            </w:pPr>
          </w:p>
        </w:tc>
        <w:tc>
          <w:tcPr>
            <w:tcW w:w="366" w:type="dxa"/>
            <w:vAlign w:val="center"/>
          </w:tcPr>
          <w:p w14:paraId="08809493">
            <w:pPr>
              <w:pStyle w:val="24"/>
              <w:snapToGrid/>
              <w:spacing w:before="0" w:beforeAutospacing="0" w:after="0" w:afterAutospacing="0" w:line="420" w:lineRule="atLeast"/>
              <w:jc w:val="center"/>
              <w:rPr>
                <w:sz w:val="21"/>
              </w:rPr>
            </w:pPr>
          </w:p>
        </w:tc>
        <w:tc>
          <w:tcPr>
            <w:tcW w:w="366" w:type="dxa"/>
            <w:vAlign w:val="center"/>
          </w:tcPr>
          <w:p w14:paraId="0075F914">
            <w:pPr>
              <w:pStyle w:val="24"/>
              <w:snapToGrid/>
              <w:spacing w:before="0" w:beforeAutospacing="0" w:after="0" w:afterAutospacing="0" w:line="420" w:lineRule="atLeast"/>
              <w:jc w:val="center"/>
              <w:rPr>
                <w:sz w:val="21"/>
              </w:rPr>
            </w:pPr>
          </w:p>
        </w:tc>
        <w:tc>
          <w:tcPr>
            <w:tcW w:w="366" w:type="dxa"/>
            <w:vAlign w:val="center"/>
          </w:tcPr>
          <w:p w14:paraId="23B10D23">
            <w:pPr>
              <w:pStyle w:val="24"/>
              <w:snapToGrid/>
              <w:spacing w:before="0" w:beforeAutospacing="0" w:after="0" w:afterAutospacing="0" w:line="420" w:lineRule="atLeast"/>
              <w:jc w:val="center"/>
              <w:rPr>
                <w:sz w:val="21"/>
              </w:rPr>
            </w:pPr>
          </w:p>
        </w:tc>
        <w:tc>
          <w:tcPr>
            <w:tcW w:w="516" w:type="dxa"/>
            <w:vAlign w:val="center"/>
          </w:tcPr>
          <w:p w14:paraId="6405380E">
            <w:pPr>
              <w:pStyle w:val="24"/>
              <w:snapToGrid/>
              <w:spacing w:before="0" w:beforeAutospacing="0" w:after="0" w:afterAutospacing="0" w:line="420" w:lineRule="atLeast"/>
              <w:jc w:val="center"/>
              <w:rPr>
                <w:sz w:val="21"/>
              </w:rPr>
            </w:pPr>
          </w:p>
        </w:tc>
        <w:tc>
          <w:tcPr>
            <w:tcW w:w="366" w:type="dxa"/>
            <w:vAlign w:val="center"/>
          </w:tcPr>
          <w:p w14:paraId="79ABCAA0">
            <w:pPr>
              <w:pStyle w:val="24"/>
              <w:snapToGrid/>
              <w:spacing w:before="0" w:beforeAutospacing="0" w:after="0" w:afterAutospacing="0" w:line="420" w:lineRule="atLeast"/>
              <w:jc w:val="center"/>
              <w:rPr>
                <w:sz w:val="21"/>
              </w:rPr>
            </w:pPr>
          </w:p>
        </w:tc>
        <w:tc>
          <w:tcPr>
            <w:tcW w:w="366" w:type="dxa"/>
            <w:vAlign w:val="center"/>
          </w:tcPr>
          <w:p w14:paraId="51DDC32B">
            <w:pPr>
              <w:pStyle w:val="24"/>
              <w:snapToGrid/>
              <w:spacing w:before="0" w:beforeAutospacing="0" w:after="0" w:afterAutospacing="0" w:line="420" w:lineRule="atLeast"/>
              <w:jc w:val="center"/>
              <w:rPr>
                <w:sz w:val="21"/>
              </w:rPr>
            </w:pPr>
          </w:p>
        </w:tc>
        <w:tc>
          <w:tcPr>
            <w:tcW w:w="516" w:type="dxa"/>
            <w:vAlign w:val="center"/>
          </w:tcPr>
          <w:p w14:paraId="757DF14E">
            <w:pPr>
              <w:pStyle w:val="24"/>
              <w:snapToGrid/>
              <w:spacing w:before="0" w:beforeAutospacing="0" w:after="0" w:afterAutospacing="0" w:line="420" w:lineRule="atLeast"/>
              <w:jc w:val="center"/>
              <w:rPr>
                <w:sz w:val="21"/>
              </w:rPr>
            </w:pPr>
          </w:p>
        </w:tc>
        <w:tc>
          <w:tcPr>
            <w:tcW w:w="366" w:type="dxa"/>
            <w:vAlign w:val="center"/>
          </w:tcPr>
          <w:p w14:paraId="67195801">
            <w:pPr>
              <w:pStyle w:val="24"/>
              <w:snapToGrid/>
              <w:spacing w:before="0" w:beforeAutospacing="0" w:after="0" w:afterAutospacing="0" w:line="420" w:lineRule="atLeast"/>
              <w:jc w:val="center"/>
              <w:rPr>
                <w:sz w:val="21"/>
              </w:rPr>
            </w:pPr>
          </w:p>
        </w:tc>
        <w:tc>
          <w:tcPr>
            <w:tcW w:w="516" w:type="dxa"/>
            <w:vAlign w:val="center"/>
          </w:tcPr>
          <w:p w14:paraId="282E4AAB">
            <w:pPr>
              <w:pStyle w:val="24"/>
              <w:snapToGrid/>
              <w:spacing w:before="0" w:beforeAutospacing="0" w:after="0" w:afterAutospacing="0" w:line="420" w:lineRule="atLeast"/>
              <w:jc w:val="center"/>
              <w:rPr>
                <w:sz w:val="21"/>
              </w:rPr>
            </w:pPr>
          </w:p>
        </w:tc>
        <w:tc>
          <w:tcPr>
            <w:tcW w:w="366" w:type="dxa"/>
            <w:vAlign w:val="center"/>
          </w:tcPr>
          <w:p w14:paraId="1F114D3A">
            <w:pPr>
              <w:pStyle w:val="24"/>
              <w:snapToGrid/>
              <w:spacing w:before="0" w:beforeAutospacing="0" w:after="0" w:afterAutospacing="0" w:line="420" w:lineRule="atLeast"/>
              <w:jc w:val="center"/>
              <w:rPr>
                <w:sz w:val="21"/>
              </w:rPr>
            </w:pPr>
          </w:p>
        </w:tc>
        <w:tc>
          <w:tcPr>
            <w:tcW w:w="666" w:type="dxa"/>
            <w:vAlign w:val="center"/>
          </w:tcPr>
          <w:p w14:paraId="17285C3F">
            <w:pPr>
              <w:pStyle w:val="24"/>
              <w:snapToGrid/>
              <w:spacing w:before="0" w:beforeAutospacing="0" w:after="0" w:afterAutospacing="0" w:line="420" w:lineRule="atLeast"/>
              <w:jc w:val="center"/>
              <w:rPr>
                <w:sz w:val="21"/>
              </w:rPr>
            </w:pPr>
          </w:p>
        </w:tc>
        <w:tc>
          <w:tcPr>
            <w:tcW w:w="516" w:type="dxa"/>
            <w:vAlign w:val="center"/>
          </w:tcPr>
          <w:p w14:paraId="4BA10D76">
            <w:pPr>
              <w:pStyle w:val="24"/>
              <w:snapToGrid/>
              <w:spacing w:before="0" w:beforeAutospacing="0" w:after="0" w:afterAutospacing="0" w:line="420" w:lineRule="atLeast"/>
              <w:jc w:val="center"/>
              <w:rPr>
                <w:sz w:val="21"/>
              </w:rPr>
            </w:pPr>
          </w:p>
        </w:tc>
        <w:tc>
          <w:tcPr>
            <w:tcW w:w="366" w:type="dxa"/>
            <w:vAlign w:val="center"/>
          </w:tcPr>
          <w:p w14:paraId="61AC8CEB">
            <w:pPr>
              <w:pStyle w:val="24"/>
              <w:snapToGrid/>
              <w:spacing w:before="0" w:beforeAutospacing="0" w:after="0" w:afterAutospacing="0" w:line="420" w:lineRule="atLeast"/>
              <w:jc w:val="center"/>
              <w:rPr>
                <w:sz w:val="21"/>
              </w:rPr>
            </w:pPr>
          </w:p>
        </w:tc>
        <w:tc>
          <w:tcPr>
            <w:tcW w:w="366" w:type="dxa"/>
            <w:vAlign w:val="center"/>
          </w:tcPr>
          <w:p w14:paraId="18B9CB96">
            <w:pPr>
              <w:pStyle w:val="24"/>
              <w:snapToGrid/>
              <w:spacing w:before="0" w:beforeAutospacing="0" w:after="0" w:afterAutospacing="0" w:line="420" w:lineRule="atLeast"/>
              <w:jc w:val="center"/>
              <w:rPr>
                <w:sz w:val="21"/>
              </w:rPr>
            </w:pPr>
          </w:p>
        </w:tc>
        <w:tc>
          <w:tcPr>
            <w:tcW w:w="516" w:type="dxa"/>
            <w:vAlign w:val="center"/>
          </w:tcPr>
          <w:p w14:paraId="4F58F563">
            <w:pPr>
              <w:pStyle w:val="24"/>
              <w:snapToGrid/>
              <w:spacing w:before="0" w:beforeAutospacing="0" w:after="0" w:afterAutospacing="0" w:line="420" w:lineRule="atLeast"/>
              <w:jc w:val="center"/>
              <w:rPr>
                <w:sz w:val="21"/>
              </w:rPr>
            </w:pPr>
          </w:p>
        </w:tc>
        <w:tc>
          <w:tcPr>
            <w:tcW w:w="366" w:type="dxa"/>
            <w:vAlign w:val="center"/>
          </w:tcPr>
          <w:p w14:paraId="345F94F3">
            <w:pPr>
              <w:pStyle w:val="24"/>
              <w:snapToGrid/>
              <w:spacing w:before="0" w:beforeAutospacing="0" w:after="0" w:afterAutospacing="0" w:line="420" w:lineRule="atLeast"/>
              <w:jc w:val="center"/>
              <w:rPr>
                <w:sz w:val="21"/>
              </w:rPr>
            </w:pPr>
          </w:p>
        </w:tc>
        <w:tc>
          <w:tcPr>
            <w:tcW w:w="221" w:type="dxa"/>
            <w:vAlign w:val="center"/>
          </w:tcPr>
          <w:p w14:paraId="1479ECF8">
            <w:pPr>
              <w:pStyle w:val="24"/>
              <w:snapToGrid/>
              <w:spacing w:before="0" w:beforeAutospacing="0" w:after="0" w:afterAutospacing="0" w:line="420" w:lineRule="atLeast"/>
              <w:jc w:val="center"/>
              <w:rPr>
                <w:sz w:val="21"/>
              </w:rPr>
            </w:pPr>
          </w:p>
        </w:tc>
        <w:tc>
          <w:tcPr>
            <w:tcW w:w="221" w:type="dxa"/>
            <w:vAlign w:val="center"/>
          </w:tcPr>
          <w:p w14:paraId="34FCB4DE">
            <w:pPr>
              <w:pStyle w:val="24"/>
              <w:snapToGrid/>
              <w:spacing w:before="0" w:beforeAutospacing="0" w:after="0" w:afterAutospacing="0" w:line="420" w:lineRule="atLeast"/>
              <w:jc w:val="center"/>
              <w:rPr>
                <w:sz w:val="21"/>
              </w:rPr>
            </w:pPr>
          </w:p>
        </w:tc>
        <w:tc>
          <w:tcPr>
            <w:tcW w:w="221" w:type="dxa"/>
            <w:vAlign w:val="center"/>
          </w:tcPr>
          <w:p w14:paraId="2E3F6D41">
            <w:pPr>
              <w:pStyle w:val="24"/>
              <w:snapToGrid/>
              <w:spacing w:before="0" w:beforeAutospacing="0" w:after="0" w:afterAutospacing="0" w:line="420" w:lineRule="atLeast"/>
              <w:jc w:val="center"/>
              <w:rPr>
                <w:sz w:val="21"/>
              </w:rPr>
            </w:pPr>
          </w:p>
        </w:tc>
        <w:tc>
          <w:tcPr>
            <w:tcW w:w="221" w:type="dxa"/>
            <w:vAlign w:val="center"/>
          </w:tcPr>
          <w:p w14:paraId="0A60D0CE">
            <w:pPr>
              <w:pStyle w:val="24"/>
              <w:snapToGrid/>
              <w:spacing w:before="0" w:beforeAutospacing="0" w:after="0" w:afterAutospacing="0" w:line="420" w:lineRule="atLeast"/>
              <w:jc w:val="center"/>
              <w:rPr>
                <w:sz w:val="21"/>
              </w:rPr>
            </w:pPr>
          </w:p>
        </w:tc>
      </w:tr>
      <w:tr w14:paraId="1C96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41E5992E">
            <w:pPr>
              <w:pStyle w:val="24"/>
              <w:snapToGrid/>
              <w:spacing w:before="0" w:beforeAutospacing="0" w:after="0" w:afterAutospacing="0" w:line="420" w:lineRule="atLeast"/>
              <w:jc w:val="center"/>
              <w:rPr>
                <w:sz w:val="21"/>
              </w:rPr>
            </w:pPr>
          </w:p>
        </w:tc>
        <w:tc>
          <w:tcPr>
            <w:tcW w:w="366" w:type="dxa"/>
            <w:vAlign w:val="center"/>
          </w:tcPr>
          <w:p w14:paraId="0EB5FB18">
            <w:pPr>
              <w:pStyle w:val="24"/>
              <w:snapToGrid/>
              <w:spacing w:before="0" w:beforeAutospacing="0" w:after="0" w:afterAutospacing="0" w:line="420" w:lineRule="atLeast"/>
              <w:jc w:val="center"/>
              <w:rPr>
                <w:sz w:val="21"/>
              </w:rPr>
            </w:pPr>
          </w:p>
        </w:tc>
        <w:tc>
          <w:tcPr>
            <w:tcW w:w="366" w:type="dxa"/>
            <w:vAlign w:val="center"/>
          </w:tcPr>
          <w:p w14:paraId="5E9D8CEA">
            <w:pPr>
              <w:pStyle w:val="24"/>
              <w:snapToGrid/>
              <w:spacing w:before="0" w:beforeAutospacing="0" w:after="0" w:afterAutospacing="0" w:line="420" w:lineRule="atLeast"/>
              <w:jc w:val="center"/>
              <w:rPr>
                <w:sz w:val="21"/>
              </w:rPr>
            </w:pPr>
          </w:p>
        </w:tc>
        <w:tc>
          <w:tcPr>
            <w:tcW w:w="366" w:type="dxa"/>
            <w:vAlign w:val="center"/>
          </w:tcPr>
          <w:p w14:paraId="0BC8BF1D">
            <w:pPr>
              <w:pStyle w:val="24"/>
              <w:snapToGrid/>
              <w:spacing w:before="0" w:beforeAutospacing="0" w:after="0" w:afterAutospacing="0" w:line="420" w:lineRule="atLeast"/>
              <w:jc w:val="center"/>
              <w:rPr>
                <w:sz w:val="21"/>
              </w:rPr>
            </w:pPr>
          </w:p>
        </w:tc>
        <w:tc>
          <w:tcPr>
            <w:tcW w:w="366" w:type="dxa"/>
            <w:vAlign w:val="center"/>
          </w:tcPr>
          <w:p w14:paraId="57867BCB">
            <w:pPr>
              <w:pStyle w:val="24"/>
              <w:snapToGrid/>
              <w:spacing w:before="0" w:beforeAutospacing="0" w:after="0" w:afterAutospacing="0" w:line="420" w:lineRule="atLeast"/>
              <w:jc w:val="center"/>
              <w:rPr>
                <w:sz w:val="21"/>
              </w:rPr>
            </w:pPr>
          </w:p>
        </w:tc>
        <w:tc>
          <w:tcPr>
            <w:tcW w:w="516" w:type="dxa"/>
            <w:vAlign w:val="center"/>
          </w:tcPr>
          <w:p w14:paraId="4ED1D8D1">
            <w:pPr>
              <w:pStyle w:val="24"/>
              <w:snapToGrid/>
              <w:spacing w:before="0" w:beforeAutospacing="0" w:after="0" w:afterAutospacing="0" w:line="420" w:lineRule="atLeast"/>
              <w:jc w:val="center"/>
              <w:rPr>
                <w:sz w:val="21"/>
              </w:rPr>
            </w:pPr>
          </w:p>
        </w:tc>
        <w:tc>
          <w:tcPr>
            <w:tcW w:w="366" w:type="dxa"/>
            <w:vAlign w:val="center"/>
          </w:tcPr>
          <w:p w14:paraId="63ED5BF0">
            <w:pPr>
              <w:pStyle w:val="24"/>
              <w:snapToGrid/>
              <w:spacing w:before="0" w:beforeAutospacing="0" w:after="0" w:afterAutospacing="0" w:line="420" w:lineRule="atLeast"/>
              <w:jc w:val="center"/>
              <w:rPr>
                <w:sz w:val="21"/>
              </w:rPr>
            </w:pPr>
          </w:p>
        </w:tc>
        <w:tc>
          <w:tcPr>
            <w:tcW w:w="366" w:type="dxa"/>
            <w:vAlign w:val="center"/>
          </w:tcPr>
          <w:p w14:paraId="66564D10">
            <w:pPr>
              <w:pStyle w:val="24"/>
              <w:snapToGrid/>
              <w:spacing w:before="0" w:beforeAutospacing="0" w:after="0" w:afterAutospacing="0" w:line="420" w:lineRule="atLeast"/>
              <w:jc w:val="center"/>
              <w:rPr>
                <w:sz w:val="21"/>
              </w:rPr>
            </w:pPr>
          </w:p>
        </w:tc>
        <w:tc>
          <w:tcPr>
            <w:tcW w:w="516" w:type="dxa"/>
            <w:vAlign w:val="center"/>
          </w:tcPr>
          <w:p w14:paraId="16F9C10D">
            <w:pPr>
              <w:pStyle w:val="24"/>
              <w:snapToGrid/>
              <w:spacing w:before="0" w:beforeAutospacing="0" w:after="0" w:afterAutospacing="0" w:line="420" w:lineRule="atLeast"/>
              <w:jc w:val="center"/>
              <w:rPr>
                <w:sz w:val="21"/>
              </w:rPr>
            </w:pPr>
          </w:p>
        </w:tc>
        <w:tc>
          <w:tcPr>
            <w:tcW w:w="366" w:type="dxa"/>
            <w:vAlign w:val="center"/>
          </w:tcPr>
          <w:p w14:paraId="7E249D5A">
            <w:pPr>
              <w:pStyle w:val="24"/>
              <w:snapToGrid/>
              <w:spacing w:before="0" w:beforeAutospacing="0" w:after="0" w:afterAutospacing="0" w:line="420" w:lineRule="atLeast"/>
              <w:jc w:val="center"/>
              <w:rPr>
                <w:sz w:val="21"/>
              </w:rPr>
            </w:pPr>
          </w:p>
        </w:tc>
        <w:tc>
          <w:tcPr>
            <w:tcW w:w="516" w:type="dxa"/>
            <w:vAlign w:val="center"/>
          </w:tcPr>
          <w:p w14:paraId="78AA2E5B">
            <w:pPr>
              <w:pStyle w:val="24"/>
              <w:snapToGrid/>
              <w:spacing w:before="0" w:beforeAutospacing="0" w:after="0" w:afterAutospacing="0" w:line="420" w:lineRule="atLeast"/>
              <w:jc w:val="center"/>
              <w:rPr>
                <w:sz w:val="21"/>
              </w:rPr>
            </w:pPr>
          </w:p>
        </w:tc>
        <w:tc>
          <w:tcPr>
            <w:tcW w:w="366" w:type="dxa"/>
            <w:vAlign w:val="center"/>
          </w:tcPr>
          <w:p w14:paraId="207829F0">
            <w:pPr>
              <w:pStyle w:val="24"/>
              <w:snapToGrid/>
              <w:spacing w:before="0" w:beforeAutospacing="0" w:after="0" w:afterAutospacing="0" w:line="420" w:lineRule="atLeast"/>
              <w:jc w:val="center"/>
              <w:rPr>
                <w:sz w:val="21"/>
              </w:rPr>
            </w:pPr>
          </w:p>
        </w:tc>
        <w:tc>
          <w:tcPr>
            <w:tcW w:w="666" w:type="dxa"/>
            <w:vAlign w:val="center"/>
          </w:tcPr>
          <w:p w14:paraId="506E6092">
            <w:pPr>
              <w:pStyle w:val="24"/>
              <w:snapToGrid/>
              <w:spacing w:before="0" w:beforeAutospacing="0" w:after="0" w:afterAutospacing="0" w:line="420" w:lineRule="atLeast"/>
              <w:jc w:val="center"/>
              <w:rPr>
                <w:sz w:val="21"/>
              </w:rPr>
            </w:pPr>
          </w:p>
        </w:tc>
        <w:tc>
          <w:tcPr>
            <w:tcW w:w="516" w:type="dxa"/>
            <w:vAlign w:val="center"/>
          </w:tcPr>
          <w:p w14:paraId="64E49F27">
            <w:pPr>
              <w:pStyle w:val="24"/>
              <w:snapToGrid/>
              <w:spacing w:before="0" w:beforeAutospacing="0" w:after="0" w:afterAutospacing="0" w:line="420" w:lineRule="atLeast"/>
              <w:jc w:val="center"/>
              <w:rPr>
                <w:sz w:val="21"/>
              </w:rPr>
            </w:pPr>
          </w:p>
        </w:tc>
        <w:tc>
          <w:tcPr>
            <w:tcW w:w="366" w:type="dxa"/>
            <w:vAlign w:val="center"/>
          </w:tcPr>
          <w:p w14:paraId="7A0EB5A7">
            <w:pPr>
              <w:pStyle w:val="24"/>
              <w:snapToGrid/>
              <w:spacing w:before="0" w:beforeAutospacing="0" w:after="0" w:afterAutospacing="0" w:line="420" w:lineRule="atLeast"/>
              <w:jc w:val="center"/>
              <w:rPr>
                <w:sz w:val="21"/>
              </w:rPr>
            </w:pPr>
          </w:p>
        </w:tc>
        <w:tc>
          <w:tcPr>
            <w:tcW w:w="366" w:type="dxa"/>
            <w:vAlign w:val="center"/>
          </w:tcPr>
          <w:p w14:paraId="5B4A0AA7">
            <w:pPr>
              <w:pStyle w:val="24"/>
              <w:snapToGrid/>
              <w:spacing w:before="0" w:beforeAutospacing="0" w:after="0" w:afterAutospacing="0" w:line="420" w:lineRule="atLeast"/>
              <w:jc w:val="center"/>
              <w:rPr>
                <w:sz w:val="21"/>
              </w:rPr>
            </w:pPr>
          </w:p>
        </w:tc>
        <w:tc>
          <w:tcPr>
            <w:tcW w:w="516" w:type="dxa"/>
            <w:vAlign w:val="center"/>
          </w:tcPr>
          <w:p w14:paraId="6EA58A13">
            <w:pPr>
              <w:pStyle w:val="24"/>
              <w:snapToGrid/>
              <w:spacing w:before="0" w:beforeAutospacing="0" w:after="0" w:afterAutospacing="0" w:line="420" w:lineRule="atLeast"/>
              <w:jc w:val="center"/>
              <w:rPr>
                <w:sz w:val="21"/>
              </w:rPr>
            </w:pPr>
          </w:p>
        </w:tc>
        <w:tc>
          <w:tcPr>
            <w:tcW w:w="366" w:type="dxa"/>
            <w:vAlign w:val="center"/>
          </w:tcPr>
          <w:p w14:paraId="18BF4573">
            <w:pPr>
              <w:pStyle w:val="24"/>
              <w:snapToGrid/>
              <w:spacing w:before="0" w:beforeAutospacing="0" w:after="0" w:afterAutospacing="0" w:line="420" w:lineRule="atLeast"/>
              <w:jc w:val="center"/>
              <w:rPr>
                <w:sz w:val="21"/>
              </w:rPr>
            </w:pPr>
          </w:p>
        </w:tc>
        <w:tc>
          <w:tcPr>
            <w:tcW w:w="221" w:type="dxa"/>
            <w:vAlign w:val="center"/>
          </w:tcPr>
          <w:p w14:paraId="502B0C54">
            <w:pPr>
              <w:pStyle w:val="24"/>
              <w:snapToGrid/>
              <w:spacing w:before="0" w:beforeAutospacing="0" w:after="0" w:afterAutospacing="0" w:line="420" w:lineRule="atLeast"/>
              <w:jc w:val="center"/>
              <w:rPr>
                <w:sz w:val="21"/>
              </w:rPr>
            </w:pPr>
          </w:p>
        </w:tc>
        <w:tc>
          <w:tcPr>
            <w:tcW w:w="221" w:type="dxa"/>
            <w:vAlign w:val="center"/>
          </w:tcPr>
          <w:p w14:paraId="0907C9A2">
            <w:pPr>
              <w:pStyle w:val="24"/>
              <w:snapToGrid/>
              <w:spacing w:before="0" w:beforeAutospacing="0" w:after="0" w:afterAutospacing="0" w:line="420" w:lineRule="atLeast"/>
              <w:jc w:val="center"/>
              <w:rPr>
                <w:sz w:val="21"/>
              </w:rPr>
            </w:pPr>
          </w:p>
        </w:tc>
        <w:tc>
          <w:tcPr>
            <w:tcW w:w="221" w:type="dxa"/>
            <w:vAlign w:val="center"/>
          </w:tcPr>
          <w:p w14:paraId="7EE6A872">
            <w:pPr>
              <w:pStyle w:val="24"/>
              <w:snapToGrid/>
              <w:spacing w:before="0" w:beforeAutospacing="0" w:after="0" w:afterAutospacing="0" w:line="420" w:lineRule="atLeast"/>
              <w:jc w:val="center"/>
              <w:rPr>
                <w:sz w:val="21"/>
              </w:rPr>
            </w:pPr>
          </w:p>
        </w:tc>
        <w:tc>
          <w:tcPr>
            <w:tcW w:w="221" w:type="dxa"/>
            <w:vAlign w:val="center"/>
          </w:tcPr>
          <w:p w14:paraId="07F69AD7">
            <w:pPr>
              <w:pStyle w:val="24"/>
              <w:snapToGrid/>
              <w:spacing w:before="0" w:beforeAutospacing="0" w:after="0" w:afterAutospacing="0" w:line="420" w:lineRule="atLeast"/>
              <w:jc w:val="center"/>
              <w:rPr>
                <w:sz w:val="21"/>
              </w:rPr>
            </w:pPr>
          </w:p>
        </w:tc>
      </w:tr>
    </w:tbl>
    <w:p w14:paraId="47035286">
      <w:pPr>
        <w:pStyle w:val="24"/>
        <w:snapToGrid/>
        <w:spacing w:before="0" w:beforeAutospacing="0" w:after="0" w:afterAutospacing="0" w:line="420" w:lineRule="atLeast"/>
        <w:jc w:val="both"/>
        <w:rPr>
          <w:sz w:val="21"/>
        </w:rPr>
      </w:pPr>
    </w:p>
    <w:p w14:paraId="7983EDE5">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7D98A34B"/>
    <w:p w14:paraId="3B6D1D6D"/>
    <w:p w14:paraId="39CEDF04"/>
    <w:p w14:paraId="070D66B8">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23</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545"/>
        <w:gridCol w:w="1420"/>
        <w:gridCol w:w="1420"/>
        <w:gridCol w:w="1421"/>
        <w:gridCol w:w="1421"/>
      </w:tblGrid>
      <w:tr w14:paraId="3266E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6"/>
            <w:vAlign w:val="center"/>
          </w:tcPr>
          <w:p w14:paraId="77CFBC14">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u w:val="single"/>
              </w:rPr>
              <w:t>XX品牌XX型号</w:t>
            </w:r>
            <w:r>
              <w:rPr>
                <w:rFonts w:hint="eastAsia"/>
                <w:sz w:val="21"/>
              </w:rPr>
              <w:t>设备</w:t>
            </w:r>
          </w:p>
        </w:tc>
      </w:tr>
      <w:tr w14:paraId="1BAE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Align w:val="center"/>
          </w:tcPr>
          <w:p w14:paraId="40C35FAB">
            <w:pPr>
              <w:pStyle w:val="24"/>
              <w:snapToGrid/>
              <w:spacing w:before="0" w:beforeAutospacing="0" w:after="0" w:afterAutospacing="0" w:line="420" w:lineRule="atLeast"/>
              <w:jc w:val="center"/>
              <w:rPr>
                <w:sz w:val="21"/>
              </w:rPr>
            </w:pPr>
            <w:r>
              <w:rPr>
                <w:rFonts w:hint="eastAsia"/>
                <w:sz w:val="21"/>
              </w:rPr>
              <w:t>设备类型</w:t>
            </w:r>
          </w:p>
        </w:tc>
        <w:tc>
          <w:tcPr>
            <w:tcW w:w="1545" w:type="dxa"/>
            <w:vAlign w:val="center"/>
          </w:tcPr>
          <w:p w14:paraId="4F061FF7">
            <w:pPr>
              <w:pStyle w:val="24"/>
              <w:snapToGrid/>
              <w:spacing w:before="0" w:beforeAutospacing="0" w:after="0" w:afterAutospacing="0" w:line="420" w:lineRule="atLeast"/>
              <w:jc w:val="center"/>
              <w:rPr>
                <w:sz w:val="21"/>
              </w:rPr>
            </w:pPr>
            <w:r>
              <w:rPr>
                <w:rFonts w:hint="eastAsia"/>
                <w:sz w:val="21"/>
              </w:rPr>
              <w:t>设备厂商名称</w:t>
            </w:r>
          </w:p>
        </w:tc>
        <w:tc>
          <w:tcPr>
            <w:tcW w:w="1420" w:type="dxa"/>
            <w:vAlign w:val="center"/>
          </w:tcPr>
          <w:p w14:paraId="13BF5CA7">
            <w:pPr>
              <w:pStyle w:val="24"/>
              <w:snapToGrid/>
              <w:spacing w:before="0" w:beforeAutospacing="0" w:after="0" w:afterAutospacing="0" w:line="420" w:lineRule="atLeast"/>
              <w:jc w:val="center"/>
              <w:rPr>
                <w:sz w:val="21"/>
              </w:rPr>
            </w:pPr>
            <w:r>
              <w:rPr>
                <w:rFonts w:hint="eastAsia"/>
                <w:sz w:val="21"/>
              </w:rPr>
              <w:t>设备型号</w:t>
            </w:r>
          </w:p>
        </w:tc>
        <w:tc>
          <w:tcPr>
            <w:tcW w:w="1420" w:type="dxa"/>
            <w:vAlign w:val="center"/>
          </w:tcPr>
          <w:p w14:paraId="6E826612">
            <w:pPr>
              <w:pStyle w:val="24"/>
              <w:snapToGrid/>
              <w:spacing w:before="0" w:beforeAutospacing="0" w:after="0" w:afterAutospacing="0" w:line="420" w:lineRule="atLeast"/>
              <w:jc w:val="center"/>
              <w:rPr>
                <w:sz w:val="21"/>
              </w:rPr>
            </w:pPr>
            <w:r>
              <w:rPr>
                <w:rFonts w:hint="eastAsia"/>
                <w:sz w:val="21"/>
              </w:rPr>
              <w:t>芯片类型</w:t>
            </w:r>
          </w:p>
        </w:tc>
        <w:tc>
          <w:tcPr>
            <w:tcW w:w="1421" w:type="dxa"/>
            <w:vAlign w:val="center"/>
          </w:tcPr>
          <w:p w14:paraId="69E8274C">
            <w:pPr>
              <w:pStyle w:val="24"/>
              <w:snapToGrid/>
              <w:spacing w:before="0" w:beforeAutospacing="0" w:after="0" w:afterAutospacing="0" w:line="420" w:lineRule="atLeast"/>
              <w:jc w:val="center"/>
              <w:rPr>
                <w:sz w:val="21"/>
              </w:rPr>
            </w:pPr>
            <w:r>
              <w:rPr>
                <w:rFonts w:hint="eastAsia"/>
                <w:sz w:val="21"/>
              </w:rPr>
              <w:t>单设备国产芯片数量（颗）</w:t>
            </w:r>
          </w:p>
        </w:tc>
        <w:tc>
          <w:tcPr>
            <w:tcW w:w="1421" w:type="dxa"/>
            <w:vAlign w:val="center"/>
          </w:tcPr>
          <w:p w14:paraId="761CEFA1">
            <w:pPr>
              <w:pStyle w:val="24"/>
              <w:snapToGrid/>
              <w:spacing w:before="0" w:beforeAutospacing="0" w:after="0" w:afterAutospacing="0" w:line="420" w:lineRule="atLeast"/>
              <w:jc w:val="center"/>
              <w:rPr>
                <w:sz w:val="21"/>
              </w:rPr>
            </w:pPr>
            <w:r>
              <w:rPr>
                <w:rFonts w:hint="eastAsia"/>
                <w:sz w:val="21"/>
              </w:rPr>
              <w:t>单设备非国产芯片数量（颗）</w:t>
            </w:r>
          </w:p>
        </w:tc>
      </w:tr>
      <w:tr w14:paraId="0FEE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40185299">
            <w:pPr>
              <w:pStyle w:val="24"/>
              <w:snapToGrid/>
              <w:spacing w:before="0" w:beforeAutospacing="0" w:after="0" w:afterAutospacing="0" w:line="420" w:lineRule="atLeast"/>
              <w:jc w:val="center"/>
              <w:rPr>
                <w:rFonts w:hint="default" w:eastAsia="宋体"/>
                <w:sz w:val="21"/>
                <w:u w:val="single"/>
                <w:lang w:val="en-US" w:eastAsia="zh-CN"/>
              </w:rPr>
            </w:pPr>
            <w:r>
              <w:rPr>
                <w:rFonts w:hint="default" w:eastAsia="宋体"/>
                <w:sz w:val="21"/>
                <w:u w:val="single"/>
                <w:lang w:val="en-US" w:eastAsia="zh-CN"/>
              </w:rPr>
              <w:t>数据防泄漏</w:t>
            </w:r>
          </w:p>
          <w:p w14:paraId="48A0F791">
            <w:pPr>
              <w:pStyle w:val="24"/>
              <w:snapToGrid/>
              <w:spacing w:before="0" w:beforeAutospacing="0" w:after="0" w:afterAutospacing="0" w:line="420" w:lineRule="atLeast"/>
              <w:jc w:val="center"/>
              <w:rPr>
                <w:rFonts w:hint="default" w:eastAsia="宋体"/>
                <w:sz w:val="21"/>
                <w:u w:val="single"/>
                <w:lang w:val="en-US" w:eastAsia="zh-CN"/>
              </w:rPr>
            </w:pPr>
          </w:p>
        </w:tc>
        <w:tc>
          <w:tcPr>
            <w:tcW w:w="1545" w:type="dxa"/>
            <w:vAlign w:val="center"/>
          </w:tcPr>
          <w:p w14:paraId="49F52F02">
            <w:pPr>
              <w:pStyle w:val="24"/>
              <w:snapToGrid/>
              <w:spacing w:before="0" w:beforeAutospacing="0" w:after="0" w:afterAutospacing="0" w:line="420" w:lineRule="atLeast"/>
              <w:jc w:val="center"/>
              <w:rPr>
                <w:sz w:val="21"/>
              </w:rPr>
            </w:pPr>
          </w:p>
        </w:tc>
        <w:tc>
          <w:tcPr>
            <w:tcW w:w="1420" w:type="dxa"/>
            <w:vAlign w:val="center"/>
          </w:tcPr>
          <w:p w14:paraId="43D3C5DD">
            <w:pPr>
              <w:pStyle w:val="24"/>
              <w:snapToGrid/>
              <w:spacing w:before="0" w:beforeAutospacing="0" w:after="0" w:afterAutospacing="0" w:line="420" w:lineRule="atLeast"/>
              <w:jc w:val="center"/>
              <w:rPr>
                <w:sz w:val="21"/>
              </w:rPr>
            </w:pPr>
          </w:p>
        </w:tc>
        <w:tc>
          <w:tcPr>
            <w:tcW w:w="1420" w:type="dxa"/>
            <w:vAlign w:val="center"/>
          </w:tcPr>
          <w:p w14:paraId="2EDCC36B">
            <w:pPr>
              <w:pStyle w:val="24"/>
              <w:snapToGrid/>
              <w:spacing w:before="0" w:beforeAutospacing="0" w:after="0" w:afterAutospacing="0" w:line="420" w:lineRule="atLeast"/>
              <w:jc w:val="center"/>
              <w:rPr>
                <w:sz w:val="21"/>
              </w:rPr>
            </w:pPr>
            <w:r>
              <w:rPr>
                <w:rFonts w:hint="eastAsia"/>
                <w:sz w:val="21"/>
              </w:rPr>
              <w:t>CPU</w:t>
            </w:r>
          </w:p>
        </w:tc>
        <w:tc>
          <w:tcPr>
            <w:tcW w:w="1421" w:type="dxa"/>
            <w:vAlign w:val="center"/>
          </w:tcPr>
          <w:p w14:paraId="32561030">
            <w:pPr>
              <w:pStyle w:val="24"/>
              <w:snapToGrid/>
              <w:spacing w:before="0" w:beforeAutospacing="0" w:after="0" w:afterAutospacing="0" w:line="420" w:lineRule="atLeast"/>
              <w:jc w:val="center"/>
              <w:rPr>
                <w:sz w:val="21"/>
              </w:rPr>
            </w:pPr>
          </w:p>
        </w:tc>
        <w:tc>
          <w:tcPr>
            <w:tcW w:w="1421" w:type="dxa"/>
            <w:vAlign w:val="center"/>
          </w:tcPr>
          <w:p w14:paraId="7BFA9A64">
            <w:pPr>
              <w:pStyle w:val="24"/>
              <w:snapToGrid/>
              <w:spacing w:before="0" w:beforeAutospacing="0" w:after="0" w:afterAutospacing="0" w:line="420" w:lineRule="atLeast"/>
              <w:jc w:val="center"/>
              <w:rPr>
                <w:sz w:val="21"/>
              </w:rPr>
            </w:pPr>
          </w:p>
        </w:tc>
      </w:tr>
      <w:tr w14:paraId="3113D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351D05E2">
            <w:pPr>
              <w:pStyle w:val="24"/>
              <w:snapToGrid/>
              <w:spacing w:before="0" w:beforeAutospacing="0" w:after="0" w:afterAutospacing="0" w:line="420" w:lineRule="atLeast"/>
              <w:jc w:val="center"/>
              <w:rPr>
                <w:sz w:val="21"/>
              </w:rPr>
            </w:pPr>
          </w:p>
        </w:tc>
        <w:tc>
          <w:tcPr>
            <w:tcW w:w="1545" w:type="dxa"/>
            <w:vAlign w:val="center"/>
          </w:tcPr>
          <w:p w14:paraId="2EB2D1B1">
            <w:pPr>
              <w:pStyle w:val="24"/>
              <w:snapToGrid/>
              <w:spacing w:before="0" w:beforeAutospacing="0" w:after="0" w:afterAutospacing="0" w:line="420" w:lineRule="atLeast"/>
              <w:jc w:val="center"/>
              <w:rPr>
                <w:sz w:val="21"/>
              </w:rPr>
            </w:pPr>
          </w:p>
        </w:tc>
        <w:tc>
          <w:tcPr>
            <w:tcW w:w="1420" w:type="dxa"/>
            <w:vAlign w:val="center"/>
          </w:tcPr>
          <w:p w14:paraId="411DA2EE">
            <w:pPr>
              <w:pStyle w:val="24"/>
              <w:snapToGrid/>
              <w:spacing w:before="0" w:beforeAutospacing="0" w:after="0" w:afterAutospacing="0" w:line="420" w:lineRule="atLeast"/>
              <w:jc w:val="center"/>
              <w:rPr>
                <w:sz w:val="21"/>
              </w:rPr>
            </w:pPr>
          </w:p>
        </w:tc>
        <w:tc>
          <w:tcPr>
            <w:tcW w:w="1420" w:type="dxa"/>
            <w:vAlign w:val="center"/>
          </w:tcPr>
          <w:p w14:paraId="2E67C74A">
            <w:pPr>
              <w:pStyle w:val="24"/>
              <w:snapToGrid/>
              <w:spacing w:before="0" w:beforeAutospacing="0" w:after="0" w:afterAutospacing="0" w:line="420" w:lineRule="atLeast"/>
              <w:jc w:val="center"/>
              <w:rPr>
                <w:sz w:val="21"/>
              </w:rPr>
            </w:pPr>
            <w:r>
              <w:rPr>
                <w:rFonts w:hint="eastAsia"/>
                <w:sz w:val="21"/>
              </w:rPr>
              <w:t>SSD颗粒</w:t>
            </w:r>
          </w:p>
        </w:tc>
        <w:tc>
          <w:tcPr>
            <w:tcW w:w="1421" w:type="dxa"/>
            <w:vAlign w:val="center"/>
          </w:tcPr>
          <w:p w14:paraId="455ADE1E">
            <w:pPr>
              <w:pStyle w:val="24"/>
              <w:snapToGrid/>
              <w:spacing w:before="0" w:beforeAutospacing="0" w:after="0" w:afterAutospacing="0" w:line="420" w:lineRule="atLeast"/>
              <w:jc w:val="center"/>
              <w:rPr>
                <w:sz w:val="21"/>
              </w:rPr>
            </w:pPr>
          </w:p>
        </w:tc>
        <w:tc>
          <w:tcPr>
            <w:tcW w:w="1421" w:type="dxa"/>
            <w:vAlign w:val="center"/>
          </w:tcPr>
          <w:p w14:paraId="35D721B9">
            <w:pPr>
              <w:pStyle w:val="24"/>
              <w:snapToGrid/>
              <w:spacing w:before="0" w:beforeAutospacing="0" w:after="0" w:afterAutospacing="0" w:line="420" w:lineRule="atLeast"/>
              <w:jc w:val="center"/>
              <w:rPr>
                <w:sz w:val="21"/>
              </w:rPr>
            </w:pPr>
          </w:p>
        </w:tc>
      </w:tr>
      <w:tr w14:paraId="5C86A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07FBF467">
            <w:pPr>
              <w:pStyle w:val="24"/>
              <w:snapToGrid/>
              <w:spacing w:before="0" w:beforeAutospacing="0" w:after="0" w:afterAutospacing="0" w:line="420" w:lineRule="atLeast"/>
              <w:jc w:val="center"/>
              <w:rPr>
                <w:sz w:val="21"/>
              </w:rPr>
            </w:pPr>
          </w:p>
        </w:tc>
        <w:tc>
          <w:tcPr>
            <w:tcW w:w="1545" w:type="dxa"/>
            <w:vAlign w:val="center"/>
          </w:tcPr>
          <w:p w14:paraId="76422F46">
            <w:pPr>
              <w:pStyle w:val="24"/>
              <w:snapToGrid/>
              <w:spacing w:before="0" w:beforeAutospacing="0" w:after="0" w:afterAutospacing="0" w:line="420" w:lineRule="atLeast"/>
              <w:jc w:val="center"/>
              <w:rPr>
                <w:sz w:val="21"/>
              </w:rPr>
            </w:pPr>
          </w:p>
        </w:tc>
        <w:tc>
          <w:tcPr>
            <w:tcW w:w="1420" w:type="dxa"/>
            <w:vAlign w:val="center"/>
          </w:tcPr>
          <w:p w14:paraId="6BD2784D">
            <w:pPr>
              <w:pStyle w:val="24"/>
              <w:snapToGrid/>
              <w:spacing w:before="0" w:beforeAutospacing="0" w:after="0" w:afterAutospacing="0" w:line="420" w:lineRule="atLeast"/>
              <w:jc w:val="center"/>
              <w:rPr>
                <w:sz w:val="21"/>
              </w:rPr>
            </w:pPr>
          </w:p>
        </w:tc>
        <w:tc>
          <w:tcPr>
            <w:tcW w:w="1420" w:type="dxa"/>
            <w:vAlign w:val="center"/>
          </w:tcPr>
          <w:p w14:paraId="6FDBC5D1">
            <w:pPr>
              <w:pStyle w:val="24"/>
              <w:snapToGrid/>
              <w:spacing w:before="0" w:beforeAutospacing="0" w:after="0" w:afterAutospacing="0" w:line="420" w:lineRule="atLeast"/>
              <w:jc w:val="center"/>
              <w:rPr>
                <w:sz w:val="21"/>
              </w:rPr>
            </w:pPr>
            <w:r>
              <w:rPr>
                <w:rFonts w:hint="eastAsia"/>
                <w:sz w:val="21"/>
              </w:rPr>
              <w:t>DRAM颗粒</w:t>
            </w:r>
          </w:p>
        </w:tc>
        <w:tc>
          <w:tcPr>
            <w:tcW w:w="1421" w:type="dxa"/>
            <w:vAlign w:val="center"/>
          </w:tcPr>
          <w:p w14:paraId="60F1E4A5">
            <w:pPr>
              <w:pStyle w:val="24"/>
              <w:snapToGrid/>
              <w:spacing w:before="0" w:beforeAutospacing="0" w:after="0" w:afterAutospacing="0" w:line="420" w:lineRule="atLeast"/>
              <w:jc w:val="center"/>
              <w:rPr>
                <w:sz w:val="21"/>
              </w:rPr>
            </w:pPr>
          </w:p>
        </w:tc>
        <w:tc>
          <w:tcPr>
            <w:tcW w:w="1421" w:type="dxa"/>
            <w:vAlign w:val="center"/>
          </w:tcPr>
          <w:p w14:paraId="3BE2743A">
            <w:pPr>
              <w:pStyle w:val="24"/>
              <w:snapToGrid/>
              <w:spacing w:before="0" w:beforeAutospacing="0" w:after="0" w:afterAutospacing="0" w:line="420" w:lineRule="atLeast"/>
              <w:jc w:val="center"/>
              <w:rPr>
                <w:sz w:val="21"/>
              </w:rPr>
            </w:pPr>
          </w:p>
        </w:tc>
      </w:tr>
      <w:tr w14:paraId="36A4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95" w:type="dxa"/>
            <w:vMerge w:val="continue"/>
            <w:vAlign w:val="center"/>
          </w:tcPr>
          <w:p w14:paraId="42CF89B6">
            <w:pPr>
              <w:pStyle w:val="24"/>
              <w:snapToGrid/>
              <w:spacing w:before="0" w:beforeAutospacing="0" w:after="0" w:afterAutospacing="0" w:line="420" w:lineRule="atLeast"/>
              <w:jc w:val="center"/>
              <w:rPr>
                <w:sz w:val="21"/>
              </w:rPr>
            </w:pPr>
          </w:p>
        </w:tc>
        <w:tc>
          <w:tcPr>
            <w:tcW w:w="1545" w:type="dxa"/>
            <w:vAlign w:val="center"/>
          </w:tcPr>
          <w:p w14:paraId="039C9FB2">
            <w:pPr>
              <w:pStyle w:val="24"/>
              <w:snapToGrid/>
              <w:spacing w:before="0" w:beforeAutospacing="0" w:after="0" w:afterAutospacing="0" w:line="420" w:lineRule="atLeast"/>
              <w:jc w:val="center"/>
              <w:rPr>
                <w:sz w:val="21"/>
              </w:rPr>
            </w:pPr>
          </w:p>
        </w:tc>
        <w:tc>
          <w:tcPr>
            <w:tcW w:w="1420" w:type="dxa"/>
            <w:vAlign w:val="center"/>
          </w:tcPr>
          <w:p w14:paraId="04DFC543">
            <w:pPr>
              <w:pStyle w:val="24"/>
              <w:snapToGrid/>
              <w:spacing w:before="0" w:beforeAutospacing="0" w:after="0" w:afterAutospacing="0" w:line="420" w:lineRule="atLeast"/>
              <w:jc w:val="center"/>
              <w:rPr>
                <w:sz w:val="21"/>
              </w:rPr>
            </w:pPr>
          </w:p>
        </w:tc>
        <w:tc>
          <w:tcPr>
            <w:tcW w:w="1420" w:type="dxa"/>
            <w:vAlign w:val="center"/>
          </w:tcPr>
          <w:p w14:paraId="71660B73">
            <w:pPr>
              <w:pStyle w:val="24"/>
              <w:snapToGrid/>
              <w:spacing w:before="0" w:beforeAutospacing="0" w:after="0" w:afterAutospacing="0" w:line="420" w:lineRule="atLeast"/>
              <w:jc w:val="center"/>
              <w:rPr>
                <w:sz w:val="21"/>
              </w:rPr>
            </w:pPr>
            <w:r>
              <w:rPr>
                <w:rFonts w:hint="eastAsia"/>
                <w:sz w:val="21"/>
              </w:rPr>
              <w:t>BMC</w:t>
            </w:r>
          </w:p>
        </w:tc>
        <w:tc>
          <w:tcPr>
            <w:tcW w:w="1421" w:type="dxa"/>
            <w:vAlign w:val="center"/>
          </w:tcPr>
          <w:p w14:paraId="213D5F6F">
            <w:pPr>
              <w:pStyle w:val="24"/>
              <w:snapToGrid/>
              <w:spacing w:before="0" w:beforeAutospacing="0" w:after="0" w:afterAutospacing="0" w:line="420" w:lineRule="atLeast"/>
              <w:jc w:val="center"/>
              <w:rPr>
                <w:sz w:val="21"/>
              </w:rPr>
            </w:pPr>
          </w:p>
        </w:tc>
        <w:tc>
          <w:tcPr>
            <w:tcW w:w="1421" w:type="dxa"/>
            <w:vAlign w:val="center"/>
          </w:tcPr>
          <w:p w14:paraId="16CC18B4">
            <w:pPr>
              <w:pStyle w:val="24"/>
              <w:snapToGrid/>
              <w:spacing w:before="0" w:beforeAutospacing="0" w:after="0" w:afterAutospacing="0" w:line="420" w:lineRule="atLeast"/>
              <w:jc w:val="center"/>
              <w:rPr>
                <w:sz w:val="21"/>
              </w:rPr>
            </w:pPr>
          </w:p>
        </w:tc>
      </w:tr>
      <w:tr w14:paraId="446BC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vAlign w:val="center"/>
          </w:tcPr>
          <w:p w14:paraId="67D96597">
            <w:pPr>
              <w:pStyle w:val="24"/>
              <w:snapToGrid/>
              <w:spacing w:before="0" w:beforeAutospacing="0" w:after="0" w:afterAutospacing="0" w:line="420" w:lineRule="atLeast"/>
              <w:jc w:val="center"/>
              <w:rPr>
                <w:sz w:val="21"/>
              </w:rPr>
            </w:pPr>
          </w:p>
        </w:tc>
        <w:tc>
          <w:tcPr>
            <w:tcW w:w="1545" w:type="dxa"/>
            <w:vAlign w:val="center"/>
          </w:tcPr>
          <w:p w14:paraId="5C781346">
            <w:pPr>
              <w:pStyle w:val="24"/>
              <w:snapToGrid/>
              <w:spacing w:before="0" w:beforeAutospacing="0" w:after="0" w:afterAutospacing="0" w:line="420" w:lineRule="atLeast"/>
              <w:jc w:val="center"/>
              <w:rPr>
                <w:sz w:val="21"/>
              </w:rPr>
            </w:pPr>
          </w:p>
        </w:tc>
        <w:tc>
          <w:tcPr>
            <w:tcW w:w="1420" w:type="dxa"/>
            <w:vAlign w:val="center"/>
          </w:tcPr>
          <w:p w14:paraId="20BC5EFF">
            <w:pPr>
              <w:pStyle w:val="24"/>
              <w:snapToGrid/>
              <w:spacing w:before="0" w:beforeAutospacing="0" w:after="0" w:afterAutospacing="0" w:line="420" w:lineRule="atLeast"/>
              <w:jc w:val="center"/>
              <w:rPr>
                <w:sz w:val="21"/>
              </w:rPr>
            </w:pPr>
          </w:p>
        </w:tc>
        <w:tc>
          <w:tcPr>
            <w:tcW w:w="1420" w:type="dxa"/>
            <w:vAlign w:val="center"/>
          </w:tcPr>
          <w:p w14:paraId="278F9C1B">
            <w:pPr>
              <w:pStyle w:val="24"/>
              <w:snapToGrid/>
              <w:spacing w:before="0" w:beforeAutospacing="0" w:after="0" w:afterAutospacing="0" w:line="420" w:lineRule="atLeast"/>
              <w:jc w:val="center"/>
              <w:rPr>
                <w:sz w:val="21"/>
              </w:rPr>
            </w:pPr>
            <w:r>
              <w:rPr>
                <w:rFonts w:hint="eastAsia"/>
                <w:sz w:val="21"/>
              </w:rPr>
              <w:t>网卡芯片</w:t>
            </w:r>
          </w:p>
        </w:tc>
        <w:tc>
          <w:tcPr>
            <w:tcW w:w="1421" w:type="dxa"/>
            <w:vAlign w:val="center"/>
          </w:tcPr>
          <w:p w14:paraId="60DE314B">
            <w:pPr>
              <w:pStyle w:val="24"/>
              <w:snapToGrid/>
              <w:spacing w:before="0" w:beforeAutospacing="0" w:after="0" w:afterAutospacing="0" w:line="420" w:lineRule="atLeast"/>
              <w:jc w:val="center"/>
              <w:rPr>
                <w:sz w:val="21"/>
              </w:rPr>
            </w:pPr>
          </w:p>
        </w:tc>
        <w:tc>
          <w:tcPr>
            <w:tcW w:w="1421" w:type="dxa"/>
            <w:vAlign w:val="center"/>
          </w:tcPr>
          <w:p w14:paraId="3B935E57">
            <w:pPr>
              <w:pStyle w:val="24"/>
              <w:snapToGrid/>
              <w:spacing w:before="0" w:beforeAutospacing="0" w:after="0" w:afterAutospacing="0" w:line="420" w:lineRule="atLeast"/>
              <w:jc w:val="center"/>
              <w:rPr>
                <w:sz w:val="21"/>
              </w:rPr>
            </w:pPr>
          </w:p>
        </w:tc>
      </w:tr>
      <w:tr w14:paraId="5AF2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95" w:type="dxa"/>
            <w:vMerge w:val="continue"/>
            <w:vAlign w:val="center"/>
          </w:tcPr>
          <w:p w14:paraId="2B7F7D9F">
            <w:pPr>
              <w:pStyle w:val="24"/>
              <w:snapToGrid/>
              <w:spacing w:before="0" w:beforeAutospacing="0" w:after="0" w:afterAutospacing="0" w:line="420" w:lineRule="atLeast"/>
              <w:jc w:val="center"/>
              <w:rPr>
                <w:sz w:val="21"/>
              </w:rPr>
            </w:pPr>
          </w:p>
        </w:tc>
        <w:tc>
          <w:tcPr>
            <w:tcW w:w="1545" w:type="dxa"/>
            <w:vAlign w:val="center"/>
          </w:tcPr>
          <w:p w14:paraId="2B7E5EF0">
            <w:pPr>
              <w:pStyle w:val="24"/>
              <w:snapToGrid/>
              <w:spacing w:before="0" w:beforeAutospacing="0" w:after="0" w:afterAutospacing="0" w:line="420" w:lineRule="atLeast"/>
              <w:jc w:val="center"/>
              <w:rPr>
                <w:sz w:val="21"/>
              </w:rPr>
            </w:pPr>
          </w:p>
        </w:tc>
        <w:tc>
          <w:tcPr>
            <w:tcW w:w="1420" w:type="dxa"/>
            <w:vAlign w:val="center"/>
          </w:tcPr>
          <w:p w14:paraId="54A9FE56">
            <w:pPr>
              <w:pStyle w:val="24"/>
              <w:snapToGrid/>
              <w:spacing w:before="0" w:beforeAutospacing="0" w:after="0" w:afterAutospacing="0" w:line="420" w:lineRule="atLeast"/>
              <w:jc w:val="center"/>
              <w:rPr>
                <w:sz w:val="21"/>
              </w:rPr>
            </w:pPr>
          </w:p>
        </w:tc>
        <w:tc>
          <w:tcPr>
            <w:tcW w:w="1420" w:type="dxa"/>
            <w:vAlign w:val="center"/>
          </w:tcPr>
          <w:p w14:paraId="59C210EB">
            <w:pPr>
              <w:widowControl/>
              <w:snapToGrid/>
              <w:spacing w:line="420" w:lineRule="atLeast"/>
              <w:jc w:val="center"/>
            </w:pPr>
            <w:r>
              <w:rPr>
                <w:rFonts w:hint="eastAsia"/>
              </w:rPr>
              <w:t>电源模块控制芯片</w:t>
            </w:r>
          </w:p>
        </w:tc>
        <w:tc>
          <w:tcPr>
            <w:tcW w:w="1421" w:type="dxa"/>
            <w:vAlign w:val="center"/>
          </w:tcPr>
          <w:p w14:paraId="0F84BAF4">
            <w:pPr>
              <w:pStyle w:val="24"/>
              <w:snapToGrid/>
              <w:spacing w:before="0" w:beforeAutospacing="0" w:after="0" w:afterAutospacing="0" w:line="420" w:lineRule="atLeast"/>
              <w:jc w:val="center"/>
              <w:rPr>
                <w:sz w:val="21"/>
              </w:rPr>
            </w:pPr>
          </w:p>
        </w:tc>
        <w:tc>
          <w:tcPr>
            <w:tcW w:w="1421" w:type="dxa"/>
            <w:vAlign w:val="center"/>
          </w:tcPr>
          <w:p w14:paraId="2C2D13A6">
            <w:pPr>
              <w:pStyle w:val="24"/>
              <w:snapToGrid/>
              <w:spacing w:before="0" w:beforeAutospacing="0" w:after="0" w:afterAutospacing="0" w:line="420" w:lineRule="atLeast"/>
              <w:jc w:val="center"/>
              <w:rPr>
                <w:sz w:val="21"/>
              </w:rPr>
            </w:pPr>
          </w:p>
        </w:tc>
      </w:tr>
    </w:tbl>
    <w:p w14:paraId="49B1427F">
      <w:pPr>
        <w:pStyle w:val="24"/>
        <w:spacing w:before="900" w:beforeAutospacing="0" w:after="0" w:afterAutospacing="0" w:line="420" w:lineRule="atLeast"/>
        <w:jc w:val="both"/>
        <w:rPr>
          <w:rFonts w:cs="宋体"/>
          <w:sz w:val="28"/>
          <w:szCs w:val="28"/>
        </w:rPr>
      </w:pPr>
    </w:p>
    <w:p w14:paraId="658F5FCC">
      <w:pPr>
        <w:pStyle w:val="24"/>
        <w:spacing w:before="900" w:beforeAutospacing="0" w:after="0" w:afterAutospacing="0" w:line="420" w:lineRule="atLeast"/>
        <w:jc w:val="both"/>
        <w:rPr>
          <w:rFonts w:cs="宋体"/>
          <w:sz w:val="28"/>
          <w:szCs w:val="28"/>
        </w:rPr>
      </w:pPr>
    </w:p>
    <w:p w14:paraId="7BDC7CA7">
      <w:pPr>
        <w:pStyle w:val="24"/>
        <w:spacing w:before="900" w:beforeAutospacing="0" w:after="0" w:afterAutospacing="0" w:line="420" w:lineRule="atLeast"/>
        <w:jc w:val="both"/>
        <w:rPr>
          <w:rFonts w:cs="宋体"/>
          <w:sz w:val="28"/>
          <w:szCs w:val="28"/>
        </w:rPr>
      </w:pPr>
    </w:p>
    <w:p w14:paraId="59CE845B">
      <w:pPr>
        <w:pStyle w:val="24"/>
        <w:spacing w:before="900" w:beforeAutospacing="0" w:after="0" w:afterAutospacing="0" w:line="420" w:lineRule="atLeast"/>
        <w:jc w:val="both"/>
        <w:rPr>
          <w:rFonts w:cs="宋体"/>
          <w:sz w:val="28"/>
          <w:szCs w:val="28"/>
        </w:rPr>
      </w:pPr>
    </w:p>
    <w:p w14:paraId="171E9992">
      <w:pPr>
        <w:pStyle w:val="24"/>
        <w:spacing w:before="900" w:beforeAutospacing="0" w:after="0" w:afterAutospacing="0" w:line="420" w:lineRule="atLeast"/>
        <w:jc w:val="both"/>
        <w:rPr>
          <w:rFonts w:cs="宋体"/>
          <w:sz w:val="28"/>
          <w:szCs w:val="28"/>
        </w:rPr>
      </w:pPr>
    </w:p>
    <w:p w14:paraId="099E9AC6">
      <w:pPr>
        <w:pStyle w:val="24"/>
        <w:spacing w:before="900" w:beforeAutospacing="0" w:after="0" w:afterAutospacing="0" w:line="420" w:lineRule="atLeast"/>
        <w:jc w:val="both"/>
        <w:rPr>
          <w:rStyle w:val="30"/>
          <w:rFonts w:ascii="微软雅黑" w:hAnsi="微软雅黑" w:eastAsia="微软雅黑" w:cs="微软雅黑"/>
          <w:sz w:val="22"/>
          <w:szCs w:val="22"/>
        </w:rPr>
      </w:pPr>
      <w:r>
        <w:rPr>
          <w:rFonts w:hint="eastAsia" w:cs="宋体"/>
          <w:sz w:val="28"/>
          <w:szCs w:val="28"/>
        </w:rPr>
        <w:t>附件</w:t>
      </w:r>
      <w:r>
        <w:rPr>
          <w:rFonts w:hint="eastAsia" w:cs="宋体"/>
          <w:sz w:val="28"/>
          <w:szCs w:val="28"/>
          <w:lang w:val="en-US" w:eastAsia="zh-CN"/>
        </w:rPr>
        <w:t>4</w:t>
      </w:r>
      <w:r>
        <w:rPr>
          <w:rFonts w:hint="eastAsia" w:cs="宋体"/>
          <w:sz w:val="28"/>
          <w:szCs w:val="28"/>
        </w:rPr>
        <w:t>.</w:t>
      </w:r>
      <w:r>
        <w:rPr>
          <w:rFonts w:hint="eastAsia" w:cs="宋体"/>
          <w:sz w:val="28"/>
          <w:szCs w:val="28"/>
          <w:lang w:val="en-US" w:eastAsia="zh-CN"/>
        </w:rPr>
        <w:t>24</w:t>
      </w:r>
      <w:r>
        <w:rPr>
          <w:rFonts w:hint="eastAsia" w:cs="宋体"/>
          <w:sz w:val="28"/>
          <w:szCs w:val="28"/>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
        <w:gridCol w:w="341"/>
        <w:gridCol w:w="341"/>
        <w:gridCol w:w="342"/>
        <w:gridCol w:w="342"/>
        <w:gridCol w:w="467"/>
        <w:gridCol w:w="342"/>
        <w:gridCol w:w="342"/>
        <w:gridCol w:w="467"/>
        <w:gridCol w:w="342"/>
        <w:gridCol w:w="467"/>
        <w:gridCol w:w="342"/>
        <w:gridCol w:w="593"/>
        <w:gridCol w:w="467"/>
        <w:gridCol w:w="342"/>
        <w:gridCol w:w="342"/>
        <w:gridCol w:w="467"/>
        <w:gridCol w:w="342"/>
        <w:gridCol w:w="342"/>
        <w:gridCol w:w="467"/>
        <w:gridCol w:w="342"/>
        <w:gridCol w:w="342"/>
      </w:tblGrid>
      <w:tr w14:paraId="1D289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vAlign w:val="center"/>
          </w:tcPr>
          <w:p w14:paraId="5D80380C">
            <w:pPr>
              <w:pStyle w:val="24"/>
              <w:snapToGrid/>
              <w:spacing w:before="0" w:beforeAutospacing="0" w:after="0" w:afterAutospacing="0" w:line="420" w:lineRule="atLeast"/>
              <w:jc w:val="center"/>
              <w:rPr>
                <w:rStyle w:val="30"/>
                <w:rFonts w:ascii="微软雅黑" w:hAnsi="微软雅黑" w:eastAsia="微软雅黑" w:cs="微软雅黑"/>
                <w:sz w:val="22"/>
                <w:szCs w:val="22"/>
              </w:rPr>
            </w:pPr>
            <w:r>
              <w:rPr>
                <w:rFonts w:hint="eastAsia"/>
                <w:sz w:val="21"/>
              </w:rPr>
              <w:t>芯片信息表</w:t>
            </w:r>
          </w:p>
        </w:tc>
      </w:tr>
      <w:tr w14:paraId="30DB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vAlign w:val="center"/>
          </w:tcPr>
          <w:p w14:paraId="3020904E">
            <w:pPr>
              <w:pStyle w:val="24"/>
              <w:snapToGrid/>
              <w:spacing w:before="0" w:beforeAutospacing="0" w:after="0" w:afterAutospacing="0" w:line="420" w:lineRule="atLeast"/>
              <w:jc w:val="center"/>
              <w:rPr>
                <w:sz w:val="21"/>
              </w:rPr>
            </w:pPr>
            <w:r>
              <w:rPr>
                <w:rFonts w:hint="eastAsia"/>
                <w:sz w:val="21"/>
              </w:rPr>
              <w:t>设备类型</w:t>
            </w:r>
          </w:p>
        </w:tc>
        <w:tc>
          <w:tcPr>
            <w:tcW w:w="366" w:type="dxa"/>
            <w:vAlign w:val="center"/>
          </w:tcPr>
          <w:p w14:paraId="76A82AF3">
            <w:pPr>
              <w:pStyle w:val="24"/>
              <w:snapToGrid/>
              <w:spacing w:before="0" w:beforeAutospacing="0" w:after="0" w:afterAutospacing="0" w:line="420" w:lineRule="atLeast"/>
              <w:jc w:val="center"/>
              <w:rPr>
                <w:sz w:val="21"/>
              </w:rPr>
            </w:pPr>
            <w:r>
              <w:rPr>
                <w:rFonts w:hint="eastAsia"/>
                <w:sz w:val="21"/>
              </w:rPr>
              <w:t>设备品牌型号</w:t>
            </w:r>
          </w:p>
        </w:tc>
        <w:tc>
          <w:tcPr>
            <w:tcW w:w="366" w:type="dxa"/>
            <w:vAlign w:val="center"/>
          </w:tcPr>
          <w:p w14:paraId="4BADC5B0">
            <w:pPr>
              <w:pStyle w:val="24"/>
              <w:snapToGrid/>
              <w:spacing w:before="0" w:beforeAutospacing="0" w:after="0" w:afterAutospacing="0" w:line="420" w:lineRule="atLeast"/>
              <w:jc w:val="center"/>
              <w:rPr>
                <w:sz w:val="21"/>
              </w:rPr>
            </w:pPr>
            <w:r>
              <w:rPr>
                <w:rFonts w:hint="eastAsia"/>
                <w:sz w:val="21"/>
              </w:rPr>
              <w:t>芯片类型</w:t>
            </w:r>
          </w:p>
        </w:tc>
        <w:tc>
          <w:tcPr>
            <w:tcW w:w="366" w:type="dxa"/>
            <w:vAlign w:val="center"/>
          </w:tcPr>
          <w:p w14:paraId="50D7C883">
            <w:pPr>
              <w:pStyle w:val="24"/>
              <w:snapToGrid/>
              <w:spacing w:before="0" w:beforeAutospacing="0" w:after="0" w:afterAutospacing="0" w:line="420" w:lineRule="atLeast"/>
              <w:jc w:val="center"/>
              <w:rPr>
                <w:sz w:val="21"/>
              </w:rPr>
            </w:pPr>
            <w:r>
              <w:rPr>
                <w:rFonts w:hint="eastAsia"/>
                <w:sz w:val="21"/>
              </w:rPr>
              <w:t>芯片厂家</w:t>
            </w:r>
          </w:p>
        </w:tc>
        <w:tc>
          <w:tcPr>
            <w:tcW w:w="366" w:type="dxa"/>
            <w:vAlign w:val="center"/>
          </w:tcPr>
          <w:p w14:paraId="383DA015">
            <w:pPr>
              <w:pStyle w:val="24"/>
              <w:snapToGrid/>
              <w:spacing w:before="0" w:beforeAutospacing="0" w:after="0" w:afterAutospacing="0" w:line="420" w:lineRule="atLeast"/>
              <w:jc w:val="center"/>
              <w:rPr>
                <w:sz w:val="21"/>
              </w:rPr>
            </w:pPr>
            <w:r>
              <w:rPr>
                <w:rFonts w:hint="eastAsia"/>
                <w:sz w:val="21"/>
              </w:rPr>
              <w:t>型号</w:t>
            </w:r>
          </w:p>
        </w:tc>
        <w:tc>
          <w:tcPr>
            <w:tcW w:w="516" w:type="dxa"/>
            <w:vAlign w:val="center"/>
          </w:tcPr>
          <w:p w14:paraId="1262938D">
            <w:pPr>
              <w:pStyle w:val="24"/>
              <w:snapToGrid/>
              <w:spacing w:before="0" w:beforeAutospacing="0" w:after="0" w:afterAutospacing="0" w:line="420" w:lineRule="atLeast"/>
              <w:jc w:val="center"/>
              <w:rPr>
                <w:sz w:val="21"/>
              </w:rPr>
            </w:pPr>
            <w:r>
              <w:rPr>
                <w:rFonts w:hint="eastAsia"/>
                <w:sz w:val="21"/>
              </w:rPr>
              <w:t>芯片设计单位（全称）</w:t>
            </w:r>
          </w:p>
        </w:tc>
        <w:tc>
          <w:tcPr>
            <w:tcW w:w="366" w:type="dxa"/>
            <w:vAlign w:val="center"/>
          </w:tcPr>
          <w:p w14:paraId="5FC448B2">
            <w:pPr>
              <w:pStyle w:val="24"/>
              <w:snapToGrid/>
              <w:spacing w:before="0" w:beforeAutospacing="0" w:after="0" w:afterAutospacing="0" w:line="420" w:lineRule="atLeast"/>
              <w:jc w:val="center"/>
              <w:rPr>
                <w:sz w:val="21"/>
              </w:rPr>
            </w:pPr>
            <w:r>
              <w:rPr>
                <w:rFonts w:hint="eastAsia"/>
                <w:sz w:val="21"/>
              </w:rPr>
              <w:t>注册地址</w:t>
            </w:r>
          </w:p>
        </w:tc>
        <w:tc>
          <w:tcPr>
            <w:tcW w:w="366" w:type="dxa"/>
            <w:vAlign w:val="center"/>
          </w:tcPr>
          <w:p w14:paraId="3208BEC7">
            <w:pPr>
              <w:pStyle w:val="24"/>
              <w:snapToGrid/>
              <w:spacing w:before="0" w:beforeAutospacing="0" w:after="0" w:afterAutospacing="0" w:line="420" w:lineRule="atLeast"/>
              <w:jc w:val="center"/>
              <w:rPr>
                <w:sz w:val="21"/>
              </w:rPr>
            </w:pPr>
            <w:r>
              <w:rPr>
                <w:rFonts w:hint="eastAsia"/>
                <w:sz w:val="21"/>
              </w:rPr>
              <w:t>境内/境外</w:t>
            </w:r>
          </w:p>
        </w:tc>
        <w:tc>
          <w:tcPr>
            <w:tcW w:w="516" w:type="dxa"/>
            <w:vAlign w:val="center"/>
          </w:tcPr>
          <w:p w14:paraId="40001000">
            <w:pPr>
              <w:pStyle w:val="24"/>
              <w:snapToGrid/>
              <w:spacing w:before="0" w:beforeAutospacing="0" w:after="0" w:afterAutospacing="0" w:line="420" w:lineRule="atLeast"/>
              <w:jc w:val="center"/>
              <w:rPr>
                <w:sz w:val="21"/>
              </w:rPr>
            </w:pPr>
            <w:r>
              <w:rPr>
                <w:rFonts w:hint="eastAsia"/>
                <w:sz w:val="21"/>
              </w:rPr>
              <w:t>注册信息是否包含“集成电路设计”</w:t>
            </w:r>
          </w:p>
        </w:tc>
        <w:tc>
          <w:tcPr>
            <w:tcW w:w="366" w:type="dxa"/>
            <w:vAlign w:val="center"/>
          </w:tcPr>
          <w:p w14:paraId="0517DE45">
            <w:pPr>
              <w:pStyle w:val="24"/>
              <w:snapToGrid/>
              <w:spacing w:before="0" w:beforeAutospacing="0" w:after="0" w:afterAutospacing="0" w:line="420" w:lineRule="atLeast"/>
              <w:jc w:val="center"/>
              <w:rPr>
                <w:sz w:val="21"/>
              </w:rPr>
            </w:pPr>
            <w:r>
              <w:rPr>
                <w:rFonts w:hint="eastAsia"/>
                <w:sz w:val="21"/>
              </w:rPr>
              <w:t>是否具有独立法人</w:t>
            </w:r>
          </w:p>
        </w:tc>
        <w:tc>
          <w:tcPr>
            <w:tcW w:w="516" w:type="dxa"/>
            <w:vAlign w:val="center"/>
          </w:tcPr>
          <w:p w14:paraId="2DB6F8F7">
            <w:pPr>
              <w:pStyle w:val="24"/>
              <w:snapToGrid/>
              <w:spacing w:before="0" w:beforeAutospacing="0" w:after="0" w:afterAutospacing="0" w:line="420" w:lineRule="atLeast"/>
              <w:jc w:val="center"/>
              <w:rPr>
                <w:sz w:val="21"/>
              </w:rPr>
            </w:pPr>
            <w:r>
              <w:rPr>
                <w:rFonts w:hint="eastAsia"/>
                <w:sz w:val="21"/>
              </w:rPr>
              <w:t>集成电路设计的机构地址（实际研发地点）</w:t>
            </w:r>
          </w:p>
        </w:tc>
        <w:tc>
          <w:tcPr>
            <w:tcW w:w="366" w:type="dxa"/>
            <w:vAlign w:val="center"/>
          </w:tcPr>
          <w:p w14:paraId="2BD84E64">
            <w:pPr>
              <w:pStyle w:val="24"/>
              <w:snapToGrid/>
              <w:spacing w:before="0" w:beforeAutospacing="0" w:after="0" w:afterAutospacing="0" w:line="420" w:lineRule="atLeast"/>
              <w:jc w:val="center"/>
              <w:rPr>
                <w:sz w:val="21"/>
              </w:rPr>
            </w:pPr>
            <w:r>
              <w:rPr>
                <w:rFonts w:hint="eastAsia"/>
                <w:sz w:val="21"/>
              </w:rPr>
              <w:t>境内/境外</w:t>
            </w:r>
          </w:p>
        </w:tc>
        <w:tc>
          <w:tcPr>
            <w:tcW w:w="666" w:type="dxa"/>
            <w:vAlign w:val="center"/>
          </w:tcPr>
          <w:p w14:paraId="6A61B4B4">
            <w:pPr>
              <w:pStyle w:val="24"/>
              <w:snapToGrid/>
              <w:spacing w:before="0" w:beforeAutospacing="0" w:after="0" w:afterAutospacing="0" w:line="420" w:lineRule="atLeast"/>
              <w:jc w:val="center"/>
              <w:rPr>
                <w:sz w:val="21"/>
              </w:rPr>
            </w:pPr>
            <w:r>
              <w:rPr>
                <w:rFonts w:hint="eastAsia"/>
                <w:sz w:val="21"/>
              </w:rPr>
              <w:t>芯片制程（nm）</w:t>
            </w:r>
          </w:p>
        </w:tc>
        <w:tc>
          <w:tcPr>
            <w:tcW w:w="516" w:type="dxa"/>
            <w:vAlign w:val="center"/>
          </w:tcPr>
          <w:p w14:paraId="2BB2D8B5">
            <w:pPr>
              <w:pStyle w:val="24"/>
              <w:snapToGrid/>
              <w:spacing w:before="0" w:beforeAutospacing="0" w:after="0" w:afterAutospacing="0" w:line="420" w:lineRule="atLeast"/>
              <w:jc w:val="center"/>
              <w:rPr>
                <w:sz w:val="21"/>
              </w:rPr>
            </w:pPr>
            <w:r>
              <w:rPr>
                <w:rFonts w:hint="eastAsia"/>
                <w:sz w:val="21"/>
              </w:rPr>
              <w:t>芯片制造单位（全称）</w:t>
            </w:r>
          </w:p>
        </w:tc>
        <w:tc>
          <w:tcPr>
            <w:tcW w:w="366" w:type="dxa"/>
            <w:vAlign w:val="center"/>
          </w:tcPr>
          <w:p w14:paraId="5C3E0BD5">
            <w:pPr>
              <w:pStyle w:val="24"/>
              <w:snapToGrid/>
              <w:spacing w:before="0" w:beforeAutospacing="0" w:after="0" w:afterAutospacing="0" w:line="420" w:lineRule="atLeast"/>
              <w:jc w:val="center"/>
              <w:rPr>
                <w:sz w:val="21"/>
              </w:rPr>
            </w:pPr>
            <w:r>
              <w:rPr>
                <w:rFonts w:hint="eastAsia"/>
                <w:sz w:val="21"/>
              </w:rPr>
              <w:t>地址</w:t>
            </w:r>
          </w:p>
        </w:tc>
        <w:tc>
          <w:tcPr>
            <w:tcW w:w="366" w:type="dxa"/>
            <w:vAlign w:val="center"/>
          </w:tcPr>
          <w:p w14:paraId="127A7B2E">
            <w:pPr>
              <w:pStyle w:val="24"/>
              <w:snapToGrid/>
              <w:spacing w:before="0" w:beforeAutospacing="0" w:after="0" w:afterAutospacing="0" w:line="420" w:lineRule="atLeast"/>
              <w:jc w:val="center"/>
              <w:rPr>
                <w:rFonts w:cs="Times New Roman"/>
                <w:sz w:val="21"/>
              </w:rPr>
            </w:pPr>
            <w:r>
              <w:rPr>
                <w:rFonts w:hint="eastAsia"/>
                <w:sz w:val="21"/>
              </w:rPr>
              <w:t>境内/境外</w:t>
            </w:r>
          </w:p>
        </w:tc>
        <w:tc>
          <w:tcPr>
            <w:tcW w:w="516" w:type="dxa"/>
            <w:vAlign w:val="center"/>
          </w:tcPr>
          <w:p w14:paraId="1BB70111">
            <w:pPr>
              <w:pStyle w:val="24"/>
              <w:snapToGrid/>
              <w:spacing w:before="0" w:beforeAutospacing="0" w:after="0" w:afterAutospacing="0" w:line="420" w:lineRule="atLeast"/>
              <w:jc w:val="center"/>
              <w:rPr>
                <w:sz w:val="21"/>
              </w:rPr>
            </w:pPr>
            <w:r>
              <w:rPr>
                <w:rFonts w:hint="eastAsia"/>
                <w:sz w:val="21"/>
              </w:rPr>
              <w:t>芯片封装单位（全称）</w:t>
            </w:r>
          </w:p>
        </w:tc>
        <w:tc>
          <w:tcPr>
            <w:tcW w:w="366" w:type="dxa"/>
            <w:vAlign w:val="center"/>
          </w:tcPr>
          <w:p w14:paraId="547D71D1">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1F24F968">
            <w:pPr>
              <w:pStyle w:val="24"/>
              <w:snapToGrid/>
              <w:spacing w:before="0" w:beforeAutospacing="0" w:after="0" w:afterAutospacing="0" w:line="420" w:lineRule="atLeast"/>
              <w:jc w:val="center"/>
              <w:rPr>
                <w:sz w:val="21"/>
              </w:rPr>
            </w:pPr>
            <w:r>
              <w:rPr>
                <w:rFonts w:hint="eastAsia"/>
                <w:sz w:val="21"/>
              </w:rPr>
              <w:t>境内/境外</w:t>
            </w:r>
          </w:p>
        </w:tc>
        <w:tc>
          <w:tcPr>
            <w:tcW w:w="221" w:type="dxa"/>
            <w:vAlign w:val="center"/>
          </w:tcPr>
          <w:p w14:paraId="2E723200">
            <w:pPr>
              <w:pStyle w:val="24"/>
              <w:snapToGrid/>
              <w:spacing w:before="0" w:beforeAutospacing="0" w:after="0" w:afterAutospacing="0" w:line="420" w:lineRule="atLeast"/>
              <w:jc w:val="center"/>
              <w:rPr>
                <w:sz w:val="21"/>
              </w:rPr>
            </w:pPr>
            <w:r>
              <w:rPr>
                <w:rFonts w:hint="eastAsia"/>
                <w:sz w:val="21"/>
              </w:rPr>
              <w:t>芯片测试单位（全称）</w:t>
            </w:r>
          </w:p>
        </w:tc>
        <w:tc>
          <w:tcPr>
            <w:tcW w:w="221" w:type="dxa"/>
            <w:vAlign w:val="center"/>
          </w:tcPr>
          <w:p w14:paraId="41F55B2C">
            <w:pPr>
              <w:pStyle w:val="24"/>
              <w:snapToGrid/>
              <w:spacing w:before="0" w:beforeAutospacing="0" w:after="0" w:afterAutospacing="0" w:line="420" w:lineRule="atLeast"/>
              <w:jc w:val="center"/>
              <w:rPr>
                <w:sz w:val="21"/>
              </w:rPr>
            </w:pPr>
            <w:r>
              <w:rPr>
                <w:rFonts w:hint="eastAsia"/>
                <w:sz w:val="21"/>
              </w:rPr>
              <w:t>地址</w:t>
            </w:r>
          </w:p>
        </w:tc>
        <w:tc>
          <w:tcPr>
            <w:tcW w:w="221" w:type="dxa"/>
            <w:vAlign w:val="center"/>
          </w:tcPr>
          <w:p w14:paraId="642F464B">
            <w:pPr>
              <w:pStyle w:val="24"/>
              <w:snapToGrid/>
              <w:spacing w:before="0" w:beforeAutospacing="0" w:after="0" w:afterAutospacing="0" w:line="420" w:lineRule="atLeast"/>
              <w:jc w:val="center"/>
              <w:rPr>
                <w:sz w:val="21"/>
              </w:rPr>
            </w:pPr>
            <w:r>
              <w:rPr>
                <w:rFonts w:hint="eastAsia"/>
                <w:sz w:val="21"/>
              </w:rPr>
              <w:t>境内/境外</w:t>
            </w:r>
          </w:p>
        </w:tc>
      </w:tr>
      <w:tr w14:paraId="3F47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56972829">
            <w:pPr>
              <w:pStyle w:val="24"/>
              <w:snapToGrid/>
              <w:spacing w:before="0" w:beforeAutospacing="0" w:after="0" w:afterAutospacing="0" w:line="420" w:lineRule="atLeast"/>
              <w:jc w:val="center"/>
              <w:rPr>
                <w:sz w:val="21"/>
              </w:rPr>
            </w:pPr>
          </w:p>
        </w:tc>
        <w:tc>
          <w:tcPr>
            <w:tcW w:w="366" w:type="dxa"/>
            <w:vAlign w:val="center"/>
          </w:tcPr>
          <w:p w14:paraId="231DAE95">
            <w:pPr>
              <w:pStyle w:val="24"/>
              <w:snapToGrid/>
              <w:spacing w:before="0" w:beforeAutospacing="0" w:after="0" w:afterAutospacing="0" w:line="420" w:lineRule="atLeast"/>
              <w:jc w:val="center"/>
              <w:rPr>
                <w:sz w:val="21"/>
              </w:rPr>
            </w:pPr>
          </w:p>
        </w:tc>
        <w:tc>
          <w:tcPr>
            <w:tcW w:w="366" w:type="dxa"/>
            <w:vAlign w:val="center"/>
          </w:tcPr>
          <w:p w14:paraId="6883F72D">
            <w:pPr>
              <w:pStyle w:val="24"/>
              <w:snapToGrid/>
              <w:spacing w:before="0" w:beforeAutospacing="0" w:after="0" w:afterAutospacing="0" w:line="420" w:lineRule="atLeast"/>
              <w:jc w:val="center"/>
              <w:rPr>
                <w:sz w:val="21"/>
              </w:rPr>
            </w:pPr>
          </w:p>
        </w:tc>
        <w:tc>
          <w:tcPr>
            <w:tcW w:w="366" w:type="dxa"/>
            <w:vAlign w:val="center"/>
          </w:tcPr>
          <w:p w14:paraId="645736FB">
            <w:pPr>
              <w:pStyle w:val="24"/>
              <w:snapToGrid/>
              <w:spacing w:before="0" w:beforeAutospacing="0" w:after="0" w:afterAutospacing="0" w:line="420" w:lineRule="atLeast"/>
              <w:jc w:val="center"/>
              <w:rPr>
                <w:sz w:val="21"/>
              </w:rPr>
            </w:pPr>
          </w:p>
        </w:tc>
        <w:tc>
          <w:tcPr>
            <w:tcW w:w="366" w:type="dxa"/>
            <w:vAlign w:val="center"/>
          </w:tcPr>
          <w:p w14:paraId="1E1203D7">
            <w:pPr>
              <w:pStyle w:val="24"/>
              <w:snapToGrid/>
              <w:spacing w:before="0" w:beforeAutospacing="0" w:after="0" w:afterAutospacing="0" w:line="420" w:lineRule="atLeast"/>
              <w:jc w:val="center"/>
              <w:rPr>
                <w:sz w:val="21"/>
              </w:rPr>
            </w:pPr>
          </w:p>
        </w:tc>
        <w:tc>
          <w:tcPr>
            <w:tcW w:w="516" w:type="dxa"/>
            <w:vAlign w:val="center"/>
          </w:tcPr>
          <w:p w14:paraId="4194FD5E">
            <w:pPr>
              <w:pStyle w:val="24"/>
              <w:snapToGrid/>
              <w:spacing w:before="0" w:beforeAutospacing="0" w:after="0" w:afterAutospacing="0" w:line="420" w:lineRule="atLeast"/>
              <w:jc w:val="center"/>
              <w:rPr>
                <w:sz w:val="21"/>
              </w:rPr>
            </w:pPr>
          </w:p>
        </w:tc>
        <w:tc>
          <w:tcPr>
            <w:tcW w:w="366" w:type="dxa"/>
            <w:vAlign w:val="center"/>
          </w:tcPr>
          <w:p w14:paraId="07799340">
            <w:pPr>
              <w:pStyle w:val="24"/>
              <w:snapToGrid/>
              <w:spacing w:before="0" w:beforeAutospacing="0" w:after="0" w:afterAutospacing="0" w:line="420" w:lineRule="atLeast"/>
              <w:jc w:val="center"/>
              <w:rPr>
                <w:sz w:val="21"/>
              </w:rPr>
            </w:pPr>
          </w:p>
        </w:tc>
        <w:tc>
          <w:tcPr>
            <w:tcW w:w="366" w:type="dxa"/>
            <w:vAlign w:val="center"/>
          </w:tcPr>
          <w:p w14:paraId="0ECD892A">
            <w:pPr>
              <w:pStyle w:val="24"/>
              <w:snapToGrid/>
              <w:spacing w:before="0" w:beforeAutospacing="0" w:after="0" w:afterAutospacing="0" w:line="420" w:lineRule="atLeast"/>
              <w:jc w:val="center"/>
              <w:rPr>
                <w:sz w:val="21"/>
              </w:rPr>
            </w:pPr>
          </w:p>
        </w:tc>
        <w:tc>
          <w:tcPr>
            <w:tcW w:w="516" w:type="dxa"/>
            <w:vAlign w:val="center"/>
          </w:tcPr>
          <w:p w14:paraId="3714BCFC">
            <w:pPr>
              <w:pStyle w:val="24"/>
              <w:snapToGrid/>
              <w:spacing w:before="0" w:beforeAutospacing="0" w:after="0" w:afterAutospacing="0" w:line="420" w:lineRule="atLeast"/>
              <w:jc w:val="center"/>
              <w:rPr>
                <w:sz w:val="21"/>
              </w:rPr>
            </w:pPr>
          </w:p>
        </w:tc>
        <w:tc>
          <w:tcPr>
            <w:tcW w:w="366" w:type="dxa"/>
            <w:vAlign w:val="center"/>
          </w:tcPr>
          <w:p w14:paraId="7C71D095">
            <w:pPr>
              <w:pStyle w:val="24"/>
              <w:snapToGrid/>
              <w:spacing w:before="0" w:beforeAutospacing="0" w:after="0" w:afterAutospacing="0" w:line="420" w:lineRule="atLeast"/>
              <w:jc w:val="center"/>
              <w:rPr>
                <w:sz w:val="21"/>
              </w:rPr>
            </w:pPr>
          </w:p>
        </w:tc>
        <w:tc>
          <w:tcPr>
            <w:tcW w:w="516" w:type="dxa"/>
            <w:vAlign w:val="center"/>
          </w:tcPr>
          <w:p w14:paraId="1000ABE2">
            <w:pPr>
              <w:pStyle w:val="24"/>
              <w:snapToGrid/>
              <w:spacing w:before="0" w:beforeAutospacing="0" w:after="0" w:afterAutospacing="0" w:line="420" w:lineRule="atLeast"/>
              <w:jc w:val="center"/>
              <w:rPr>
                <w:sz w:val="21"/>
              </w:rPr>
            </w:pPr>
          </w:p>
        </w:tc>
        <w:tc>
          <w:tcPr>
            <w:tcW w:w="366" w:type="dxa"/>
            <w:vAlign w:val="center"/>
          </w:tcPr>
          <w:p w14:paraId="13EA4650">
            <w:pPr>
              <w:pStyle w:val="24"/>
              <w:snapToGrid/>
              <w:spacing w:before="0" w:beforeAutospacing="0" w:after="0" w:afterAutospacing="0" w:line="420" w:lineRule="atLeast"/>
              <w:jc w:val="center"/>
              <w:rPr>
                <w:sz w:val="21"/>
              </w:rPr>
            </w:pPr>
          </w:p>
        </w:tc>
        <w:tc>
          <w:tcPr>
            <w:tcW w:w="666" w:type="dxa"/>
            <w:vAlign w:val="center"/>
          </w:tcPr>
          <w:p w14:paraId="6397DC4A">
            <w:pPr>
              <w:pStyle w:val="24"/>
              <w:snapToGrid/>
              <w:spacing w:before="0" w:beforeAutospacing="0" w:after="0" w:afterAutospacing="0" w:line="420" w:lineRule="atLeast"/>
              <w:jc w:val="center"/>
              <w:rPr>
                <w:sz w:val="21"/>
              </w:rPr>
            </w:pPr>
          </w:p>
        </w:tc>
        <w:tc>
          <w:tcPr>
            <w:tcW w:w="516" w:type="dxa"/>
            <w:vAlign w:val="center"/>
          </w:tcPr>
          <w:p w14:paraId="5A71B4D7">
            <w:pPr>
              <w:pStyle w:val="24"/>
              <w:snapToGrid/>
              <w:spacing w:before="0" w:beforeAutospacing="0" w:after="0" w:afterAutospacing="0" w:line="420" w:lineRule="atLeast"/>
              <w:jc w:val="center"/>
              <w:rPr>
                <w:sz w:val="21"/>
              </w:rPr>
            </w:pPr>
          </w:p>
        </w:tc>
        <w:tc>
          <w:tcPr>
            <w:tcW w:w="366" w:type="dxa"/>
            <w:vAlign w:val="center"/>
          </w:tcPr>
          <w:p w14:paraId="2A97EFE8">
            <w:pPr>
              <w:pStyle w:val="24"/>
              <w:snapToGrid/>
              <w:spacing w:before="0" w:beforeAutospacing="0" w:after="0" w:afterAutospacing="0" w:line="420" w:lineRule="atLeast"/>
              <w:jc w:val="center"/>
              <w:rPr>
                <w:sz w:val="21"/>
              </w:rPr>
            </w:pPr>
          </w:p>
        </w:tc>
        <w:tc>
          <w:tcPr>
            <w:tcW w:w="366" w:type="dxa"/>
            <w:vAlign w:val="center"/>
          </w:tcPr>
          <w:p w14:paraId="17C8511C">
            <w:pPr>
              <w:pStyle w:val="24"/>
              <w:snapToGrid/>
              <w:spacing w:before="0" w:beforeAutospacing="0" w:after="0" w:afterAutospacing="0" w:line="420" w:lineRule="atLeast"/>
              <w:jc w:val="center"/>
              <w:rPr>
                <w:sz w:val="21"/>
              </w:rPr>
            </w:pPr>
          </w:p>
        </w:tc>
        <w:tc>
          <w:tcPr>
            <w:tcW w:w="516" w:type="dxa"/>
            <w:vAlign w:val="center"/>
          </w:tcPr>
          <w:p w14:paraId="19D1B4CD">
            <w:pPr>
              <w:pStyle w:val="24"/>
              <w:snapToGrid/>
              <w:spacing w:before="0" w:beforeAutospacing="0" w:after="0" w:afterAutospacing="0" w:line="420" w:lineRule="atLeast"/>
              <w:jc w:val="center"/>
              <w:rPr>
                <w:sz w:val="21"/>
              </w:rPr>
            </w:pPr>
          </w:p>
        </w:tc>
        <w:tc>
          <w:tcPr>
            <w:tcW w:w="366" w:type="dxa"/>
            <w:vAlign w:val="center"/>
          </w:tcPr>
          <w:p w14:paraId="3764F64F">
            <w:pPr>
              <w:pStyle w:val="24"/>
              <w:snapToGrid/>
              <w:spacing w:before="0" w:beforeAutospacing="0" w:after="0" w:afterAutospacing="0" w:line="420" w:lineRule="atLeast"/>
              <w:jc w:val="center"/>
              <w:rPr>
                <w:sz w:val="21"/>
              </w:rPr>
            </w:pPr>
          </w:p>
        </w:tc>
        <w:tc>
          <w:tcPr>
            <w:tcW w:w="221" w:type="dxa"/>
            <w:vAlign w:val="center"/>
          </w:tcPr>
          <w:p w14:paraId="31A42F48">
            <w:pPr>
              <w:pStyle w:val="24"/>
              <w:snapToGrid/>
              <w:spacing w:before="0" w:beforeAutospacing="0" w:after="0" w:afterAutospacing="0" w:line="420" w:lineRule="atLeast"/>
              <w:jc w:val="center"/>
              <w:rPr>
                <w:sz w:val="21"/>
              </w:rPr>
            </w:pPr>
          </w:p>
        </w:tc>
        <w:tc>
          <w:tcPr>
            <w:tcW w:w="221" w:type="dxa"/>
            <w:vAlign w:val="center"/>
          </w:tcPr>
          <w:p w14:paraId="4ADC8BC5">
            <w:pPr>
              <w:pStyle w:val="24"/>
              <w:snapToGrid/>
              <w:spacing w:before="0" w:beforeAutospacing="0" w:after="0" w:afterAutospacing="0" w:line="420" w:lineRule="atLeast"/>
              <w:jc w:val="center"/>
              <w:rPr>
                <w:sz w:val="21"/>
              </w:rPr>
            </w:pPr>
          </w:p>
        </w:tc>
        <w:tc>
          <w:tcPr>
            <w:tcW w:w="221" w:type="dxa"/>
            <w:vAlign w:val="center"/>
          </w:tcPr>
          <w:p w14:paraId="59C2DE76">
            <w:pPr>
              <w:pStyle w:val="24"/>
              <w:snapToGrid/>
              <w:spacing w:before="0" w:beforeAutospacing="0" w:after="0" w:afterAutospacing="0" w:line="420" w:lineRule="atLeast"/>
              <w:jc w:val="center"/>
              <w:rPr>
                <w:sz w:val="21"/>
              </w:rPr>
            </w:pPr>
          </w:p>
        </w:tc>
        <w:tc>
          <w:tcPr>
            <w:tcW w:w="221" w:type="dxa"/>
            <w:vAlign w:val="center"/>
          </w:tcPr>
          <w:p w14:paraId="576A520C">
            <w:pPr>
              <w:pStyle w:val="24"/>
              <w:snapToGrid/>
              <w:spacing w:before="0" w:beforeAutospacing="0" w:after="0" w:afterAutospacing="0" w:line="420" w:lineRule="atLeast"/>
              <w:jc w:val="center"/>
              <w:rPr>
                <w:sz w:val="21"/>
              </w:rPr>
            </w:pPr>
          </w:p>
        </w:tc>
      </w:tr>
      <w:tr w14:paraId="0D9E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vAlign w:val="center"/>
          </w:tcPr>
          <w:p w14:paraId="56C00967">
            <w:pPr>
              <w:pStyle w:val="24"/>
              <w:snapToGrid/>
              <w:spacing w:before="0" w:beforeAutospacing="0" w:after="0" w:afterAutospacing="0" w:line="420" w:lineRule="atLeast"/>
              <w:jc w:val="center"/>
              <w:rPr>
                <w:sz w:val="21"/>
              </w:rPr>
            </w:pPr>
          </w:p>
        </w:tc>
        <w:tc>
          <w:tcPr>
            <w:tcW w:w="366" w:type="dxa"/>
            <w:vAlign w:val="center"/>
          </w:tcPr>
          <w:p w14:paraId="04750C8C">
            <w:pPr>
              <w:pStyle w:val="24"/>
              <w:snapToGrid/>
              <w:spacing w:before="0" w:beforeAutospacing="0" w:after="0" w:afterAutospacing="0" w:line="420" w:lineRule="atLeast"/>
              <w:jc w:val="center"/>
              <w:rPr>
                <w:sz w:val="21"/>
              </w:rPr>
            </w:pPr>
          </w:p>
        </w:tc>
        <w:tc>
          <w:tcPr>
            <w:tcW w:w="366" w:type="dxa"/>
            <w:vAlign w:val="center"/>
          </w:tcPr>
          <w:p w14:paraId="687B6BC7">
            <w:pPr>
              <w:pStyle w:val="24"/>
              <w:snapToGrid/>
              <w:spacing w:before="0" w:beforeAutospacing="0" w:after="0" w:afterAutospacing="0" w:line="420" w:lineRule="atLeast"/>
              <w:jc w:val="center"/>
              <w:rPr>
                <w:sz w:val="21"/>
              </w:rPr>
            </w:pPr>
          </w:p>
        </w:tc>
        <w:tc>
          <w:tcPr>
            <w:tcW w:w="366" w:type="dxa"/>
            <w:vAlign w:val="center"/>
          </w:tcPr>
          <w:p w14:paraId="28FF98F5">
            <w:pPr>
              <w:pStyle w:val="24"/>
              <w:snapToGrid/>
              <w:spacing w:before="0" w:beforeAutospacing="0" w:after="0" w:afterAutospacing="0" w:line="420" w:lineRule="atLeast"/>
              <w:jc w:val="center"/>
              <w:rPr>
                <w:sz w:val="21"/>
              </w:rPr>
            </w:pPr>
          </w:p>
        </w:tc>
        <w:tc>
          <w:tcPr>
            <w:tcW w:w="366" w:type="dxa"/>
            <w:vAlign w:val="center"/>
          </w:tcPr>
          <w:p w14:paraId="6BF4E617">
            <w:pPr>
              <w:pStyle w:val="24"/>
              <w:snapToGrid/>
              <w:spacing w:before="0" w:beforeAutospacing="0" w:after="0" w:afterAutospacing="0" w:line="420" w:lineRule="atLeast"/>
              <w:jc w:val="center"/>
              <w:rPr>
                <w:sz w:val="21"/>
              </w:rPr>
            </w:pPr>
          </w:p>
        </w:tc>
        <w:tc>
          <w:tcPr>
            <w:tcW w:w="516" w:type="dxa"/>
            <w:vAlign w:val="center"/>
          </w:tcPr>
          <w:p w14:paraId="2EAC3971">
            <w:pPr>
              <w:pStyle w:val="24"/>
              <w:snapToGrid/>
              <w:spacing w:before="0" w:beforeAutospacing="0" w:after="0" w:afterAutospacing="0" w:line="420" w:lineRule="atLeast"/>
              <w:jc w:val="center"/>
              <w:rPr>
                <w:sz w:val="21"/>
              </w:rPr>
            </w:pPr>
          </w:p>
        </w:tc>
        <w:tc>
          <w:tcPr>
            <w:tcW w:w="366" w:type="dxa"/>
            <w:vAlign w:val="center"/>
          </w:tcPr>
          <w:p w14:paraId="34BC7647">
            <w:pPr>
              <w:pStyle w:val="24"/>
              <w:snapToGrid/>
              <w:spacing w:before="0" w:beforeAutospacing="0" w:after="0" w:afterAutospacing="0" w:line="420" w:lineRule="atLeast"/>
              <w:jc w:val="center"/>
              <w:rPr>
                <w:sz w:val="21"/>
              </w:rPr>
            </w:pPr>
          </w:p>
        </w:tc>
        <w:tc>
          <w:tcPr>
            <w:tcW w:w="366" w:type="dxa"/>
            <w:vAlign w:val="center"/>
          </w:tcPr>
          <w:p w14:paraId="5BAB51F0">
            <w:pPr>
              <w:pStyle w:val="24"/>
              <w:snapToGrid/>
              <w:spacing w:before="0" w:beforeAutospacing="0" w:after="0" w:afterAutospacing="0" w:line="420" w:lineRule="atLeast"/>
              <w:jc w:val="center"/>
              <w:rPr>
                <w:sz w:val="21"/>
              </w:rPr>
            </w:pPr>
          </w:p>
        </w:tc>
        <w:tc>
          <w:tcPr>
            <w:tcW w:w="516" w:type="dxa"/>
            <w:vAlign w:val="center"/>
          </w:tcPr>
          <w:p w14:paraId="51CD8F74">
            <w:pPr>
              <w:pStyle w:val="24"/>
              <w:snapToGrid/>
              <w:spacing w:before="0" w:beforeAutospacing="0" w:after="0" w:afterAutospacing="0" w:line="420" w:lineRule="atLeast"/>
              <w:jc w:val="center"/>
              <w:rPr>
                <w:sz w:val="21"/>
              </w:rPr>
            </w:pPr>
          </w:p>
        </w:tc>
        <w:tc>
          <w:tcPr>
            <w:tcW w:w="366" w:type="dxa"/>
            <w:vAlign w:val="center"/>
          </w:tcPr>
          <w:p w14:paraId="7A6096A8">
            <w:pPr>
              <w:pStyle w:val="24"/>
              <w:snapToGrid/>
              <w:spacing w:before="0" w:beforeAutospacing="0" w:after="0" w:afterAutospacing="0" w:line="420" w:lineRule="atLeast"/>
              <w:jc w:val="center"/>
              <w:rPr>
                <w:sz w:val="21"/>
              </w:rPr>
            </w:pPr>
          </w:p>
        </w:tc>
        <w:tc>
          <w:tcPr>
            <w:tcW w:w="516" w:type="dxa"/>
            <w:vAlign w:val="center"/>
          </w:tcPr>
          <w:p w14:paraId="61A5D537">
            <w:pPr>
              <w:pStyle w:val="24"/>
              <w:snapToGrid/>
              <w:spacing w:before="0" w:beforeAutospacing="0" w:after="0" w:afterAutospacing="0" w:line="420" w:lineRule="atLeast"/>
              <w:jc w:val="center"/>
              <w:rPr>
                <w:sz w:val="21"/>
              </w:rPr>
            </w:pPr>
          </w:p>
        </w:tc>
        <w:tc>
          <w:tcPr>
            <w:tcW w:w="366" w:type="dxa"/>
            <w:vAlign w:val="center"/>
          </w:tcPr>
          <w:p w14:paraId="6A66F95B">
            <w:pPr>
              <w:pStyle w:val="24"/>
              <w:snapToGrid/>
              <w:spacing w:before="0" w:beforeAutospacing="0" w:after="0" w:afterAutospacing="0" w:line="420" w:lineRule="atLeast"/>
              <w:jc w:val="center"/>
              <w:rPr>
                <w:sz w:val="21"/>
              </w:rPr>
            </w:pPr>
          </w:p>
        </w:tc>
        <w:tc>
          <w:tcPr>
            <w:tcW w:w="666" w:type="dxa"/>
            <w:vAlign w:val="center"/>
          </w:tcPr>
          <w:p w14:paraId="4E120529">
            <w:pPr>
              <w:pStyle w:val="24"/>
              <w:snapToGrid/>
              <w:spacing w:before="0" w:beforeAutospacing="0" w:after="0" w:afterAutospacing="0" w:line="420" w:lineRule="atLeast"/>
              <w:jc w:val="center"/>
              <w:rPr>
                <w:sz w:val="21"/>
              </w:rPr>
            </w:pPr>
          </w:p>
        </w:tc>
        <w:tc>
          <w:tcPr>
            <w:tcW w:w="516" w:type="dxa"/>
            <w:vAlign w:val="center"/>
          </w:tcPr>
          <w:p w14:paraId="565C3337">
            <w:pPr>
              <w:pStyle w:val="24"/>
              <w:snapToGrid/>
              <w:spacing w:before="0" w:beforeAutospacing="0" w:after="0" w:afterAutospacing="0" w:line="420" w:lineRule="atLeast"/>
              <w:jc w:val="center"/>
              <w:rPr>
                <w:sz w:val="21"/>
              </w:rPr>
            </w:pPr>
          </w:p>
        </w:tc>
        <w:tc>
          <w:tcPr>
            <w:tcW w:w="366" w:type="dxa"/>
            <w:vAlign w:val="center"/>
          </w:tcPr>
          <w:p w14:paraId="73BEA5B5">
            <w:pPr>
              <w:pStyle w:val="24"/>
              <w:snapToGrid/>
              <w:spacing w:before="0" w:beforeAutospacing="0" w:after="0" w:afterAutospacing="0" w:line="420" w:lineRule="atLeast"/>
              <w:jc w:val="center"/>
              <w:rPr>
                <w:sz w:val="21"/>
              </w:rPr>
            </w:pPr>
          </w:p>
        </w:tc>
        <w:tc>
          <w:tcPr>
            <w:tcW w:w="366" w:type="dxa"/>
            <w:vAlign w:val="center"/>
          </w:tcPr>
          <w:p w14:paraId="17F84DED">
            <w:pPr>
              <w:pStyle w:val="24"/>
              <w:snapToGrid/>
              <w:spacing w:before="0" w:beforeAutospacing="0" w:after="0" w:afterAutospacing="0" w:line="420" w:lineRule="atLeast"/>
              <w:jc w:val="center"/>
              <w:rPr>
                <w:sz w:val="21"/>
              </w:rPr>
            </w:pPr>
          </w:p>
        </w:tc>
        <w:tc>
          <w:tcPr>
            <w:tcW w:w="516" w:type="dxa"/>
            <w:vAlign w:val="center"/>
          </w:tcPr>
          <w:p w14:paraId="2FC4EAF9">
            <w:pPr>
              <w:pStyle w:val="24"/>
              <w:snapToGrid/>
              <w:spacing w:before="0" w:beforeAutospacing="0" w:after="0" w:afterAutospacing="0" w:line="420" w:lineRule="atLeast"/>
              <w:jc w:val="center"/>
              <w:rPr>
                <w:sz w:val="21"/>
              </w:rPr>
            </w:pPr>
          </w:p>
        </w:tc>
        <w:tc>
          <w:tcPr>
            <w:tcW w:w="366" w:type="dxa"/>
            <w:vAlign w:val="center"/>
          </w:tcPr>
          <w:p w14:paraId="07502150">
            <w:pPr>
              <w:pStyle w:val="24"/>
              <w:snapToGrid/>
              <w:spacing w:before="0" w:beforeAutospacing="0" w:after="0" w:afterAutospacing="0" w:line="420" w:lineRule="atLeast"/>
              <w:jc w:val="center"/>
              <w:rPr>
                <w:sz w:val="21"/>
              </w:rPr>
            </w:pPr>
          </w:p>
        </w:tc>
        <w:tc>
          <w:tcPr>
            <w:tcW w:w="221" w:type="dxa"/>
            <w:vAlign w:val="center"/>
          </w:tcPr>
          <w:p w14:paraId="694FB46D">
            <w:pPr>
              <w:pStyle w:val="24"/>
              <w:snapToGrid/>
              <w:spacing w:before="0" w:beforeAutospacing="0" w:after="0" w:afterAutospacing="0" w:line="420" w:lineRule="atLeast"/>
              <w:jc w:val="center"/>
              <w:rPr>
                <w:sz w:val="21"/>
              </w:rPr>
            </w:pPr>
          </w:p>
        </w:tc>
        <w:tc>
          <w:tcPr>
            <w:tcW w:w="221" w:type="dxa"/>
            <w:vAlign w:val="center"/>
          </w:tcPr>
          <w:p w14:paraId="475042F0">
            <w:pPr>
              <w:pStyle w:val="24"/>
              <w:snapToGrid/>
              <w:spacing w:before="0" w:beforeAutospacing="0" w:after="0" w:afterAutospacing="0" w:line="420" w:lineRule="atLeast"/>
              <w:jc w:val="center"/>
              <w:rPr>
                <w:sz w:val="21"/>
              </w:rPr>
            </w:pPr>
          </w:p>
        </w:tc>
        <w:tc>
          <w:tcPr>
            <w:tcW w:w="221" w:type="dxa"/>
            <w:vAlign w:val="center"/>
          </w:tcPr>
          <w:p w14:paraId="46B1CEB3">
            <w:pPr>
              <w:pStyle w:val="24"/>
              <w:snapToGrid/>
              <w:spacing w:before="0" w:beforeAutospacing="0" w:after="0" w:afterAutospacing="0" w:line="420" w:lineRule="atLeast"/>
              <w:jc w:val="center"/>
              <w:rPr>
                <w:sz w:val="21"/>
              </w:rPr>
            </w:pPr>
          </w:p>
        </w:tc>
        <w:tc>
          <w:tcPr>
            <w:tcW w:w="221" w:type="dxa"/>
            <w:vAlign w:val="center"/>
          </w:tcPr>
          <w:p w14:paraId="11FF4BB0">
            <w:pPr>
              <w:pStyle w:val="24"/>
              <w:snapToGrid/>
              <w:spacing w:before="0" w:beforeAutospacing="0" w:after="0" w:afterAutospacing="0" w:line="420" w:lineRule="atLeast"/>
              <w:jc w:val="center"/>
              <w:rPr>
                <w:sz w:val="21"/>
              </w:rPr>
            </w:pPr>
          </w:p>
        </w:tc>
      </w:tr>
    </w:tbl>
    <w:p w14:paraId="2A53F379">
      <w:pPr>
        <w:pStyle w:val="24"/>
        <w:snapToGrid/>
        <w:spacing w:before="0" w:beforeAutospacing="0" w:after="0" w:afterAutospacing="0" w:line="420" w:lineRule="atLeast"/>
        <w:jc w:val="both"/>
        <w:rPr>
          <w:sz w:val="21"/>
        </w:rPr>
      </w:pPr>
    </w:p>
    <w:p w14:paraId="75880B05">
      <w:pPr>
        <w:pStyle w:val="24"/>
        <w:snapToGrid/>
        <w:spacing w:before="0" w:beforeAutospacing="0" w:after="0" w:afterAutospacing="0" w:line="420" w:lineRule="atLeast"/>
        <w:jc w:val="both"/>
        <w:rPr>
          <w:sz w:val="21"/>
        </w:rPr>
      </w:pPr>
      <w:r>
        <w:rPr>
          <w:rFonts w:hint="eastAsia"/>
          <w:sz w:val="21"/>
        </w:rPr>
        <w:t>备注：如果封装测试在一起，就写同样的信息即可</w:t>
      </w:r>
    </w:p>
    <w:p w14:paraId="7FB1A9E7"/>
    <w:p w14:paraId="320C0B96"/>
    <w:p w14:paraId="522DC5B4"/>
    <w:p w14:paraId="1DE150BD"/>
    <w:p w14:paraId="187DAE9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书宋简体">
    <w:altName w:val="宋体"/>
    <w:panose1 w:val="00000000000000000000"/>
    <w:charset w:val="00"/>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D36B20"/>
    <w:multiLevelType w:val="multilevel"/>
    <w:tmpl w:val="49D36B20"/>
    <w:lvl w:ilvl="0" w:tentative="0">
      <w:start w:val="1"/>
      <w:numFmt w:val="decimal"/>
      <w:pStyle w:val="2"/>
      <w:lvlText w:val="%1"/>
      <w:lvlJc w:val="left"/>
      <w:pPr>
        <w:ind w:left="425" w:hanging="425"/>
      </w:pPr>
      <w:rPr>
        <w:rFonts w:hint="default" w:eastAsiaTheme="majorEastAsia"/>
        <w:b/>
        <w:i w:val="0"/>
        <w:color w:val="auto"/>
        <w:sz w:val="44"/>
      </w:rPr>
    </w:lvl>
    <w:lvl w:ilvl="1" w:tentative="0">
      <w:start w:val="1"/>
      <w:numFmt w:val="decimal"/>
      <w:pStyle w:val="3"/>
      <w:lvlText w:val="%1.%2"/>
      <w:lvlJc w:val="left"/>
      <w:pPr>
        <w:ind w:left="425" w:hanging="425"/>
      </w:pPr>
      <w:rPr>
        <w:rFonts w:hint="default" w:eastAsiaTheme="majorEastAsia"/>
        <w:b/>
        <w:i w:val="0"/>
        <w:sz w:val="36"/>
      </w:rPr>
    </w:lvl>
    <w:lvl w:ilvl="2" w:tentative="0">
      <w:start w:val="1"/>
      <w:numFmt w:val="decimal"/>
      <w:pStyle w:val="5"/>
      <w:lvlText w:val="%1.%2.%3"/>
      <w:lvlJc w:val="left"/>
      <w:pPr>
        <w:ind w:left="425" w:hanging="425"/>
      </w:pPr>
      <w:rPr>
        <w:rFonts w:hint="eastAsia"/>
      </w:rPr>
    </w:lvl>
    <w:lvl w:ilvl="3" w:tentative="0">
      <w:start w:val="1"/>
      <w:numFmt w:val="decimal"/>
      <w:pStyle w:val="6"/>
      <w:lvlText w:val="%1.%2.%3.%4"/>
      <w:lvlJc w:val="left"/>
      <w:pPr>
        <w:ind w:left="425" w:hanging="425"/>
      </w:pPr>
      <w:rPr>
        <w:rFonts w:hint="eastAsia"/>
      </w:rPr>
    </w:lvl>
    <w:lvl w:ilvl="4" w:tentative="0">
      <w:start w:val="1"/>
      <w:numFmt w:val="decimal"/>
      <w:pStyle w:val="7"/>
      <w:lvlText w:val="%1.%2.%3.%4.%5"/>
      <w:lvlJc w:val="left"/>
      <w:pPr>
        <w:ind w:left="425" w:hanging="425"/>
      </w:pPr>
      <w:rPr>
        <w:rFonts w:hint="eastAsia"/>
      </w:rPr>
    </w:lvl>
    <w:lvl w:ilvl="5" w:tentative="0">
      <w:start w:val="1"/>
      <w:numFmt w:val="decimal"/>
      <w:pStyle w:val="8"/>
      <w:lvlText w:val="%1.%2.%3.%4.%5.%6"/>
      <w:lvlJc w:val="left"/>
      <w:pPr>
        <w:ind w:left="425" w:hanging="425"/>
      </w:pPr>
      <w:rPr>
        <w:rFonts w:hint="eastAsia"/>
      </w:rPr>
    </w:lvl>
    <w:lvl w:ilvl="6" w:tentative="0">
      <w:start w:val="1"/>
      <w:numFmt w:val="decimal"/>
      <w:pStyle w:val="9"/>
      <w:lvlText w:val="%1.%2.%3.%4.%5.%6.%7"/>
      <w:lvlJc w:val="left"/>
      <w:pPr>
        <w:ind w:left="425" w:hanging="425"/>
      </w:pPr>
      <w:rPr>
        <w:rFonts w:hint="eastAsia"/>
      </w:rPr>
    </w:lvl>
    <w:lvl w:ilvl="7" w:tentative="0">
      <w:start w:val="1"/>
      <w:numFmt w:val="decimal"/>
      <w:pStyle w:val="10"/>
      <w:lvlText w:val="%1.%2.%3.%4.%5.%6.%7.%8"/>
      <w:lvlJc w:val="left"/>
      <w:pPr>
        <w:ind w:left="425" w:hanging="425"/>
      </w:pPr>
    </w:lvl>
    <w:lvl w:ilvl="8" w:tentative="0">
      <w:start w:val="1"/>
      <w:numFmt w:val="decimal"/>
      <w:pStyle w:val="11"/>
      <w:lvlText w:val="%1.%2.%3.%4.%5.%6.%7.%8.%9"/>
      <w:lvlJc w:val="left"/>
      <w:pPr>
        <w:ind w:left="425" w:hanging="425"/>
      </w:pPr>
      <w:rPr>
        <w:rFonts w:hint="eastAsia"/>
      </w:rPr>
    </w:lvl>
  </w:abstractNum>
  <w:abstractNum w:abstractNumId="1">
    <w:nsid w:val="5AA6568B"/>
    <w:multiLevelType w:val="multilevel"/>
    <w:tmpl w:val="5AA6568B"/>
    <w:lvl w:ilvl="0" w:tentative="0">
      <w:start w:val="1"/>
      <w:numFmt w:val="decimal"/>
      <w:pStyle w:val="88"/>
      <w:lvlText w:val="%1"/>
      <w:lvlJc w:val="center"/>
      <w:pPr>
        <w:ind w:left="723"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5FC2619C"/>
    <w:multiLevelType w:val="multilevel"/>
    <w:tmpl w:val="5FC2619C"/>
    <w:lvl w:ilvl="0" w:tentative="0">
      <w:start w:val="1"/>
      <w:numFmt w:val="decimal"/>
      <w:pStyle w:val="48"/>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removePersonalInformation/>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zNGExMzRmYTQ5OTU1ZjE0ZTgwY2QzN2EwNjNhNDgifQ=="/>
  </w:docVars>
  <w:rsids>
    <w:rsidRoot w:val="00D5056E"/>
    <w:rsid w:val="00002B60"/>
    <w:rsid w:val="000034AC"/>
    <w:rsid w:val="00006EC9"/>
    <w:rsid w:val="00007A64"/>
    <w:rsid w:val="00020ED5"/>
    <w:rsid w:val="00021E54"/>
    <w:rsid w:val="00024730"/>
    <w:rsid w:val="0003532A"/>
    <w:rsid w:val="0004021F"/>
    <w:rsid w:val="000411DF"/>
    <w:rsid w:val="00051744"/>
    <w:rsid w:val="00052E92"/>
    <w:rsid w:val="00053C91"/>
    <w:rsid w:val="00055451"/>
    <w:rsid w:val="000554DD"/>
    <w:rsid w:val="0005578F"/>
    <w:rsid w:val="00065594"/>
    <w:rsid w:val="000668C7"/>
    <w:rsid w:val="00080F49"/>
    <w:rsid w:val="0008634E"/>
    <w:rsid w:val="00090079"/>
    <w:rsid w:val="000900A0"/>
    <w:rsid w:val="0009703E"/>
    <w:rsid w:val="000A7355"/>
    <w:rsid w:val="000B0599"/>
    <w:rsid w:val="000B219D"/>
    <w:rsid w:val="000B2BFC"/>
    <w:rsid w:val="000B4334"/>
    <w:rsid w:val="000B59C8"/>
    <w:rsid w:val="000B5FE4"/>
    <w:rsid w:val="000C0740"/>
    <w:rsid w:val="000C5426"/>
    <w:rsid w:val="000D389F"/>
    <w:rsid w:val="000D5060"/>
    <w:rsid w:val="000D62A7"/>
    <w:rsid w:val="000D7101"/>
    <w:rsid w:val="000F2AB1"/>
    <w:rsid w:val="00100561"/>
    <w:rsid w:val="00105733"/>
    <w:rsid w:val="00105933"/>
    <w:rsid w:val="00110157"/>
    <w:rsid w:val="00113AA2"/>
    <w:rsid w:val="00114BD5"/>
    <w:rsid w:val="00117B1E"/>
    <w:rsid w:val="00124C17"/>
    <w:rsid w:val="00126753"/>
    <w:rsid w:val="001269F7"/>
    <w:rsid w:val="00134723"/>
    <w:rsid w:val="00135EA7"/>
    <w:rsid w:val="00136982"/>
    <w:rsid w:val="00136C48"/>
    <w:rsid w:val="00145BFD"/>
    <w:rsid w:val="00147642"/>
    <w:rsid w:val="001519CC"/>
    <w:rsid w:val="0016470E"/>
    <w:rsid w:val="0016791E"/>
    <w:rsid w:val="001725D8"/>
    <w:rsid w:val="0017479E"/>
    <w:rsid w:val="00181503"/>
    <w:rsid w:val="0018591C"/>
    <w:rsid w:val="00191D7C"/>
    <w:rsid w:val="0019219D"/>
    <w:rsid w:val="001A0203"/>
    <w:rsid w:val="001A0858"/>
    <w:rsid w:val="001A2C22"/>
    <w:rsid w:val="001A2C97"/>
    <w:rsid w:val="001A4674"/>
    <w:rsid w:val="001A5E5E"/>
    <w:rsid w:val="001B3876"/>
    <w:rsid w:val="001B7F5D"/>
    <w:rsid w:val="001D6A1F"/>
    <w:rsid w:val="001D73E3"/>
    <w:rsid w:val="001F3B36"/>
    <w:rsid w:val="001F463A"/>
    <w:rsid w:val="001F70E7"/>
    <w:rsid w:val="002138F5"/>
    <w:rsid w:val="0021520C"/>
    <w:rsid w:val="00215E52"/>
    <w:rsid w:val="00220339"/>
    <w:rsid w:val="002207C7"/>
    <w:rsid w:val="00221C1B"/>
    <w:rsid w:val="002225B4"/>
    <w:rsid w:val="00223AD4"/>
    <w:rsid w:val="00227345"/>
    <w:rsid w:val="0023124D"/>
    <w:rsid w:val="00234D38"/>
    <w:rsid w:val="0024166C"/>
    <w:rsid w:val="00242185"/>
    <w:rsid w:val="0025363F"/>
    <w:rsid w:val="00254916"/>
    <w:rsid w:val="00255152"/>
    <w:rsid w:val="00257EBE"/>
    <w:rsid w:val="002759A2"/>
    <w:rsid w:val="002773AD"/>
    <w:rsid w:val="00277ED3"/>
    <w:rsid w:val="00287D67"/>
    <w:rsid w:val="00293693"/>
    <w:rsid w:val="002A3726"/>
    <w:rsid w:val="002A50E7"/>
    <w:rsid w:val="002A5911"/>
    <w:rsid w:val="002B0173"/>
    <w:rsid w:val="002B082D"/>
    <w:rsid w:val="002B1AB6"/>
    <w:rsid w:val="002B1CBF"/>
    <w:rsid w:val="002B4E2F"/>
    <w:rsid w:val="002B6DBC"/>
    <w:rsid w:val="002B7573"/>
    <w:rsid w:val="002B7AB6"/>
    <w:rsid w:val="002C7B73"/>
    <w:rsid w:val="002D6764"/>
    <w:rsid w:val="002D7481"/>
    <w:rsid w:val="002E0962"/>
    <w:rsid w:val="002E311C"/>
    <w:rsid w:val="003078EA"/>
    <w:rsid w:val="00315A72"/>
    <w:rsid w:val="00320960"/>
    <w:rsid w:val="003250B5"/>
    <w:rsid w:val="0032527C"/>
    <w:rsid w:val="00326E20"/>
    <w:rsid w:val="00330374"/>
    <w:rsid w:val="00330BE3"/>
    <w:rsid w:val="00331BBB"/>
    <w:rsid w:val="00333904"/>
    <w:rsid w:val="00341614"/>
    <w:rsid w:val="00341CD8"/>
    <w:rsid w:val="0035029C"/>
    <w:rsid w:val="0036114E"/>
    <w:rsid w:val="003630EE"/>
    <w:rsid w:val="00365DA9"/>
    <w:rsid w:val="003668D5"/>
    <w:rsid w:val="003678EE"/>
    <w:rsid w:val="00367989"/>
    <w:rsid w:val="00372164"/>
    <w:rsid w:val="00380737"/>
    <w:rsid w:val="00380E41"/>
    <w:rsid w:val="003871BD"/>
    <w:rsid w:val="00387FDD"/>
    <w:rsid w:val="003928DA"/>
    <w:rsid w:val="00395422"/>
    <w:rsid w:val="003A2928"/>
    <w:rsid w:val="003B26BC"/>
    <w:rsid w:val="003B4245"/>
    <w:rsid w:val="003D1225"/>
    <w:rsid w:val="003D24DE"/>
    <w:rsid w:val="003D4FA7"/>
    <w:rsid w:val="003E7523"/>
    <w:rsid w:val="00402CDA"/>
    <w:rsid w:val="0040564C"/>
    <w:rsid w:val="004116A4"/>
    <w:rsid w:val="00414588"/>
    <w:rsid w:val="0041471D"/>
    <w:rsid w:val="00422667"/>
    <w:rsid w:val="004259D6"/>
    <w:rsid w:val="00430FEF"/>
    <w:rsid w:val="0043113F"/>
    <w:rsid w:val="0043451C"/>
    <w:rsid w:val="00437ACE"/>
    <w:rsid w:val="00441D18"/>
    <w:rsid w:val="00441FA7"/>
    <w:rsid w:val="004460CF"/>
    <w:rsid w:val="00446513"/>
    <w:rsid w:val="00450B8F"/>
    <w:rsid w:val="004609F7"/>
    <w:rsid w:val="00461735"/>
    <w:rsid w:val="00462562"/>
    <w:rsid w:val="0046311C"/>
    <w:rsid w:val="00467CB5"/>
    <w:rsid w:val="00467F9F"/>
    <w:rsid w:val="004738FD"/>
    <w:rsid w:val="00477977"/>
    <w:rsid w:val="004803F6"/>
    <w:rsid w:val="00480730"/>
    <w:rsid w:val="00480A56"/>
    <w:rsid w:val="0048158C"/>
    <w:rsid w:val="0048213B"/>
    <w:rsid w:val="00483ABF"/>
    <w:rsid w:val="00484B36"/>
    <w:rsid w:val="004852D4"/>
    <w:rsid w:val="00491793"/>
    <w:rsid w:val="00491E01"/>
    <w:rsid w:val="00496E7A"/>
    <w:rsid w:val="0049776C"/>
    <w:rsid w:val="004A266E"/>
    <w:rsid w:val="004B1923"/>
    <w:rsid w:val="004B6664"/>
    <w:rsid w:val="004C01FD"/>
    <w:rsid w:val="004C291A"/>
    <w:rsid w:val="004D23E9"/>
    <w:rsid w:val="004D2698"/>
    <w:rsid w:val="004D29B2"/>
    <w:rsid w:val="004D355B"/>
    <w:rsid w:val="004D4A55"/>
    <w:rsid w:val="004D6494"/>
    <w:rsid w:val="004D7C7B"/>
    <w:rsid w:val="004D7DD9"/>
    <w:rsid w:val="004E16C0"/>
    <w:rsid w:val="004E722C"/>
    <w:rsid w:val="004E77F2"/>
    <w:rsid w:val="004F375B"/>
    <w:rsid w:val="004F39A9"/>
    <w:rsid w:val="004F5BF9"/>
    <w:rsid w:val="00503B92"/>
    <w:rsid w:val="005047A9"/>
    <w:rsid w:val="00505A0E"/>
    <w:rsid w:val="005074C6"/>
    <w:rsid w:val="00513120"/>
    <w:rsid w:val="00515777"/>
    <w:rsid w:val="00516518"/>
    <w:rsid w:val="00520CBD"/>
    <w:rsid w:val="00524383"/>
    <w:rsid w:val="005262B6"/>
    <w:rsid w:val="00531736"/>
    <w:rsid w:val="00532A85"/>
    <w:rsid w:val="0054016A"/>
    <w:rsid w:val="00541CEA"/>
    <w:rsid w:val="00544010"/>
    <w:rsid w:val="00544560"/>
    <w:rsid w:val="00555EDE"/>
    <w:rsid w:val="00557023"/>
    <w:rsid w:val="005639ED"/>
    <w:rsid w:val="00564193"/>
    <w:rsid w:val="00564626"/>
    <w:rsid w:val="00565761"/>
    <w:rsid w:val="00565DD0"/>
    <w:rsid w:val="00570A14"/>
    <w:rsid w:val="00582C1C"/>
    <w:rsid w:val="0059370C"/>
    <w:rsid w:val="00594F08"/>
    <w:rsid w:val="005971F2"/>
    <w:rsid w:val="005A0489"/>
    <w:rsid w:val="005A3CED"/>
    <w:rsid w:val="005A624D"/>
    <w:rsid w:val="005B07DF"/>
    <w:rsid w:val="005B1DE6"/>
    <w:rsid w:val="005B38B7"/>
    <w:rsid w:val="005B51D2"/>
    <w:rsid w:val="005C445B"/>
    <w:rsid w:val="005C4773"/>
    <w:rsid w:val="005C5082"/>
    <w:rsid w:val="005C5D20"/>
    <w:rsid w:val="005D07CD"/>
    <w:rsid w:val="005D30EB"/>
    <w:rsid w:val="005D6024"/>
    <w:rsid w:val="005D6BCB"/>
    <w:rsid w:val="005E064B"/>
    <w:rsid w:val="005E44BF"/>
    <w:rsid w:val="005E5C14"/>
    <w:rsid w:val="005F0EC4"/>
    <w:rsid w:val="005F331A"/>
    <w:rsid w:val="00600036"/>
    <w:rsid w:val="006023A4"/>
    <w:rsid w:val="006125B6"/>
    <w:rsid w:val="006139D1"/>
    <w:rsid w:val="006173F1"/>
    <w:rsid w:val="00621615"/>
    <w:rsid w:val="00621EFA"/>
    <w:rsid w:val="0062341D"/>
    <w:rsid w:val="006310BD"/>
    <w:rsid w:val="00631A88"/>
    <w:rsid w:val="006335C0"/>
    <w:rsid w:val="0063492D"/>
    <w:rsid w:val="0063679D"/>
    <w:rsid w:val="0063794F"/>
    <w:rsid w:val="00641809"/>
    <w:rsid w:val="006467D8"/>
    <w:rsid w:val="006508B4"/>
    <w:rsid w:val="006559E8"/>
    <w:rsid w:val="00655C1B"/>
    <w:rsid w:val="006638BD"/>
    <w:rsid w:val="006648C1"/>
    <w:rsid w:val="00672111"/>
    <w:rsid w:val="00674D3E"/>
    <w:rsid w:val="006828F2"/>
    <w:rsid w:val="0068411E"/>
    <w:rsid w:val="00686F8F"/>
    <w:rsid w:val="00690EF4"/>
    <w:rsid w:val="0069393D"/>
    <w:rsid w:val="00693D45"/>
    <w:rsid w:val="006A2D8D"/>
    <w:rsid w:val="006A5CAD"/>
    <w:rsid w:val="006B09F4"/>
    <w:rsid w:val="006B3A55"/>
    <w:rsid w:val="006C019E"/>
    <w:rsid w:val="006C7EC1"/>
    <w:rsid w:val="006D05D0"/>
    <w:rsid w:val="006D4012"/>
    <w:rsid w:val="006D46A8"/>
    <w:rsid w:val="006E29AA"/>
    <w:rsid w:val="006E3E26"/>
    <w:rsid w:val="006E569C"/>
    <w:rsid w:val="006F0F31"/>
    <w:rsid w:val="007003D1"/>
    <w:rsid w:val="007026EC"/>
    <w:rsid w:val="00726974"/>
    <w:rsid w:val="00726B6E"/>
    <w:rsid w:val="00727B8C"/>
    <w:rsid w:val="0073615A"/>
    <w:rsid w:val="00736606"/>
    <w:rsid w:val="007445AE"/>
    <w:rsid w:val="007471A1"/>
    <w:rsid w:val="0074727E"/>
    <w:rsid w:val="0075090A"/>
    <w:rsid w:val="007509B5"/>
    <w:rsid w:val="00751FAC"/>
    <w:rsid w:val="00756637"/>
    <w:rsid w:val="00760F5F"/>
    <w:rsid w:val="00771FF8"/>
    <w:rsid w:val="00774F8F"/>
    <w:rsid w:val="00781BB7"/>
    <w:rsid w:val="00791375"/>
    <w:rsid w:val="00792C47"/>
    <w:rsid w:val="007A049B"/>
    <w:rsid w:val="007A1510"/>
    <w:rsid w:val="007A22F3"/>
    <w:rsid w:val="007A3F44"/>
    <w:rsid w:val="007A5A02"/>
    <w:rsid w:val="007B1387"/>
    <w:rsid w:val="007B464A"/>
    <w:rsid w:val="007B5591"/>
    <w:rsid w:val="007C7D12"/>
    <w:rsid w:val="007D2332"/>
    <w:rsid w:val="007D6D46"/>
    <w:rsid w:val="007D76AE"/>
    <w:rsid w:val="007E03ED"/>
    <w:rsid w:val="007E059E"/>
    <w:rsid w:val="007F05B3"/>
    <w:rsid w:val="007F29DE"/>
    <w:rsid w:val="007F7F70"/>
    <w:rsid w:val="007F7F96"/>
    <w:rsid w:val="00801D13"/>
    <w:rsid w:val="008055D2"/>
    <w:rsid w:val="00806FB9"/>
    <w:rsid w:val="00815F72"/>
    <w:rsid w:val="00816335"/>
    <w:rsid w:val="008228BB"/>
    <w:rsid w:val="008347FD"/>
    <w:rsid w:val="008362D1"/>
    <w:rsid w:val="00840DA8"/>
    <w:rsid w:val="0084462D"/>
    <w:rsid w:val="00845022"/>
    <w:rsid w:val="0084571B"/>
    <w:rsid w:val="008557B9"/>
    <w:rsid w:val="008571E8"/>
    <w:rsid w:val="008628EE"/>
    <w:rsid w:val="00865020"/>
    <w:rsid w:val="00872B28"/>
    <w:rsid w:val="00873602"/>
    <w:rsid w:val="00873637"/>
    <w:rsid w:val="00875322"/>
    <w:rsid w:val="00876146"/>
    <w:rsid w:val="008772BE"/>
    <w:rsid w:val="0087793D"/>
    <w:rsid w:val="008813F1"/>
    <w:rsid w:val="008845BD"/>
    <w:rsid w:val="00890E90"/>
    <w:rsid w:val="00892BC6"/>
    <w:rsid w:val="0089475F"/>
    <w:rsid w:val="008A0556"/>
    <w:rsid w:val="008A2E23"/>
    <w:rsid w:val="008A5218"/>
    <w:rsid w:val="008A536E"/>
    <w:rsid w:val="008A7480"/>
    <w:rsid w:val="008B14DE"/>
    <w:rsid w:val="008B2BCF"/>
    <w:rsid w:val="008B757F"/>
    <w:rsid w:val="008B75ED"/>
    <w:rsid w:val="008C121D"/>
    <w:rsid w:val="008C5757"/>
    <w:rsid w:val="008C6BD0"/>
    <w:rsid w:val="008D045D"/>
    <w:rsid w:val="008D3DA0"/>
    <w:rsid w:val="008E5788"/>
    <w:rsid w:val="008E6B6C"/>
    <w:rsid w:val="008E7233"/>
    <w:rsid w:val="008F0810"/>
    <w:rsid w:val="008F12E3"/>
    <w:rsid w:val="008F52FA"/>
    <w:rsid w:val="00907F8A"/>
    <w:rsid w:val="00911BB0"/>
    <w:rsid w:val="0091371A"/>
    <w:rsid w:val="00916B4B"/>
    <w:rsid w:val="0091779F"/>
    <w:rsid w:val="009231DD"/>
    <w:rsid w:val="0092589A"/>
    <w:rsid w:val="00925EFC"/>
    <w:rsid w:val="009266DD"/>
    <w:rsid w:val="00926876"/>
    <w:rsid w:val="009312E4"/>
    <w:rsid w:val="00941C4D"/>
    <w:rsid w:val="009425C0"/>
    <w:rsid w:val="009441ED"/>
    <w:rsid w:val="0094612E"/>
    <w:rsid w:val="009540CE"/>
    <w:rsid w:val="00957876"/>
    <w:rsid w:val="00963983"/>
    <w:rsid w:val="00965FA2"/>
    <w:rsid w:val="0096607B"/>
    <w:rsid w:val="00982F4B"/>
    <w:rsid w:val="009860F6"/>
    <w:rsid w:val="00990BC3"/>
    <w:rsid w:val="009938A1"/>
    <w:rsid w:val="0099457A"/>
    <w:rsid w:val="009963C5"/>
    <w:rsid w:val="009A6770"/>
    <w:rsid w:val="009A6AF4"/>
    <w:rsid w:val="009A7D15"/>
    <w:rsid w:val="009B108C"/>
    <w:rsid w:val="009B30E1"/>
    <w:rsid w:val="009C0B11"/>
    <w:rsid w:val="009C0D0C"/>
    <w:rsid w:val="009C50E1"/>
    <w:rsid w:val="009D0015"/>
    <w:rsid w:val="009D157E"/>
    <w:rsid w:val="009D41B0"/>
    <w:rsid w:val="009D657A"/>
    <w:rsid w:val="009D7359"/>
    <w:rsid w:val="009D76E8"/>
    <w:rsid w:val="009E149F"/>
    <w:rsid w:val="009E658C"/>
    <w:rsid w:val="00A02432"/>
    <w:rsid w:val="00A154CA"/>
    <w:rsid w:val="00A165BC"/>
    <w:rsid w:val="00A23D80"/>
    <w:rsid w:val="00A26DB1"/>
    <w:rsid w:val="00A32ABA"/>
    <w:rsid w:val="00A33D49"/>
    <w:rsid w:val="00A35AB7"/>
    <w:rsid w:val="00A35EB7"/>
    <w:rsid w:val="00A37D9D"/>
    <w:rsid w:val="00A40728"/>
    <w:rsid w:val="00A43D58"/>
    <w:rsid w:val="00A43D87"/>
    <w:rsid w:val="00A45B09"/>
    <w:rsid w:val="00A523ED"/>
    <w:rsid w:val="00A545A9"/>
    <w:rsid w:val="00A57139"/>
    <w:rsid w:val="00A577C3"/>
    <w:rsid w:val="00A66495"/>
    <w:rsid w:val="00A71C46"/>
    <w:rsid w:val="00A837EC"/>
    <w:rsid w:val="00A83B07"/>
    <w:rsid w:val="00A84F61"/>
    <w:rsid w:val="00A85BB7"/>
    <w:rsid w:val="00A90418"/>
    <w:rsid w:val="00A917BE"/>
    <w:rsid w:val="00A924BC"/>
    <w:rsid w:val="00AA02C4"/>
    <w:rsid w:val="00AA2534"/>
    <w:rsid w:val="00AA4D63"/>
    <w:rsid w:val="00AA7547"/>
    <w:rsid w:val="00AB1CD8"/>
    <w:rsid w:val="00AB4C46"/>
    <w:rsid w:val="00AB796F"/>
    <w:rsid w:val="00AC1485"/>
    <w:rsid w:val="00AC588C"/>
    <w:rsid w:val="00AD7148"/>
    <w:rsid w:val="00AE11E1"/>
    <w:rsid w:val="00AE2F39"/>
    <w:rsid w:val="00AE4720"/>
    <w:rsid w:val="00AE582B"/>
    <w:rsid w:val="00AE6F2C"/>
    <w:rsid w:val="00AF1B24"/>
    <w:rsid w:val="00AF2860"/>
    <w:rsid w:val="00AF3B3B"/>
    <w:rsid w:val="00AF4329"/>
    <w:rsid w:val="00AF681F"/>
    <w:rsid w:val="00AF75A7"/>
    <w:rsid w:val="00B02CB1"/>
    <w:rsid w:val="00B075A8"/>
    <w:rsid w:val="00B117BD"/>
    <w:rsid w:val="00B11F84"/>
    <w:rsid w:val="00B20B70"/>
    <w:rsid w:val="00B267DB"/>
    <w:rsid w:val="00B270D1"/>
    <w:rsid w:val="00B3608C"/>
    <w:rsid w:val="00B41116"/>
    <w:rsid w:val="00B4140A"/>
    <w:rsid w:val="00B432E7"/>
    <w:rsid w:val="00B472F6"/>
    <w:rsid w:val="00B50868"/>
    <w:rsid w:val="00B51703"/>
    <w:rsid w:val="00B53753"/>
    <w:rsid w:val="00B6351E"/>
    <w:rsid w:val="00B64B6C"/>
    <w:rsid w:val="00B6756B"/>
    <w:rsid w:val="00B67591"/>
    <w:rsid w:val="00B6763C"/>
    <w:rsid w:val="00B70829"/>
    <w:rsid w:val="00B7220D"/>
    <w:rsid w:val="00B83156"/>
    <w:rsid w:val="00B85A88"/>
    <w:rsid w:val="00B91B97"/>
    <w:rsid w:val="00B92A07"/>
    <w:rsid w:val="00B9662A"/>
    <w:rsid w:val="00BA0E16"/>
    <w:rsid w:val="00BA6DF1"/>
    <w:rsid w:val="00BB431D"/>
    <w:rsid w:val="00BB72C9"/>
    <w:rsid w:val="00BC0408"/>
    <w:rsid w:val="00BC33FF"/>
    <w:rsid w:val="00BD7CC2"/>
    <w:rsid w:val="00BD7D63"/>
    <w:rsid w:val="00BE184C"/>
    <w:rsid w:val="00BE36A9"/>
    <w:rsid w:val="00BE5049"/>
    <w:rsid w:val="00BE74A7"/>
    <w:rsid w:val="00BE75C9"/>
    <w:rsid w:val="00BE7DAC"/>
    <w:rsid w:val="00BF2479"/>
    <w:rsid w:val="00BF7492"/>
    <w:rsid w:val="00C02715"/>
    <w:rsid w:val="00C03E41"/>
    <w:rsid w:val="00C03F35"/>
    <w:rsid w:val="00C10A15"/>
    <w:rsid w:val="00C2121E"/>
    <w:rsid w:val="00C22BC4"/>
    <w:rsid w:val="00C25041"/>
    <w:rsid w:val="00C3622F"/>
    <w:rsid w:val="00C36BE3"/>
    <w:rsid w:val="00C36E33"/>
    <w:rsid w:val="00C3798E"/>
    <w:rsid w:val="00C37F21"/>
    <w:rsid w:val="00C4709F"/>
    <w:rsid w:val="00C521FC"/>
    <w:rsid w:val="00C52676"/>
    <w:rsid w:val="00C5507F"/>
    <w:rsid w:val="00C56A10"/>
    <w:rsid w:val="00C62D3E"/>
    <w:rsid w:val="00C6484A"/>
    <w:rsid w:val="00C703CF"/>
    <w:rsid w:val="00C75E14"/>
    <w:rsid w:val="00C76F36"/>
    <w:rsid w:val="00C80457"/>
    <w:rsid w:val="00C9240A"/>
    <w:rsid w:val="00C93DDA"/>
    <w:rsid w:val="00C9587B"/>
    <w:rsid w:val="00C96018"/>
    <w:rsid w:val="00CB02D5"/>
    <w:rsid w:val="00CB2C5C"/>
    <w:rsid w:val="00CB41FD"/>
    <w:rsid w:val="00CB5A19"/>
    <w:rsid w:val="00CB742D"/>
    <w:rsid w:val="00CC0BC4"/>
    <w:rsid w:val="00CC2CA2"/>
    <w:rsid w:val="00CC79DA"/>
    <w:rsid w:val="00CD6E1F"/>
    <w:rsid w:val="00CE1E48"/>
    <w:rsid w:val="00CE2110"/>
    <w:rsid w:val="00CE4FC9"/>
    <w:rsid w:val="00CE5060"/>
    <w:rsid w:val="00CE619D"/>
    <w:rsid w:val="00CE7A5F"/>
    <w:rsid w:val="00CF0851"/>
    <w:rsid w:val="00CF3608"/>
    <w:rsid w:val="00CF43FD"/>
    <w:rsid w:val="00CF5C70"/>
    <w:rsid w:val="00CF7638"/>
    <w:rsid w:val="00D020FE"/>
    <w:rsid w:val="00D04904"/>
    <w:rsid w:val="00D06F79"/>
    <w:rsid w:val="00D105F5"/>
    <w:rsid w:val="00D21DD8"/>
    <w:rsid w:val="00D22204"/>
    <w:rsid w:val="00D24BF1"/>
    <w:rsid w:val="00D2538D"/>
    <w:rsid w:val="00D3152C"/>
    <w:rsid w:val="00D31875"/>
    <w:rsid w:val="00D34617"/>
    <w:rsid w:val="00D368A3"/>
    <w:rsid w:val="00D44CE4"/>
    <w:rsid w:val="00D46DA0"/>
    <w:rsid w:val="00D5056E"/>
    <w:rsid w:val="00D55C6F"/>
    <w:rsid w:val="00D5708A"/>
    <w:rsid w:val="00D60536"/>
    <w:rsid w:val="00D60DCC"/>
    <w:rsid w:val="00D60F8F"/>
    <w:rsid w:val="00D61476"/>
    <w:rsid w:val="00D66B28"/>
    <w:rsid w:val="00D66E22"/>
    <w:rsid w:val="00D7381E"/>
    <w:rsid w:val="00D74800"/>
    <w:rsid w:val="00D81550"/>
    <w:rsid w:val="00D81A53"/>
    <w:rsid w:val="00D8329C"/>
    <w:rsid w:val="00D83FA2"/>
    <w:rsid w:val="00D84280"/>
    <w:rsid w:val="00D85054"/>
    <w:rsid w:val="00D86CCB"/>
    <w:rsid w:val="00D9177C"/>
    <w:rsid w:val="00D9439C"/>
    <w:rsid w:val="00D97900"/>
    <w:rsid w:val="00DA1FE6"/>
    <w:rsid w:val="00DA5ADC"/>
    <w:rsid w:val="00DA706F"/>
    <w:rsid w:val="00DB01E2"/>
    <w:rsid w:val="00DB0977"/>
    <w:rsid w:val="00DB1011"/>
    <w:rsid w:val="00DB3D9A"/>
    <w:rsid w:val="00DB5A00"/>
    <w:rsid w:val="00DC0047"/>
    <w:rsid w:val="00DC1F0F"/>
    <w:rsid w:val="00DC3376"/>
    <w:rsid w:val="00DC621D"/>
    <w:rsid w:val="00DD2646"/>
    <w:rsid w:val="00DD2A25"/>
    <w:rsid w:val="00DD4F7A"/>
    <w:rsid w:val="00DD5272"/>
    <w:rsid w:val="00DE06F2"/>
    <w:rsid w:val="00DE6602"/>
    <w:rsid w:val="00DF726A"/>
    <w:rsid w:val="00E002D2"/>
    <w:rsid w:val="00E01CFE"/>
    <w:rsid w:val="00E1739D"/>
    <w:rsid w:val="00E20625"/>
    <w:rsid w:val="00E2391C"/>
    <w:rsid w:val="00E248EE"/>
    <w:rsid w:val="00E25B2A"/>
    <w:rsid w:val="00E26F4A"/>
    <w:rsid w:val="00E27840"/>
    <w:rsid w:val="00E33573"/>
    <w:rsid w:val="00E37089"/>
    <w:rsid w:val="00E3763B"/>
    <w:rsid w:val="00E439CF"/>
    <w:rsid w:val="00E46DFD"/>
    <w:rsid w:val="00E517CF"/>
    <w:rsid w:val="00E518A1"/>
    <w:rsid w:val="00E53E6E"/>
    <w:rsid w:val="00E55585"/>
    <w:rsid w:val="00E57FC1"/>
    <w:rsid w:val="00E60890"/>
    <w:rsid w:val="00E61AB5"/>
    <w:rsid w:val="00E7356F"/>
    <w:rsid w:val="00E76692"/>
    <w:rsid w:val="00E8102D"/>
    <w:rsid w:val="00E831C0"/>
    <w:rsid w:val="00E84BE4"/>
    <w:rsid w:val="00E90E48"/>
    <w:rsid w:val="00E97E39"/>
    <w:rsid w:val="00EA2353"/>
    <w:rsid w:val="00EA31BF"/>
    <w:rsid w:val="00EA7C4F"/>
    <w:rsid w:val="00EA7F1C"/>
    <w:rsid w:val="00EB2000"/>
    <w:rsid w:val="00ED266F"/>
    <w:rsid w:val="00EE6859"/>
    <w:rsid w:val="00EF5592"/>
    <w:rsid w:val="00EF5CA1"/>
    <w:rsid w:val="00EF5EBE"/>
    <w:rsid w:val="00F00E9C"/>
    <w:rsid w:val="00F10B7D"/>
    <w:rsid w:val="00F10D93"/>
    <w:rsid w:val="00F118CE"/>
    <w:rsid w:val="00F14343"/>
    <w:rsid w:val="00F213E4"/>
    <w:rsid w:val="00F400C2"/>
    <w:rsid w:val="00F45B90"/>
    <w:rsid w:val="00F47062"/>
    <w:rsid w:val="00F535A6"/>
    <w:rsid w:val="00F535FD"/>
    <w:rsid w:val="00F55A49"/>
    <w:rsid w:val="00F60E10"/>
    <w:rsid w:val="00F61309"/>
    <w:rsid w:val="00F73F5C"/>
    <w:rsid w:val="00F840B2"/>
    <w:rsid w:val="00F90A02"/>
    <w:rsid w:val="00F91F5D"/>
    <w:rsid w:val="00F9668F"/>
    <w:rsid w:val="00F969A4"/>
    <w:rsid w:val="00F96E12"/>
    <w:rsid w:val="00FA0AB9"/>
    <w:rsid w:val="00FA479D"/>
    <w:rsid w:val="00FB18C4"/>
    <w:rsid w:val="00FC22FC"/>
    <w:rsid w:val="00FC688F"/>
    <w:rsid w:val="00FC7F17"/>
    <w:rsid w:val="00FD383D"/>
    <w:rsid w:val="00FD3BC4"/>
    <w:rsid w:val="00FD53A7"/>
    <w:rsid w:val="00FD61C1"/>
    <w:rsid w:val="00FD6766"/>
    <w:rsid w:val="00FE434E"/>
    <w:rsid w:val="00FF0DFB"/>
    <w:rsid w:val="01356229"/>
    <w:rsid w:val="040533DA"/>
    <w:rsid w:val="045B1D63"/>
    <w:rsid w:val="052A1203"/>
    <w:rsid w:val="071C4F03"/>
    <w:rsid w:val="078132CC"/>
    <w:rsid w:val="078C4B74"/>
    <w:rsid w:val="07D01238"/>
    <w:rsid w:val="089646E1"/>
    <w:rsid w:val="0AC21C32"/>
    <w:rsid w:val="0ADB3968"/>
    <w:rsid w:val="0B1E3FDF"/>
    <w:rsid w:val="0B552AA6"/>
    <w:rsid w:val="0BC36153"/>
    <w:rsid w:val="0CB41A4E"/>
    <w:rsid w:val="0DB319F5"/>
    <w:rsid w:val="0EFD00D8"/>
    <w:rsid w:val="0F517CE0"/>
    <w:rsid w:val="0FE54015"/>
    <w:rsid w:val="11575136"/>
    <w:rsid w:val="122E6F85"/>
    <w:rsid w:val="12D5137F"/>
    <w:rsid w:val="13F015BE"/>
    <w:rsid w:val="19D07E60"/>
    <w:rsid w:val="1B650AE3"/>
    <w:rsid w:val="1CE23DF5"/>
    <w:rsid w:val="1F986F0B"/>
    <w:rsid w:val="20F73B54"/>
    <w:rsid w:val="21575E6C"/>
    <w:rsid w:val="216058A9"/>
    <w:rsid w:val="217A4BBD"/>
    <w:rsid w:val="21B91099"/>
    <w:rsid w:val="21FE05A0"/>
    <w:rsid w:val="22226190"/>
    <w:rsid w:val="22A17D03"/>
    <w:rsid w:val="23515526"/>
    <w:rsid w:val="23EA562B"/>
    <w:rsid w:val="24AD52A9"/>
    <w:rsid w:val="24B86128"/>
    <w:rsid w:val="27DD3024"/>
    <w:rsid w:val="27EB4A73"/>
    <w:rsid w:val="28021050"/>
    <w:rsid w:val="28283D54"/>
    <w:rsid w:val="28C91E37"/>
    <w:rsid w:val="29A053DC"/>
    <w:rsid w:val="2B2D7144"/>
    <w:rsid w:val="2B4C75CA"/>
    <w:rsid w:val="2C7B35AA"/>
    <w:rsid w:val="2D1F5F60"/>
    <w:rsid w:val="3070339E"/>
    <w:rsid w:val="32DF3FF6"/>
    <w:rsid w:val="33AC34AD"/>
    <w:rsid w:val="34081B05"/>
    <w:rsid w:val="34333F6E"/>
    <w:rsid w:val="356C19FB"/>
    <w:rsid w:val="35D83EBD"/>
    <w:rsid w:val="3713603D"/>
    <w:rsid w:val="39CB0253"/>
    <w:rsid w:val="3AD24B9C"/>
    <w:rsid w:val="3B7A5502"/>
    <w:rsid w:val="3CC64D02"/>
    <w:rsid w:val="3E2204FF"/>
    <w:rsid w:val="40543C97"/>
    <w:rsid w:val="40AF1F3F"/>
    <w:rsid w:val="41DA656D"/>
    <w:rsid w:val="42035410"/>
    <w:rsid w:val="43FC1681"/>
    <w:rsid w:val="47155FE1"/>
    <w:rsid w:val="4D62578E"/>
    <w:rsid w:val="4EDE095F"/>
    <w:rsid w:val="51A308F1"/>
    <w:rsid w:val="52FA4155"/>
    <w:rsid w:val="54C3004D"/>
    <w:rsid w:val="54D97871"/>
    <w:rsid w:val="56431446"/>
    <w:rsid w:val="580024AE"/>
    <w:rsid w:val="582B03E3"/>
    <w:rsid w:val="58795F31"/>
    <w:rsid w:val="58CF44B4"/>
    <w:rsid w:val="59C14367"/>
    <w:rsid w:val="5B4C30D1"/>
    <w:rsid w:val="5D07484F"/>
    <w:rsid w:val="5DDC742A"/>
    <w:rsid w:val="5ECA4653"/>
    <w:rsid w:val="6065020A"/>
    <w:rsid w:val="62CA07F9"/>
    <w:rsid w:val="641175C6"/>
    <w:rsid w:val="64154060"/>
    <w:rsid w:val="656675D6"/>
    <w:rsid w:val="65DC3291"/>
    <w:rsid w:val="664D3BC4"/>
    <w:rsid w:val="68940844"/>
    <w:rsid w:val="6C734478"/>
    <w:rsid w:val="6C7874D4"/>
    <w:rsid w:val="6D6F18B4"/>
    <w:rsid w:val="6F7B35A7"/>
    <w:rsid w:val="70AF2831"/>
    <w:rsid w:val="735540DE"/>
    <w:rsid w:val="73B25F73"/>
    <w:rsid w:val="76B45C9E"/>
    <w:rsid w:val="76F40AB4"/>
    <w:rsid w:val="79DF2984"/>
    <w:rsid w:val="7B3E69C5"/>
    <w:rsid w:val="7C4D62CB"/>
    <w:rsid w:val="7C750F22"/>
    <w:rsid w:val="7D494CE4"/>
    <w:rsid w:val="7E5A231D"/>
    <w:rsid w:val="7EA426D4"/>
    <w:rsid w:val="7EE30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pPr>
    <w:rPr>
      <w:rFonts w:ascii="宋体" w:hAnsi="宋体" w:eastAsia="宋体" w:cs="宋体"/>
      <w:kern w:val="2"/>
      <w:sz w:val="21"/>
      <w:szCs w:val="21"/>
      <w:lang w:val="en-US" w:eastAsia="zh-CN" w:bidi="ar-SA"/>
    </w:rPr>
  </w:style>
  <w:style w:type="paragraph" w:styleId="2">
    <w:name w:val="heading 1"/>
    <w:basedOn w:val="1"/>
    <w:next w:val="1"/>
    <w:link w:val="37"/>
    <w:qFormat/>
    <w:uiPriority w:val="9"/>
    <w:pPr>
      <w:keepNext/>
      <w:keepLines/>
      <w:numPr>
        <w:ilvl w:val="0"/>
        <w:numId w:val="1"/>
      </w:numPr>
      <w:spacing w:before="60" w:after="60" w:line="360" w:lineRule="auto"/>
      <w:ind w:left="0" w:firstLine="0"/>
      <w:outlineLvl w:val="0"/>
    </w:pPr>
    <w:rPr>
      <w:rFonts w:eastAsia="宋体" w:asciiTheme="minorHAnsi" w:hAnsiTheme="minorHAnsi" w:cstheme="minorBidi"/>
      <w:b/>
      <w:bCs/>
      <w:kern w:val="44"/>
      <w:sz w:val="44"/>
      <w:szCs w:val="44"/>
      <w:lang w:val="en-US" w:eastAsia="zh-CN" w:bidi="ar-SA"/>
    </w:rPr>
  </w:style>
  <w:style w:type="paragraph" w:styleId="3">
    <w:name w:val="heading 2"/>
    <w:basedOn w:val="1"/>
    <w:next w:val="4"/>
    <w:link w:val="38"/>
    <w:autoRedefine/>
    <w:unhideWhenUsed/>
    <w:qFormat/>
    <w:uiPriority w:val="9"/>
    <w:pPr>
      <w:keepNext/>
      <w:keepLines/>
      <w:numPr>
        <w:ilvl w:val="1"/>
        <w:numId w:val="1"/>
      </w:numPr>
      <w:spacing w:before="60" w:after="60"/>
      <w:outlineLvl w:val="1"/>
    </w:pPr>
    <w:rPr>
      <w:rFonts w:asciiTheme="minorHAnsi" w:hAnsiTheme="minorHAnsi" w:cstheme="majorBidi"/>
      <w:b/>
      <w:bCs/>
      <w:sz w:val="36"/>
      <w:szCs w:val="32"/>
    </w:rPr>
  </w:style>
  <w:style w:type="paragraph" w:styleId="5">
    <w:name w:val="heading 3"/>
    <w:next w:val="1"/>
    <w:link w:val="39"/>
    <w:unhideWhenUsed/>
    <w:qFormat/>
    <w:uiPriority w:val="9"/>
    <w:pPr>
      <w:keepNext/>
      <w:keepLines/>
      <w:numPr>
        <w:ilvl w:val="2"/>
        <w:numId w:val="1"/>
      </w:numPr>
      <w:spacing w:before="60" w:after="60" w:line="360" w:lineRule="auto"/>
      <w:outlineLvl w:val="2"/>
    </w:pPr>
    <w:rPr>
      <w:rFonts w:eastAsia="宋体" w:asciiTheme="minorHAnsi" w:hAnsiTheme="minorHAnsi" w:cstheme="minorBidi"/>
      <w:b/>
      <w:bCs/>
      <w:kern w:val="2"/>
      <w:sz w:val="32"/>
      <w:szCs w:val="32"/>
      <w:lang w:val="en-US" w:eastAsia="zh-CN" w:bidi="ar-SA"/>
    </w:rPr>
  </w:style>
  <w:style w:type="paragraph" w:styleId="6">
    <w:name w:val="heading 4"/>
    <w:next w:val="1"/>
    <w:link w:val="40"/>
    <w:autoRedefine/>
    <w:unhideWhenUsed/>
    <w:qFormat/>
    <w:uiPriority w:val="9"/>
    <w:pPr>
      <w:keepNext/>
      <w:keepLines/>
      <w:numPr>
        <w:ilvl w:val="3"/>
        <w:numId w:val="1"/>
      </w:numPr>
      <w:spacing w:before="60" w:after="60" w:line="360" w:lineRule="auto"/>
      <w:outlineLvl w:val="3"/>
    </w:pPr>
    <w:rPr>
      <w:rFonts w:eastAsia="宋体" w:asciiTheme="minorHAnsi" w:hAnsiTheme="minorHAnsi" w:cstheme="majorBidi"/>
      <w:b/>
      <w:bCs/>
      <w:kern w:val="2"/>
      <w:sz w:val="30"/>
      <w:szCs w:val="28"/>
      <w:lang w:val="en-US" w:eastAsia="zh-CN" w:bidi="ar-SA"/>
    </w:rPr>
  </w:style>
  <w:style w:type="paragraph" w:styleId="7">
    <w:name w:val="heading 5"/>
    <w:basedOn w:val="1"/>
    <w:next w:val="1"/>
    <w:link w:val="41"/>
    <w:unhideWhenUsed/>
    <w:qFormat/>
    <w:uiPriority w:val="9"/>
    <w:pPr>
      <w:keepNext/>
      <w:keepLines/>
      <w:numPr>
        <w:ilvl w:val="4"/>
        <w:numId w:val="1"/>
      </w:numPr>
      <w:spacing w:before="60" w:after="60"/>
      <w:ind w:firstLine="0"/>
      <w:outlineLvl w:val="4"/>
    </w:pPr>
    <w:rPr>
      <w:b/>
      <w:bCs/>
      <w:sz w:val="28"/>
      <w:szCs w:val="28"/>
    </w:rPr>
  </w:style>
  <w:style w:type="paragraph" w:styleId="8">
    <w:name w:val="heading 6"/>
    <w:basedOn w:val="1"/>
    <w:next w:val="1"/>
    <w:link w:val="42"/>
    <w:unhideWhenUsed/>
    <w:qFormat/>
    <w:uiPriority w:val="9"/>
    <w:pPr>
      <w:keepNext/>
      <w:keepLines/>
      <w:numPr>
        <w:ilvl w:val="5"/>
        <w:numId w:val="1"/>
      </w:numPr>
      <w:spacing w:before="60" w:after="60"/>
      <w:ind w:firstLine="0"/>
      <w:outlineLvl w:val="5"/>
    </w:pPr>
    <w:rPr>
      <w:rFonts w:cstheme="majorBidi"/>
      <w:b/>
      <w:bCs/>
    </w:rPr>
  </w:style>
  <w:style w:type="paragraph" w:styleId="9">
    <w:name w:val="heading 7"/>
    <w:basedOn w:val="1"/>
    <w:next w:val="1"/>
    <w:link w:val="43"/>
    <w:autoRedefine/>
    <w:unhideWhenUsed/>
    <w:qFormat/>
    <w:uiPriority w:val="9"/>
    <w:pPr>
      <w:keepNext/>
      <w:keepLines/>
      <w:numPr>
        <w:ilvl w:val="6"/>
        <w:numId w:val="1"/>
      </w:numPr>
      <w:spacing w:before="60" w:after="60"/>
      <w:ind w:firstLine="0"/>
      <w:outlineLvl w:val="6"/>
    </w:pPr>
    <w:rPr>
      <w:b/>
      <w:bCs/>
    </w:rPr>
  </w:style>
  <w:style w:type="paragraph" w:styleId="10">
    <w:name w:val="heading 8"/>
    <w:basedOn w:val="1"/>
    <w:next w:val="1"/>
    <w:link w:val="44"/>
    <w:unhideWhenUsed/>
    <w:qFormat/>
    <w:uiPriority w:val="9"/>
    <w:pPr>
      <w:keepNext/>
      <w:keepLines/>
      <w:numPr>
        <w:ilvl w:val="7"/>
        <w:numId w:val="1"/>
      </w:numPr>
      <w:spacing w:before="60" w:after="60"/>
      <w:outlineLvl w:val="7"/>
    </w:pPr>
    <w:rPr>
      <w:rFonts w:cstheme="majorBidi"/>
    </w:rPr>
  </w:style>
  <w:style w:type="paragraph" w:styleId="11">
    <w:name w:val="heading 9"/>
    <w:next w:val="1"/>
    <w:link w:val="45"/>
    <w:unhideWhenUsed/>
    <w:qFormat/>
    <w:uiPriority w:val="9"/>
    <w:pPr>
      <w:keepNext/>
      <w:keepLines/>
      <w:numPr>
        <w:ilvl w:val="8"/>
        <w:numId w:val="1"/>
      </w:numPr>
      <w:spacing w:before="60" w:after="60" w:line="360" w:lineRule="auto"/>
      <w:outlineLvl w:val="8"/>
    </w:pPr>
    <w:rPr>
      <w:rFonts w:eastAsia="宋体" w:asciiTheme="minorHAnsi" w:hAnsiTheme="minorHAnsi" w:cstheme="majorBidi"/>
      <w:kern w:val="2"/>
      <w:sz w:val="24"/>
      <w:szCs w:val="21"/>
      <w:lang w:val="en-US" w:eastAsia="zh-CN" w:bidi="ar-SA"/>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4">
    <w:name w:val="正文(+缩进)"/>
    <w:basedOn w:val="1"/>
    <w:qFormat/>
    <w:uiPriority w:val="0"/>
  </w:style>
  <w:style w:type="paragraph" w:styleId="12">
    <w:name w:val="Normal Indent"/>
    <w:basedOn w:val="1"/>
    <w:autoRedefine/>
    <w:qFormat/>
    <w:uiPriority w:val="0"/>
    <w:pPr>
      <w:spacing w:line="300" w:lineRule="auto"/>
      <w:ind w:firstLine="420"/>
    </w:pPr>
    <w:rPr>
      <w:szCs w:val="20"/>
    </w:rPr>
  </w:style>
  <w:style w:type="paragraph" w:styleId="13">
    <w:name w:val="caption"/>
    <w:basedOn w:val="1"/>
    <w:next w:val="1"/>
    <w:unhideWhenUsed/>
    <w:qFormat/>
    <w:uiPriority w:val="0"/>
    <w:pPr>
      <w:spacing w:line="240" w:lineRule="auto"/>
    </w:pPr>
    <w:rPr>
      <w:rFonts w:ascii="Arial" w:hAnsi="Arial" w:eastAsia="黑体"/>
      <w:sz w:val="20"/>
    </w:rPr>
  </w:style>
  <w:style w:type="paragraph" w:styleId="14">
    <w:name w:val="annotation text"/>
    <w:basedOn w:val="1"/>
    <w:link w:val="56"/>
    <w:autoRedefine/>
    <w:qFormat/>
    <w:uiPriority w:val="0"/>
    <w:pPr>
      <w:spacing w:line="240" w:lineRule="auto"/>
    </w:pPr>
  </w:style>
  <w:style w:type="paragraph" w:styleId="15">
    <w:name w:val="Body Text"/>
    <w:basedOn w:val="1"/>
    <w:next w:val="16"/>
    <w:link w:val="57"/>
    <w:autoRedefine/>
    <w:unhideWhenUsed/>
    <w:qFormat/>
    <w:uiPriority w:val="99"/>
    <w:pPr>
      <w:spacing w:after="120" w:line="240" w:lineRule="auto"/>
    </w:pPr>
  </w:style>
  <w:style w:type="paragraph" w:styleId="16">
    <w:name w:val="Title"/>
    <w:basedOn w:val="1"/>
    <w:next w:val="1"/>
    <w:link w:val="58"/>
    <w:qFormat/>
    <w:uiPriority w:val="1"/>
    <w:pPr>
      <w:topLinePunct/>
      <w:adjustRightInd w:val="0"/>
      <w:spacing w:before="240" w:after="60" w:line="240" w:lineRule="auto"/>
      <w:jc w:val="center"/>
      <w:outlineLvl w:val="0"/>
    </w:pPr>
    <w:rPr>
      <w:rFonts w:ascii="Arial" w:hAnsi="Arial"/>
      <w:b/>
      <w:sz w:val="32"/>
    </w:rPr>
  </w:style>
  <w:style w:type="paragraph" w:styleId="17">
    <w:name w:val="Body Text Indent"/>
    <w:basedOn w:val="1"/>
    <w:next w:val="15"/>
    <w:link w:val="59"/>
    <w:autoRedefine/>
    <w:qFormat/>
    <w:uiPriority w:val="0"/>
    <w:pPr>
      <w:spacing w:after="120" w:line="240" w:lineRule="auto"/>
      <w:ind w:left="420" w:leftChars="200"/>
    </w:pPr>
  </w:style>
  <w:style w:type="paragraph" w:styleId="18">
    <w:name w:val="toc 3"/>
    <w:basedOn w:val="1"/>
    <w:next w:val="1"/>
    <w:autoRedefine/>
    <w:unhideWhenUsed/>
    <w:qFormat/>
    <w:uiPriority w:val="39"/>
    <w:pPr>
      <w:ind w:left="840" w:leftChars="400"/>
    </w:pPr>
  </w:style>
  <w:style w:type="paragraph" w:styleId="19">
    <w:name w:val="Balloon Text"/>
    <w:basedOn w:val="1"/>
    <w:link w:val="103"/>
    <w:semiHidden/>
    <w:unhideWhenUsed/>
    <w:qFormat/>
    <w:uiPriority w:val="99"/>
    <w:pPr>
      <w:spacing w:line="240" w:lineRule="auto"/>
    </w:pPr>
    <w:rPr>
      <w:sz w:val="18"/>
      <w:szCs w:val="18"/>
    </w:rPr>
  </w:style>
  <w:style w:type="paragraph" w:styleId="20">
    <w:name w:val="footer"/>
    <w:basedOn w:val="1"/>
    <w:link w:val="47"/>
    <w:autoRedefine/>
    <w:unhideWhenUsed/>
    <w:qFormat/>
    <w:uiPriority w:val="99"/>
    <w:pPr>
      <w:tabs>
        <w:tab w:val="center" w:pos="4153"/>
        <w:tab w:val="right" w:pos="8306"/>
      </w:tabs>
      <w:snapToGrid w:val="0"/>
      <w:spacing w:line="240" w:lineRule="auto"/>
    </w:pPr>
    <w:rPr>
      <w:sz w:val="18"/>
      <w:szCs w:val="18"/>
    </w:rPr>
  </w:style>
  <w:style w:type="paragraph" w:styleId="21">
    <w:name w:val="header"/>
    <w:basedOn w:val="1"/>
    <w:link w:val="46"/>
    <w:autoRedefine/>
    <w:unhideWhenUsed/>
    <w:qFormat/>
    <w:uiPriority w:val="0"/>
    <w:pPr>
      <w:tabs>
        <w:tab w:val="center" w:pos="4153"/>
        <w:tab w:val="right" w:pos="8306"/>
      </w:tabs>
      <w:snapToGrid w:val="0"/>
      <w:spacing w:line="240" w:lineRule="auto"/>
      <w:jc w:val="center"/>
    </w:pPr>
    <w:rPr>
      <w:sz w:val="18"/>
      <w:szCs w:val="18"/>
    </w:rPr>
  </w:style>
  <w:style w:type="paragraph" w:styleId="22">
    <w:name w:val="toc 1"/>
    <w:basedOn w:val="1"/>
    <w:next w:val="1"/>
    <w:autoRedefine/>
    <w:unhideWhenUsed/>
    <w:qFormat/>
    <w:uiPriority w:val="39"/>
    <w:pPr>
      <w:tabs>
        <w:tab w:val="left" w:pos="1050"/>
        <w:tab w:val="right" w:leader="dot" w:pos="8296"/>
      </w:tabs>
      <w:spacing w:line="240" w:lineRule="auto"/>
      <w:ind w:firstLine="480"/>
    </w:pPr>
  </w:style>
  <w:style w:type="paragraph" w:styleId="23">
    <w:name w:val="toc 2"/>
    <w:basedOn w:val="1"/>
    <w:next w:val="1"/>
    <w:autoRedefine/>
    <w:unhideWhenUsed/>
    <w:qFormat/>
    <w:uiPriority w:val="39"/>
    <w:pPr>
      <w:ind w:left="420" w:leftChars="200"/>
    </w:pPr>
  </w:style>
  <w:style w:type="paragraph" w:styleId="24">
    <w:name w:val="Normal (Web)"/>
    <w:basedOn w:val="1"/>
    <w:qFormat/>
    <w:uiPriority w:val="99"/>
    <w:pPr>
      <w:widowControl/>
      <w:spacing w:before="100" w:beforeAutospacing="1" w:after="100" w:afterAutospacing="1"/>
      <w:jc w:val="left"/>
    </w:pPr>
    <w:rPr>
      <w:rFonts w:hAnsi="宋体"/>
      <w:kern w:val="0"/>
      <w:sz w:val="24"/>
    </w:rPr>
  </w:style>
  <w:style w:type="paragraph" w:styleId="25">
    <w:name w:val="annotation subject"/>
    <w:basedOn w:val="14"/>
    <w:next w:val="14"/>
    <w:link w:val="60"/>
    <w:autoRedefine/>
    <w:unhideWhenUsed/>
    <w:qFormat/>
    <w:uiPriority w:val="0"/>
    <w:rPr>
      <w:b/>
      <w:bCs/>
    </w:rPr>
  </w:style>
  <w:style w:type="paragraph" w:styleId="26">
    <w:name w:val="Body Text First Indent 2"/>
    <w:basedOn w:val="17"/>
    <w:next w:val="1"/>
    <w:link w:val="61"/>
    <w:autoRedefine/>
    <w:unhideWhenUsed/>
    <w:qFormat/>
    <w:uiPriority w:val="0"/>
    <w:pPr>
      <w:spacing w:line="360" w:lineRule="auto"/>
      <w:ind w:firstLine="420" w:firstLineChars="200"/>
    </w:pPr>
  </w:style>
  <w:style w:type="table" w:styleId="28">
    <w:name w:val="Table Grid"/>
    <w:basedOn w:val="2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uiPriority w:val="0"/>
    <w:rPr>
      <w:b/>
      <w:bCs/>
    </w:rPr>
  </w:style>
  <w:style w:type="character" w:styleId="31">
    <w:name w:val="page number"/>
    <w:autoRedefine/>
    <w:qFormat/>
    <w:uiPriority w:val="0"/>
  </w:style>
  <w:style w:type="character" w:styleId="32">
    <w:name w:val="Emphasis"/>
    <w:basedOn w:val="29"/>
    <w:autoRedefine/>
    <w:qFormat/>
    <w:uiPriority w:val="20"/>
    <w:rPr>
      <w:i/>
      <w:iCs/>
    </w:rPr>
  </w:style>
  <w:style w:type="character" w:styleId="33">
    <w:name w:val="Hyperlink"/>
    <w:basedOn w:val="29"/>
    <w:autoRedefine/>
    <w:unhideWhenUsed/>
    <w:qFormat/>
    <w:uiPriority w:val="99"/>
    <w:rPr>
      <w:color w:val="0563C1" w:themeColor="hyperlink"/>
      <w:u w:val="single"/>
      <w14:textFill>
        <w14:solidFill>
          <w14:schemeClr w14:val="hlink"/>
        </w14:solidFill>
      </w14:textFill>
    </w:rPr>
  </w:style>
  <w:style w:type="character" w:styleId="34">
    <w:name w:val="annotation reference"/>
    <w:basedOn w:val="29"/>
    <w:autoRedefine/>
    <w:qFormat/>
    <w:uiPriority w:val="0"/>
    <w:rPr>
      <w:sz w:val="21"/>
      <w:szCs w:val="21"/>
    </w:rPr>
  </w:style>
  <w:style w:type="paragraph" w:customStyle="1" w:styleId="35">
    <w:name w:val="图表目录1"/>
    <w:basedOn w:val="36"/>
    <w:next w:val="36"/>
    <w:qFormat/>
    <w:uiPriority w:val="0"/>
    <w:pPr>
      <w:adjustRightInd w:val="0"/>
      <w:spacing w:line="360" w:lineRule="atLeast"/>
      <w:ind w:left="200" w:leftChars="200" w:hanging="200" w:hangingChars="200"/>
      <w:textAlignment w:val="baseline"/>
    </w:pPr>
    <w:rPr>
      <w:kern w:val="0"/>
      <w:sz w:val="32"/>
    </w:rPr>
  </w:style>
  <w:style w:type="paragraph" w:customStyle="1" w:styleId="36">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7">
    <w:name w:val="标题 1 Char"/>
    <w:basedOn w:val="29"/>
    <w:link w:val="2"/>
    <w:autoRedefine/>
    <w:qFormat/>
    <w:uiPriority w:val="9"/>
    <w:rPr>
      <w:rFonts w:eastAsia="宋体"/>
      <w:b/>
      <w:bCs/>
      <w:kern w:val="44"/>
      <w:sz w:val="44"/>
      <w:szCs w:val="44"/>
    </w:rPr>
  </w:style>
  <w:style w:type="character" w:customStyle="1" w:styleId="38">
    <w:name w:val="标题 2 Char"/>
    <w:basedOn w:val="29"/>
    <w:link w:val="3"/>
    <w:autoRedefine/>
    <w:qFormat/>
    <w:uiPriority w:val="9"/>
    <w:rPr>
      <w:rFonts w:eastAsia="宋体" w:cstheme="majorBidi"/>
      <w:b/>
      <w:bCs/>
      <w:sz w:val="36"/>
      <w:szCs w:val="32"/>
    </w:rPr>
  </w:style>
  <w:style w:type="character" w:customStyle="1" w:styleId="39">
    <w:name w:val="标题 3 Char"/>
    <w:basedOn w:val="29"/>
    <w:link w:val="5"/>
    <w:qFormat/>
    <w:uiPriority w:val="9"/>
    <w:rPr>
      <w:rFonts w:eastAsia="宋体"/>
      <w:b/>
      <w:bCs/>
      <w:sz w:val="32"/>
      <w:szCs w:val="32"/>
    </w:rPr>
  </w:style>
  <w:style w:type="character" w:customStyle="1" w:styleId="40">
    <w:name w:val="标题 4 Char"/>
    <w:basedOn w:val="29"/>
    <w:link w:val="6"/>
    <w:autoRedefine/>
    <w:qFormat/>
    <w:uiPriority w:val="9"/>
    <w:rPr>
      <w:rFonts w:eastAsia="宋体" w:cstheme="majorBidi"/>
      <w:b/>
      <w:bCs/>
      <w:sz w:val="30"/>
      <w:szCs w:val="28"/>
    </w:rPr>
  </w:style>
  <w:style w:type="character" w:customStyle="1" w:styleId="41">
    <w:name w:val="标题 5 Char"/>
    <w:basedOn w:val="29"/>
    <w:link w:val="7"/>
    <w:autoRedefine/>
    <w:qFormat/>
    <w:uiPriority w:val="9"/>
    <w:rPr>
      <w:rFonts w:ascii="宋体" w:hAnsi="宋体" w:eastAsia="宋体" w:cs="宋体"/>
      <w:b/>
      <w:bCs/>
      <w:sz w:val="28"/>
      <w:szCs w:val="28"/>
    </w:rPr>
  </w:style>
  <w:style w:type="character" w:customStyle="1" w:styleId="42">
    <w:name w:val="标题 6 Char"/>
    <w:basedOn w:val="29"/>
    <w:link w:val="8"/>
    <w:autoRedefine/>
    <w:qFormat/>
    <w:uiPriority w:val="9"/>
    <w:rPr>
      <w:rFonts w:ascii="宋体" w:hAnsi="宋体" w:eastAsia="宋体" w:cstheme="majorBidi"/>
      <w:b/>
      <w:bCs/>
      <w:sz w:val="24"/>
      <w:szCs w:val="24"/>
    </w:rPr>
  </w:style>
  <w:style w:type="character" w:customStyle="1" w:styleId="43">
    <w:name w:val="标题 7 Char"/>
    <w:basedOn w:val="29"/>
    <w:link w:val="9"/>
    <w:autoRedefine/>
    <w:qFormat/>
    <w:uiPriority w:val="9"/>
    <w:rPr>
      <w:rFonts w:ascii="宋体" w:hAnsi="宋体" w:eastAsia="宋体" w:cs="宋体"/>
      <w:b/>
      <w:bCs/>
      <w:sz w:val="24"/>
      <w:szCs w:val="24"/>
    </w:rPr>
  </w:style>
  <w:style w:type="character" w:customStyle="1" w:styleId="44">
    <w:name w:val="标题 8 Char"/>
    <w:basedOn w:val="29"/>
    <w:link w:val="10"/>
    <w:autoRedefine/>
    <w:qFormat/>
    <w:uiPriority w:val="9"/>
    <w:rPr>
      <w:rFonts w:ascii="宋体" w:hAnsi="宋体" w:eastAsia="宋体" w:cstheme="majorBidi"/>
      <w:sz w:val="24"/>
      <w:szCs w:val="24"/>
    </w:rPr>
  </w:style>
  <w:style w:type="character" w:customStyle="1" w:styleId="45">
    <w:name w:val="标题 9 Char"/>
    <w:basedOn w:val="29"/>
    <w:link w:val="11"/>
    <w:autoRedefine/>
    <w:qFormat/>
    <w:uiPriority w:val="9"/>
    <w:rPr>
      <w:rFonts w:eastAsia="宋体" w:cstheme="majorBidi"/>
      <w:sz w:val="24"/>
    </w:rPr>
  </w:style>
  <w:style w:type="character" w:customStyle="1" w:styleId="46">
    <w:name w:val="页眉 Char"/>
    <w:basedOn w:val="29"/>
    <w:link w:val="21"/>
    <w:autoRedefine/>
    <w:qFormat/>
    <w:uiPriority w:val="0"/>
    <w:rPr>
      <w:rFonts w:eastAsia="宋体"/>
      <w:sz w:val="18"/>
      <w:szCs w:val="18"/>
    </w:rPr>
  </w:style>
  <w:style w:type="character" w:customStyle="1" w:styleId="47">
    <w:name w:val="页脚 Char"/>
    <w:basedOn w:val="29"/>
    <w:link w:val="20"/>
    <w:autoRedefine/>
    <w:qFormat/>
    <w:uiPriority w:val="99"/>
    <w:rPr>
      <w:rFonts w:eastAsia="宋体"/>
      <w:sz w:val="18"/>
      <w:szCs w:val="18"/>
    </w:rPr>
  </w:style>
  <w:style w:type="paragraph" w:styleId="48">
    <w:name w:val="List Paragraph"/>
    <w:basedOn w:val="1"/>
    <w:autoRedefine/>
    <w:qFormat/>
    <w:uiPriority w:val="34"/>
    <w:pPr>
      <w:numPr>
        <w:ilvl w:val="0"/>
        <w:numId w:val="2"/>
      </w:numPr>
      <w:ind w:firstLine="0"/>
    </w:pPr>
  </w:style>
  <w:style w:type="paragraph" w:customStyle="1" w:styleId="49">
    <w:name w:val="TOC 标题1"/>
    <w:basedOn w:val="2"/>
    <w:next w:val="1"/>
    <w:autoRedefine/>
    <w:unhideWhenUsed/>
    <w:qFormat/>
    <w:uiPriority w:val="39"/>
    <w:pPr>
      <w:numPr>
        <w:numId w:val="0"/>
      </w:numPr>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50">
    <w:name w:val="表头"/>
    <w:link w:val="52"/>
    <w:autoRedefine/>
    <w:qFormat/>
    <w:uiPriority w:val="0"/>
    <w:pPr>
      <w:spacing w:line="360" w:lineRule="auto"/>
      <w:jc w:val="center"/>
    </w:pPr>
    <w:rPr>
      <w:rFonts w:ascii="宋体" w:hAnsi="宋体" w:eastAsia="宋体" w:cs="宋体"/>
      <w:b/>
      <w:bCs/>
      <w:kern w:val="2"/>
      <w:sz w:val="21"/>
      <w:szCs w:val="21"/>
      <w:lang w:val="en-US" w:eastAsia="zh-CN" w:bidi="ar-SA"/>
    </w:rPr>
  </w:style>
  <w:style w:type="paragraph" w:customStyle="1" w:styleId="51">
    <w:name w:val="表格正文"/>
    <w:link w:val="53"/>
    <w:autoRedefine/>
    <w:qFormat/>
    <w:uiPriority w:val="0"/>
    <w:pPr>
      <w:spacing w:line="360" w:lineRule="auto"/>
      <w:jc w:val="both"/>
    </w:pPr>
    <w:rPr>
      <w:rFonts w:ascii="宋体" w:hAnsi="宋体" w:eastAsia="宋体" w:cs="宋体"/>
      <w:kern w:val="2"/>
      <w:sz w:val="21"/>
      <w:szCs w:val="21"/>
      <w:lang w:val="en-US" w:eastAsia="zh-CN" w:bidi="ar-SA"/>
    </w:rPr>
  </w:style>
  <w:style w:type="character" w:customStyle="1" w:styleId="52">
    <w:name w:val="表头 字符"/>
    <w:basedOn w:val="29"/>
    <w:link w:val="50"/>
    <w:autoRedefine/>
    <w:qFormat/>
    <w:uiPriority w:val="0"/>
    <w:rPr>
      <w:rFonts w:ascii="宋体" w:hAnsi="宋体" w:eastAsia="宋体" w:cs="宋体"/>
      <w:b/>
      <w:bCs/>
      <w:szCs w:val="21"/>
    </w:rPr>
  </w:style>
  <w:style w:type="character" w:customStyle="1" w:styleId="53">
    <w:name w:val="表格正文 字符"/>
    <w:basedOn w:val="29"/>
    <w:link w:val="51"/>
    <w:autoRedefine/>
    <w:qFormat/>
    <w:uiPriority w:val="0"/>
    <w:rPr>
      <w:rFonts w:ascii="宋体" w:hAnsi="宋体" w:cs="宋体"/>
      <w:kern w:val="2"/>
      <w:sz w:val="21"/>
      <w:szCs w:val="21"/>
    </w:rPr>
  </w:style>
  <w:style w:type="paragraph" w:customStyle="1" w:styleId="54">
    <w:name w:val="表格正文-左"/>
    <w:link w:val="55"/>
    <w:autoRedefine/>
    <w:qFormat/>
    <w:uiPriority w:val="0"/>
    <w:pPr>
      <w:spacing w:line="360" w:lineRule="auto"/>
    </w:pPr>
    <w:rPr>
      <w:rFonts w:ascii="宋体" w:hAnsi="宋体" w:eastAsia="宋体" w:cs="宋体"/>
      <w:kern w:val="2"/>
      <w:sz w:val="21"/>
      <w:szCs w:val="21"/>
      <w:lang w:val="en-US" w:eastAsia="zh-CN" w:bidi="ar-SA"/>
    </w:rPr>
  </w:style>
  <w:style w:type="character" w:customStyle="1" w:styleId="55">
    <w:name w:val="表格正文-左 字符"/>
    <w:basedOn w:val="53"/>
    <w:link w:val="54"/>
    <w:autoRedefine/>
    <w:qFormat/>
    <w:uiPriority w:val="0"/>
    <w:rPr>
      <w:rFonts w:ascii="宋体" w:hAnsi="宋体" w:eastAsia="宋体" w:cs="宋体"/>
      <w:kern w:val="2"/>
      <w:sz w:val="21"/>
      <w:szCs w:val="21"/>
    </w:rPr>
  </w:style>
  <w:style w:type="character" w:customStyle="1" w:styleId="56">
    <w:name w:val="批注文字 Char"/>
    <w:basedOn w:val="29"/>
    <w:link w:val="14"/>
    <w:autoRedefine/>
    <w:qFormat/>
    <w:uiPriority w:val="0"/>
    <w:rPr>
      <w:szCs w:val="24"/>
    </w:rPr>
  </w:style>
  <w:style w:type="character" w:customStyle="1" w:styleId="57">
    <w:name w:val="正文文本 Char"/>
    <w:basedOn w:val="29"/>
    <w:link w:val="15"/>
    <w:autoRedefine/>
    <w:qFormat/>
    <w:uiPriority w:val="99"/>
    <w:rPr>
      <w:szCs w:val="24"/>
    </w:rPr>
  </w:style>
  <w:style w:type="character" w:customStyle="1" w:styleId="58">
    <w:name w:val="标题 Char"/>
    <w:basedOn w:val="29"/>
    <w:link w:val="16"/>
    <w:autoRedefine/>
    <w:qFormat/>
    <w:uiPriority w:val="1"/>
    <w:rPr>
      <w:rFonts w:ascii="Arial" w:hAnsi="Arial" w:eastAsia="宋体" w:cs="宋体"/>
      <w:b/>
      <w:sz w:val="32"/>
      <w:szCs w:val="24"/>
    </w:rPr>
  </w:style>
  <w:style w:type="character" w:customStyle="1" w:styleId="59">
    <w:name w:val="正文文本缩进 Char"/>
    <w:basedOn w:val="29"/>
    <w:link w:val="17"/>
    <w:autoRedefine/>
    <w:qFormat/>
    <w:uiPriority w:val="0"/>
    <w:rPr>
      <w:szCs w:val="24"/>
    </w:rPr>
  </w:style>
  <w:style w:type="character" w:customStyle="1" w:styleId="60">
    <w:name w:val="批注主题 Char"/>
    <w:basedOn w:val="56"/>
    <w:link w:val="25"/>
    <w:autoRedefine/>
    <w:qFormat/>
    <w:uiPriority w:val="0"/>
    <w:rPr>
      <w:b/>
      <w:bCs/>
      <w:szCs w:val="24"/>
    </w:rPr>
  </w:style>
  <w:style w:type="character" w:customStyle="1" w:styleId="61">
    <w:name w:val="正文首行缩进 2 Char"/>
    <w:basedOn w:val="59"/>
    <w:link w:val="26"/>
    <w:autoRedefine/>
    <w:qFormat/>
    <w:uiPriority w:val="0"/>
    <w:rPr>
      <w:sz w:val="24"/>
      <w:szCs w:val="24"/>
    </w:rPr>
  </w:style>
  <w:style w:type="paragraph" w:customStyle="1" w:styleId="6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3">
    <w:name w:val="正文缩入"/>
    <w:basedOn w:val="1"/>
    <w:autoRedefine/>
    <w:qFormat/>
    <w:uiPriority w:val="0"/>
    <w:pPr>
      <w:adjustRightInd w:val="0"/>
      <w:spacing w:line="300" w:lineRule="auto"/>
      <w:ind w:firstLine="440"/>
      <w:textAlignment w:val="baseline"/>
    </w:pPr>
    <w:rPr>
      <w:rFonts w:ascii="Times New Roman" w:hAnsi="Times New Roman" w:cs="Arial"/>
      <w:color w:val="000000"/>
      <w:kern w:val="0"/>
      <w:sz w:val="22"/>
      <w:szCs w:val="36"/>
    </w:rPr>
  </w:style>
  <w:style w:type="paragraph" w:customStyle="1" w:styleId="64">
    <w:name w:val="列出段落1"/>
    <w:basedOn w:val="1"/>
    <w:link w:val="71"/>
    <w:autoRedefine/>
    <w:qFormat/>
    <w:uiPriority w:val="34"/>
    <w:pPr>
      <w:spacing w:line="240" w:lineRule="auto"/>
      <w:ind w:firstLine="420"/>
    </w:pPr>
  </w:style>
  <w:style w:type="paragraph" w:customStyle="1" w:styleId="65">
    <w:name w:val="首行缩进"/>
    <w:basedOn w:val="1"/>
    <w:link w:val="81"/>
    <w:autoRedefine/>
    <w:qFormat/>
    <w:uiPriority w:val="0"/>
    <w:pPr>
      <w:spacing w:line="300" w:lineRule="auto"/>
      <w:ind w:firstLine="420"/>
    </w:pPr>
    <w:rPr>
      <w:rFonts w:ascii="Calibri" w:hAnsi="Calibri" w:eastAsia="方正书宋简体"/>
    </w:rPr>
  </w:style>
  <w:style w:type="paragraph" w:customStyle="1" w:styleId="66">
    <w:name w:val="TOC 标题11"/>
    <w:basedOn w:val="2"/>
    <w:next w:val="1"/>
    <w:autoRedefine/>
    <w:unhideWhenUsed/>
    <w:qFormat/>
    <w:uiPriority w:val="39"/>
    <w:pPr>
      <w:numPr>
        <w:numId w:val="0"/>
      </w:numPr>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67">
    <w:name w:val="无间隔1"/>
    <w:link w:val="68"/>
    <w:autoRedefine/>
    <w:qFormat/>
    <w:uiPriority w:val="1"/>
    <w:rPr>
      <w:rFonts w:asciiTheme="minorHAnsi" w:hAnsiTheme="minorHAnsi" w:eastAsiaTheme="minorEastAsia" w:cstheme="minorBidi"/>
      <w:sz w:val="22"/>
      <w:szCs w:val="21"/>
      <w:lang w:val="en-US" w:eastAsia="en-US" w:bidi="ar-SA"/>
    </w:rPr>
  </w:style>
  <w:style w:type="character" w:customStyle="1" w:styleId="68">
    <w:name w:val="无间隔 字符"/>
    <w:basedOn w:val="29"/>
    <w:link w:val="67"/>
    <w:autoRedefine/>
    <w:qFormat/>
    <w:uiPriority w:val="1"/>
    <w:rPr>
      <w:kern w:val="0"/>
      <w:sz w:val="22"/>
      <w:lang w:eastAsia="en-US"/>
    </w:rPr>
  </w:style>
  <w:style w:type="character" w:customStyle="1" w:styleId="69">
    <w:name w:val="内容正文 Char"/>
    <w:link w:val="70"/>
    <w:autoRedefine/>
    <w:qFormat/>
    <w:locked/>
    <w:uiPriority w:val="0"/>
    <w:rPr>
      <w:rFonts w:ascii="Arial" w:hAnsi="Arial" w:eastAsia="宋体" w:cs="Times New Roman"/>
      <w:szCs w:val="21"/>
    </w:rPr>
  </w:style>
  <w:style w:type="paragraph" w:customStyle="1" w:styleId="70">
    <w:name w:val="内容正文"/>
    <w:basedOn w:val="1"/>
    <w:link w:val="69"/>
    <w:autoRedefine/>
    <w:qFormat/>
    <w:uiPriority w:val="0"/>
    <w:pPr>
      <w:widowControl/>
      <w:spacing w:beforeLines="50"/>
      <w:ind w:firstLine="420"/>
    </w:pPr>
    <w:rPr>
      <w:rFonts w:ascii="Arial" w:hAnsi="Arial" w:cs="Times New Roman"/>
    </w:rPr>
  </w:style>
  <w:style w:type="character" w:customStyle="1" w:styleId="71">
    <w:name w:val="列表段落 字符"/>
    <w:link w:val="64"/>
    <w:autoRedefine/>
    <w:qFormat/>
    <w:locked/>
    <w:uiPriority w:val="34"/>
    <w:rPr>
      <w:szCs w:val="24"/>
    </w:rPr>
  </w:style>
  <w:style w:type="paragraph" w:customStyle="1" w:styleId="72">
    <w:name w:val="List Paragraph1"/>
    <w:basedOn w:val="1"/>
    <w:autoRedefine/>
    <w:qFormat/>
    <w:uiPriority w:val="34"/>
    <w:pPr>
      <w:spacing w:line="240" w:lineRule="auto"/>
      <w:ind w:firstLine="420"/>
    </w:pPr>
  </w:style>
  <w:style w:type="table" w:customStyle="1" w:styleId="73">
    <w:name w:val="网格型浅色1"/>
    <w:basedOn w:val="27"/>
    <w:autoRedefine/>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paragraph" w:customStyle="1" w:styleId="74">
    <w:name w:val="_标准条文"/>
    <w:basedOn w:val="1"/>
    <w:autoRedefine/>
    <w:qFormat/>
    <w:uiPriority w:val="0"/>
    <w:pPr>
      <w:overflowPunct w:val="0"/>
      <w:snapToGrid w:val="0"/>
      <w:spacing w:line="276" w:lineRule="auto"/>
      <w:ind w:firstLine="420"/>
    </w:pPr>
    <w:rPr>
      <w:rFonts w:ascii="Arial" w:hAnsi="Arial" w:cs="Times New Roman"/>
      <w:szCs w:val="20"/>
    </w:rPr>
  </w:style>
  <w:style w:type="paragraph" w:customStyle="1" w:styleId="75">
    <w:name w:val="正文1"/>
    <w:next w:val="1"/>
    <w:autoRedefine/>
    <w:qFormat/>
    <w:uiPriority w:val="0"/>
    <w:pPr>
      <w:widowControl w:val="0"/>
      <w:jc w:val="both"/>
    </w:pPr>
    <w:rPr>
      <w:rFonts w:ascii="Calibri" w:hAnsi="Calibri" w:eastAsia="宋体" w:cs="Calibri"/>
      <w:kern w:val="2"/>
      <w:sz w:val="21"/>
      <w:szCs w:val="21"/>
      <w:lang w:val="en-US" w:eastAsia="zh-CN" w:bidi="ar-SA"/>
    </w:rPr>
  </w:style>
  <w:style w:type="paragraph" w:customStyle="1" w:styleId="76">
    <w:name w:val="标题 11"/>
    <w:basedOn w:val="1"/>
    <w:next w:val="75"/>
    <w:autoRedefine/>
    <w:qFormat/>
    <w:uiPriority w:val="0"/>
    <w:pPr>
      <w:keepNext/>
      <w:keepLines/>
      <w:topLinePunct/>
      <w:adjustRightInd w:val="0"/>
      <w:snapToGrid w:val="0"/>
      <w:spacing w:beforeLines="100" w:afterLines="100" w:line="240" w:lineRule="auto"/>
      <w:ind w:left="425" w:hanging="425"/>
      <w:textAlignment w:val="center"/>
      <w:outlineLvl w:val="0"/>
    </w:pPr>
    <w:rPr>
      <w:b/>
      <w:bCs/>
      <w:kern w:val="0"/>
    </w:rPr>
  </w:style>
  <w:style w:type="paragraph" w:customStyle="1" w:styleId="77">
    <w:name w:val="标题 21"/>
    <w:basedOn w:val="1"/>
    <w:next w:val="75"/>
    <w:autoRedefine/>
    <w:qFormat/>
    <w:uiPriority w:val="0"/>
    <w:pPr>
      <w:spacing w:before="100" w:beforeAutospacing="1" w:after="100" w:afterAutospacing="1" w:line="240" w:lineRule="auto"/>
      <w:ind w:left="567" w:hanging="567"/>
      <w:outlineLvl w:val="1"/>
    </w:pPr>
    <w:rPr>
      <w:rFonts w:ascii="Calibri" w:hAnsi="Calibri" w:cs="Calibri"/>
    </w:rPr>
  </w:style>
  <w:style w:type="paragraph" w:customStyle="1" w:styleId="78">
    <w:name w:val="标题 31"/>
    <w:basedOn w:val="1"/>
    <w:next w:val="75"/>
    <w:autoRedefine/>
    <w:qFormat/>
    <w:uiPriority w:val="0"/>
    <w:pPr>
      <w:keepNext/>
      <w:keepLines/>
      <w:spacing w:line="312" w:lineRule="exact"/>
      <w:outlineLvl w:val="2"/>
    </w:pPr>
    <w:rPr>
      <w:rFonts w:ascii="Times New Roman" w:hAnsi="Times New Roman" w:eastAsia="黑体" w:cs="Times New Roman"/>
      <w:bCs/>
    </w:rPr>
  </w:style>
  <w:style w:type="paragraph" w:customStyle="1" w:styleId="79">
    <w:name w:val="_列表编号1"/>
    <w:basedOn w:val="1"/>
    <w:autoRedefine/>
    <w:qFormat/>
    <w:uiPriority w:val="0"/>
    <w:pPr>
      <w:widowControl/>
      <w:snapToGrid w:val="0"/>
      <w:spacing w:beforeLines="10" w:line="273" w:lineRule="auto"/>
      <w:ind w:left="800" w:hanging="400"/>
    </w:pPr>
    <w:rPr>
      <w:rFonts w:ascii="Arial" w:hAnsi="Arial" w:cs="Times New Roman"/>
      <w:kern w:val="0"/>
    </w:rPr>
  </w:style>
  <w:style w:type="character" w:customStyle="1" w:styleId="80">
    <w:name w:val="15"/>
    <w:basedOn w:val="29"/>
    <w:autoRedefine/>
    <w:qFormat/>
    <w:uiPriority w:val="0"/>
    <w:rPr>
      <w:rFonts w:hint="default" w:ascii="Arial" w:hAnsi="Arial" w:eastAsia="宋体" w:cs="宋体"/>
      <w:kern w:val="2"/>
      <w:sz w:val="21"/>
      <w:szCs w:val="21"/>
    </w:rPr>
  </w:style>
  <w:style w:type="character" w:customStyle="1" w:styleId="81">
    <w:name w:val="首行缩进 Char"/>
    <w:link w:val="65"/>
    <w:autoRedefine/>
    <w:qFormat/>
    <w:uiPriority w:val="0"/>
    <w:rPr>
      <w:rFonts w:ascii="Calibri" w:hAnsi="Calibri" w:eastAsia="方正书宋简体" w:cs="宋体"/>
    </w:rPr>
  </w:style>
  <w:style w:type="paragraph" w:customStyle="1" w:styleId="82">
    <w:name w:val="_Style 5"/>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正文行首缩进]"/>
    <w:autoRedefine/>
    <w:qFormat/>
    <w:uiPriority w:val="0"/>
    <w:pPr>
      <w:widowControl w:val="0"/>
      <w:spacing w:line="360" w:lineRule="auto"/>
      <w:ind w:firstLine="480" w:firstLineChars="200"/>
    </w:pPr>
    <w:rPr>
      <w:rFonts w:ascii="宋体" w:hAnsi="宋体" w:eastAsia="宋体" w:cs="Arial"/>
      <w:snapToGrid w:val="0"/>
      <w:sz w:val="24"/>
      <w:szCs w:val="24"/>
      <w:lang w:val="en-US" w:eastAsia="zh-CN" w:bidi="ar-SA"/>
    </w:rPr>
  </w:style>
  <w:style w:type="paragraph" w:customStyle="1" w:styleId="84">
    <w:name w:val="WPSOffice手动目录 1"/>
    <w:autoRedefine/>
    <w:qFormat/>
    <w:uiPriority w:val="0"/>
    <w:rPr>
      <w:rFonts w:ascii="Times New Roman" w:hAnsi="Times New Roman" w:eastAsia="宋体" w:cs="Times New Roman"/>
      <w:lang w:val="en-US" w:eastAsia="zh-CN" w:bidi="ar-SA"/>
    </w:rPr>
  </w:style>
  <w:style w:type="paragraph" w:customStyle="1" w:styleId="85">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6">
    <w:name w:val="列出段落11"/>
    <w:basedOn w:val="1"/>
    <w:autoRedefine/>
    <w:qFormat/>
    <w:uiPriority w:val="34"/>
    <w:pPr>
      <w:adjustRightInd w:val="0"/>
      <w:snapToGrid w:val="0"/>
      <w:spacing w:before="120" w:after="120"/>
      <w:ind w:left="578" w:firstLine="420"/>
    </w:pPr>
    <w:rPr>
      <w:lang w:eastAsia="zh-TW"/>
    </w:rPr>
  </w:style>
  <w:style w:type="paragraph" w:customStyle="1" w:styleId="87">
    <w:name w:val="弱电正文"/>
    <w:basedOn w:val="1"/>
    <w:autoRedefine/>
    <w:qFormat/>
    <w:uiPriority w:val="0"/>
    <w:rPr>
      <w:rFonts w:ascii="Calibri" w:hAnsi="Calibri"/>
    </w:rPr>
  </w:style>
  <w:style w:type="paragraph" w:customStyle="1" w:styleId="88">
    <w:name w:val="表格序号"/>
    <w:link w:val="89"/>
    <w:autoRedefine/>
    <w:qFormat/>
    <w:uiPriority w:val="0"/>
    <w:pPr>
      <w:numPr>
        <w:ilvl w:val="0"/>
        <w:numId w:val="3"/>
      </w:numPr>
      <w:spacing w:line="360" w:lineRule="auto"/>
      <w:ind w:left="225" w:leftChars="50" w:hanging="105" w:hangingChars="50"/>
    </w:pPr>
    <w:rPr>
      <w:rFonts w:ascii="宋体" w:hAnsi="宋体" w:eastAsia="宋体" w:cs="宋体"/>
      <w:kern w:val="2"/>
      <w:sz w:val="21"/>
      <w:szCs w:val="21"/>
      <w:lang w:val="en-US" w:eastAsia="zh-CN" w:bidi="ar-SA"/>
    </w:rPr>
  </w:style>
  <w:style w:type="character" w:customStyle="1" w:styleId="89">
    <w:name w:val="表格序号 字符"/>
    <w:basedOn w:val="53"/>
    <w:link w:val="88"/>
    <w:autoRedefine/>
    <w:qFormat/>
    <w:uiPriority w:val="0"/>
    <w:rPr>
      <w:rFonts w:ascii="宋体" w:hAnsi="宋体" w:eastAsia="宋体" w:cs="宋体"/>
      <w:kern w:val="2"/>
      <w:sz w:val="21"/>
      <w:szCs w:val="21"/>
    </w:rPr>
  </w:style>
  <w:style w:type="paragraph" w:customStyle="1" w:styleId="90">
    <w:name w:val="表"/>
    <w:next w:val="15"/>
    <w:autoRedefine/>
    <w:qFormat/>
    <w:uiPriority w:val="0"/>
    <w:pPr>
      <w:jc w:val="center"/>
    </w:pPr>
    <w:rPr>
      <w:rFonts w:hint="eastAsia" w:ascii="宋体" w:hAnsi="宋体" w:eastAsia="仿宋" w:cstheme="minorBidi"/>
      <w:sz w:val="21"/>
      <w:szCs w:val="21"/>
      <w:lang w:val="en-US" w:eastAsia="zh-CN" w:bidi="ar-SA"/>
    </w:rPr>
  </w:style>
  <w:style w:type="paragraph" w:customStyle="1" w:styleId="91">
    <w:name w:val="修订1"/>
    <w:autoRedefine/>
    <w:hidden/>
    <w:unhideWhenUsed/>
    <w:qFormat/>
    <w:uiPriority w:val="99"/>
    <w:rPr>
      <w:rFonts w:ascii="宋体" w:hAnsi="宋体" w:eastAsia="宋体" w:cs="宋体"/>
      <w:kern w:val="2"/>
      <w:sz w:val="24"/>
      <w:szCs w:val="24"/>
      <w:lang w:val="en-US" w:eastAsia="zh-CN" w:bidi="ar-SA"/>
    </w:rPr>
  </w:style>
  <w:style w:type="character" w:customStyle="1" w:styleId="92">
    <w:name w:val="font51"/>
    <w:basedOn w:val="29"/>
    <w:qFormat/>
    <w:uiPriority w:val="0"/>
    <w:rPr>
      <w:rFonts w:hint="default" w:ascii="Times New Roman" w:hAnsi="Times New Roman" w:cs="Times New Roman"/>
      <w:color w:val="000000"/>
      <w:sz w:val="14"/>
      <w:szCs w:val="14"/>
      <w:u w:val="none"/>
    </w:rPr>
  </w:style>
  <w:style w:type="character" w:customStyle="1" w:styleId="93">
    <w:name w:val="font21"/>
    <w:basedOn w:val="29"/>
    <w:qFormat/>
    <w:uiPriority w:val="0"/>
    <w:rPr>
      <w:rFonts w:hint="default" w:ascii="Times New Roman" w:hAnsi="Times New Roman" w:cs="Times New Roman"/>
      <w:color w:val="000000"/>
      <w:sz w:val="24"/>
      <w:szCs w:val="24"/>
      <w:u w:val="none"/>
    </w:rPr>
  </w:style>
  <w:style w:type="character" w:customStyle="1" w:styleId="94">
    <w:name w:val="font01"/>
    <w:basedOn w:val="29"/>
    <w:qFormat/>
    <w:uiPriority w:val="0"/>
    <w:rPr>
      <w:rFonts w:hint="eastAsia" w:ascii="宋体" w:hAnsi="宋体" w:eastAsia="宋体"/>
      <w:color w:val="000000"/>
      <w:sz w:val="24"/>
      <w:szCs w:val="24"/>
      <w:u w:val="none"/>
    </w:rPr>
  </w:style>
  <w:style w:type="character" w:customStyle="1" w:styleId="95">
    <w:name w:val="font31"/>
    <w:basedOn w:val="29"/>
    <w:qFormat/>
    <w:uiPriority w:val="0"/>
    <w:rPr>
      <w:rFonts w:hint="eastAsia" w:ascii="宋体" w:hAnsi="宋体" w:eastAsia="宋体"/>
      <w:color w:val="000000"/>
      <w:sz w:val="28"/>
      <w:szCs w:val="28"/>
      <w:u w:val="none"/>
    </w:rPr>
  </w:style>
  <w:style w:type="paragraph" w:customStyle="1" w:styleId="96">
    <w:name w:val="GEDI正文样式"/>
    <w:basedOn w:val="1"/>
    <w:qFormat/>
    <w:uiPriority w:val="0"/>
    <w:pPr>
      <w:adjustRightInd w:val="0"/>
      <w:snapToGrid w:val="0"/>
      <w:spacing w:line="480" w:lineRule="atLeast"/>
      <w:ind w:firstLine="480"/>
    </w:pPr>
  </w:style>
  <w:style w:type="character" w:customStyle="1" w:styleId="97">
    <w:name w:val="正文（SANGFOR） 字符"/>
    <w:basedOn w:val="29"/>
    <w:link w:val="98"/>
    <w:qFormat/>
    <w:uiPriority w:val="0"/>
    <w:rPr>
      <w:rFonts w:ascii="Arial" w:hAnsi="Arial" w:eastAsia="宋体"/>
      <w:sz w:val="24"/>
      <w:szCs w:val="21"/>
    </w:rPr>
  </w:style>
  <w:style w:type="paragraph" w:customStyle="1" w:styleId="98">
    <w:name w:val="正文（SANGFOR）"/>
    <w:basedOn w:val="1"/>
    <w:link w:val="97"/>
    <w:qFormat/>
    <w:uiPriority w:val="0"/>
    <w:pPr>
      <w:tabs>
        <w:tab w:val="right" w:pos="9031"/>
      </w:tabs>
      <w:autoSpaceDE w:val="0"/>
      <w:autoSpaceDN w:val="0"/>
      <w:adjustRightInd w:val="0"/>
      <w:ind w:firstLine="640"/>
    </w:pPr>
    <w:rPr>
      <w:rFonts w:ascii="Arial" w:hAnsi="Arial"/>
    </w:rPr>
  </w:style>
  <w:style w:type="paragraph" w:customStyle="1" w:styleId="99">
    <w:name w:val="列表段落1"/>
    <w:basedOn w:val="1"/>
    <w:qFormat/>
    <w:locked/>
    <w:uiPriority w:val="34"/>
    <w:pPr>
      <w:ind w:firstLine="420"/>
    </w:pPr>
    <w:rPr>
      <w:rFonts w:cs="Times New Roman" w:asciiTheme="minorHAnsi" w:eastAsiaTheme="minorEastAsia"/>
      <w:szCs w:val="20"/>
    </w:rPr>
  </w:style>
  <w:style w:type="paragraph" w:customStyle="1" w:styleId="100">
    <w:name w:val="5宋正文"/>
    <w:basedOn w:val="1"/>
    <w:qFormat/>
    <w:uiPriority w:val="0"/>
    <w:pPr>
      <w:ind w:firstLine="420"/>
    </w:pPr>
    <w:rPr>
      <w:rFonts w:cs="Times New Roman"/>
      <w:szCs w:val="20"/>
    </w:rPr>
  </w:style>
  <w:style w:type="paragraph" w:customStyle="1" w:styleId="101">
    <w:name w:val="5黑L4T3"/>
    <w:basedOn w:val="1"/>
    <w:qFormat/>
    <w:uiPriority w:val="0"/>
    <w:pPr>
      <w:widowControl/>
      <w:spacing w:before="156" w:after="156"/>
      <w:ind w:left="1680" w:hanging="420"/>
      <w:outlineLvl w:val="2"/>
    </w:pPr>
    <w:rPr>
      <w:rFonts w:ascii="黑体" w:hAnsi="Times New Roman" w:eastAsia="黑体" w:cs="Times New Roman"/>
      <w:kern w:val="0"/>
      <w:szCs w:val="20"/>
    </w:rPr>
  </w:style>
  <w:style w:type="paragraph" w:customStyle="1" w:styleId="10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03">
    <w:name w:val="批注框文本 Char"/>
    <w:basedOn w:val="29"/>
    <w:link w:val="19"/>
    <w:semiHidden/>
    <w:qFormat/>
    <w:uiPriority w:val="99"/>
    <w:rPr>
      <w:rFonts w:ascii="宋体" w:hAnsi="宋体" w:cs="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553F04-0A32-4E82-BEBB-67E14E5CB74F}">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2241</Words>
  <Characters>2434</Characters>
  <Lines>243</Lines>
  <Paragraphs>68</Paragraphs>
  <TotalTime>2338</TotalTime>
  <ScaleCrop>false</ScaleCrop>
  <LinksUpToDate>false</LinksUpToDate>
  <CharactersWithSpaces>2556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2024-09-10T03:11:00Z</dcterms:created>
  <dcterms:modified xsi:type="dcterms:W3CDTF">2025-09-28T00:55:38Z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CF69D8EF46B047E7844A4C2E14D68B51_13</vt:lpwstr>
  </property>
  <property fmtid="{D5CDD505-2E9C-101B-9397-08002B2CF9AE}" pid="4" name="KSOTemplateDocerSaveRecord">
    <vt:lpwstr>eyJoZGlkIjoiZDczNDU2OTc4MGNiOThjMWExZjhhZTA2NDliZTdlMDQiLCJ1c2VySWQiOiIzMjg2MTk0MTMifQ==</vt:lpwstr>
  </property>
</Properties>
</file>