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CC199A">
      <w:pPr>
        <w:keepNext w:val="0"/>
        <w:keepLines w:val="0"/>
        <w:pageBreakBefore w:val="0"/>
        <w:widowControl w:val="0"/>
        <w:kinsoku/>
        <w:wordWrap/>
        <w:overflowPunct/>
        <w:topLinePunct w:val="0"/>
        <w:autoSpaceDE w:val="0"/>
        <w:autoSpaceDN w:val="0"/>
        <w:bidi w:val="0"/>
        <w:adjustRightInd w:val="0"/>
        <w:snapToGrid/>
        <w:spacing w:line="560" w:lineRule="exact"/>
        <w:jc w:val="center"/>
        <w:textAlignment w:val="auto"/>
        <w:rPr>
          <w:rFonts w:hint="eastAsia" w:ascii="方正小标宋简体" w:hAnsi="Times New Roman" w:eastAsia="方正小标宋简体" w:cs="Times New Roman"/>
          <w:color w:val="000000"/>
          <w:kern w:val="0"/>
          <w:sz w:val="44"/>
          <w:szCs w:val="44"/>
          <w:highlight w:val="none"/>
          <w:lang w:val="en-US" w:eastAsia="zh-CN"/>
        </w:rPr>
      </w:pPr>
      <w:r>
        <w:rPr>
          <w:rFonts w:hint="eastAsia" w:ascii="方正小标宋简体" w:hAnsi="Times New Roman" w:eastAsia="方正小标宋简体" w:cs="Times New Roman"/>
          <w:color w:val="000000"/>
          <w:kern w:val="0"/>
          <w:sz w:val="44"/>
          <w:szCs w:val="44"/>
          <w:highlight w:val="none"/>
          <w:lang w:val="en-US" w:eastAsia="zh-CN"/>
        </w:rPr>
        <w:t>昆明电力交易中心有限责任公司“区块链国重项目”软件采购（第二次采购）</w:t>
      </w:r>
    </w:p>
    <w:p w14:paraId="644F7CCF">
      <w:pPr>
        <w:keepNext w:val="0"/>
        <w:keepLines w:val="0"/>
        <w:pageBreakBefore w:val="0"/>
        <w:kinsoku/>
        <w:wordWrap/>
        <w:overflowPunct/>
        <w:topLinePunct w:val="0"/>
        <w:bidi w:val="0"/>
        <w:snapToGrid/>
        <w:spacing w:line="460" w:lineRule="exact"/>
        <w:textAlignment w:val="auto"/>
        <w:outlineLvl w:val="0"/>
        <w:rPr>
          <w:rFonts w:hint="eastAsia" w:ascii="仿宋" w:hAnsi="仿宋" w:eastAsia="仿宋"/>
          <w:b/>
          <w:bCs/>
          <w:sz w:val="28"/>
          <w:szCs w:val="28"/>
        </w:rPr>
      </w:pPr>
    </w:p>
    <w:p w14:paraId="36C69834">
      <w:pPr>
        <w:keepNext w:val="0"/>
        <w:keepLines w:val="0"/>
        <w:pageBreakBefore w:val="0"/>
        <w:kinsoku/>
        <w:wordWrap/>
        <w:overflowPunct/>
        <w:topLinePunct w:val="0"/>
        <w:bidi w:val="0"/>
        <w:snapToGrid/>
        <w:spacing w:line="460" w:lineRule="exact"/>
        <w:textAlignment w:val="auto"/>
        <w:outlineLvl w:val="0"/>
        <w:rPr>
          <w:rFonts w:ascii="仿宋" w:hAnsi="仿宋" w:eastAsia="仿宋"/>
          <w:b/>
          <w:bCs/>
          <w:sz w:val="28"/>
          <w:szCs w:val="28"/>
        </w:rPr>
      </w:pPr>
      <w:r>
        <w:rPr>
          <w:rFonts w:hint="eastAsia" w:ascii="仿宋" w:hAnsi="仿宋" w:eastAsia="仿宋"/>
          <w:b/>
          <w:bCs/>
          <w:sz w:val="28"/>
          <w:szCs w:val="28"/>
          <w:lang w:val="en-US" w:eastAsia="zh-CN"/>
        </w:rPr>
        <w:t>1</w:t>
      </w:r>
      <w:r>
        <w:rPr>
          <w:rFonts w:hint="eastAsia" w:ascii="仿宋" w:hAnsi="仿宋" w:eastAsia="仿宋"/>
          <w:b/>
          <w:bCs/>
          <w:sz w:val="28"/>
          <w:szCs w:val="28"/>
        </w:rPr>
        <w:t xml:space="preserve">. </w:t>
      </w:r>
      <w:r>
        <w:rPr>
          <w:rFonts w:ascii="仿宋" w:hAnsi="仿宋" w:eastAsia="仿宋"/>
          <w:b/>
          <w:bCs/>
          <w:sz w:val="28"/>
          <w:szCs w:val="28"/>
        </w:rPr>
        <w:t>项目</w:t>
      </w:r>
      <w:r>
        <w:rPr>
          <w:rFonts w:hint="eastAsia" w:ascii="仿宋" w:hAnsi="仿宋" w:eastAsia="仿宋"/>
          <w:b/>
          <w:bCs/>
          <w:sz w:val="28"/>
          <w:szCs w:val="28"/>
        </w:rPr>
        <w:t>概要</w:t>
      </w:r>
    </w:p>
    <w:p w14:paraId="61CE2447">
      <w:pPr>
        <w:keepNext w:val="0"/>
        <w:keepLines w:val="0"/>
        <w:pageBreakBefore w:val="0"/>
        <w:kinsoku/>
        <w:wordWrap/>
        <w:overflowPunct/>
        <w:topLinePunct w:val="0"/>
        <w:bidi w:val="0"/>
        <w:snapToGrid/>
        <w:spacing w:line="360" w:lineRule="auto"/>
        <w:ind w:firstLine="560" w:firstLineChars="200"/>
        <w:textAlignment w:val="auto"/>
        <w:rPr>
          <w:rFonts w:hint="eastAsia" w:ascii="仿宋" w:hAnsi="仿宋" w:eastAsia="仿宋"/>
          <w:sz w:val="28"/>
          <w:szCs w:val="28"/>
          <w:lang w:val="en-US" w:eastAsia="zh-CN"/>
        </w:rPr>
      </w:pPr>
      <w:r>
        <w:rPr>
          <w:rFonts w:hint="eastAsia" w:ascii="仿宋" w:hAnsi="仿宋" w:eastAsia="仿宋"/>
          <w:sz w:val="28"/>
          <w:szCs w:val="28"/>
          <w:lang w:val="en-US" w:eastAsia="zh-CN"/>
        </w:rPr>
        <w:t>昆明电力交易中心作为国家重点研发计划“基于区块链的可信碳交易与碳中和管理示范应用”项目参与单位，根据项目中参与课题“基于区块链的电碳协同运行与可信交易集成平台与示范应用”实际开展需要，将采购服务器操作系统、终端操作系统及中间件，集成在碳综合服务和区域碳排放可信管控平台，为相关数据的高效计算、软件模块的高效集成及应用提供基础支撑，更好推动项目任务实施。</w:t>
      </w:r>
    </w:p>
    <w:p w14:paraId="3770C23F">
      <w:pPr>
        <w:keepNext w:val="0"/>
        <w:keepLines w:val="0"/>
        <w:pageBreakBefore w:val="0"/>
        <w:kinsoku/>
        <w:wordWrap/>
        <w:overflowPunct/>
        <w:topLinePunct w:val="0"/>
        <w:bidi w:val="0"/>
        <w:snapToGrid/>
        <w:spacing w:line="460" w:lineRule="exact"/>
        <w:textAlignment w:val="auto"/>
        <w:outlineLvl w:val="0"/>
        <w:rPr>
          <w:rFonts w:ascii="仿宋" w:hAnsi="仿宋" w:eastAsia="仿宋"/>
          <w:b/>
          <w:bCs/>
          <w:sz w:val="28"/>
          <w:szCs w:val="28"/>
        </w:rPr>
      </w:pPr>
      <w:r>
        <w:rPr>
          <w:rFonts w:hint="eastAsia" w:ascii="仿宋" w:hAnsi="仿宋" w:eastAsia="仿宋"/>
          <w:b/>
          <w:bCs/>
          <w:sz w:val="28"/>
          <w:szCs w:val="28"/>
          <w:lang w:val="en-US" w:eastAsia="zh-CN"/>
        </w:rPr>
        <w:t>2</w:t>
      </w:r>
      <w:r>
        <w:rPr>
          <w:rFonts w:hint="eastAsia" w:ascii="仿宋" w:hAnsi="仿宋" w:eastAsia="仿宋"/>
          <w:b/>
          <w:bCs/>
          <w:sz w:val="28"/>
          <w:szCs w:val="28"/>
        </w:rPr>
        <w:t xml:space="preserve">. </w:t>
      </w:r>
      <w:r>
        <w:rPr>
          <w:rFonts w:ascii="仿宋" w:hAnsi="仿宋" w:eastAsia="仿宋"/>
          <w:b/>
          <w:bCs/>
          <w:sz w:val="28"/>
          <w:szCs w:val="28"/>
        </w:rPr>
        <w:t>项目</w:t>
      </w:r>
      <w:r>
        <w:rPr>
          <w:rFonts w:hint="eastAsia" w:ascii="仿宋" w:hAnsi="仿宋" w:eastAsia="仿宋"/>
          <w:b/>
          <w:bCs/>
          <w:sz w:val="28"/>
          <w:szCs w:val="28"/>
          <w:lang w:val="en-US" w:eastAsia="zh-CN"/>
        </w:rPr>
        <w:t>内容及</w:t>
      </w:r>
      <w:r>
        <w:rPr>
          <w:rFonts w:hint="eastAsia" w:ascii="仿宋" w:hAnsi="仿宋" w:eastAsia="仿宋"/>
          <w:b/>
          <w:bCs/>
          <w:sz w:val="28"/>
          <w:szCs w:val="28"/>
        </w:rPr>
        <w:t>目标</w:t>
      </w:r>
    </w:p>
    <w:p w14:paraId="60F22969">
      <w:pPr>
        <w:keepNext w:val="0"/>
        <w:keepLines w:val="0"/>
        <w:pageBreakBefore w:val="0"/>
        <w:kinsoku/>
        <w:wordWrap/>
        <w:overflowPunct/>
        <w:topLinePunct w:val="0"/>
        <w:bidi w:val="0"/>
        <w:snapToGrid/>
        <w:spacing w:line="360" w:lineRule="auto"/>
        <w:ind w:firstLine="560" w:firstLineChars="200"/>
        <w:jc w:val="left"/>
        <w:textAlignment w:val="auto"/>
        <w:rPr>
          <w:rFonts w:hint="default" w:ascii="仿宋" w:hAnsi="仿宋" w:eastAsia="仿宋"/>
          <w:sz w:val="28"/>
          <w:szCs w:val="28"/>
          <w:lang w:val="en-US" w:eastAsia="zh-CN"/>
        </w:rPr>
      </w:pPr>
      <w:r>
        <w:rPr>
          <w:rFonts w:hint="eastAsia" w:ascii="仿宋" w:hAnsi="仿宋" w:eastAsia="仿宋"/>
          <w:sz w:val="28"/>
          <w:szCs w:val="28"/>
          <w:highlight w:val="none"/>
        </w:rPr>
        <w:t>采购</w:t>
      </w:r>
      <w:r>
        <w:rPr>
          <w:rFonts w:hint="eastAsia" w:ascii="仿宋" w:hAnsi="仿宋" w:eastAsia="仿宋"/>
          <w:sz w:val="28"/>
          <w:szCs w:val="28"/>
          <w:highlight w:val="none"/>
          <w:lang w:val="en-US" w:eastAsia="zh-CN"/>
        </w:rPr>
        <w:t>1套服务器操作系统、1套桌面操作系统及1套中间件</w:t>
      </w:r>
      <w:r>
        <w:rPr>
          <w:rFonts w:hint="eastAsia" w:ascii="仿宋" w:hAnsi="仿宋" w:eastAsia="仿宋"/>
          <w:sz w:val="28"/>
          <w:szCs w:val="28"/>
          <w:lang w:val="en-US" w:eastAsia="zh-CN"/>
        </w:rPr>
        <w:t>，为相关数据的高效计算、软件模块的高效集成及应用提供基础支撑，所采购软件技术参数需满足本技术标准要求</w:t>
      </w:r>
      <w:r>
        <w:rPr>
          <w:rFonts w:hint="eastAsia" w:ascii="仿宋" w:hAnsi="仿宋" w:eastAsia="仿宋"/>
          <w:sz w:val="28"/>
          <w:szCs w:val="28"/>
        </w:rPr>
        <w:t>。</w:t>
      </w:r>
    </w:p>
    <w:p w14:paraId="05F8B37D">
      <w:pPr>
        <w:keepNext w:val="0"/>
        <w:keepLines w:val="0"/>
        <w:pageBreakBefore w:val="0"/>
        <w:numPr>
          <w:ilvl w:val="0"/>
          <w:numId w:val="2"/>
        </w:numPr>
        <w:kinsoku/>
        <w:wordWrap/>
        <w:overflowPunct/>
        <w:topLinePunct w:val="0"/>
        <w:bidi w:val="0"/>
        <w:snapToGrid/>
        <w:spacing w:line="460" w:lineRule="exact"/>
        <w:textAlignment w:val="auto"/>
        <w:outlineLvl w:val="0"/>
        <w:rPr>
          <w:rFonts w:hint="eastAsia" w:ascii="仿宋" w:hAnsi="仿宋" w:eastAsia="仿宋"/>
          <w:b/>
          <w:bCs/>
          <w:sz w:val="28"/>
          <w:szCs w:val="28"/>
          <w:lang w:val="en-US" w:eastAsia="zh-CN"/>
        </w:rPr>
      </w:pPr>
      <w:r>
        <w:rPr>
          <w:rFonts w:hint="eastAsia" w:ascii="仿宋" w:hAnsi="仿宋" w:eastAsia="仿宋"/>
          <w:b/>
          <w:bCs/>
          <w:sz w:val="28"/>
          <w:szCs w:val="28"/>
          <w:lang w:val="en-US" w:eastAsia="zh-CN"/>
        </w:rPr>
        <w:t>技术要求</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6"/>
        <w:gridCol w:w="5767"/>
        <w:gridCol w:w="760"/>
        <w:gridCol w:w="757"/>
      </w:tblGrid>
      <w:tr w14:paraId="2F9B1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1236" w:type="dxa"/>
            <w:vAlign w:val="center"/>
          </w:tcPr>
          <w:p w14:paraId="20C9060A">
            <w:pPr>
              <w:pStyle w:val="7"/>
              <w:keepNext w:val="0"/>
              <w:keepLines w:val="0"/>
              <w:pageBreakBefore w:val="0"/>
              <w:widowControl/>
              <w:numPr>
                <w:ilvl w:val="0"/>
                <w:numId w:val="0"/>
              </w:numPr>
              <w:kinsoku/>
              <w:wordWrap/>
              <w:overflowPunct/>
              <w:topLinePunct w:val="0"/>
              <w:bidi w:val="0"/>
              <w:snapToGrid/>
              <w:spacing w:line="240" w:lineRule="auto"/>
              <w:jc w:val="center"/>
              <w:textAlignment w:val="auto"/>
              <w:rPr>
                <w:rFonts w:hint="default" w:ascii="仿宋" w:hAnsi="仿宋" w:eastAsia="仿宋" w:cstheme="minorBidi"/>
                <w:b/>
                <w:bCs/>
                <w:kern w:val="2"/>
                <w:sz w:val="24"/>
                <w:szCs w:val="24"/>
                <w:highlight w:val="none"/>
                <w:vertAlign w:val="baseline"/>
                <w:lang w:val="en-US" w:eastAsia="zh-CN" w:bidi="ar-SA"/>
              </w:rPr>
            </w:pPr>
            <w:r>
              <w:rPr>
                <w:rFonts w:hint="eastAsia" w:ascii="仿宋" w:hAnsi="仿宋" w:eastAsia="仿宋" w:cstheme="minorBidi"/>
                <w:b/>
                <w:bCs/>
                <w:kern w:val="2"/>
                <w:sz w:val="24"/>
                <w:szCs w:val="24"/>
                <w:highlight w:val="none"/>
                <w:vertAlign w:val="baseline"/>
                <w:lang w:val="en-US" w:eastAsia="zh-CN" w:bidi="ar-SA"/>
              </w:rPr>
              <w:t>设备名称</w:t>
            </w:r>
          </w:p>
        </w:tc>
        <w:tc>
          <w:tcPr>
            <w:tcW w:w="5767" w:type="dxa"/>
            <w:vAlign w:val="center"/>
          </w:tcPr>
          <w:p w14:paraId="0C02F7E4">
            <w:pPr>
              <w:pStyle w:val="7"/>
              <w:keepNext w:val="0"/>
              <w:keepLines w:val="0"/>
              <w:pageBreakBefore w:val="0"/>
              <w:widowControl/>
              <w:numPr>
                <w:ilvl w:val="0"/>
                <w:numId w:val="0"/>
              </w:numPr>
              <w:kinsoku/>
              <w:wordWrap/>
              <w:overflowPunct/>
              <w:topLinePunct w:val="0"/>
              <w:bidi w:val="0"/>
              <w:snapToGrid/>
              <w:spacing w:line="240" w:lineRule="auto"/>
              <w:jc w:val="center"/>
              <w:textAlignment w:val="auto"/>
              <w:rPr>
                <w:rFonts w:hint="default" w:ascii="仿宋" w:hAnsi="仿宋" w:eastAsia="仿宋" w:cstheme="minorBidi"/>
                <w:b/>
                <w:bCs/>
                <w:kern w:val="2"/>
                <w:sz w:val="24"/>
                <w:szCs w:val="24"/>
                <w:highlight w:val="none"/>
                <w:vertAlign w:val="baseline"/>
                <w:lang w:val="en-US" w:eastAsia="zh-CN" w:bidi="ar-SA"/>
              </w:rPr>
            </w:pPr>
            <w:r>
              <w:rPr>
                <w:rFonts w:hint="eastAsia" w:ascii="仿宋" w:hAnsi="仿宋" w:eastAsia="仿宋" w:cstheme="minorBidi"/>
                <w:b/>
                <w:bCs/>
                <w:kern w:val="2"/>
                <w:sz w:val="24"/>
                <w:szCs w:val="24"/>
                <w:highlight w:val="none"/>
                <w:vertAlign w:val="baseline"/>
                <w:lang w:val="en-US" w:eastAsia="zh-CN" w:bidi="ar-SA"/>
              </w:rPr>
              <w:t>主要技术参数</w:t>
            </w:r>
          </w:p>
        </w:tc>
        <w:tc>
          <w:tcPr>
            <w:tcW w:w="760" w:type="dxa"/>
            <w:vAlign w:val="center"/>
          </w:tcPr>
          <w:p w14:paraId="2CE7DAE4">
            <w:pPr>
              <w:pStyle w:val="7"/>
              <w:keepNext w:val="0"/>
              <w:keepLines w:val="0"/>
              <w:pageBreakBefore w:val="0"/>
              <w:widowControl/>
              <w:numPr>
                <w:ilvl w:val="0"/>
                <w:numId w:val="0"/>
              </w:numPr>
              <w:kinsoku/>
              <w:wordWrap/>
              <w:overflowPunct/>
              <w:topLinePunct w:val="0"/>
              <w:bidi w:val="0"/>
              <w:snapToGrid/>
              <w:spacing w:line="240" w:lineRule="auto"/>
              <w:jc w:val="center"/>
              <w:textAlignment w:val="auto"/>
              <w:rPr>
                <w:rFonts w:hint="default" w:ascii="仿宋" w:hAnsi="仿宋" w:eastAsia="仿宋" w:cstheme="minorBidi"/>
                <w:b/>
                <w:bCs/>
                <w:kern w:val="2"/>
                <w:sz w:val="24"/>
                <w:szCs w:val="24"/>
                <w:vertAlign w:val="baseline"/>
                <w:lang w:val="en-US" w:eastAsia="zh-CN" w:bidi="ar-SA"/>
              </w:rPr>
            </w:pPr>
            <w:r>
              <w:rPr>
                <w:rFonts w:hint="eastAsia" w:ascii="仿宋" w:hAnsi="仿宋" w:eastAsia="仿宋" w:cstheme="minorBidi"/>
                <w:b/>
                <w:bCs/>
                <w:kern w:val="2"/>
                <w:sz w:val="24"/>
                <w:szCs w:val="24"/>
                <w:vertAlign w:val="baseline"/>
                <w:lang w:val="en-US" w:eastAsia="zh-CN" w:bidi="ar-SA"/>
              </w:rPr>
              <w:t>数量</w:t>
            </w:r>
          </w:p>
        </w:tc>
        <w:tc>
          <w:tcPr>
            <w:tcW w:w="757" w:type="dxa"/>
            <w:vAlign w:val="center"/>
          </w:tcPr>
          <w:p w14:paraId="79EE0086">
            <w:pPr>
              <w:pStyle w:val="7"/>
              <w:keepNext w:val="0"/>
              <w:keepLines w:val="0"/>
              <w:pageBreakBefore w:val="0"/>
              <w:widowControl/>
              <w:numPr>
                <w:ilvl w:val="0"/>
                <w:numId w:val="0"/>
              </w:numPr>
              <w:kinsoku/>
              <w:wordWrap/>
              <w:overflowPunct/>
              <w:topLinePunct w:val="0"/>
              <w:bidi w:val="0"/>
              <w:snapToGrid/>
              <w:spacing w:line="240" w:lineRule="auto"/>
              <w:jc w:val="center"/>
              <w:textAlignment w:val="auto"/>
              <w:rPr>
                <w:rFonts w:hint="default" w:ascii="仿宋" w:hAnsi="仿宋" w:eastAsia="仿宋" w:cstheme="minorBidi"/>
                <w:b/>
                <w:bCs/>
                <w:kern w:val="2"/>
                <w:sz w:val="24"/>
                <w:szCs w:val="24"/>
                <w:vertAlign w:val="baseline"/>
                <w:lang w:val="en-US" w:eastAsia="zh-CN" w:bidi="ar-SA"/>
              </w:rPr>
            </w:pPr>
            <w:r>
              <w:rPr>
                <w:rFonts w:hint="eastAsia" w:ascii="仿宋" w:hAnsi="仿宋" w:eastAsia="仿宋" w:cstheme="minorBidi"/>
                <w:b/>
                <w:bCs/>
                <w:kern w:val="2"/>
                <w:sz w:val="24"/>
                <w:szCs w:val="24"/>
                <w:vertAlign w:val="baseline"/>
                <w:lang w:val="en-US" w:eastAsia="zh-CN" w:bidi="ar-SA"/>
              </w:rPr>
              <w:t>单位</w:t>
            </w:r>
          </w:p>
        </w:tc>
      </w:tr>
      <w:tr w14:paraId="4907A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236" w:type="dxa"/>
            <w:vAlign w:val="center"/>
          </w:tcPr>
          <w:p w14:paraId="0B955088">
            <w:pPr>
              <w:pStyle w:val="7"/>
              <w:keepNext w:val="0"/>
              <w:keepLines w:val="0"/>
              <w:pageBreakBefore w:val="0"/>
              <w:widowControl/>
              <w:numPr>
                <w:ilvl w:val="0"/>
                <w:numId w:val="0"/>
              </w:numPr>
              <w:kinsoku/>
              <w:wordWrap/>
              <w:overflowPunct/>
              <w:topLinePunct w:val="0"/>
              <w:bidi w:val="0"/>
              <w:snapToGrid/>
              <w:spacing w:line="360" w:lineRule="auto"/>
              <w:jc w:val="center"/>
              <w:textAlignment w:val="auto"/>
              <w:rPr>
                <w:rFonts w:hint="eastAsia" w:ascii="仿宋" w:hAnsi="仿宋" w:eastAsia="仿宋" w:cstheme="minorBidi"/>
                <w:kern w:val="2"/>
                <w:sz w:val="24"/>
                <w:szCs w:val="24"/>
                <w:vertAlign w:val="baseline"/>
                <w:lang w:val="en-US" w:eastAsia="zh-CN" w:bidi="ar-SA"/>
              </w:rPr>
            </w:pPr>
            <w:r>
              <w:rPr>
                <w:rFonts w:hint="eastAsia" w:ascii="仿宋" w:hAnsi="仿宋" w:eastAsia="仿宋"/>
                <w:sz w:val="24"/>
                <w:szCs w:val="24"/>
                <w:lang w:val="en-US" w:eastAsia="zh-CN"/>
              </w:rPr>
              <w:t>服务器操作系统</w:t>
            </w:r>
          </w:p>
        </w:tc>
        <w:tc>
          <w:tcPr>
            <w:tcW w:w="5767" w:type="dxa"/>
            <w:vAlign w:val="center"/>
          </w:tcPr>
          <w:p w14:paraId="01D09DDA">
            <w:pPr>
              <w:pStyle w:val="2"/>
              <w:numPr>
                <w:ilvl w:val="2"/>
                <w:numId w:val="0"/>
              </w:numPr>
              <w:ind w:leftChars="0"/>
              <w:jc w:val="both"/>
              <w:rPr>
                <w:rFonts w:hint="eastAsia" w:ascii="仿宋" w:hAnsi="仿宋" w:eastAsia="仿宋" w:cs="仿宋"/>
                <w:b w:val="0"/>
                <w:bCs w:val="0"/>
                <w:sz w:val="24"/>
                <w:szCs w:val="22"/>
                <w:lang w:val="en-US" w:eastAsia="zh-CN"/>
              </w:rPr>
            </w:pPr>
            <w:r>
              <w:rPr>
                <w:rFonts w:hint="eastAsia" w:ascii="仿宋" w:hAnsi="仿宋" w:eastAsia="仿宋" w:cs="仿宋"/>
                <w:b w:val="0"/>
                <w:bCs w:val="0"/>
                <w:sz w:val="24"/>
                <w:szCs w:val="22"/>
                <w:lang w:val="en-US" w:eastAsia="zh-CN"/>
              </w:rPr>
              <w:t>(1) 自主可控性：操作系统产品需同时符合中国信息安全测评中心的安全可靠测评结果（2023年第1号和2024年第1号）。</w:t>
            </w:r>
          </w:p>
          <w:p w14:paraId="3750D654">
            <w:pPr>
              <w:pStyle w:val="2"/>
              <w:numPr>
                <w:ilvl w:val="2"/>
                <w:numId w:val="0"/>
              </w:numPr>
              <w:ind w:leftChars="0"/>
              <w:jc w:val="both"/>
              <w:rPr>
                <w:rFonts w:hint="eastAsia" w:ascii="仿宋" w:hAnsi="仿宋" w:eastAsia="仿宋" w:cs="仿宋"/>
                <w:b w:val="0"/>
                <w:bCs w:val="0"/>
                <w:sz w:val="24"/>
                <w:szCs w:val="22"/>
                <w:lang w:val="en-US" w:eastAsia="zh-CN"/>
              </w:rPr>
            </w:pPr>
            <w:r>
              <w:rPr>
                <w:rFonts w:hint="eastAsia" w:ascii="仿宋" w:hAnsi="仿宋" w:eastAsia="仿宋" w:cs="仿宋"/>
                <w:b w:val="0"/>
                <w:bCs w:val="0"/>
                <w:sz w:val="24"/>
                <w:szCs w:val="22"/>
                <w:lang w:val="en-US" w:eastAsia="zh-CN"/>
              </w:rPr>
              <w:t>(2) 架构支持：支持国产主流芯片平台，包括飞腾、鲲鹏920、龙芯、兆芯、海光等。</w:t>
            </w:r>
          </w:p>
          <w:p w14:paraId="0C3B10E3">
            <w:pPr>
              <w:pStyle w:val="2"/>
              <w:numPr>
                <w:ilvl w:val="2"/>
                <w:numId w:val="0"/>
              </w:numPr>
              <w:ind w:leftChars="0"/>
              <w:jc w:val="both"/>
              <w:rPr>
                <w:rFonts w:hint="eastAsia" w:ascii="仿宋" w:hAnsi="仿宋" w:eastAsia="仿宋" w:cs="仿宋"/>
                <w:b w:val="0"/>
                <w:bCs w:val="0"/>
                <w:sz w:val="24"/>
                <w:szCs w:val="22"/>
                <w:lang w:val="en-US" w:eastAsia="zh-CN"/>
              </w:rPr>
            </w:pPr>
            <w:r>
              <w:rPr>
                <w:rFonts w:hint="eastAsia" w:ascii="仿宋" w:hAnsi="仿宋" w:eastAsia="仿宋" w:cs="仿宋"/>
                <w:b w:val="0"/>
                <w:bCs w:val="0"/>
                <w:sz w:val="24"/>
                <w:szCs w:val="22"/>
                <w:lang w:val="en-US" w:eastAsia="zh-CN"/>
              </w:rPr>
              <w:t>(3) 供应链安全：操作系统产品通过软件供应链安全能力认证，符合CCID-JF-07020-2023《软件供应链安全能力测评规范》且能力等级达到2级及以上。</w:t>
            </w:r>
          </w:p>
          <w:p w14:paraId="26524B67">
            <w:pPr>
              <w:pStyle w:val="2"/>
              <w:numPr>
                <w:ilvl w:val="2"/>
                <w:numId w:val="0"/>
              </w:numPr>
              <w:ind w:leftChars="0"/>
              <w:jc w:val="both"/>
              <w:rPr>
                <w:rFonts w:hint="eastAsia" w:ascii="仿宋" w:hAnsi="仿宋" w:eastAsia="仿宋" w:cs="仿宋"/>
                <w:b w:val="0"/>
                <w:bCs w:val="0"/>
                <w:sz w:val="24"/>
                <w:szCs w:val="22"/>
                <w:lang w:val="en-US" w:eastAsia="zh-CN"/>
              </w:rPr>
            </w:pPr>
            <w:r>
              <w:rPr>
                <w:rFonts w:hint="eastAsia" w:ascii="仿宋" w:hAnsi="仿宋" w:eastAsia="仿宋" w:cs="仿宋"/>
                <w:b w:val="0"/>
                <w:bCs w:val="0"/>
                <w:sz w:val="24"/>
                <w:szCs w:val="22"/>
                <w:lang w:val="en-US" w:eastAsia="zh-CN"/>
              </w:rPr>
              <w:t>（4）系统功能：具备文件管理、产品管理、日志管理、服务管理、进程和监控管理，网络管理、资源管理、软件包管理、硬盘管理等基本功能，提供语言支持工具、文件共享服务工具、集成开发平台等常用工具。</w:t>
            </w:r>
          </w:p>
          <w:p w14:paraId="11B4C21C">
            <w:pPr>
              <w:pStyle w:val="2"/>
              <w:numPr>
                <w:ilvl w:val="2"/>
                <w:numId w:val="0"/>
              </w:numPr>
              <w:ind w:leftChars="0"/>
              <w:jc w:val="both"/>
              <w:rPr>
                <w:rFonts w:hint="eastAsia" w:ascii="仿宋" w:hAnsi="仿宋" w:eastAsia="仿宋" w:cs="仿宋"/>
                <w:b w:val="0"/>
                <w:bCs w:val="0"/>
                <w:sz w:val="24"/>
                <w:szCs w:val="22"/>
                <w:lang w:val="en-US" w:eastAsia="zh-CN"/>
              </w:rPr>
            </w:pPr>
            <w:r>
              <w:rPr>
                <w:rFonts w:hint="eastAsia" w:ascii="仿宋" w:hAnsi="仿宋" w:eastAsia="仿宋" w:cs="仿宋"/>
                <w:b w:val="0"/>
                <w:bCs w:val="0"/>
                <w:sz w:val="24"/>
                <w:szCs w:val="22"/>
                <w:lang w:val="en-US" w:eastAsia="zh-CN"/>
              </w:rPr>
              <w:t>（5）运行可靠稳定：所投产品需具备高可靠性，通过“CGL5.0”认证标准。</w:t>
            </w:r>
          </w:p>
          <w:p w14:paraId="55D72197">
            <w:pPr>
              <w:pStyle w:val="2"/>
              <w:numPr>
                <w:ilvl w:val="2"/>
                <w:numId w:val="0"/>
              </w:numPr>
              <w:ind w:leftChars="0"/>
              <w:jc w:val="both"/>
              <w:rPr>
                <w:rFonts w:hint="eastAsia" w:ascii="仿宋" w:hAnsi="仿宋" w:eastAsia="仿宋" w:cs="仿宋"/>
                <w:b w:val="0"/>
                <w:bCs w:val="0"/>
                <w:sz w:val="24"/>
                <w:szCs w:val="22"/>
                <w:lang w:val="en-US" w:eastAsia="zh-CN"/>
              </w:rPr>
            </w:pPr>
            <w:r>
              <w:rPr>
                <w:rFonts w:hint="eastAsia" w:ascii="仿宋" w:hAnsi="仿宋" w:eastAsia="仿宋" w:cs="仿宋"/>
                <w:b w:val="0"/>
                <w:bCs w:val="0"/>
                <w:sz w:val="24"/>
                <w:szCs w:val="22"/>
                <w:lang w:val="en-US" w:eastAsia="zh-CN"/>
              </w:rPr>
              <w:t>（6）文件系统：默认使用XFS，支持EXT3、EXT4、GFS2 等。</w:t>
            </w:r>
          </w:p>
          <w:p w14:paraId="12E5B611">
            <w:pPr>
              <w:pStyle w:val="2"/>
              <w:numPr>
                <w:ilvl w:val="2"/>
                <w:numId w:val="0"/>
              </w:numPr>
              <w:ind w:leftChars="0"/>
              <w:jc w:val="both"/>
              <w:rPr>
                <w:rFonts w:hint="eastAsia" w:ascii="仿宋" w:hAnsi="仿宋" w:eastAsia="仿宋" w:cs="仿宋"/>
                <w:b w:val="0"/>
                <w:bCs w:val="0"/>
                <w:sz w:val="24"/>
                <w:szCs w:val="22"/>
                <w:lang w:val="en-US" w:eastAsia="zh-CN"/>
              </w:rPr>
            </w:pPr>
            <w:r>
              <w:rPr>
                <w:rFonts w:hint="eastAsia" w:ascii="仿宋" w:hAnsi="仿宋" w:eastAsia="仿宋" w:cs="仿宋"/>
                <w:b w:val="0"/>
                <w:bCs w:val="0"/>
                <w:sz w:val="24"/>
                <w:szCs w:val="22"/>
                <w:lang w:val="en-US" w:eastAsia="zh-CN"/>
              </w:rPr>
              <w:t>（7）常用应用支持：默认提供apache http、ftp、DNS、DHCP、MariaDB、PostgreSQL、NFS、Samba、LDAP 等应用。</w:t>
            </w:r>
          </w:p>
          <w:p w14:paraId="69C2033A">
            <w:pPr>
              <w:pStyle w:val="2"/>
              <w:numPr>
                <w:ilvl w:val="2"/>
                <w:numId w:val="0"/>
              </w:numPr>
              <w:ind w:leftChars="0"/>
              <w:jc w:val="both"/>
              <w:rPr>
                <w:rFonts w:hint="eastAsia" w:ascii="仿宋" w:hAnsi="仿宋" w:eastAsia="仿宋" w:cs="仿宋"/>
                <w:b w:val="0"/>
                <w:bCs w:val="0"/>
                <w:sz w:val="24"/>
                <w:szCs w:val="22"/>
                <w:lang w:val="en-US" w:eastAsia="zh-CN"/>
              </w:rPr>
            </w:pPr>
            <w:r>
              <w:rPr>
                <w:rFonts w:hint="eastAsia" w:ascii="仿宋" w:hAnsi="仿宋" w:eastAsia="仿宋" w:cs="仿宋"/>
                <w:b w:val="0"/>
                <w:bCs w:val="0"/>
                <w:sz w:val="24"/>
                <w:szCs w:val="22"/>
                <w:lang w:val="en-US" w:eastAsia="zh-CN"/>
              </w:rPr>
              <w:t>（8）网络协议支持：支持HTTP、VNC、TCP、UDP、IP、FTP、DNS、NFS、NTP、DHCP、SSH等多种网络协议。</w:t>
            </w:r>
          </w:p>
          <w:p w14:paraId="6C12AF05">
            <w:pPr>
              <w:pStyle w:val="2"/>
              <w:numPr>
                <w:ilvl w:val="2"/>
                <w:numId w:val="0"/>
              </w:numPr>
              <w:ind w:leftChars="0"/>
              <w:jc w:val="both"/>
              <w:rPr>
                <w:rFonts w:hint="eastAsia" w:ascii="仿宋" w:hAnsi="仿宋" w:eastAsia="仿宋" w:cs="仿宋"/>
                <w:b w:val="0"/>
                <w:bCs w:val="0"/>
                <w:sz w:val="24"/>
                <w:szCs w:val="22"/>
                <w:lang w:val="en-US" w:eastAsia="zh-CN"/>
              </w:rPr>
            </w:pPr>
            <w:r>
              <w:rPr>
                <w:rFonts w:hint="eastAsia" w:ascii="仿宋" w:hAnsi="仿宋" w:eastAsia="仿宋" w:cs="仿宋"/>
                <w:b w:val="0"/>
                <w:bCs w:val="0"/>
                <w:sz w:val="24"/>
                <w:szCs w:val="22"/>
                <w:lang w:val="en-US" w:eastAsia="zh-CN"/>
              </w:rPr>
              <w:t>（9）系统安全性：系统自带内核安全访问统一控制的安全框架，支持多种强制访问控制联合加载,包括SELINUX、APPARMOR 等。</w:t>
            </w:r>
          </w:p>
          <w:p w14:paraId="7C5FC616">
            <w:pPr>
              <w:pStyle w:val="2"/>
              <w:numPr>
                <w:ilvl w:val="2"/>
                <w:numId w:val="0"/>
              </w:numPr>
              <w:ind w:leftChars="0"/>
              <w:jc w:val="both"/>
              <w:rPr>
                <w:rFonts w:hint="eastAsia" w:ascii="仿宋" w:hAnsi="仿宋" w:eastAsia="仿宋" w:cs="仿宋"/>
                <w:b w:val="0"/>
                <w:bCs w:val="0"/>
                <w:sz w:val="24"/>
                <w:szCs w:val="22"/>
                <w:lang w:val="en-US" w:eastAsia="zh-CN"/>
              </w:rPr>
            </w:pPr>
            <w:r>
              <w:rPr>
                <w:rFonts w:hint="eastAsia" w:ascii="仿宋" w:hAnsi="仿宋" w:eastAsia="仿宋" w:cs="仿宋"/>
                <w:b w:val="0"/>
                <w:bCs w:val="0"/>
                <w:sz w:val="24"/>
                <w:szCs w:val="22"/>
                <w:lang w:val="en-US" w:eastAsia="zh-CN"/>
              </w:rPr>
              <w:t>（10）备份</w:t>
            </w:r>
            <w:bookmarkStart w:id="0" w:name="_GoBack"/>
            <w:bookmarkEnd w:id="0"/>
            <w:r>
              <w:rPr>
                <w:rFonts w:hint="eastAsia" w:ascii="仿宋" w:hAnsi="仿宋" w:eastAsia="仿宋" w:cs="仿宋"/>
                <w:b w:val="0"/>
                <w:bCs w:val="0"/>
                <w:sz w:val="24"/>
                <w:szCs w:val="22"/>
                <w:lang w:val="en-US" w:eastAsia="zh-CN"/>
              </w:rPr>
              <w:t>还原功能：系统默认提供备份还原工具，支持全盘系统备份、系统增量备份、还原系统等功能。</w:t>
            </w:r>
          </w:p>
          <w:p w14:paraId="596C9773">
            <w:pPr>
              <w:pStyle w:val="2"/>
              <w:numPr>
                <w:ilvl w:val="2"/>
                <w:numId w:val="0"/>
              </w:numPr>
              <w:ind w:leftChars="0"/>
              <w:jc w:val="both"/>
              <w:rPr>
                <w:rFonts w:hint="eastAsia" w:ascii="仿宋" w:hAnsi="仿宋" w:eastAsia="仿宋" w:cs="仿宋"/>
                <w:b w:val="0"/>
                <w:bCs w:val="0"/>
                <w:sz w:val="24"/>
                <w:szCs w:val="22"/>
                <w:lang w:val="en-US" w:eastAsia="zh-CN"/>
              </w:rPr>
            </w:pPr>
            <w:r>
              <w:rPr>
                <w:rFonts w:hint="eastAsia" w:ascii="仿宋" w:hAnsi="仿宋" w:eastAsia="仿宋" w:cs="仿宋"/>
                <w:b w:val="0"/>
                <w:bCs w:val="0"/>
                <w:sz w:val="24"/>
                <w:szCs w:val="22"/>
                <w:lang w:val="en-US" w:eastAsia="zh-CN"/>
              </w:rPr>
              <w:t>（11）虚拟化支持：持KVM、Docker、LXC等虚拟化，内置单机虚拟化管理程序。</w:t>
            </w:r>
          </w:p>
          <w:p w14:paraId="1C2D4BD4">
            <w:pPr>
              <w:pStyle w:val="2"/>
              <w:numPr>
                <w:ilvl w:val="2"/>
                <w:numId w:val="0"/>
              </w:numPr>
              <w:ind w:leftChars="0"/>
              <w:jc w:val="both"/>
              <w:rPr>
                <w:rFonts w:hint="eastAsia" w:ascii="仿宋" w:hAnsi="仿宋" w:eastAsia="仿宋" w:cs="仿宋"/>
                <w:b w:val="0"/>
                <w:bCs w:val="0"/>
                <w:sz w:val="24"/>
                <w:szCs w:val="22"/>
                <w:lang w:val="en-US" w:eastAsia="zh-CN"/>
              </w:rPr>
            </w:pPr>
            <w:r>
              <w:rPr>
                <w:rFonts w:hint="eastAsia" w:ascii="仿宋" w:hAnsi="仿宋" w:eastAsia="仿宋" w:cs="仿宋"/>
                <w:b w:val="0"/>
                <w:bCs w:val="0"/>
                <w:sz w:val="24"/>
                <w:szCs w:val="22"/>
                <w:lang w:val="en-US" w:eastAsia="zh-CN"/>
              </w:rPr>
              <w:t>（12）可管理性：提供图形化的远程桌面查看工具，支持SSH、SPICE、VNC、RDP,协议支持按需启动守护进程。</w:t>
            </w:r>
          </w:p>
          <w:p w14:paraId="25BE04B8">
            <w:pPr>
              <w:pStyle w:val="2"/>
              <w:numPr>
                <w:ilvl w:val="2"/>
                <w:numId w:val="0"/>
              </w:numPr>
              <w:ind w:leftChars="0"/>
              <w:jc w:val="both"/>
              <w:rPr>
                <w:rFonts w:hint="eastAsia" w:ascii="仿宋" w:hAnsi="仿宋" w:eastAsia="仿宋" w:cs="仿宋"/>
                <w:b w:val="0"/>
                <w:bCs w:val="0"/>
                <w:sz w:val="24"/>
                <w:szCs w:val="22"/>
                <w:lang w:val="en-US" w:eastAsia="zh-CN"/>
              </w:rPr>
            </w:pPr>
            <w:r>
              <w:rPr>
                <w:rFonts w:hint="eastAsia" w:ascii="仿宋" w:hAnsi="仿宋" w:eastAsia="仿宋" w:cs="仿宋"/>
                <w:b w:val="0"/>
                <w:bCs w:val="0"/>
                <w:sz w:val="24"/>
                <w:szCs w:val="22"/>
                <w:lang w:val="en-US" w:eastAsia="zh-CN"/>
              </w:rPr>
              <w:t>（13）堡垒机适兼容性</w:t>
            </w:r>
            <w:r>
              <w:rPr>
                <w:rFonts w:hint="eastAsia" w:ascii="仿宋" w:hAnsi="仿宋" w:eastAsia="仿宋" w:cs="仿宋"/>
                <w:b w:val="0"/>
                <w:bCs w:val="0"/>
                <w:sz w:val="24"/>
                <w:szCs w:val="22"/>
                <w:lang w:val="en-US" w:eastAsia="zh-CN"/>
              </w:rPr>
              <w:tab/>
            </w:r>
            <w:r>
              <w:rPr>
                <w:rFonts w:hint="eastAsia" w:ascii="仿宋" w:hAnsi="仿宋" w:eastAsia="仿宋" w:cs="仿宋"/>
                <w:b w:val="0"/>
                <w:bCs w:val="0"/>
                <w:sz w:val="24"/>
                <w:szCs w:val="22"/>
                <w:lang w:val="en-US" w:eastAsia="zh-CN"/>
              </w:rPr>
              <w:t>兼容国内主流堡垒机品牌，如齐治、奇安信等。</w:t>
            </w:r>
          </w:p>
          <w:p w14:paraId="781DF056">
            <w:pPr>
              <w:pStyle w:val="2"/>
              <w:numPr>
                <w:ilvl w:val="2"/>
                <w:numId w:val="0"/>
              </w:numPr>
              <w:ind w:leftChars="0"/>
              <w:jc w:val="both"/>
              <w:rPr>
                <w:rFonts w:hint="eastAsia" w:ascii="仿宋" w:hAnsi="仿宋" w:eastAsia="仿宋" w:cs="仿宋"/>
                <w:b w:val="0"/>
                <w:bCs w:val="0"/>
                <w:sz w:val="24"/>
                <w:szCs w:val="22"/>
                <w:lang w:val="en-US" w:eastAsia="zh-CN"/>
              </w:rPr>
            </w:pPr>
            <w:r>
              <w:rPr>
                <w:rFonts w:hint="eastAsia" w:ascii="仿宋" w:hAnsi="仿宋" w:eastAsia="仿宋" w:cs="仿宋"/>
                <w:b w:val="0"/>
                <w:bCs w:val="0"/>
                <w:sz w:val="24"/>
                <w:szCs w:val="22"/>
                <w:lang w:val="en-US" w:eastAsia="zh-CN"/>
              </w:rPr>
              <w:t>（14）可信安全：产品在 Linux 内核基础上，采用“改进/增强”的方式设计开发，通过使用产品可信根，实现产品可信存储、可信路径、可信通道、可信度量、可信恢复等。</w:t>
            </w:r>
          </w:p>
          <w:p w14:paraId="6399A3AC">
            <w:pPr>
              <w:pStyle w:val="2"/>
              <w:numPr>
                <w:ilvl w:val="2"/>
                <w:numId w:val="0"/>
              </w:numPr>
              <w:ind w:leftChars="0"/>
              <w:jc w:val="both"/>
              <w:rPr>
                <w:rFonts w:hint="eastAsia" w:ascii="仿宋" w:hAnsi="仿宋" w:eastAsia="仿宋" w:cs="仿宋"/>
                <w:b w:val="0"/>
                <w:bCs w:val="0"/>
                <w:sz w:val="24"/>
                <w:szCs w:val="22"/>
                <w:lang w:val="en-US" w:eastAsia="zh-CN"/>
              </w:rPr>
            </w:pPr>
            <w:r>
              <w:rPr>
                <w:rFonts w:hint="eastAsia" w:ascii="仿宋" w:hAnsi="仿宋" w:eastAsia="仿宋" w:cs="仿宋"/>
                <w:b w:val="0"/>
                <w:bCs w:val="0"/>
                <w:sz w:val="24"/>
                <w:szCs w:val="22"/>
                <w:lang w:val="en-US" w:eastAsia="zh-CN"/>
              </w:rPr>
              <w:t>（15）应用性能监控工具：提供自研应用性能监控工具，支持监控应用性能指标、系统资源（CPU、内存）、进程（进程状态、进程数和僵尸进程）、网络（网卡带宽、网卡使用率）、磁盘（磁盘分区使用、inode使用和磁盘时延）。支持应用和系统监控联动功能，当监控到应用性能指标异常时，同步实时获取系统监控信息，综合两部分内容，形成最终监控结果，帮助用户判断及分析应用性能问题。</w:t>
            </w:r>
          </w:p>
          <w:p w14:paraId="2E8917C9">
            <w:pPr>
              <w:pStyle w:val="2"/>
              <w:numPr>
                <w:ilvl w:val="2"/>
                <w:numId w:val="0"/>
              </w:numPr>
              <w:ind w:leftChars="0"/>
              <w:jc w:val="both"/>
              <w:rPr>
                <w:rFonts w:hint="eastAsia" w:ascii="仿宋" w:hAnsi="仿宋" w:eastAsia="仿宋" w:cs="仿宋"/>
                <w:b w:val="0"/>
                <w:bCs w:val="0"/>
                <w:sz w:val="24"/>
                <w:szCs w:val="22"/>
                <w:lang w:val="en-US" w:eastAsia="zh-CN"/>
              </w:rPr>
            </w:pPr>
            <w:r>
              <w:rPr>
                <w:rFonts w:hint="eastAsia" w:ascii="仿宋" w:hAnsi="仿宋" w:eastAsia="仿宋" w:cs="仿宋"/>
                <w:b w:val="0"/>
                <w:bCs w:val="0"/>
                <w:sz w:val="24"/>
                <w:szCs w:val="22"/>
                <w:lang w:val="en-US" w:eastAsia="zh-CN"/>
              </w:rPr>
              <w:t>（16）热补丁：实现内核补丁动态升级，最大程度上减少系统宕机时间，增加系统的可用性和业务连续性；</w:t>
            </w:r>
          </w:p>
          <w:p w14:paraId="118D4CA7">
            <w:pPr>
              <w:pStyle w:val="2"/>
              <w:numPr>
                <w:ilvl w:val="2"/>
                <w:numId w:val="0"/>
              </w:numPr>
              <w:ind w:leftChars="0"/>
              <w:jc w:val="both"/>
              <w:rPr>
                <w:rFonts w:hint="eastAsia" w:ascii="仿宋" w:hAnsi="仿宋" w:eastAsia="仿宋" w:cs="仿宋"/>
                <w:b w:val="0"/>
                <w:bCs w:val="0"/>
                <w:sz w:val="24"/>
                <w:szCs w:val="22"/>
                <w:lang w:val="en-US" w:eastAsia="zh-CN"/>
              </w:rPr>
            </w:pPr>
            <w:r>
              <w:rPr>
                <w:rFonts w:hint="eastAsia" w:ascii="仿宋" w:hAnsi="仿宋" w:eastAsia="仿宋" w:cs="仿宋"/>
                <w:b w:val="0"/>
                <w:bCs w:val="0"/>
                <w:sz w:val="24"/>
                <w:szCs w:val="22"/>
                <w:lang w:val="en-US" w:eastAsia="zh-CN"/>
              </w:rPr>
              <w:t>提供内核热补丁安全漏洞修复仓库 ，内核版本发布后一年内持续提供CVE&gt;=7的安全漏洞修复热补丁；提供热补丁管理工具，支持增量修复及回滚机制； 支持热补丁合法性和一致性校验；支持热补丁查询、安装、移除等操作；支持基于堆栈的热补丁操作顺序管控，扩展误操作提示，保障操作管理安全；支持安装和激活阶段的热补丁和内核模块的依赖关系检查，通过补丁精准化、最小化安装，使得用户运行环境变更最小。</w:t>
            </w:r>
          </w:p>
          <w:p w14:paraId="76B67FF4">
            <w:pPr>
              <w:pStyle w:val="2"/>
              <w:numPr>
                <w:ilvl w:val="2"/>
                <w:numId w:val="0"/>
              </w:numPr>
              <w:ind w:leftChars="0"/>
              <w:jc w:val="both"/>
              <w:rPr>
                <w:rFonts w:hint="eastAsia" w:ascii="仿宋" w:hAnsi="仿宋" w:eastAsia="仿宋" w:cs="仿宋"/>
                <w:b w:val="0"/>
                <w:bCs w:val="0"/>
                <w:sz w:val="24"/>
                <w:szCs w:val="22"/>
                <w:lang w:val="en-US" w:eastAsia="zh-CN"/>
              </w:rPr>
            </w:pPr>
            <w:r>
              <w:rPr>
                <w:rFonts w:hint="eastAsia" w:ascii="仿宋" w:hAnsi="仿宋" w:eastAsia="仿宋" w:cs="仿宋"/>
                <w:b w:val="0"/>
                <w:bCs w:val="0"/>
                <w:sz w:val="24"/>
                <w:szCs w:val="22"/>
                <w:lang w:val="en-US" w:eastAsia="zh-CN"/>
              </w:rPr>
              <w:t>（17）兼容性</w:t>
            </w:r>
            <w:r>
              <w:rPr>
                <w:rFonts w:hint="eastAsia" w:ascii="仿宋" w:hAnsi="仿宋" w:eastAsia="仿宋" w:cs="仿宋"/>
                <w:b w:val="0"/>
                <w:bCs w:val="0"/>
                <w:sz w:val="24"/>
                <w:szCs w:val="22"/>
                <w:lang w:val="en-US" w:eastAsia="zh-CN"/>
              </w:rPr>
              <w:tab/>
            </w:r>
            <w:r>
              <w:rPr>
                <w:rFonts w:hint="eastAsia" w:ascii="仿宋" w:hAnsi="仿宋" w:eastAsia="仿宋" w:cs="仿宋"/>
                <w:b w:val="0"/>
                <w:bCs w:val="0"/>
                <w:sz w:val="24"/>
                <w:szCs w:val="22"/>
                <w:lang w:val="en-US" w:eastAsia="zh-CN"/>
              </w:rPr>
              <w:t>系统支持软件安装包转换，便于多种环境运行。</w:t>
            </w:r>
          </w:p>
          <w:p w14:paraId="59E00309">
            <w:pPr>
              <w:pStyle w:val="2"/>
              <w:numPr>
                <w:ilvl w:val="2"/>
                <w:numId w:val="0"/>
              </w:numPr>
              <w:ind w:leftChars="0"/>
              <w:jc w:val="both"/>
              <w:rPr>
                <w:rFonts w:hint="default"/>
                <w:sz w:val="24"/>
                <w:szCs w:val="22"/>
                <w:lang w:val="en-US" w:eastAsia="zh-CN"/>
              </w:rPr>
            </w:pPr>
            <w:r>
              <w:rPr>
                <w:rFonts w:hint="eastAsia" w:ascii="仿宋" w:hAnsi="仿宋" w:eastAsia="仿宋" w:cs="仿宋"/>
                <w:b w:val="0"/>
                <w:bCs w:val="0"/>
                <w:sz w:val="24"/>
                <w:szCs w:val="22"/>
                <w:lang w:val="en-US" w:eastAsia="zh-CN"/>
              </w:rPr>
              <w:t>（18）操作方便：提供 UKUI 多模融合轻量级图形化人机交互环境，具有良好的用户操作体验。</w:t>
            </w:r>
          </w:p>
        </w:tc>
        <w:tc>
          <w:tcPr>
            <w:tcW w:w="760" w:type="dxa"/>
            <w:vAlign w:val="center"/>
          </w:tcPr>
          <w:p w14:paraId="0EA2B493">
            <w:pPr>
              <w:pStyle w:val="7"/>
              <w:keepNext w:val="0"/>
              <w:keepLines w:val="0"/>
              <w:pageBreakBefore w:val="0"/>
              <w:widowControl/>
              <w:numPr>
                <w:ilvl w:val="0"/>
                <w:numId w:val="0"/>
              </w:numPr>
              <w:kinsoku/>
              <w:wordWrap/>
              <w:overflowPunct/>
              <w:topLinePunct w:val="0"/>
              <w:bidi w:val="0"/>
              <w:snapToGrid/>
              <w:spacing w:line="360" w:lineRule="auto"/>
              <w:jc w:val="center"/>
              <w:textAlignment w:val="auto"/>
              <w:rPr>
                <w:rFonts w:hint="default" w:ascii="仿宋" w:hAnsi="仿宋" w:eastAsia="仿宋" w:cstheme="minorBidi"/>
                <w:kern w:val="2"/>
                <w:sz w:val="24"/>
                <w:szCs w:val="24"/>
                <w:vertAlign w:val="baseline"/>
                <w:lang w:val="en-US" w:eastAsia="zh-CN" w:bidi="ar-SA"/>
              </w:rPr>
            </w:pPr>
            <w:r>
              <w:rPr>
                <w:rFonts w:hint="eastAsia" w:ascii="仿宋" w:hAnsi="仿宋" w:eastAsia="仿宋" w:cstheme="minorBidi"/>
                <w:kern w:val="2"/>
                <w:sz w:val="24"/>
                <w:szCs w:val="24"/>
                <w:vertAlign w:val="baseline"/>
                <w:lang w:val="en-US" w:eastAsia="zh-CN" w:bidi="ar-SA"/>
              </w:rPr>
              <w:t>1</w:t>
            </w:r>
          </w:p>
        </w:tc>
        <w:tc>
          <w:tcPr>
            <w:tcW w:w="757" w:type="dxa"/>
            <w:vAlign w:val="center"/>
          </w:tcPr>
          <w:p w14:paraId="5CC40B77">
            <w:pPr>
              <w:pStyle w:val="7"/>
              <w:keepNext w:val="0"/>
              <w:keepLines w:val="0"/>
              <w:pageBreakBefore w:val="0"/>
              <w:widowControl/>
              <w:numPr>
                <w:ilvl w:val="0"/>
                <w:numId w:val="0"/>
              </w:numPr>
              <w:kinsoku/>
              <w:wordWrap/>
              <w:overflowPunct/>
              <w:topLinePunct w:val="0"/>
              <w:bidi w:val="0"/>
              <w:snapToGrid/>
              <w:spacing w:line="360" w:lineRule="auto"/>
              <w:jc w:val="center"/>
              <w:textAlignment w:val="auto"/>
              <w:rPr>
                <w:rFonts w:hint="default" w:ascii="仿宋" w:hAnsi="仿宋" w:eastAsia="仿宋" w:cstheme="minorBidi"/>
                <w:kern w:val="2"/>
                <w:sz w:val="24"/>
                <w:szCs w:val="24"/>
                <w:vertAlign w:val="baseline"/>
                <w:lang w:val="en-US" w:eastAsia="zh-CN" w:bidi="ar-SA"/>
              </w:rPr>
            </w:pPr>
            <w:r>
              <w:rPr>
                <w:rFonts w:hint="eastAsia" w:ascii="仿宋" w:hAnsi="仿宋" w:eastAsia="仿宋" w:cstheme="minorBidi"/>
                <w:kern w:val="2"/>
                <w:sz w:val="24"/>
                <w:szCs w:val="24"/>
                <w:vertAlign w:val="baseline"/>
                <w:lang w:val="en-US" w:eastAsia="zh-CN" w:bidi="ar-SA"/>
              </w:rPr>
              <w:t>套</w:t>
            </w:r>
          </w:p>
        </w:tc>
      </w:tr>
      <w:tr w14:paraId="0FA15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2" w:hRule="atLeast"/>
        </w:trPr>
        <w:tc>
          <w:tcPr>
            <w:tcW w:w="1236" w:type="dxa"/>
            <w:vAlign w:val="center"/>
          </w:tcPr>
          <w:p w14:paraId="649DD7DF">
            <w:pPr>
              <w:pStyle w:val="7"/>
              <w:keepNext w:val="0"/>
              <w:keepLines w:val="0"/>
              <w:pageBreakBefore w:val="0"/>
              <w:widowControl/>
              <w:numPr>
                <w:ilvl w:val="0"/>
                <w:numId w:val="0"/>
              </w:numPr>
              <w:kinsoku/>
              <w:wordWrap/>
              <w:overflowPunct/>
              <w:topLinePunct w:val="0"/>
              <w:bidi w:val="0"/>
              <w:snapToGrid/>
              <w:spacing w:line="360" w:lineRule="auto"/>
              <w:jc w:val="center"/>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桌面操作系统</w:t>
            </w:r>
          </w:p>
        </w:tc>
        <w:tc>
          <w:tcPr>
            <w:tcW w:w="5767" w:type="dxa"/>
            <w:vAlign w:val="center"/>
          </w:tcPr>
          <w:p w14:paraId="781687A0">
            <w:pPr>
              <w:pStyle w:val="2"/>
              <w:numPr>
                <w:ilvl w:val="2"/>
                <w:numId w:val="0"/>
              </w:numPr>
              <w:ind w:leftChars="0"/>
              <w:jc w:val="both"/>
              <w:rPr>
                <w:rFonts w:hint="eastAsia" w:ascii="仿宋" w:hAnsi="仿宋" w:eastAsia="仿宋" w:cs="仿宋"/>
                <w:b w:val="0"/>
                <w:bCs w:val="0"/>
                <w:sz w:val="24"/>
                <w:szCs w:val="22"/>
                <w:lang w:val="en-US" w:eastAsia="zh-CN"/>
              </w:rPr>
            </w:pPr>
            <w:r>
              <w:rPr>
                <w:rFonts w:hint="eastAsia" w:ascii="仿宋" w:hAnsi="仿宋" w:eastAsia="仿宋" w:cs="仿宋"/>
                <w:b w:val="0"/>
                <w:bCs w:val="0"/>
                <w:sz w:val="24"/>
                <w:szCs w:val="22"/>
                <w:lang w:val="en-US" w:eastAsia="zh-CN"/>
              </w:rPr>
              <w:t>(1) 标准符合性：通过中国信息安全测评中心或国家保密科技测评中心安全可靠测评。</w:t>
            </w:r>
          </w:p>
          <w:p w14:paraId="5CEFFFCF">
            <w:pPr>
              <w:pStyle w:val="2"/>
              <w:numPr>
                <w:ilvl w:val="2"/>
                <w:numId w:val="0"/>
              </w:numPr>
              <w:ind w:leftChars="0"/>
              <w:jc w:val="both"/>
              <w:rPr>
                <w:rFonts w:hint="eastAsia" w:ascii="仿宋" w:hAnsi="仿宋" w:eastAsia="仿宋" w:cs="仿宋"/>
                <w:b w:val="0"/>
                <w:bCs w:val="0"/>
                <w:sz w:val="24"/>
                <w:szCs w:val="22"/>
                <w:lang w:val="en-US" w:eastAsia="zh-CN"/>
              </w:rPr>
            </w:pPr>
            <w:r>
              <w:rPr>
                <w:rFonts w:hint="eastAsia" w:ascii="仿宋" w:hAnsi="仿宋" w:eastAsia="仿宋" w:cs="仿宋"/>
                <w:b w:val="0"/>
                <w:bCs w:val="0"/>
                <w:sz w:val="24"/>
                <w:szCs w:val="22"/>
                <w:lang w:val="en-US" w:eastAsia="zh-CN"/>
              </w:rPr>
              <w:t>（2）架构支持：同源兼容ARM、LoongArch、MIPS、x86等平台架构的CPU。</w:t>
            </w:r>
          </w:p>
          <w:p w14:paraId="62EDF758">
            <w:pPr>
              <w:pStyle w:val="2"/>
              <w:numPr>
                <w:ilvl w:val="2"/>
                <w:numId w:val="0"/>
              </w:numPr>
              <w:ind w:leftChars="0"/>
              <w:jc w:val="both"/>
              <w:rPr>
                <w:rFonts w:hint="eastAsia" w:ascii="仿宋" w:hAnsi="仿宋" w:eastAsia="仿宋" w:cs="仿宋"/>
                <w:b w:val="0"/>
                <w:bCs w:val="0"/>
                <w:sz w:val="24"/>
                <w:szCs w:val="22"/>
                <w:lang w:val="en-US" w:eastAsia="zh-CN"/>
              </w:rPr>
            </w:pPr>
            <w:r>
              <w:rPr>
                <w:rFonts w:hint="eastAsia" w:ascii="仿宋" w:hAnsi="仿宋" w:eastAsia="仿宋" w:cs="仿宋"/>
                <w:b w:val="0"/>
                <w:bCs w:val="0"/>
                <w:sz w:val="24"/>
                <w:szCs w:val="22"/>
                <w:lang w:val="en-US" w:eastAsia="zh-CN"/>
              </w:rPr>
              <w:t>（3）用户界面：提供类似Windows桌面操作系统的图形化人机操作UI界面，具有良好的用户操作体验，窗口包括标题栏、菜单栏、状态栏等。</w:t>
            </w:r>
          </w:p>
          <w:p w14:paraId="19448E41">
            <w:pPr>
              <w:pStyle w:val="2"/>
              <w:numPr>
                <w:ilvl w:val="2"/>
                <w:numId w:val="0"/>
              </w:numPr>
              <w:ind w:leftChars="0"/>
              <w:jc w:val="both"/>
              <w:rPr>
                <w:rFonts w:hint="eastAsia" w:ascii="仿宋" w:hAnsi="仿宋" w:eastAsia="仿宋" w:cs="仿宋"/>
                <w:b w:val="0"/>
                <w:bCs w:val="0"/>
                <w:sz w:val="24"/>
                <w:szCs w:val="22"/>
                <w:lang w:val="en-US" w:eastAsia="zh-CN"/>
              </w:rPr>
            </w:pPr>
            <w:r>
              <w:rPr>
                <w:rFonts w:hint="eastAsia" w:ascii="仿宋" w:hAnsi="仿宋" w:eastAsia="仿宋" w:cs="仿宋"/>
                <w:b w:val="0"/>
                <w:bCs w:val="0"/>
                <w:sz w:val="24"/>
                <w:szCs w:val="22"/>
                <w:lang w:val="en-US" w:eastAsia="zh-CN"/>
              </w:rPr>
              <w:t>（4）文件系统支持：至少支持Ext3、Ext4、XFS、NTFS、Fat、Btrfs等文件系统。</w:t>
            </w:r>
          </w:p>
          <w:p w14:paraId="216A877F">
            <w:pPr>
              <w:pStyle w:val="2"/>
              <w:numPr>
                <w:ilvl w:val="2"/>
                <w:numId w:val="0"/>
              </w:numPr>
              <w:ind w:leftChars="0"/>
              <w:jc w:val="both"/>
              <w:rPr>
                <w:rFonts w:hint="eastAsia" w:ascii="仿宋" w:hAnsi="仿宋" w:eastAsia="仿宋" w:cs="仿宋"/>
                <w:b w:val="0"/>
                <w:bCs w:val="0"/>
                <w:sz w:val="24"/>
                <w:szCs w:val="22"/>
                <w:lang w:val="en-US" w:eastAsia="zh-CN"/>
              </w:rPr>
            </w:pPr>
            <w:r>
              <w:rPr>
                <w:rFonts w:hint="eastAsia" w:ascii="仿宋" w:hAnsi="仿宋" w:eastAsia="仿宋" w:cs="仿宋"/>
                <w:b w:val="0"/>
                <w:bCs w:val="0"/>
                <w:sz w:val="24"/>
                <w:szCs w:val="22"/>
                <w:lang w:val="en-US" w:eastAsia="zh-CN"/>
              </w:rPr>
              <w:t>（5）全局搜索：支持多种搜索内容，支持拼音搜索和模糊搜索、快捷查找系统应用、设置项和文件（包括文本内容）。</w:t>
            </w:r>
          </w:p>
          <w:p w14:paraId="218EA899">
            <w:pPr>
              <w:pStyle w:val="2"/>
              <w:numPr>
                <w:ilvl w:val="2"/>
                <w:numId w:val="0"/>
              </w:numPr>
              <w:ind w:leftChars="0"/>
              <w:jc w:val="both"/>
              <w:rPr>
                <w:rFonts w:hint="eastAsia" w:ascii="仿宋" w:hAnsi="仿宋" w:eastAsia="仿宋" w:cs="仿宋"/>
                <w:b w:val="0"/>
                <w:bCs w:val="0"/>
                <w:sz w:val="24"/>
                <w:szCs w:val="22"/>
                <w:lang w:val="en-US" w:eastAsia="zh-CN"/>
              </w:rPr>
            </w:pPr>
            <w:r>
              <w:rPr>
                <w:rFonts w:hint="eastAsia" w:ascii="仿宋" w:hAnsi="仿宋" w:eastAsia="仿宋" w:cs="仿宋"/>
                <w:b w:val="0"/>
                <w:bCs w:val="0"/>
                <w:sz w:val="24"/>
                <w:szCs w:val="22"/>
                <w:lang w:val="en-US" w:eastAsia="zh-CN"/>
              </w:rPr>
              <w:t>（6）常用应用支持：支持火狐、奇安信浏览器、360浏览器；提供自研软件，包括视频播放器、截图软件和刻录软件。</w:t>
            </w:r>
          </w:p>
          <w:p w14:paraId="23728562">
            <w:pPr>
              <w:pStyle w:val="2"/>
              <w:numPr>
                <w:ilvl w:val="2"/>
                <w:numId w:val="0"/>
              </w:numPr>
              <w:ind w:leftChars="0"/>
              <w:jc w:val="both"/>
              <w:rPr>
                <w:rFonts w:hint="eastAsia" w:ascii="仿宋" w:hAnsi="仿宋" w:eastAsia="仿宋" w:cs="仿宋"/>
                <w:b w:val="0"/>
                <w:bCs w:val="0"/>
                <w:sz w:val="24"/>
                <w:szCs w:val="22"/>
                <w:lang w:val="en-US" w:eastAsia="zh-CN"/>
              </w:rPr>
            </w:pPr>
            <w:r>
              <w:rPr>
                <w:rFonts w:hint="eastAsia" w:ascii="仿宋" w:hAnsi="仿宋" w:eastAsia="仿宋" w:cs="仿宋"/>
                <w:b w:val="0"/>
                <w:bCs w:val="0"/>
                <w:sz w:val="24"/>
                <w:szCs w:val="22"/>
                <w:lang w:val="en-US" w:eastAsia="zh-CN"/>
              </w:rPr>
              <w:t>（7）备份还原功能：至少提供备份还原工具，支持系统备份、系统还原、数据备份、数据还原、操作日志和Ghost镜像功能。</w:t>
            </w:r>
          </w:p>
          <w:p w14:paraId="48D9C35B">
            <w:pPr>
              <w:pStyle w:val="2"/>
              <w:numPr>
                <w:ilvl w:val="2"/>
                <w:numId w:val="0"/>
              </w:numPr>
              <w:ind w:leftChars="0"/>
              <w:jc w:val="both"/>
              <w:rPr>
                <w:rFonts w:hint="eastAsia" w:ascii="仿宋" w:hAnsi="仿宋" w:eastAsia="仿宋" w:cs="仿宋"/>
                <w:b w:val="0"/>
                <w:bCs w:val="0"/>
                <w:sz w:val="24"/>
                <w:szCs w:val="22"/>
                <w:lang w:val="en-US" w:eastAsia="zh-CN"/>
              </w:rPr>
            </w:pPr>
            <w:r>
              <w:rPr>
                <w:rFonts w:hint="eastAsia" w:ascii="仿宋" w:hAnsi="仿宋" w:eastAsia="仿宋" w:cs="仿宋"/>
                <w:b w:val="0"/>
                <w:bCs w:val="0"/>
                <w:sz w:val="24"/>
                <w:szCs w:val="22"/>
                <w:lang w:val="en-US" w:eastAsia="zh-CN"/>
              </w:rPr>
              <w:t>（8）文件保护箱：提供文件保护箱功能，用户可以创建不少于10个不同密码的文件保护箱，每个文件箱可以修改保护箱密码，实现用户之间数据严格隔离，有效保护用户隐私数据。</w:t>
            </w:r>
          </w:p>
          <w:p w14:paraId="01B05A14">
            <w:pPr>
              <w:pStyle w:val="2"/>
              <w:numPr>
                <w:ilvl w:val="2"/>
                <w:numId w:val="0"/>
              </w:numPr>
              <w:ind w:leftChars="0"/>
              <w:jc w:val="both"/>
              <w:rPr>
                <w:rFonts w:hint="eastAsia" w:ascii="仿宋" w:hAnsi="仿宋" w:eastAsia="仿宋" w:cs="仿宋"/>
                <w:b w:val="0"/>
                <w:bCs w:val="0"/>
                <w:sz w:val="24"/>
                <w:szCs w:val="22"/>
                <w:lang w:val="en-US" w:eastAsia="zh-CN"/>
              </w:rPr>
            </w:pPr>
            <w:r>
              <w:rPr>
                <w:rFonts w:hint="eastAsia" w:ascii="仿宋" w:hAnsi="仿宋" w:eastAsia="仿宋" w:cs="仿宋"/>
                <w:b w:val="0"/>
                <w:bCs w:val="0"/>
                <w:sz w:val="24"/>
                <w:szCs w:val="22"/>
                <w:lang w:val="en-US" w:eastAsia="zh-CN"/>
              </w:rPr>
              <w:t>（9）生物识别：提供图形化生物识别管理工具，至少支持指纹、指静脉、虹膜等多种生物特征识别。图形界面可进行设备驱动开启、关闭及状态查看，至少内置20款以上指纹模块驱动。</w:t>
            </w:r>
          </w:p>
          <w:p w14:paraId="1FCEAC2D">
            <w:pPr>
              <w:pStyle w:val="2"/>
              <w:numPr>
                <w:ilvl w:val="2"/>
                <w:numId w:val="0"/>
              </w:numPr>
              <w:ind w:leftChars="0"/>
              <w:jc w:val="both"/>
              <w:rPr>
                <w:rFonts w:hint="eastAsia" w:ascii="仿宋" w:hAnsi="仿宋" w:eastAsia="仿宋" w:cs="仿宋"/>
                <w:b w:val="0"/>
                <w:bCs w:val="0"/>
                <w:sz w:val="24"/>
                <w:szCs w:val="22"/>
                <w:lang w:val="en-US" w:eastAsia="zh-CN"/>
              </w:rPr>
            </w:pPr>
            <w:r>
              <w:rPr>
                <w:rFonts w:hint="eastAsia" w:ascii="仿宋" w:hAnsi="仿宋" w:eastAsia="仿宋" w:cs="仿宋"/>
                <w:b w:val="0"/>
                <w:bCs w:val="0"/>
                <w:sz w:val="24"/>
                <w:szCs w:val="22"/>
                <w:lang w:val="en-US" w:eastAsia="zh-CN"/>
              </w:rPr>
              <w:t>（10）安全特性：支持内核和核外统一访问控制安全框架，提供安全中心管控工具，提供图形化应用执行控制工具，具有检查应用程序完整性、来源等功能。</w:t>
            </w:r>
          </w:p>
          <w:p w14:paraId="5565AEEC">
            <w:pPr>
              <w:pStyle w:val="2"/>
              <w:numPr>
                <w:ilvl w:val="2"/>
                <w:numId w:val="0"/>
              </w:numPr>
              <w:ind w:leftChars="0"/>
              <w:jc w:val="both"/>
              <w:rPr>
                <w:rFonts w:hint="eastAsia" w:ascii="仿宋" w:hAnsi="仿宋" w:eastAsia="仿宋" w:cs="仿宋"/>
                <w:b w:val="0"/>
                <w:bCs w:val="0"/>
                <w:sz w:val="24"/>
                <w:szCs w:val="22"/>
                <w:lang w:val="en-US" w:eastAsia="zh-CN"/>
              </w:rPr>
            </w:pPr>
            <w:r>
              <w:rPr>
                <w:rFonts w:hint="eastAsia" w:ascii="仿宋" w:hAnsi="仿宋" w:eastAsia="仿宋" w:cs="仿宋"/>
                <w:b w:val="0"/>
                <w:bCs w:val="0"/>
                <w:sz w:val="24"/>
                <w:szCs w:val="22"/>
                <w:lang w:val="en-US" w:eastAsia="zh-CN"/>
              </w:rPr>
              <w:t>（11）账号安全配置：提供图形化账号安全配置工具，支持图形化配置密码复杂度，至少包括用户名校验、长度、字符、账号锁定配置等。</w:t>
            </w:r>
          </w:p>
          <w:p w14:paraId="1860683C">
            <w:pPr>
              <w:pStyle w:val="2"/>
              <w:numPr>
                <w:ilvl w:val="2"/>
                <w:numId w:val="0"/>
              </w:numPr>
              <w:ind w:leftChars="0"/>
              <w:jc w:val="both"/>
              <w:rPr>
                <w:rFonts w:hint="eastAsia" w:ascii="仿宋" w:hAnsi="仿宋" w:eastAsia="仿宋" w:cs="仿宋"/>
                <w:b w:val="0"/>
                <w:bCs w:val="0"/>
                <w:sz w:val="24"/>
                <w:szCs w:val="22"/>
                <w:lang w:val="en-US" w:eastAsia="zh-CN"/>
              </w:rPr>
            </w:pPr>
            <w:r>
              <w:rPr>
                <w:rFonts w:hint="eastAsia" w:ascii="仿宋" w:hAnsi="仿宋" w:eastAsia="仿宋" w:cs="仿宋"/>
                <w:b w:val="0"/>
                <w:bCs w:val="0"/>
                <w:sz w:val="24"/>
                <w:szCs w:val="22"/>
                <w:lang w:val="en-US" w:eastAsia="zh-CN"/>
              </w:rPr>
              <w:t>（12）系统安全级别管理：提供安全增强组件，至少支持增加三权分立、白名单控制等安全功能。</w:t>
            </w:r>
          </w:p>
          <w:p w14:paraId="645EFF56">
            <w:pPr>
              <w:pStyle w:val="2"/>
              <w:numPr>
                <w:ilvl w:val="2"/>
                <w:numId w:val="0"/>
              </w:numPr>
              <w:ind w:leftChars="0"/>
              <w:jc w:val="both"/>
              <w:rPr>
                <w:rFonts w:hint="eastAsia" w:ascii="仿宋" w:hAnsi="仿宋" w:eastAsia="仿宋" w:cstheme="minorBidi"/>
                <w:b w:val="0"/>
                <w:bCs w:val="0"/>
                <w:kern w:val="2"/>
                <w:sz w:val="24"/>
                <w:szCs w:val="24"/>
                <w:highlight w:val="yellow"/>
                <w:vertAlign w:val="baseline"/>
                <w:lang w:val="en-US" w:eastAsia="zh-CN" w:bidi="ar-SA"/>
              </w:rPr>
            </w:pPr>
            <w:r>
              <w:rPr>
                <w:rFonts w:hint="eastAsia" w:ascii="仿宋" w:hAnsi="仿宋" w:eastAsia="仿宋" w:cs="仿宋"/>
                <w:b w:val="0"/>
                <w:bCs w:val="0"/>
                <w:sz w:val="24"/>
                <w:szCs w:val="22"/>
                <w:lang w:val="en-US" w:eastAsia="zh-CN"/>
              </w:rPr>
              <w:t>（13）多屏协同：提供多屏协同功能，支持控制手机端协同作业，支持与搭载多屏协同的终端投屏，支持PIN码认证的一键开启和禁用。</w:t>
            </w:r>
          </w:p>
        </w:tc>
        <w:tc>
          <w:tcPr>
            <w:tcW w:w="760" w:type="dxa"/>
            <w:vAlign w:val="center"/>
          </w:tcPr>
          <w:p w14:paraId="61EC5204">
            <w:pPr>
              <w:pStyle w:val="7"/>
              <w:keepNext w:val="0"/>
              <w:keepLines w:val="0"/>
              <w:pageBreakBefore w:val="0"/>
              <w:widowControl/>
              <w:numPr>
                <w:ilvl w:val="0"/>
                <w:numId w:val="0"/>
              </w:numPr>
              <w:kinsoku/>
              <w:wordWrap/>
              <w:overflowPunct/>
              <w:topLinePunct w:val="0"/>
              <w:bidi w:val="0"/>
              <w:snapToGrid/>
              <w:spacing w:line="360" w:lineRule="auto"/>
              <w:jc w:val="center"/>
              <w:textAlignment w:val="auto"/>
              <w:rPr>
                <w:rFonts w:hint="default" w:ascii="仿宋" w:hAnsi="仿宋" w:eastAsia="仿宋" w:cstheme="minorBidi"/>
                <w:kern w:val="2"/>
                <w:sz w:val="24"/>
                <w:szCs w:val="24"/>
                <w:vertAlign w:val="baseline"/>
                <w:lang w:val="en-US" w:eastAsia="zh-CN" w:bidi="ar-SA"/>
              </w:rPr>
            </w:pPr>
            <w:r>
              <w:rPr>
                <w:rFonts w:hint="eastAsia" w:ascii="仿宋" w:hAnsi="仿宋" w:eastAsia="仿宋" w:cstheme="minorBidi"/>
                <w:kern w:val="2"/>
                <w:sz w:val="24"/>
                <w:szCs w:val="24"/>
                <w:vertAlign w:val="baseline"/>
                <w:lang w:val="en-US" w:eastAsia="zh-CN" w:bidi="ar-SA"/>
              </w:rPr>
              <w:t>1</w:t>
            </w:r>
          </w:p>
        </w:tc>
        <w:tc>
          <w:tcPr>
            <w:tcW w:w="757" w:type="dxa"/>
            <w:vAlign w:val="center"/>
          </w:tcPr>
          <w:p w14:paraId="258B96C9">
            <w:pPr>
              <w:pStyle w:val="7"/>
              <w:keepNext w:val="0"/>
              <w:keepLines w:val="0"/>
              <w:pageBreakBefore w:val="0"/>
              <w:widowControl/>
              <w:numPr>
                <w:ilvl w:val="0"/>
                <w:numId w:val="0"/>
              </w:numPr>
              <w:kinsoku/>
              <w:wordWrap/>
              <w:overflowPunct/>
              <w:topLinePunct w:val="0"/>
              <w:bidi w:val="0"/>
              <w:snapToGrid/>
              <w:spacing w:line="360" w:lineRule="auto"/>
              <w:jc w:val="center"/>
              <w:textAlignment w:val="auto"/>
              <w:rPr>
                <w:rFonts w:hint="eastAsia" w:ascii="仿宋" w:hAnsi="仿宋" w:eastAsia="仿宋" w:cstheme="minorBidi"/>
                <w:kern w:val="2"/>
                <w:sz w:val="24"/>
                <w:szCs w:val="24"/>
                <w:vertAlign w:val="baseline"/>
                <w:lang w:val="en-US" w:eastAsia="zh-CN" w:bidi="ar-SA"/>
              </w:rPr>
            </w:pPr>
            <w:r>
              <w:rPr>
                <w:rFonts w:hint="eastAsia" w:ascii="仿宋" w:hAnsi="仿宋" w:eastAsia="仿宋" w:cstheme="minorBidi"/>
                <w:kern w:val="2"/>
                <w:sz w:val="24"/>
                <w:szCs w:val="24"/>
                <w:vertAlign w:val="baseline"/>
                <w:lang w:val="en-US" w:eastAsia="zh-CN" w:bidi="ar-SA"/>
              </w:rPr>
              <w:t>套</w:t>
            </w:r>
          </w:p>
        </w:tc>
      </w:tr>
      <w:tr w14:paraId="19E5A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2" w:hRule="atLeast"/>
        </w:trPr>
        <w:tc>
          <w:tcPr>
            <w:tcW w:w="1236" w:type="dxa"/>
            <w:vAlign w:val="center"/>
          </w:tcPr>
          <w:p w14:paraId="1EBF3C47">
            <w:pPr>
              <w:pStyle w:val="7"/>
              <w:keepNext w:val="0"/>
              <w:keepLines w:val="0"/>
              <w:pageBreakBefore w:val="0"/>
              <w:widowControl/>
              <w:numPr>
                <w:ilvl w:val="0"/>
                <w:numId w:val="0"/>
              </w:numPr>
              <w:kinsoku/>
              <w:wordWrap/>
              <w:overflowPunct/>
              <w:topLinePunct w:val="0"/>
              <w:bidi w:val="0"/>
              <w:snapToGrid/>
              <w:spacing w:line="360" w:lineRule="auto"/>
              <w:jc w:val="center"/>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中间件</w:t>
            </w:r>
          </w:p>
        </w:tc>
        <w:tc>
          <w:tcPr>
            <w:tcW w:w="5767" w:type="dxa"/>
            <w:vAlign w:val="center"/>
          </w:tcPr>
          <w:p w14:paraId="38B1CB3D">
            <w:pPr>
              <w:pStyle w:val="2"/>
              <w:numPr>
                <w:ilvl w:val="0"/>
                <w:numId w:val="3"/>
              </w:numPr>
              <w:ind w:leftChars="0"/>
              <w:jc w:val="both"/>
              <w:rPr>
                <w:rFonts w:hint="eastAsia" w:ascii="仿宋" w:hAnsi="仿宋" w:eastAsia="仿宋" w:cs="仿宋"/>
                <w:b w:val="0"/>
                <w:bCs w:val="0"/>
                <w:sz w:val="24"/>
                <w:szCs w:val="22"/>
                <w:lang w:val="en-US" w:eastAsia="zh-CN"/>
              </w:rPr>
            </w:pPr>
            <w:r>
              <w:rPr>
                <w:rFonts w:hint="eastAsia" w:ascii="仿宋" w:hAnsi="仿宋" w:eastAsia="仿宋" w:cs="仿宋"/>
                <w:b w:val="0"/>
                <w:bCs w:val="0"/>
                <w:sz w:val="24"/>
                <w:szCs w:val="22"/>
                <w:lang w:val="en-US" w:eastAsia="zh-CN"/>
              </w:rPr>
              <w:t>自主知识产权：国产自主可控，拥有完全自主知识产权。</w:t>
            </w:r>
          </w:p>
          <w:p w14:paraId="4296EC06">
            <w:pPr>
              <w:pStyle w:val="2"/>
              <w:numPr>
                <w:ilvl w:val="0"/>
                <w:numId w:val="3"/>
              </w:numPr>
              <w:ind w:leftChars="0"/>
              <w:jc w:val="both"/>
              <w:rPr>
                <w:rFonts w:hint="eastAsia" w:ascii="仿宋" w:hAnsi="仿宋" w:eastAsia="仿宋" w:cs="仿宋"/>
                <w:b w:val="0"/>
                <w:bCs w:val="0"/>
                <w:sz w:val="24"/>
                <w:szCs w:val="22"/>
                <w:lang w:val="en-US" w:eastAsia="zh-CN"/>
              </w:rPr>
            </w:pPr>
            <w:r>
              <w:rPr>
                <w:rFonts w:hint="eastAsia" w:ascii="仿宋" w:hAnsi="仿宋" w:eastAsia="仿宋" w:cs="仿宋"/>
                <w:b w:val="0"/>
                <w:bCs w:val="0"/>
                <w:sz w:val="24"/>
                <w:szCs w:val="22"/>
                <w:lang w:val="en-US" w:eastAsia="zh-CN"/>
              </w:rPr>
              <w:t>生态兼容性：具备良好的生态环境适应能力，支持麒麟OS、统信UOS等主流国产操作系统，以及达梦、金仓、神通、南大通用等国产数据库；同时兼容飞腾、海光、鲲鹏、龙芯、兆芯、申威等国产芯片服务器。</w:t>
            </w:r>
          </w:p>
          <w:p w14:paraId="28BA8AB3">
            <w:pPr>
              <w:pStyle w:val="2"/>
              <w:numPr>
                <w:ilvl w:val="2"/>
                <w:numId w:val="0"/>
              </w:numPr>
              <w:ind w:leftChars="0"/>
              <w:jc w:val="both"/>
              <w:rPr>
                <w:rFonts w:hint="eastAsia" w:ascii="仿宋" w:hAnsi="仿宋" w:eastAsia="仿宋" w:cs="仿宋"/>
                <w:b w:val="0"/>
                <w:bCs w:val="0"/>
                <w:sz w:val="24"/>
                <w:szCs w:val="22"/>
                <w:lang w:val="en-US" w:eastAsia="zh-CN"/>
              </w:rPr>
            </w:pPr>
            <w:r>
              <w:rPr>
                <w:rFonts w:hint="eastAsia" w:ascii="仿宋" w:hAnsi="仿宋" w:eastAsia="仿宋" w:cs="仿宋"/>
                <w:b w:val="0"/>
                <w:bCs w:val="0"/>
                <w:sz w:val="24"/>
                <w:szCs w:val="22"/>
                <w:lang w:val="en-US" w:eastAsia="zh-CN"/>
              </w:rPr>
              <w:t>（3）标准符合性：应遵循国际标准规范，须通过Java EE 5、6、7、8以及Jakarta EE 9.1、10等版本的官方兼容认证。</w:t>
            </w:r>
          </w:p>
          <w:p w14:paraId="1ED6494F">
            <w:pPr>
              <w:pStyle w:val="2"/>
              <w:numPr>
                <w:ilvl w:val="2"/>
                <w:numId w:val="0"/>
              </w:numPr>
              <w:ind w:leftChars="0"/>
              <w:jc w:val="both"/>
              <w:rPr>
                <w:rFonts w:hint="eastAsia" w:ascii="仿宋" w:hAnsi="仿宋" w:eastAsia="仿宋" w:cs="仿宋"/>
                <w:b w:val="0"/>
                <w:bCs w:val="0"/>
                <w:sz w:val="24"/>
                <w:szCs w:val="22"/>
                <w:lang w:val="en-US" w:eastAsia="zh-CN"/>
              </w:rPr>
            </w:pPr>
            <w:r>
              <w:rPr>
                <w:rFonts w:hint="eastAsia" w:ascii="仿宋" w:hAnsi="仿宋" w:eastAsia="仿宋" w:cs="仿宋"/>
                <w:b w:val="0"/>
                <w:bCs w:val="0"/>
                <w:sz w:val="24"/>
                <w:szCs w:val="22"/>
                <w:lang w:val="en-US" w:eastAsia="zh-CN"/>
              </w:rPr>
              <w:t>（4）技术积累与标准参与：应具备较强的技术实力，具备参与Java EE 6（JSR316）、Java EE 7（JSR342）等国际标准制定经验，并参与国家标准《基于J2EE的应用服务器技术规范》（GB/T 26232-2010）的起草与制定。</w:t>
            </w:r>
          </w:p>
          <w:p w14:paraId="5427F5DB">
            <w:pPr>
              <w:pStyle w:val="2"/>
              <w:numPr>
                <w:ilvl w:val="2"/>
                <w:numId w:val="0"/>
              </w:numPr>
              <w:ind w:leftChars="0"/>
              <w:jc w:val="both"/>
              <w:rPr>
                <w:rFonts w:hint="eastAsia" w:ascii="仿宋" w:hAnsi="仿宋" w:eastAsia="仿宋" w:cs="仿宋"/>
                <w:b w:val="0"/>
                <w:bCs w:val="0"/>
                <w:sz w:val="24"/>
                <w:szCs w:val="22"/>
                <w:lang w:val="en-US" w:eastAsia="zh-CN"/>
              </w:rPr>
            </w:pPr>
            <w:r>
              <w:rPr>
                <w:rFonts w:hint="eastAsia" w:ascii="仿宋" w:hAnsi="仿宋" w:eastAsia="仿宋" w:cs="仿宋"/>
                <w:b w:val="0"/>
                <w:bCs w:val="0"/>
                <w:sz w:val="24"/>
                <w:szCs w:val="22"/>
                <w:lang w:val="en-US" w:eastAsia="zh-CN"/>
              </w:rPr>
              <w:t>（5）核心功能支持：应具备Web容器、EJB容器，支持Web应用与EJB应用部署运行，提供JDBC连接池服务，并可通过管理控制台进行配置与管理。</w:t>
            </w:r>
          </w:p>
          <w:p w14:paraId="06EA6F38">
            <w:pPr>
              <w:pStyle w:val="2"/>
              <w:numPr>
                <w:ilvl w:val="2"/>
                <w:numId w:val="0"/>
              </w:numPr>
              <w:ind w:leftChars="0"/>
              <w:jc w:val="both"/>
              <w:rPr>
                <w:rFonts w:hint="eastAsia" w:ascii="仿宋" w:hAnsi="仿宋" w:eastAsia="仿宋" w:cs="仿宋"/>
                <w:b w:val="0"/>
                <w:bCs w:val="0"/>
                <w:sz w:val="24"/>
                <w:szCs w:val="22"/>
                <w:lang w:val="en-US" w:eastAsia="zh-CN"/>
              </w:rPr>
            </w:pPr>
            <w:r>
              <w:rPr>
                <w:rFonts w:hint="eastAsia" w:ascii="仿宋" w:hAnsi="仿宋" w:eastAsia="仿宋" w:cs="仿宋"/>
                <w:b w:val="0"/>
                <w:bCs w:val="0"/>
                <w:sz w:val="24"/>
                <w:szCs w:val="22"/>
                <w:lang w:val="en-US" w:eastAsia="zh-CN"/>
              </w:rPr>
              <w:t>（6）集群部署能力：支持集群部署，提供集群管理工具，具备Java EE应用集群的自动配置能力。</w:t>
            </w:r>
          </w:p>
          <w:p w14:paraId="717680D9">
            <w:pPr>
              <w:pStyle w:val="2"/>
              <w:numPr>
                <w:ilvl w:val="2"/>
                <w:numId w:val="0"/>
              </w:numPr>
              <w:ind w:leftChars="0"/>
              <w:jc w:val="both"/>
              <w:rPr>
                <w:rFonts w:hint="eastAsia" w:ascii="仿宋" w:hAnsi="仿宋" w:eastAsia="仿宋" w:cs="仿宋"/>
                <w:b w:val="0"/>
                <w:bCs w:val="0"/>
                <w:sz w:val="24"/>
                <w:szCs w:val="22"/>
                <w:lang w:val="en-US" w:eastAsia="zh-CN"/>
              </w:rPr>
            </w:pPr>
            <w:r>
              <w:rPr>
                <w:rFonts w:hint="eastAsia" w:ascii="仿宋" w:hAnsi="仿宋" w:eastAsia="仿宋" w:cs="仿宋"/>
                <w:b w:val="0"/>
                <w:bCs w:val="0"/>
                <w:sz w:val="24"/>
                <w:szCs w:val="22"/>
                <w:lang w:val="en-US" w:eastAsia="zh-CN"/>
              </w:rPr>
              <w:t>（7）类加载冲突检测：应提供类加载冲突检测功能，具备相关分析方法与装置，可识别应用部署和运行过程中的类加载冲突，并自动生成检测报告。</w:t>
            </w:r>
          </w:p>
          <w:p w14:paraId="5679495D">
            <w:pPr>
              <w:pStyle w:val="2"/>
              <w:numPr>
                <w:ilvl w:val="2"/>
                <w:numId w:val="0"/>
              </w:numPr>
              <w:ind w:leftChars="0"/>
              <w:jc w:val="both"/>
              <w:rPr>
                <w:rFonts w:hint="eastAsia" w:ascii="仿宋" w:hAnsi="仿宋" w:eastAsia="仿宋" w:cs="仿宋"/>
                <w:b w:val="0"/>
                <w:bCs w:val="0"/>
                <w:sz w:val="24"/>
                <w:szCs w:val="22"/>
                <w:lang w:val="en-US" w:eastAsia="zh-CN"/>
              </w:rPr>
            </w:pPr>
            <w:r>
              <w:rPr>
                <w:rFonts w:hint="eastAsia" w:ascii="仿宋" w:hAnsi="仿宋" w:eastAsia="仿宋" w:cs="仿宋"/>
                <w:b w:val="0"/>
                <w:bCs w:val="0"/>
                <w:sz w:val="24"/>
                <w:szCs w:val="22"/>
                <w:lang w:val="en-US" w:eastAsia="zh-CN"/>
              </w:rPr>
              <w:t>（8）监控与回放功能：应提供系统与应用监控服务，支持监控信息按时间段回放，具备集群监控系统及相关监控方法。</w:t>
            </w:r>
          </w:p>
          <w:p w14:paraId="17F27BA9">
            <w:pPr>
              <w:pStyle w:val="2"/>
              <w:numPr>
                <w:ilvl w:val="2"/>
                <w:numId w:val="0"/>
              </w:numPr>
              <w:ind w:leftChars="0"/>
              <w:jc w:val="both"/>
              <w:rPr>
                <w:rFonts w:hint="eastAsia" w:ascii="仿宋" w:hAnsi="仿宋" w:eastAsia="仿宋" w:cs="仿宋"/>
                <w:b w:val="0"/>
                <w:bCs w:val="0"/>
                <w:sz w:val="24"/>
                <w:szCs w:val="22"/>
                <w:lang w:val="en-US" w:eastAsia="zh-CN"/>
              </w:rPr>
            </w:pPr>
            <w:r>
              <w:rPr>
                <w:rFonts w:hint="eastAsia" w:ascii="仿宋" w:hAnsi="仿宋" w:eastAsia="仿宋" w:cs="仿宋"/>
                <w:b w:val="0"/>
                <w:bCs w:val="0"/>
                <w:sz w:val="24"/>
                <w:szCs w:val="22"/>
                <w:lang w:val="en-US" w:eastAsia="zh-CN"/>
              </w:rPr>
              <w:t>（9）快照分析能力：应内置快照功能，支持对服务器及应用程序运行时信息进行捕获与分析，便于运维人员快速定位问题。</w:t>
            </w:r>
          </w:p>
          <w:p w14:paraId="0EFA5E85">
            <w:pPr>
              <w:pStyle w:val="2"/>
              <w:numPr>
                <w:ilvl w:val="2"/>
                <w:numId w:val="0"/>
              </w:numPr>
              <w:ind w:leftChars="0"/>
              <w:jc w:val="both"/>
              <w:rPr>
                <w:rFonts w:hint="eastAsia" w:ascii="仿宋" w:hAnsi="仿宋" w:eastAsia="仿宋" w:cs="仿宋"/>
                <w:b w:val="0"/>
                <w:bCs w:val="0"/>
                <w:sz w:val="24"/>
                <w:szCs w:val="22"/>
                <w:lang w:val="en-US" w:eastAsia="zh-CN"/>
              </w:rPr>
            </w:pPr>
            <w:r>
              <w:rPr>
                <w:rFonts w:hint="eastAsia" w:ascii="仿宋" w:hAnsi="仿宋" w:eastAsia="仿宋" w:cs="仿宋"/>
                <w:b w:val="0"/>
                <w:bCs w:val="0"/>
                <w:sz w:val="24"/>
                <w:szCs w:val="22"/>
                <w:lang w:val="en-US" w:eastAsia="zh-CN"/>
              </w:rPr>
              <w:t>（10）License动态管理：应支持在不中断服务的情况下动态更新License，支持集中管理与替换，确保业务连续运行。</w:t>
            </w:r>
          </w:p>
          <w:p w14:paraId="244E4925">
            <w:pPr>
              <w:pStyle w:val="2"/>
              <w:numPr>
                <w:ilvl w:val="2"/>
                <w:numId w:val="0"/>
              </w:numPr>
              <w:ind w:leftChars="0"/>
              <w:jc w:val="both"/>
              <w:rPr>
                <w:rFonts w:hint="eastAsia" w:ascii="仿宋" w:hAnsi="仿宋" w:eastAsia="仿宋" w:cs="仿宋"/>
                <w:b w:val="0"/>
                <w:bCs w:val="0"/>
                <w:sz w:val="24"/>
                <w:szCs w:val="22"/>
                <w:lang w:val="en-US" w:eastAsia="zh-CN"/>
              </w:rPr>
            </w:pPr>
            <w:r>
              <w:rPr>
                <w:rFonts w:hint="eastAsia" w:ascii="仿宋" w:hAnsi="仿宋" w:eastAsia="仿宋" w:cs="仿宋"/>
                <w:b w:val="0"/>
                <w:bCs w:val="0"/>
                <w:sz w:val="24"/>
                <w:szCs w:val="22"/>
                <w:lang w:val="en-US" w:eastAsia="zh-CN"/>
              </w:rPr>
              <w:t>（11）应用回收站功能：应提供应用回收站功能，卸载的应用部署包自动移至回收目录，防止误操作导致数据丢失。</w:t>
            </w:r>
          </w:p>
          <w:p w14:paraId="2D299BA7">
            <w:pPr>
              <w:pStyle w:val="2"/>
              <w:numPr>
                <w:ilvl w:val="2"/>
                <w:numId w:val="0"/>
              </w:numPr>
              <w:ind w:leftChars="0"/>
              <w:jc w:val="both"/>
              <w:rPr>
                <w:rFonts w:hint="eastAsia" w:ascii="仿宋" w:hAnsi="仿宋" w:eastAsia="仿宋" w:cs="仿宋"/>
                <w:b w:val="0"/>
                <w:bCs w:val="0"/>
                <w:sz w:val="24"/>
                <w:szCs w:val="22"/>
                <w:lang w:val="en-US" w:eastAsia="zh-CN"/>
              </w:rPr>
            </w:pPr>
            <w:r>
              <w:rPr>
                <w:rFonts w:hint="eastAsia" w:ascii="仿宋" w:hAnsi="仿宋" w:eastAsia="仿宋" w:cs="仿宋"/>
                <w:b w:val="0"/>
                <w:bCs w:val="0"/>
                <w:sz w:val="24"/>
                <w:szCs w:val="22"/>
                <w:lang w:val="en-US" w:eastAsia="zh-CN"/>
              </w:rPr>
              <w:t>（12）命令行审计：应支持命令行操作审计功能，完整记录每次命令行操作日志。</w:t>
            </w:r>
          </w:p>
          <w:p w14:paraId="028D266E">
            <w:pPr>
              <w:pStyle w:val="2"/>
              <w:numPr>
                <w:ilvl w:val="2"/>
                <w:numId w:val="0"/>
              </w:numPr>
              <w:ind w:leftChars="0"/>
              <w:jc w:val="both"/>
              <w:rPr>
                <w:rFonts w:hint="eastAsia" w:ascii="仿宋" w:hAnsi="仿宋" w:eastAsia="仿宋" w:cs="仿宋"/>
                <w:b w:val="0"/>
                <w:bCs w:val="0"/>
                <w:sz w:val="24"/>
                <w:szCs w:val="22"/>
                <w:lang w:val="en-US" w:eastAsia="zh-CN"/>
              </w:rPr>
            </w:pPr>
            <w:r>
              <w:rPr>
                <w:rFonts w:hint="eastAsia" w:ascii="仿宋" w:hAnsi="仿宋" w:eastAsia="仿宋" w:cs="仿宋"/>
                <w:b w:val="0"/>
                <w:bCs w:val="0"/>
                <w:sz w:val="24"/>
                <w:szCs w:val="22"/>
                <w:lang w:val="en-US" w:eastAsia="zh-CN"/>
              </w:rPr>
              <w:t>（13）身份鉴别机制：应支持双因子认证技术，增强用户身份鉴别安全性。</w:t>
            </w:r>
          </w:p>
          <w:p w14:paraId="6A86B5C2">
            <w:pPr>
              <w:pStyle w:val="2"/>
              <w:numPr>
                <w:ilvl w:val="2"/>
                <w:numId w:val="0"/>
              </w:numPr>
              <w:ind w:leftChars="0"/>
              <w:jc w:val="both"/>
              <w:rPr>
                <w:rFonts w:hint="eastAsia" w:ascii="仿宋" w:hAnsi="仿宋" w:eastAsia="仿宋" w:cs="仿宋"/>
                <w:b w:val="0"/>
                <w:bCs w:val="0"/>
                <w:sz w:val="24"/>
                <w:szCs w:val="22"/>
                <w:lang w:val="en-US" w:eastAsia="zh-CN"/>
              </w:rPr>
            </w:pPr>
            <w:r>
              <w:rPr>
                <w:rFonts w:hint="eastAsia" w:ascii="仿宋" w:hAnsi="仿宋" w:eastAsia="仿宋" w:cs="仿宋"/>
                <w:b w:val="0"/>
                <w:bCs w:val="0"/>
                <w:sz w:val="24"/>
                <w:szCs w:val="22"/>
                <w:lang w:val="en-US" w:eastAsia="zh-CN"/>
              </w:rPr>
              <w:t>（14）安全测试要求：应提供由第三方权威机构出具的《应用安全测试报告》，覆盖标识鉴别、访问控制、安全审计、数据完整性、保密性、容错、会话管理、漏洞检测及外部接口等安全指标。</w:t>
            </w:r>
          </w:p>
          <w:p w14:paraId="02B2ED0F">
            <w:pPr>
              <w:pStyle w:val="2"/>
              <w:numPr>
                <w:ilvl w:val="2"/>
                <w:numId w:val="0"/>
              </w:numPr>
              <w:ind w:leftChars="0"/>
              <w:jc w:val="both"/>
              <w:rPr>
                <w:rFonts w:hint="eastAsia" w:ascii="仿宋" w:hAnsi="仿宋" w:eastAsia="仿宋" w:cs="仿宋"/>
                <w:b w:val="0"/>
                <w:bCs w:val="0"/>
                <w:sz w:val="24"/>
                <w:szCs w:val="22"/>
                <w:lang w:val="en-US" w:eastAsia="zh-CN"/>
              </w:rPr>
            </w:pPr>
            <w:r>
              <w:rPr>
                <w:rFonts w:hint="eastAsia" w:ascii="仿宋" w:hAnsi="仿宋" w:eastAsia="仿宋" w:cs="仿宋"/>
                <w:b w:val="0"/>
                <w:bCs w:val="0"/>
                <w:sz w:val="24"/>
                <w:szCs w:val="22"/>
                <w:lang w:val="en-US" w:eastAsia="zh-CN"/>
              </w:rPr>
              <w:t>（15）代码规范质量：产品代码应规范，不应存在资源未释放、内存泄漏、硬编码、空指针调用、死代码、死循环、数值溢出等编码缺陷。</w:t>
            </w:r>
          </w:p>
          <w:p w14:paraId="23C9CEA1">
            <w:pPr>
              <w:pStyle w:val="2"/>
              <w:numPr>
                <w:ilvl w:val="2"/>
                <w:numId w:val="0"/>
              </w:numPr>
              <w:ind w:leftChars="0"/>
              <w:jc w:val="both"/>
              <w:rPr>
                <w:rFonts w:hint="eastAsia" w:ascii="仿宋" w:hAnsi="仿宋" w:eastAsia="仿宋" w:cs="仿宋"/>
                <w:b w:val="0"/>
                <w:bCs w:val="0"/>
                <w:sz w:val="24"/>
                <w:szCs w:val="22"/>
                <w:lang w:val="en-US" w:eastAsia="zh-CN"/>
              </w:rPr>
            </w:pPr>
            <w:r>
              <w:rPr>
                <w:rFonts w:hint="eastAsia" w:ascii="仿宋" w:hAnsi="仿宋" w:eastAsia="仿宋" w:cs="仿宋"/>
                <w:b w:val="0"/>
                <w:bCs w:val="0"/>
                <w:sz w:val="24"/>
                <w:szCs w:val="22"/>
                <w:lang w:val="en-US" w:eastAsia="zh-CN"/>
              </w:rPr>
              <w:t>（16）安全认证资质：需通过中国网络安全审查技术与认证中心的IT产品信息安全认证，符合GB/T 18336-2015及CCRC-TR-128-2023相关安全技术要求。</w:t>
            </w:r>
          </w:p>
          <w:p w14:paraId="43A8BC94">
            <w:pPr>
              <w:pStyle w:val="2"/>
              <w:numPr>
                <w:ilvl w:val="2"/>
                <w:numId w:val="0"/>
              </w:numPr>
              <w:ind w:leftChars="0"/>
              <w:jc w:val="both"/>
              <w:rPr>
                <w:rFonts w:hint="eastAsia" w:ascii="仿宋" w:hAnsi="仿宋" w:eastAsia="仿宋" w:cs="仿宋"/>
                <w:b w:val="0"/>
                <w:bCs w:val="0"/>
                <w:sz w:val="24"/>
                <w:szCs w:val="22"/>
                <w:lang w:val="en-US" w:eastAsia="zh-CN"/>
              </w:rPr>
            </w:pPr>
            <w:r>
              <w:rPr>
                <w:rFonts w:hint="eastAsia" w:ascii="仿宋" w:hAnsi="仿宋" w:eastAsia="仿宋" w:cs="仿宋"/>
                <w:b w:val="0"/>
                <w:bCs w:val="0"/>
                <w:sz w:val="24"/>
                <w:szCs w:val="22"/>
                <w:lang w:val="en-US" w:eastAsia="zh-CN"/>
              </w:rPr>
              <w:t>（17）密码应用合规：通过国家商用密码认证，满足密码应用安全性要求。</w:t>
            </w:r>
          </w:p>
          <w:p w14:paraId="6DD51B58">
            <w:pPr>
              <w:pStyle w:val="2"/>
              <w:numPr>
                <w:ilvl w:val="2"/>
                <w:numId w:val="0"/>
              </w:numPr>
              <w:ind w:leftChars="0"/>
              <w:jc w:val="both"/>
              <w:rPr>
                <w:rFonts w:hint="eastAsia" w:ascii="仿宋" w:hAnsi="仿宋" w:eastAsia="仿宋" w:cs="仿宋"/>
                <w:b w:val="0"/>
                <w:bCs w:val="0"/>
                <w:sz w:val="24"/>
                <w:szCs w:val="22"/>
                <w:lang w:val="en-US" w:eastAsia="zh-CN"/>
              </w:rPr>
            </w:pPr>
            <w:r>
              <w:rPr>
                <w:rFonts w:hint="eastAsia" w:ascii="仿宋" w:hAnsi="仿宋" w:eastAsia="仿宋" w:cs="仿宋"/>
                <w:b w:val="0"/>
                <w:bCs w:val="0"/>
                <w:sz w:val="24"/>
                <w:szCs w:val="22"/>
                <w:lang w:val="en-US" w:eastAsia="zh-CN"/>
              </w:rPr>
              <w:t>（18）性能与稳定性指标：通过集群横向扩展应支持至少50万在线用户访问，中位响应时间≤200ms，90%响应时间≤400ms，95%响应时间≤500ms，99%响应时间≤700ms，且保证长时间运行稳定。</w:t>
            </w:r>
          </w:p>
          <w:p w14:paraId="180073CB">
            <w:pPr>
              <w:rPr>
                <w:rFonts w:hint="eastAsia"/>
                <w:lang w:val="en-US" w:eastAsia="zh-CN"/>
              </w:rPr>
            </w:pPr>
          </w:p>
        </w:tc>
        <w:tc>
          <w:tcPr>
            <w:tcW w:w="760" w:type="dxa"/>
            <w:vAlign w:val="center"/>
          </w:tcPr>
          <w:p w14:paraId="3391FA63">
            <w:pPr>
              <w:pStyle w:val="7"/>
              <w:keepNext w:val="0"/>
              <w:keepLines w:val="0"/>
              <w:pageBreakBefore w:val="0"/>
              <w:widowControl/>
              <w:numPr>
                <w:ilvl w:val="0"/>
                <w:numId w:val="0"/>
              </w:numPr>
              <w:kinsoku/>
              <w:wordWrap/>
              <w:overflowPunct/>
              <w:topLinePunct w:val="0"/>
              <w:bidi w:val="0"/>
              <w:snapToGrid/>
              <w:spacing w:line="360" w:lineRule="auto"/>
              <w:jc w:val="center"/>
              <w:textAlignment w:val="auto"/>
              <w:rPr>
                <w:rFonts w:hint="default" w:ascii="仿宋" w:hAnsi="仿宋" w:eastAsia="仿宋" w:cstheme="minorBidi"/>
                <w:kern w:val="2"/>
                <w:sz w:val="24"/>
                <w:szCs w:val="24"/>
                <w:vertAlign w:val="baseline"/>
                <w:lang w:val="en-US" w:eastAsia="zh-CN" w:bidi="ar-SA"/>
              </w:rPr>
            </w:pPr>
            <w:r>
              <w:rPr>
                <w:rFonts w:hint="eastAsia" w:ascii="仿宋" w:hAnsi="仿宋" w:eastAsia="仿宋" w:cstheme="minorBidi"/>
                <w:kern w:val="2"/>
                <w:sz w:val="24"/>
                <w:szCs w:val="24"/>
                <w:vertAlign w:val="baseline"/>
                <w:lang w:val="en-US" w:eastAsia="zh-CN" w:bidi="ar-SA"/>
              </w:rPr>
              <w:t>1</w:t>
            </w:r>
          </w:p>
        </w:tc>
        <w:tc>
          <w:tcPr>
            <w:tcW w:w="757" w:type="dxa"/>
            <w:vAlign w:val="center"/>
          </w:tcPr>
          <w:p w14:paraId="38909452">
            <w:pPr>
              <w:pStyle w:val="7"/>
              <w:keepNext w:val="0"/>
              <w:keepLines w:val="0"/>
              <w:pageBreakBefore w:val="0"/>
              <w:widowControl/>
              <w:numPr>
                <w:ilvl w:val="0"/>
                <w:numId w:val="0"/>
              </w:numPr>
              <w:kinsoku/>
              <w:wordWrap/>
              <w:overflowPunct/>
              <w:topLinePunct w:val="0"/>
              <w:bidi w:val="0"/>
              <w:snapToGrid/>
              <w:spacing w:line="360" w:lineRule="auto"/>
              <w:jc w:val="center"/>
              <w:textAlignment w:val="auto"/>
              <w:rPr>
                <w:rFonts w:hint="eastAsia" w:ascii="仿宋" w:hAnsi="仿宋" w:eastAsia="仿宋" w:cstheme="minorBidi"/>
                <w:kern w:val="2"/>
                <w:sz w:val="24"/>
                <w:szCs w:val="24"/>
                <w:vertAlign w:val="baseline"/>
                <w:lang w:val="en-US" w:eastAsia="zh-CN" w:bidi="ar-SA"/>
              </w:rPr>
            </w:pPr>
            <w:r>
              <w:rPr>
                <w:rFonts w:hint="eastAsia" w:ascii="仿宋" w:hAnsi="仿宋" w:eastAsia="仿宋" w:cstheme="minorBidi"/>
                <w:kern w:val="2"/>
                <w:sz w:val="24"/>
                <w:szCs w:val="24"/>
                <w:vertAlign w:val="baseline"/>
                <w:lang w:val="en-US" w:eastAsia="zh-CN" w:bidi="ar-SA"/>
              </w:rPr>
              <w:t>套</w:t>
            </w:r>
          </w:p>
        </w:tc>
      </w:tr>
    </w:tbl>
    <w:p w14:paraId="0DDCD3BE">
      <w:pPr>
        <w:rPr>
          <w:rFonts w:hint="default"/>
          <w:lang w:val="en-US" w:eastAsia="zh-CN"/>
        </w:rPr>
      </w:pPr>
    </w:p>
    <w:p w14:paraId="15B2E31A">
      <w:pPr>
        <w:keepNext w:val="0"/>
        <w:keepLines w:val="0"/>
        <w:pageBreakBefore w:val="0"/>
        <w:numPr>
          <w:ilvl w:val="0"/>
          <w:numId w:val="0"/>
        </w:numPr>
        <w:kinsoku/>
        <w:wordWrap/>
        <w:overflowPunct/>
        <w:topLinePunct w:val="0"/>
        <w:bidi w:val="0"/>
        <w:snapToGrid/>
        <w:spacing w:line="460" w:lineRule="exact"/>
        <w:textAlignment w:val="auto"/>
        <w:outlineLvl w:val="0"/>
        <w:rPr>
          <w:rFonts w:hint="eastAsia" w:ascii="仿宋" w:hAnsi="仿宋" w:eastAsia="仿宋"/>
          <w:b/>
          <w:bCs/>
          <w:sz w:val="28"/>
          <w:szCs w:val="28"/>
          <w:highlight w:val="none"/>
          <w:lang w:val="en-US" w:eastAsia="zh-CN"/>
        </w:rPr>
      </w:pPr>
      <w:r>
        <w:rPr>
          <w:rFonts w:hint="eastAsia" w:ascii="仿宋" w:hAnsi="仿宋" w:eastAsia="仿宋"/>
          <w:b/>
          <w:bCs/>
          <w:sz w:val="28"/>
          <w:szCs w:val="28"/>
          <w:highlight w:val="none"/>
          <w:lang w:val="en-US" w:eastAsia="zh-CN"/>
        </w:rPr>
        <w:t>4</w:t>
      </w:r>
      <w:r>
        <w:rPr>
          <w:rFonts w:hint="eastAsia" w:ascii="仿宋" w:hAnsi="仿宋" w:eastAsia="仿宋"/>
          <w:b/>
          <w:bCs/>
          <w:sz w:val="28"/>
          <w:szCs w:val="28"/>
        </w:rPr>
        <w:t xml:space="preserve">. </w:t>
      </w:r>
      <w:r>
        <w:rPr>
          <w:rFonts w:hint="eastAsia" w:ascii="仿宋" w:hAnsi="仿宋" w:eastAsia="仿宋"/>
          <w:b/>
          <w:bCs/>
          <w:sz w:val="28"/>
          <w:szCs w:val="28"/>
          <w:highlight w:val="none"/>
          <w:lang w:val="en-US" w:eastAsia="zh-CN"/>
        </w:rPr>
        <w:t>报价人资质要求</w:t>
      </w:r>
    </w:p>
    <w:p w14:paraId="71478E9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（1）报价人须具有有效的ISO27001信息安全管理体系认证证书。</w:t>
      </w:r>
    </w:p>
    <w:p w14:paraId="5FE6FBB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（2）报价人须具有有效的CMMI3或以上等级的证书。</w:t>
      </w:r>
    </w:p>
    <w:p w14:paraId="566F539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（3）报价</w:t>
      </w:r>
      <w:r>
        <w:rPr>
          <w:rFonts w:hint="default" w:ascii="仿宋" w:hAnsi="仿宋" w:eastAsia="仿宋"/>
          <w:sz w:val="28"/>
          <w:szCs w:val="28"/>
          <w:highlight w:val="none"/>
          <w:lang w:val="en-US" w:eastAsia="zh-CN"/>
        </w:rPr>
        <w:t>人须具有有效的</w:t>
      </w:r>
      <w:r>
        <w:rPr>
          <w:rFonts w:hint="eastAsia" w:ascii="仿宋" w:hAnsi="仿宋" w:eastAsia="仿宋"/>
          <w:sz w:val="28"/>
          <w:szCs w:val="28"/>
          <w:highlight w:val="none"/>
          <w:lang w:val="en-US" w:eastAsia="zh-CN"/>
        </w:rPr>
        <w:t>ISO9001质量管理体系认证证书</w:t>
      </w:r>
      <w:r>
        <w:rPr>
          <w:rFonts w:hint="default" w:ascii="仿宋" w:hAnsi="仿宋" w:eastAsia="仿宋"/>
          <w:sz w:val="28"/>
          <w:szCs w:val="28"/>
          <w:highlight w:val="none"/>
          <w:lang w:val="en-US" w:eastAsia="zh-CN"/>
        </w:rPr>
        <w:t>。</w:t>
      </w:r>
    </w:p>
    <w:p w14:paraId="54D225FA">
      <w:pPr>
        <w:keepNext w:val="0"/>
        <w:keepLines w:val="0"/>
        <w:pageBreakBefore w:val="0"/>
        <w:kinsoku/>
        <w:wordWrap/>
        <w:overflowPunct/>
        <w:topLinePunct w:val="0"/>
        <w:bidi w:val="0"/>
        <w:snapToGrid/>
        <w:spacing w:line="460" w:lineRule="exact"/>
        <w:textAlignment w:val="auto"/>
        <w:outlineLvl w:val="0"/>
        <w:rPr>
          <w:rFonts w:hint="eastAsia" w:ascii="仿宋" w:hAnsi="仿宋" w:eastAsia="仿宋"/>
          <w:b/>
          <w:bCs/>
          <w:sz w:val="28"/>
          <w:szCs w:val="28"/>
          <w:lang w:val="en-US" w:eastAsia="zh-CN"/>
        </w:rPr>
      </w:pPr>
      <w:r>
        <w:rPr>
          <w:rFonts w:hint="eastAsia" w:ascii="仿宋" w:hAnsi="仿宋" w:eastAsia="仿宋"/>
          <w:b/>
          <w:bCs/>
          <w:sz w:val="28"/>
          <w:szCs w:val="28"/>
          <w:lang w:val="en-US" w:eastAsia="zh-CN"/>
        </w:rPr>
        <w:t>5</w:t>
      </w:r>
      <w:r>
        <w:rPr>
          <w:rFonts w:hint="eastAsia" w:ascii="仿宋" w:hAnsi="仿宋" w:eastAsia="仿宋"/>
          <w:b/>
          <w:bCs/>
          <w:sz w:val="28"/>
          <w:szCs w:val="28"/>
        </w:rPr>
        <w:t xml:space="preserve">. </w:t>
      </w:r>
      <w:r>
        <w:rPr>
          <w:rFonts w:hint="eastAsia" w:ascii="仿宋" w:hAnsi="仿宋" w:eastAsia="仿宋"/>
          <w:b/>
          <w:bCs/>
          <w:sz w:val="28"/>
          <w:szCs w:val="28"/>
          <w:lang w:val="en-US" w:eastAsia="zh-CN"/>
        </w:rPr>
        <w:t>服务要求</w:t>
      </w:r>
    </w:p>
    <w:p w14:paraId="4E736321">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（1）成交人须负责软件的安装部署、测试、验收、技术支持和售后服务等工作内容。</w:t>
      </w:r>
    </w:p>
    <w:p w14:paraId="5FED019E">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（2）成交人应保证提供的软件应为全新的、先进的、成熟的、完整的和安全可靠的，且需满足国产化要求。</w:t>
      </w:r>
    </w:p>
    <w:p w14:paraId="341C7B3F">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（3）成交人应按本技术要求确定的供货范围供货，供货须满足本技术要求并提供相关的技术服务。</w:t>
      </w:r>
    </w:p>
    <w:p w14:paraId="20E32503">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（4）成交人所提供的软件应采用目前先进的技术，即具有高的可靠性、可操作性、可维护性和可扩展性。</w:t>
      </w:r>
    </w:p>
    <w:p w14:paraId="2E351BBB">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（5）在本技术要求里没有明确说明，但为保证软件正常运行所必要的供货和服务，成交人都应该提供。</w:t>
      </w:r>
    </w:p>
    <w:p w14:paraId="1479019F">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（7）软件的部署、调试和测试由成交人在采购人监督下进行，成交人应保证所提供的软件达到合同和采购人要求，满足运行条件。</w:t>
      </w:r>
    </w:p>
    <w:p w14:paraId="7CB110A2">
      <w:pPr>
        <w:keepNext w:val="0"/>
        <w:keepLines w:val="0"/>
        <w:pageBreakBefore w:val="0"/>
        <w:kinsoku/>
        <w:wordWrap/>
        <w:overflowPunct/>
        <w:topLinePunct w:val="0"/>
        <w:bidi w:val="0"/>
        <w:snapToGrid/>
        <w:spacing w:line="460" w:lineRule="exact"/>
        <w:textAlignment w:val="auto"/>
        <w:outlineLvl w:val="0"/>
        <w:rPr>
          <w:rFonts w:hint="eastAsia" w:ascii="仿宋" w:hAnsi="仿宋" w:eastAsia="仿宋"/>
          <w:b/>
          <w:bCs/>
          <w:sz w:val="28"/>
          <w:szCs w:val="28"/>
          <w:lang w:val="en-US" w:eastAsia="zh-CN"/>
        </w:rPr>
      </w:pPr>
      <w:r>
        <w:rPr>
          <w:rFonts w:hint="eastAsia" w:ascii="仿宋" w:hAnsi="仿宋" w:eastAsia="仿宋"/>
          <w:b/>
          <w:bCs/>
          <w:sz w:val="28"/>
          <w:szCs w:val="28"/>
          <w:lang w:val="en-US" w:eastAsia="zh-CN"/>
        </w:rPr>
        <w:t>6</w:t>
      </w:r>
      <w:r>
        <w:rPr>
          <w:rFonts w:hint="eastAsia" w:ascii="仿宋" w:hAnsi="仿宋" w:eastAsia="仿宋"/>
          <w:b/>
          <w:bCs/>
          <w:sz w:val="28"/>
          <w:szCs w:val="28"/>
        </w:rPr>
        <w:t xml:space="preserve">. </w:t>
      </w:r>
      <w:r>
        <w:rPr>
          <w:rFonts w:hint="eastAsia" w:ascii="仿宋" w:hAnsi="仿宋" w:eastAsia="仿宋"/>
          <w:b/>
          <w:bCs/>
          <w:sz w:val="28"/>
          <w:szCs w:val="28"/>
          <w:lang w:val="en-US" w:eastAsia="zh-CN"/>
        </w:rPr>
        <w:t>质保期要求</w:t>
      </w:r>
    </w:p>
    <w:p w14:paraId="6090D05E">
      <w:pPr>
        <w:pStyle w:val="6"/>
        <w:keepNext w:val="0"/>
        <w:keepLines w:val="0"/>
        <w:pageBreakBefore w:val="0"/>
        <w:numPr>
          <w:ilvl w:val="0"/>
          <w:numId w:val="0"/>
        </w:numPr>
        <w:kinsoku/>
        <w:wordWrap/>
        <w:overflowPunct/>
        <w:topLinePunct w:val="0"/>
        <w:bidi w:val="0"/>
        <w:snapToGrid/>
        <w:spacing w:line="360" w:lineRule="auto"/>
        <w:ind w:firstLine="560" w:firstLineChars="200"/>
        <w:textAlignment w:val="auto"/>
        <w:rPr>
          <w:rFonts w:hint="eastAsia" w:ascii="仿宋" w:hAnsi="仿宋" w:eastAsia="仿宋"/>
          <w:sz w:val="28"/>
          <w:szCs w:val="28"/>
          <w:highlight w:val="none"/>
          <w:lang w:val="en-US" w:eastAsia="zh-CN"/>
        </w:rPr>
      </w:pPr>
      <w:r>
        <w:rPr>
          <w:rFonts w:hint="eastAsia" w:ascii="仿宋" w:hAnsi="仿宋" w:eastAsia="仿宋" w:cstheme="minorBidi"/>
          <w:kern w:val="2"/>
          <w:sz w:val="28"/>
          <w:szCs w:val="28"/>
          <w:highlight w:val="none"/>
          <w:lang w:val="en-US" w:eastAsia="zh-CN" w:bidi="ar-SA"/>
        </w:rPr>
        <w:t>本项目设备质保期为原厂一年，质保期内，成交人应做出承诺保证，提供免费维护和升级服务。</w:t>
      </w:r>
    </w:p>
    <w:p w14:paraId="28DB023F">
      <w:pPr>
        <w:keepNext w:val="0"/>
        <w:keepLines w:val="0"/>
        <w:pageBreakBefore w:val="0"/>
        <w:kinsoku/>
        <w:wordWrap/>
        <w:overflowPunct/>
        <w:topLinePunct w:val="0"/>
        <w:bidi w:val="0"/>
        <w:snapToGrid/>
        <w:spacing w:line="460" w:lineRule="exact"/>
        <w:textAlignment w:val="auto"/>
        <w:outlineLvl w:val="0"/>
        <w:rPr>
          <w:rFonts w:ascii="仿宋" w:hAnsi="仿宋" w:eastAsia="仿宋"/>
          <w:b/>
          <w:bCs/>
          <w:sz w:val="28"/>
          <w:szCs w:val="28"/>
        </w:rPr>
      </w:pPr>
      <w:r>
        <w:rPr>
          <w:rFonts w:hint="eastAsia" w:ascii="仿宋" w:hAnsi="仿宋" w:eastAsia="仿宋"/>
          <w:b/>
          <w:bCs/>
          <w:sz w:val="28"/>
          <w:szCs w:val="28"/>
          <w:lang w:val="en-US" w:eastAsia="zh-CN"/>
        </w:rPr>
        <w:t>7</w:t>
      </w:r>
      <w:r>
        <w:rPr>
          <w:rFonts w:hint="eastAsia" w:ascii="仿宋" w:hAnsi="仿宋" w:eastAsia="仿宋"/>
          <w:b/>
          <w:bCs/>
          <w:sz w:val="28"/>
          <w:szCs w:val="28"/>
        </w:rPr>
        <w:t>. 项目验收</w:t>
      </w:r>
    </w:p>
    <w:p w14:paraId="4F4100BF">
      <w:pPr>
        <w:ind w:firstLine="560" w:firstLineChars="200"/>
      </w:pPr>
      <w:r>
        <w:rPr>
          <w:rFonts w:hint="eastAsia" w:ascii="仿宋" w:hAnsi="仿宋" w:eastAsia="仿宋"/>
          <w:sz w:val="28"/>
          <w:szCs w:val="28"/>
          <w:highlight w:val="none"/>
          <w:lang w:val="en-US" w:eastAsia="zh-CN"/>
        </w:rPr>
        <w:t>成交人按照项目合同及技术协议在完成供货、上架、安装、测试等工作后，由采购人按照其项目管理要求开展到货验收，项目验收时产生的相关费用由成交人负责。</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黑体"/>
    <w:panose1 w:val="02010601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6DAE3B7"/>
    <w:multiLevelType w:val="singleLevel"/>
    <w:tmpl w:val="26DAE3B7"/>
    <w:lvl w:ilvl="0" w:tentative="0">
      <w:start w:val="3"/>
      <w:numFmt w:val="decimal"/>
      <w:suff w:val="space"/>
      <w:lvlText w:val="%1."/>
      <w:lvlJc w:val="left"/>
    </w:lvl>
  </w:abstractNum>
  <w:abstractNum w:abstractNumId="1">
    <w:nsid w:val="2A39E43A"/>
    <w:multiLevelType w:val="multilevel"/>
    <w:tmpl w:val="2A39E43A"/>
    <w:lvl w:ilvl="0" w:tentative="0">
      <w:start w:val="1"/>
      <w:numFmt w:val="chineseCounting"/>
      <w:suff w:val="nothing"/>
      <w:lvlText w:val="%1、"/>
      <w:lvlJc w:val="left"/>
      <w:pPr>
        <w:tabs>
          <w:tab w:val="left" w:pos="0"/>
        </w:tabs>
        <w:ind w:left="1134" w:leftChars="0" w:hanging="1134" w:firstLineChars="0"/>
      </w:pPr>
      <w:rPr>
        <w:rFonts w:hint="eastAsia" w:ascii="黑体" w:hAnsi="黑体" w:eastAsia="黑体" w:cs="黑体"/>
        <w:b/>
        <w:bCs/>
        <w:sz w:val="28"/>
        <w:szCs w:val="28"/>
      </w:rPr>
    </w:lvl>
    <w:lvl w:ilvl="1" w:tentative="0">
      <w:start w:val="1"/>
      <w:numFmt w:val="chineseCounting"/>
      <w:suff w:val="nothing"/>
      <w:lvlText w:val="（%2）"/>
      <w:lvlJc w:val="left"/>
      <w:pPr>
        <w:tabs>
          <w:tab w:val="left" w:pos="420"/>
        </w:tabs>
        <w:ind w:left="480" w:leftChars="0" w:firstLine="0" w:firstLineChars="0"/>
      </w:pPr>
      <w:rPr>
        <w:rFonts w:hint="eastAsia" w:ascii="宋体" w:hAnsi="宋体" w:eastAsia="黑体" w:cs="黑体"/>
        <w:b/>
        <w:bCs w:val="0"/>
        <w:sz w:val="28"/>
        <w:szCs w:val="28"/>
      </w:rPr>
    </w:lvl>
    <w:lvl w:ilvl="2" w:tentative="0">
      <w:start w:val="1"/>
      <w:numFmt w:val="decimal"/>
      <w:pStyle w:val="2"/>
      <w:suff w:val="nothing"/>
      <w:lvlText w:val="%3."/>
      <w:lvlJc w:val="left"/>
      <w:pPr>
        <w:tabs>
          <w:tab w:val="left" w:pos="0"/>
        </w:tabs>
        <w:ind w:left="0" w:leftChars="0" w:firstLine="0" w:firstLineChars="0"/>
      </w:pPr>
      <w:rPr>
        <w:rFonts w:hint="eastAsia" w:ascii="黑体" w:hAnsi="黑体" w:eastAsia="黑体" w:cs="黑体"/>
        <w:b/>
        <w:bCs/>
        <w:sz w:val="28"/>
        <w:szCs w:val="28"/>
      </w:rPr>
    </w:lvl>
    <w:lvl w:ilvl="3" w:tentative="0">
      <w:start w:val="1"/>
      <w:numFmt w:val="decimal"/>
      <w:suff w:val="nothing"/>
      <w:lvlText w:val="(%4)"/>
      <w:lvlJc w:val="left"/>
      <w:pPr>
        <w:tabs>
          <w:tab w:val="left" w:pos="420"/>
        </w:tabs>
        <w:ind w:left="0" w:leftChars="0" w:firstLine="0" w:firstLineChars="0"/>
      </w:pPr>
      <w:rPr>
        <w:rFonts w:hint="eastAsia" w:ascii="黑体" w:hAnsi="黑体" w:eastAsia="黑体" w:cs="黑体"/>
        <w:b/>
        <w:bCs/>
        <w:sz w:val="28"/>
        <w:szCs w:val="28"/>
      </w:rPr>
    </w:lvl>
    <w:lvl w:ilvl="4" w:tentative="0">
      <w:start w:val="1"/>
      <w:numFmt w:val="decimal"/>
      <w:isLgl/>
      <w:suff w:val="nothing"/>
      <w:lvlText w:val="%5)"/>
      <w:lvlJc w:val="left"/>
      <w:pPr>
        <w:ind w:left="0" w:leftChars="0" w:firstLine="0" w:firstLineChars="0"/>
      </w:pPr>
      <w:rPr>
        <w:rFonts w:hint="eastAsia" w:ascii="黑体" w:hAnsi="黑体" w:eastAsia="黑体" w:cs="黑体"/>
        <w:b/>
        <w:bCs/>
        <w:sz w:val="28"/>
        <w:szCs w:val="28"/>
      </w:rPr>
    </w:lvl>
    <w:lvl w:ilvl="5" w:tentative="0">
      <w:start w:val="1"/>
      <w:numFmt w:val="decimal"/>
      <w:isLgl/>
      <w:suff w:val="nothing"/>
      <w:lvlText w:val="%3.%4.%5.%6."/>
      <w:lvlJc w:val="left"/>
      <w:pPr>
        <w:ind w:left="0" w:leftChars="0" w:firstLine="0" w:firstLineChars="0"/>
      </w:pPr>
      <w:rPr>
        <w:rFonts w:hint="eastAsia" w:ascii="宋体" w:hAnsi="宋体" w:eastAsia="宋体" w:cs="宋体"/>
        <w:sz w:val="24"/>
        <w:szCs w:val="24"/>
      </w:rPr>
    </w:lvl>
    <w:lvl w:ilvl="6" w:tentative="0">
      <w:start w:val="1"/>
      <w:numFmt w:val="decimal"/>
      <w:isLgl/>
      <w:suff w:val="nothing"/>
      <w:lvlText w:val="%3.%4.%5.%6.%7."/>
      <w:lvlJc w:val="left"/>
      <w:pPr>
        <w:ind w:left="1296" w:hanging="1296"/>
      </w:pPr>
      <w:rPr>
        <w:rFonts w:hint="eastAsia" w:ascii="宋体" w:hAnsi="宋体" w:eastAsia="宋体" w:cs="宋体"/>
        <w:sz w:val="24"/>
        <w:szCs w:val="24"/>
      </w:rPr>
    </w:lvl>
    <w:lvl w:ilvl="7" w:tentative="0">
      <w:start w:val="1"/>
      <w:numFmt w:val="decimal"/>
      <w:isLgl/>
      <w:lvlText w:val="%3.%4.%5.%6.%7.%8."/>
      <w:lvlJc w:val="left"/>
      <w:pPr>
        <w:ind w:left="1440" w:hanging="1440"/>
      </w:pPr>
      <w:rPr>
        <w:rFonts w:hint="eastAsia"/>
      </w:rPr>
    </w:lvl>
    <w:lvl w:ilvl="8" w:tentative="0">
      <w:start w:val="1"/>
      <w:numFmt w:val="decimal"/>
      <w:isLgl/>
      <w:lvlText w:val="%3.%4.%5.%6.%7.%8.%9."/>
      <w:lvlJc w:val="left"/>
      <w:pPr>
        <w:ind w:left="1583" w:hanging="1583"/>
      </w:pPr>
      <w:rPr>
        <w:rFonts w:hint="eastAsia"/>
      </w:rPr>
    </w:lvl>
  </w:abstractNum>
  <w:abstractNum w:abstractNumId="2">
    <w:nsid w:val="44C8C91A"/>
    <w:multiLevelType w:val="singleLevel"/>
    <w:tmpl w:val="44C8C91A"/>
    <w:lvl w:ilvl="0" w:tentative="0">
      <w:start w:val="1"/>
      <w:numFmt w:val="decimal"/>
      <w:suff w:val="space"/>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07FC0"/>
    <w:rsid w:val="004F5356"/>
    <w:rsid w:val="005D553E"/>
    <w:rsid w:val="008A2880"/>
    <w:rsid w:val="00E822BC"/>
    <w:rsid w:val="0121284A"/>
    <w:rsid w:val="014E628D"/>
    <w:rsid w:val="01B93761"/>
    <w:rsid w:val="01D7080E"/>
    <w:rsid w:val="02052EC4"/>
    <w:rsid w:val="021A3508"/>
    <w:rsid w:val="023435FB"/>
    <w:rsid w:val="027C2AE9"/>
    <w:rsid w:val="02992048"/>
    <w:rsid w:val="02A3619A"/>
    <w:rsid w:val="02DF182A"/>
    <w:rsid w:val="0327031A"/>
    <w:rsid w:val="032947D8"/>
    <w:rsid w:val="03AE5FCF"/>
    <w:rsid w:val="04142CF7"/>
    <w:rsid w:val="04C820B9"/>
    <w:rsid w:val="04E70ADD"/>
    <w:rsid w:val="04FA2088"/>
    <w:rsid w:val="051E0BAE"/>
    <w:rsid w:val="05385131"/>
    <w:rsid w:val="05A40AB0"/>
    <w:rsid w:val="05AE4E87"/>
    <w:rsid w:val="05CE20E3"/>
    <w:rsid w:val="0667118D"/>
    <w:rsid w:val="068053AB"/>
    <w:rsid w:val="06A41EF0"/>
    <w:rsid w:val="06F853DA"/>
    <w:rsid w:val="07043BDF"/>
    <w:rsid w:val="07950AF9"/>
    <w:rsid w:val="079D12A9"/>
    <w:rsid w:val="07AC2DF3"/>
    <w:rsid w:val="07CA404D"/>
    <w:rsid w:val="07CE0822"/>
    <w:rsid w:val="07D575A0"/>
    <w:rsid w:val="07EA0E2B"/>
    <w:rsid w:val="081E3B72"/>
    <w:rsid w:val="084C51F7"/>
    <w:rsid w:val="09043CA1"/>
    <w:rsid w:val="09116659"/>
    <w:rsid w:val="09285F10"/>
    <w:rsid w:val="09B63B55"/>
    <w:rsid w:val="0A05170B"/>
    <w:rsid w:val="0A606E2E"/>
    <w:rsid w:val="0B2D4E77"/>
    <w:rsid w:val="0BA83F86"/>
    <w:rsid w:val="0C227EA7"/>
    <w:rsid w:val="0C6A5083"/>
    <w:rsid w:val="0C9259D7"/>
    <w:rsid w:val="0CA20843"/>
    <w:rsid w:val="0CF103FD"/>
    <w:rsid w:val="0CFA28AC"/>
    <w:rsid w:val="0D755A34"/>
    <w:rsid w:val="0D7C07EA"/>
    <w:rsid w:val="0DCD1721"/>
    <w:rsid w:val="0E1530FA"/>
    <w:rsid w:val="0E164575"/>
    <w:rsid w:val="0E740339"/>
    <w:rsid w:val="0ED9458C"/>
    <w:rsid w:val="0EE83340"/>
    <w:rsid w:val="0EFD2904"/>
    <w:rsid w:val="0F8266F2"/>
    <w:rsid w:val="0FB1280D"/>
    <w:rsid w:val="0FF67F18"/>
    <w:rsid w:val="100D2C8F"/>
    <w:rsid w:val="101B4867"/>
    <w:rsid w:val="102D0EF6"/>
    <w:rsid w:val="1062332E"/>
    <w:rsid w:val="10947467"/>
    <w:rsid w:val="10A22696"/>
    <w:rsid w:val="10B667EB"/>
    <w:rsid w:val="10C33EAB"/>
    <w:rsid w:val="111040BF"/>
    <w:rsid w:val="113170EE"/>
    <w:rsid w:val="11B31973"/>
    <w:rsid w:val="12220E94"/>
    <w:rsid w:val="123629EA"/>
    <w:rsid w:val="126D2FA0"/>
    <w:rsid w:val="12876B3D"/>
    <w:rsid w:val="12C71968"/>
    <w:rsid w:val="12C91F7F"/>
    <w:rsid w:val="12D376C6"/>
    <w:rsid w:val="12FD5FE1"/>
    <w:rsid w:val="13403098"/>
    <w:rsid w:val="139C3D2E"/>
    <w:rsid w:val="13A04AF2"/>
    <w:rsid w:val="13C739E1"/>
    <w:rsid w:val="13C90671"/>
    <w:rsid w:val="13CC56ED"/>
    <w:rsid w:val="13DA0814"/>
    <w:rsid w:val="145975C8"/>
    <w:rsid w:val="14644EC0"/>
    <w:rsid w:val="14787A9D"/>
    <w:rsid w:val="148B01E6"/>
    <w:rsid w:val="14C173DA"/>
    <w:rsid w:val="154E5D27"/>
    <w:rsid w:val="15AE3A44"/>
    <w:rsid w:val="15E7771E"/>
    <w:rsid w:val="16301E83"/>
    <w:rsid w:val="164326F7"/>
    <w:rsid w:val="16594B30"/>
    <w:rsid w:val="16CE2925"/>
    <w:rsid w:val="16CE6ED1"/>
    <w:rsid w:val="16EF1B69"/>
    <w:rsid w:val="16F93890"/>
    <w:rsid w:val="17093664"/>
    <w:rsid w:val="1722086A"/>
    <w:rsid w:val="176D7F1D"/>
    <w:rsid w:val="179101CC"/>
    <w:rsid w:val="17932C9C"/>
    <w:rsid w:val="179F2678"/>
    <w:rsid w:val="18470DA8"/>
    <w:rsid w:val="188127FB"/>
    <w:rsid w:val="18CB06C9"/>
    <w:rsid w:val="19072E0A"/>
    <w:rsid w:val="1925546E"/>
    <w:rsid w:val="1972143E"/>
    <w:rsid w:val="197453A2"/>
    <w:rsid w:val="19FB3C2D"/>
    <w:rsid w:val="1A441946"/>
    <w:rsid w:val="1A542F2F"/>
    <w:rsid w:val="1A825F26"/>
    <w:rsid w:val="1A8A25A7"/>
    <w:rsid w:val="1A9156CA"/>
    <w:rsid w:val="1AF72CF5"/>
    <w:rsid w:val="1B971D9F"/>
    <w:rsid w:val="1BA72762"/>
    <w:rsid w:val="1BE06B3D"/>
    <w:rsid w:val="1BE17E45"/>
    <w:rsid w:val="1BEA408A"/>
    <w:rsid w:val="1C104222"/>
    <w:rsid w:val="1C156143"/>
    <w:rsid w:val="1C6A77AB"/>
    <w:rsid w:val="1CEB1F32"/>
    <w:rsid w:val="1D0D1F8F"/>
    <w:rsid w:val="1D676FD3"/>
    <w:rsid w:val="1DBD41C2"/>
    <w:rsid w:val="1DFA1241"/>
    <w:rsid w:val="1DFE16AA"/>
    <w:rsid w:val="1E7D7C43"/>
    <w:rsid w:val="1EA8494A"/>
    <w:rsid w:val="1F4C2ADB"/>
    <w:rsid w:val="1F68538F"/>
    <w:rsid w:val="1F781D3A"/>
    <w:rsid w:val="1F7A064D"/>
    <w:rsid w:val="1F854D43"/>
    <w:rsid w:val="1FEF04BD"/>
    <w:rsid w:val="1FF51C38"/>
    <w:rsid w:val="200D160C"/>
    <w:rsid w:val="202A2DAA"/>
    <w:rsid w:val="203146E9"/>
    <w:rsid w:val="20374229"/>
    <w:rsid w:val="204006AB"/>
    <w:rsid w:val="20937FED"/>
    <w:rsid w:val="21274360"/>
    <w:rsid w:val="212B3DA0"/>
    <w:rsid w:val="213D5361"/>
    <w:rsid w:val="21444A39"/>
    <w:rsid w:val="21891885"/>
    <w:rsid w:val="21AF456B"/>
    <w:rsid w:val="22093243"/>
    <w:rsid w:val="220A6A98"/>
    <w:rsid w:val="22110B36"/>
    <w:rsid w:val="22387A94"/>
    <w:rsid w:val="22A93E0D"/>
    <w:rsid w:val="2331215E"/>
    <w:rsid w:val="235D6ABF"/>
    <w:rsid w:val="23BB646F"/>
    <w:rsid w:val="23F259AF"/>
    <w:rsid w:val="240D7367"/>
    <w:rsid w:val="24157BA9"/>
    <w:rsid w:val="244F5468"/>
    <w:rsid w:val="24A91516"/>
    <w:rsid w:val="255F0EE7"/>
    <w:rsid w:val="25624E28"/>
    <w:rsid w:val="26655E4E"/>
    <w:rsid w:val="269334A4"/>
    <w:rsid w:val="26F05630"/>
    <w:rsid w:val="27354392"/>
    <w:rsid w:val="276432DD"/>
    <w:rsid w:val="278E513B"/>
    <w:rsid w:val="27E32D6A"/>
    <w:rsid w:val="280266C3"/>
    <w:rsid w:val="28237858"/>
    <w:rsid w:val="288C1A37"/>
    <w:rsid w:val="2897699F"/>
    <w:rsid w:val="28AA2F80"/>
    <w:rsid w:val="28B06650"/>
    <w:rsid w:val="28C5613F"/>
    <w:rsid w:val="29465AE2"/>
    <w:rsid w:val="295B1BD0"/>
    <w:rsid w:val="29AC589C"/>
    <w:rsid w:val="29C11DB3"/>
    <w:rsid w:val="29DC6C79"/>
    <w:rsid w:val="2A1F15DD"/>
    <w:rsid w:val="2A1F423A"/>
    <w:rsid w:val="2A2F4F4F"/>
    <w:rsid w:val="2B1B429D"/>
    <w:rsid w:val="2B3B5E45"/>
    <w:rsid w:val="2B403C7D"/>
    <w:rsid w:val="2B874BC9"/>
    <w:rsid w:val="2B9C4A36"/>
    <w:rsid w:val="2BAB06A1"/>
    <w:rsid w:val="2BB96440"/>
    <w:rsid w:val="2BD55755"/>
    <w:rsid w:val="2C235A6C"/>
    <w:rsid w:val="2CB9544A"/>
    <w:rsid w:val="2D470409"/>
    <w:rsid w:val="2DA52C69"/>
    <w:rsid w:val="2E4F083F"/>
    <w:rsid w:val="2ECD62E5"/>
    <w:rsid w:val="2F002B44"/>
    <w:rsid w:val="2F8F6544"/>
    <w:rsid w:val="2FD5040B"/>
    <w:rsid w:val="2FFC7318"/>
    <w:rsid w:val="302A0E17"/>
    <w:rsid w:val="30A63F70"/>
    <w:rsid w:val="30AD7DB2"/>
    <w:rsid w:val="3116710F"/>
    <w:rsid w:val="31AB09CC"/>
    <w:rsid w:val="31AB3C34"/>
    <w:rsid w:val="31BB30C0"/>
    <w:rsid w:val="31FA57AF"/>
    <w:rsid w:val="321D0D70"/>
    <w:rsid w:val="321E4924"/>
    <w:rsid w:val="324270AA"/>
    <w:rsid w:val="3336037D"/>
    <w:rsid w:val="335039FD"/>
    <w:rsid w:val="337E1F97"/>
    <w:rsid w:val="33E93E08"/>
    <w:rsid w:val="34100152"/>
    <w:rsid w:val="345C43E8"/>
    <w:rsid w:val="346F643F"/>
    <w:rsid w:val="34853B87"/>
    <w:rsid w:val="34CF76A3"/>
    <w:rsid w:val="34FB6DEE"/>
    <w:rsid w:val="35580B38"/>
    <w:rsid w:val="35745FFB"/>
    <w:rsid w:val="3581529D"/>
    <w:rsid w:val="3589212D"/>
    <w:rsid w:val="35964259"/>
    <w:rsid w:val="35D1632A"/>
    <w:rsid w:val="369270BE"/>
    <w:rsid w:val="36987B12"/>
    <w:rsid w:val="36AA0799"/>
    <w:rsid w:val="36B840F4"/>
    <w:rsid w:val="371700D3"/>
    <w:rsid w:val="37235EEB"/>
    <w:rsid w:val="373E32B2"/>
    <w:rsid w:val="37B570DB"/>
    <w:rsid w:val="3824714D"/>
    <w:rsid w:val="385414FF"/>
    <w:rsid w:val="38737857"/>
    <w:rsid w:val="38801072"/>
    <w:rsid w:val="38AE1BBA"/>
    <w:rsid w:val="38C7018E"/>
    <w:rsid w:val="38D411F4"/>
    <w:rsid w:val="392B3157"/>
    <w:rsid w:val="394A7292"/>
    <w:rsid w:val="39AF6203"/>
    <w:rsid w:val="39D75AB3"/>
    <w:rsid w:val="39E579BE"/>
    <w:rsid w:val="3A284D7F"/>
    <w:rsid w:val="3A5F0264"/>
    <w:rsid w:val="3A7001CA"/>
    <w:rsid w:val="3AB6158F"/>
    <w:rsid w:val="3ABB23D1"/>
    <w:rsid w:val="3AEA15C9"/>
    <w:rsid w:val="3B452CA5"/>
    <w:rsid w:val="3BA70FE9"/>
    <w:rsid w:val="3BB32885"/>
    <w:rsid w:val="3BD658D4"/>
    <w:rsid w:val="3BF109DF"/>
    <w:rsid w:val="3C5A1B3E"/>
    <w:rsid w:val="3C653D0B"/>
    <w:rsid w:val="3CB755B7"/>
    <w:rsid w:val="3D065F58"/>
    <w:rsid w:val="3D592AD2"/>
    <w:rsid w:val="3D95719C"/>
    <w:rsid w:val="3D9C1A82"/>
    <w:rsid w:val="3DE74070"/>
    <w:rsid w:val="3E2C3ADF"/>
    <w:rsid w:val="3E425952"/>
    <w:rsid w:val="3ED56C81"/>
    <w:rsid w:val="3EEA1418"/>
    <w:rsid w:val="3F1C15BD"/>
    <w:rsid w:val="3F8B0558"/>
    <w:rsid w:val="3F940AC9"/>
    <w:rsid w:val="3F9663CC"/>
    <w:rsid w:val="3FC13AAC"/>
    <w:rsid w:val="40477AF3"/>
    <w:rsid w:val="409778CC"/>
    <w:rsid w:val="40AC1FC6"/>
    <w:rsid w:val="40B7253E"/>
    <w:rsid w:val="40F72798"/>
    <w:rsid w:val="411B67F1"/>
    <w:rsid w:val="412F17BC"/>
    <w:rsid w:val="41370D9D"/>
    <w:rsid w:val="415C1616"/>
    <w:rsid w:val="41716FCF"/>
    <w:rsid w:val="41B571ED"/>
    <w:rsid w:val="41C65A28"/>
    <w:rsid w:val="41FA42FB"/>
    <w:rsid w:val="42091F7A"/>
    <w:rsid w:val="422C6B27"/>
    <w:rsid w:val="4262739D"/>
    <w:rsid w:val="42725A51"/>
    <w:rsid w:val="428160AD"/>
    <w:rsid w:val="42B33C72"/>
    <w:rsid w:val="42DF7320"/>
    <w:rsid w:val="434B67C1"/>
    <w:rsid w:val="436319C1"/>
    <w:rsid w:val="436D55A4"/>
    <w:rsid w:val="43910504"/>
    <w:rsid w:val="439B1C8F"/>
    <w:rsid w:val="43AF6D5F"/>
    <w:rsid w:val="43EF43AD"/>
    <w:rsid w:val="442C41B0"/>
    <w:rsid w:val="44763DC8"/>
    <w:rsid w:val="44783DC7"/>
    <w:rsid w:val="44984AF0"/>
    <w:rsid w:val="4525610B"/>
    <w:rsid w:val="452F36D0"/>
    <w:rsid w:val="453F5D4A"/>
    <w:rsid w:val="45557674"/>
    <w:rsid w:val="456B5951"/>
    <w:rsid w:val="45A16A4B"/>
    <w:rsid w:val="45D23A77"/>
    <w:rsid w:val="45D651C7"/>
    <w:rsid w:val="463A56E8"/>
    <w:rsid w:val="468B046F"/>
    <w:rsid w:val="46B81098"/>
    <w:rsid w:val="46BE5AFF"/>
    <w:rsid w:val="46BF3F3F"/>
    <w:rsid w:val="46FA262E"/>
    <w:rsid w:val="47142DD8"/>
    <w:rsid w:val="4781476D"/>
    <w:rsid w:val="47851980"/>
    <w:rsid w:val="478A32E8"/>
    <w:rsid w:val="486E25E8"/>
    <w:rsid w:val="488234BB"/>
    <w:rsid w:val="488420AE"/>
    <w:rsid w:val="48B23354"/>
    <w:rsid w:val="491E512A"/>
    <w:rsid w:val="494A0DAB"/>
    <w:rsid w:val="49DE2403"/>
    <w:rsid w:val="4A8F254F"/>
    <w:rsid w:val="4AAC6D66"/>
    <w:rsid w:val="4AC436DF"/>
    <w:rsid w:val="4B7729A7"/>
    <w:rsid w:val="4BB66D39"/>
    <w:rsid w:val="4C1D7959"/>
    <w:rsid w:val="4C2B4E82"/>
    <w:rsid w:val="4C3F1B8D"/>
    <w:rsid w:val="4CAD301F"/>
    <w:rsid w:val="4CBB1ECA"/>
    <w:rsid w:val="4D645E8D"/>
    <w:rsid w:val="4DF16CC7"/>
    <w:rsid w:val="4E130667"/>
    <w:rsid w:val="4E1B04BF"/>
    <w:rsid w:val="4F0F6EEF"/>
    <w:rsid w:val="4F1353EA"/>
    <w:rsid w:val="4F275956"/>
    <w:rsid w:val="4F315D69"/>
    <w:rsid w:val="4F554635"/>
    <w:rsid w:val="4FA570C1"/>
    <w:rsid w:val="4FE26AD0"/>
    <w:rsid w:val="501774CF"/>
    <w:rsid w:val="503E0E5A"/>
    <w:rsid w:val="508747F1"/>
    <w:rsid w:val="508E4425"/>
    <w:rsid w:val="509865A2"/>
    <w:rsid w:val="50E3001A"/>
    <w:rsid w:val="50EB66AA"/>
    <w:rsid w:val="50F73E3B"/>
    <w:rsid w:val="511F4D38"/>
    <w:rsid w:val="5190121E"/>
    <w:rsid w:val="51C107E6"/>
    <w:rsid w:val="51C83DEF"/>
    <w:rsid w:val="5219314E"/>
    <w:rsid w:val="52463DE8"/>
    <w:rsid w:val="52C6135A"/>
    <w:rsid w:val="530C6635"/>
    <w:rsid w:val="5322646E"/>
    <w:rsid w:val="53805AE4"/>
    <w:rsid w:val="53A33EEC"/>
    <w:rsid w:val="54005B28"/>
    <w:rsid w:val="54566A65"/>
    <w:rsid w:val="54635514"/>
    <w:rsid w:val="550C1387"/>
    <w:rsid w:val="551C6BB0"/>
    <w:rsid w:val="56CE7FBB"/>
    <w:rsid w:val="56FD6E6F"/>
    <w:rsid w:val="581F1305"/>
    <w:rsid w:val="583E6AA8"/>
    <w:rsid w:val="59243302"/>
    <w:rsid w:val="594651FE"/>
    <w:rsid w:val="595600FD"/>
    <w:rsid w:val="59756E3E"/>
    <w:rsid w:val="598D5D85"/>
    <w:rsid w:val="59901E37"/>
    <w:rsid w:val="59B85523"/>
    <w:rsid w:val="59CE4D04"/>
    <w:rsid w:val="5A3E3EBF"/>
    <w:rsid w:val="5A4B5D04"/>
    <w:rsid w:val="5A55789F"/>
    <w:rsid w:val="5AE5702F"/>
    <w:rsid w:val="5B2210F1"/>
    <w:rsid w:val="5B22772B"/>
    <w:rsid w:val="5B827CE2"/>
    <w:rsid w:val="5B8E31BF"/>
    <w:rsid w:val="5B9C3D39"/>
    <w:rsid w:val="5C277539"/>
    <w:rsid w:val="5C9E012F"/>
    <w:rsid w:val="5CAC74AC"/>
    <w:rsid w:val="5CDD3320"/>
    <w:rsid w:val="5CFE114A"/>
    <w:rsid w:val="5E3C27B0"/>
    <w:rsid w:val="5E410114"/>
    <w:rsid w:val="5E786C89"/>
    <w:rsid w:val="5ED0530A"/>
    <w:rsid w:val="5F031E79"/>
    <w:rsid w:val="5F0B0796"/>
    <w:rsid w:val="5F3722EF"/>
    <w:rsid w:val="5F3D3B78"/>
    <w:rsid w:val="5F407B72"/>
    <w:rsid w:val="5F4C5728"/>
    <w:rsid w:val="60147D74"/>
    <w:rsid w:val="601A4466"/>
    <w:rsid w:val="604119A5"/>
    <w:rsid w:val="607906BC"/>
    <w:rsid w:val="608E39C9"/>
    <w:rsid w:val="60A66C31"/>
    <w:rsid w:val="610B73AE"/>
    <w:rsid w:val="615E5B23"/>
    <w:rsid w:val="61C56E14"/>
    <w:rsid w:val="62117FFC"/>
    <w:rsid w:val="62383DEE"/>
    <w:rsid w:val="623B7505"/>
    <w:rsid w:val="62E36B83"/>
    <w:rsid w:val="62F62DEA"/>
    <w:rsid w:val="63077258"/>
    <w:rsid w:val="63394DDD"/>
    <w:rsid w:val="636D0230"/>
    <w:rsid w:val="639A6855"/>
    <w:rsid w:val="63A17929"/>
    <w:rsid w:val="644D45C4"/>
    <w:rsid w:val="64B66010"/>
    <w:rsid w:val="64F954E3"/>
    <w:rsid w:val="650F689C"/>
    <w:rsid w:val="65112F47"/>
    <w:rsid w:val="652005FA"/>
    <w:rsid w:val="65A6610D"/>
    <w:rsid w:val="65E85645"/>
    <w:rsid w:val="65EF792D"/>
    <w:rsid w:val="65F1357B"/>
    <w:rsid w:val="66033BBE"/>
    <w:rsid w:val="661E133A"/>
    <w:rsid w:val="66490E00"/>
    <w:rsid w:val="66722301"/>
    <w:rsid w:val="66805BEE"/>
    <w:rsid w:val="66925B25"/>
    <w:rsid w:val="6715471C"/>
    <w:rsid w:val="6741044D"/>
    <w:rsid w:val="67C116DA"/>
    <w:rsid w:val="67EF2147"/>
    <w:rsid w:val="68057BE3"/>
    <w:rsid w:val="682528C9"/>
    <w:rsid w:val="68744136"/>
    <w:rsid w:val="688D46B7"/>
    <w:rsid w:val="691F2A2D"/>
    <w:rsid w:val="69257716"/>
    <w:rsid w:val="6968016F"/>
    <w:rsid w:val="696819B8"/>
    <w:rsid w:val="69B60E22"/>
    <w:rsid w:val="69C232DB"/>
    <w:rsid w:val="6A0549BA"/>
    <w:rsid w:val="6A081C8F"/>
    <w:rsid w:val="6A1851C8"/>
    <w:rsid w:val="6A77490C"/>
    <w:rsid w:val="6A7D0CE6"/>
    <w:rsid w:val="6AAF534D"/>
    <w:rsid w:val="6AE4616B"/>
    <w:rsid w:val="6B216D86"/>
    <w:rsid w:val="6B4B1624"/>
    <w:rsid w:val="6BF4098C"/>
    <w:rsid w:val="6C0D7ADF"/>
    <w:rsid w:val="6C142E0F"/>
    <w:rsid w:val="6C547315"/>
    <w:rsid w:val="6CE411B3"/>
    <w:rsid w:val="6CEC283D"/>
    <w:rsid w:val="6D0D149C"/>
    <w:rsid w:val="6D1172FE"/>
    <w:rsid w:val="6D5A3326"/>
    <w:rsid w:val="6DDC40AC"/>
    <w:rsid w:val="6DEB1BEC"/>
    <w:rsid w:val="6E4F36C2"/>
    <w:rsid w:val="6E8153A3"/>
    <w:rsid w:val="6EBF1639"/>
    <w:rsid w:val="6ECB5C45"/>
    <w:rsid w:val="6F6E0FEA"/>
    <w:rsid w:val="7021065C"/>
    <w:rsid w:val="70B00269"/>
    <w:rsid w:val="70CE4EDC"/>
    <w:rsid w:val="71417282"/>
    <w:rsid w:val="71D85176"/>
    <w:rsid w:val="72293877"/>
    <w:rsid w:val="726E05B5"/>
    <w:rsid w:val="72B572DB"/>
    <w:rsid w:val="72C962C6"/>
    <w:rsid w:val="72EF7D04"/>
    <w:rsid w:val="730008E1"/>
    <w:rsid w:val="736E1CB2"/>
    <w:rsid w:val="737538CA"/>
    <w:rsid w:val="73903321"/>
    <w:rsid w:val="74671D64"/>
    <w:rsid w:val="74856500"/>
    <w:rsid w:val="749B381D"/>
    <w:rsid w:val="74BB58A8"/>
    <w:rsid w:val="75354D9C"/>
    <w:rsid w:val="753936A1"/>
    <w:rsid w:val="75A47E11"/>
    <w:rsid w:val="75C9465B"/>
    <w:rsid w:val="76164748"/>
    <w:rsid w:val="76297F5F"/>
    <w:rsid w:val="767A413E"/>
    <w:rsid w:val="769B18FF"/>
    <w:rsid w:val="76A04FCB"/>
    <w:rsid w:val="76C9034A"/>
    <w:rsid w:val="76EC753B"/>
    <w:rsid w:val="772754F7"/>
    <w:rsid w:val="772A52FC"/>
    <w:rsid w:val="77CB25CB"/>
    <w:rsid w:val="77E32439"/>
    <w:rsid w:val="786C2B87"/>
    <w:rsid w:val="787E4581"/>
    <w:rsid w:val="78823577"/>
    <w:rsid w:val="789262C0"/>
    <w:rsid w:val="79352001"/>
    <w:rsid w:val="79873CB3"/>
    <w:rsid w:val="79BF2845"/>
    <w:rsid w:val="79BF4655"/>
    <w:rsid w:val="7A3B0D0D"/>
    <w:rsid w:val="7A5567C9"/>
    <w:rsid w:val="7A8362FF"/>
    <w:rsid w:val="7A9270D4"/>
    <w:rsid w:val="7AA04C64"/>
    <w:rsid w:val="7AC53A48"/>
    <w:rsid w:val="7B0C31E9"/>
    <w:rsid w:val="7B4B5B18"/>
    <w:rsid w:val="7B9332D8"/>
    <w:rsid w:val="7BBC4169"/>
    <w:rsid w:val="7C1D4B89"/>
    <w:rsid w:val="7C2135D2"/>
    <w:rsid w:val="7C5844B9"/>
    <w:rsid w:val="7CA35211"/>
    <w:rsid w:val="7CA35227"/>
    <w:rsid w:val="7E091C7F"/>
    <w:rsid w:val="7E134483"/>
    <w:rsid w:val="7E9A7BA4"/>
    <w:rsid w:val="7EFA7E9B"/>
    <w:rsid w:val="7F1D5333"/>
    <w:rsid w:val="7F30270F"/>
    <w:rsid w:val="7FA90808"/>
    <w:rsid w:val="7FD43F5D"/>
    <w:rsid w:val="7FF07C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keepNext/>
      <w:keepLines/>
      <w:numPr>
        <w:ilvl w:val="2"/>
        <w:numId w:val="1"/>
      </w:numPr>
      <w:ind w:left="0" w:firstLine="0" w:firstLineChars="0"/>
      <w:jc w:val="left"/>
      <w:outlineLvl w:val="2"/>
    </w:pPr>
    <w:rPr>
      <w:rFonts w:ascii="黑体" w:hAnsi="黑体" w:eastAsia="黑体" w:cs="黑体"/>
      <w:b/>
      <w:bCs/>
      <w:kern w:val="0"/>
      <w:sz w:val="28"/>
      <w:szCs w:val="24"/>
      <w:lang w:bidi="ar"/>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
    <w:name w:val="样式7"/>
    <w:basedOn w:val="1"/>
    <w:qFormat/>
    <w:uiPriority w:val="0"/>
    <w:pPr>
      <w:ind w:firstLine="360"/>
    </w:pPr>
    <w:rPr>
      <w:rFonts w:hAnsi="宋体"/>
      <w:kern w:val="0"/>
      <w:szCs w:val="20"/>
    </w:rPr>
  </w:style>
  <w:style w:type="paragraph" w:styleId="7">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835</Words>
  <Characters>858</Characters>
  <Lines>0</Lines>
  <Paragraphs>0</Paragraphs>
  <TotalTime>12</TotalTime>
  <ScaleCrop>false</ScaleCrop>
  <LinksUpToDate>false</LinksUpToDate>
  <CharactersWithSpaces>864</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2025-01-09T06:18:00Z</dcterms:created>
  <dc:creator>yndw</dc:creator>
  <cp:lastModifiedBy>杨超杰</cp:lastModifiedBy>
  <cp:lastPrinted>2025-09-28T07:04:07Z</cp:lastPrinted>
  <dcterms:modified xsi:type="dcterms:W3CDTF">2025-09-28T07:23:39Z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1C1F652AFB3040B2BCCCE53AA20F24F8</vt:lpwstr>
  </property>
  <property fmtid="{D5CDD505-2E9C-101B-9397-08002B2CF9AE}" pid="4" name="KSOTemplateDocerSaveRecord">
    <vt:lpwstr>eyJoZGlkIjoiNzc0NGU2MTZlMjdlZDYwMThjMTA3ZjA1YmU5Y2Q2NGEiLCJ1c2VySWQiOiI0MTczNTU1MTgifQ==</vt:lpwstr>
  </property>
</Properties>
</file>