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jc w:val="center"/>
        <w:rPr>
          <w:rFonts w:hint="eastAsia" w:ascii="仿宋_GB2312" w:hAnsi="仿宋" w:eastAsia="仿宋_GB2312"/>
          <w:b/>
          <w:sz w:val="44"/>
          <w:szCs w:val="72"/>
        </w:rPr>
      </w:pPr>
    </w:p>
    <w:p>
      <w:pPr>
        <w:spacing w:before="100" w:beforeAutospacing="1" w:after="100" w:afterAutospacing="1"/>
        <w:jc w:val="center"/>
        <w:rPr>
          <w:rFonts w:hint="eastAsia" w:ascii="仿宋_GB2312" w:hAnsi="仿宋" w:eastAsia="仿宋_GB2312"/>
          <w:b/>
          <w:sz w:val="44"/>
          <w:szCs w:val="72"/>
        </w:rPr>
      </w:pPr>
    </w:p>
    <w:p>
      <w:pPr>
        <w:jc w:val="center"/>
        <w:rPr>
          <w:rFonts w:ascii="仿宋_GB2312" w:hAnsi="仿宋" w:eastAsia="仿宋_GB2312"/>
          <w:b/>
          <w:color w:val="000000"/>
          <w:sz w:val="44"/>
        </w:rPr>
      </w:pPr>
      <w:r>
        <w:rPr>
          <w:rFonts w:hint="eastAsia" w:ascii="仿宋_GB2312" w:hAnsi="仿宋" w:eastAsia="仿宋_GB2312"/>
          <w:b/>
          <w:sz w:val="44"/>
          <w:szCs w:val="72"/>
        </w:rPr>
        <w:t>云南送变电工程有限公司2025</w:t>
      </w:r>
      <w:r>
        <w:rPr>
          <w:rFonts w:ascii="仿宋_GB2312" w:hAnsi="仿宋" w:eastAsia="仿宋_GB2312"/>
          <w:b/>
          <w:color w:val="000000"/>
          <w:sz w:val="44"/>
        </w:rPr>
        <w:t>年</w:t>
      </w:r>
    </w:p>
    <w:p>
      <w:pPr>
        <w:jc w:val="center"/>
        <w:rPr>
          <w:rFonts w:hint="eastAsia" w:ascii="仿宋_GB2312" w:hAnsi="仿宋" w:eastAsia="仿宋_GB2312"/>
          <w:b/>
          <w:color w:val="000000"/>
          <w:sz w:val="44"/>
        </w:rPr>
      </w:pPr>
      <w:r>
        <w:rPr>
          <w:rFonts w:hint="eastAsia" w:ascii="仿宋_GB2312" w:hAnsi="仿宋" w:eastAsia="仿宋_GB2312"/>
          <w:b/>
          <w:sz w:val="44"/>
          <w:szCs w:val="72"/>
          <w:lang w:val="en-US" w:eastAsia="zh-CN"/>
        </w:rPr>
        <w:t>显卡采购项目</w:t>
      </w:r>
      <w:r>
        <w:rPr>
          <w:rFonts w:hint="eastAsia" w:ascii="仿宋_GB2312" w:hAnsi="仿宋" w:eastAsia="仿宋_GB2312"/>
          <w:b/>
          <w:color w:val="000000"/>
          <w:sz w:val="44"/>
        </w:rPr>
        <w:t>技术规范书</w:t>
      </w:r>
    </w:p>
    <w:p>
      <w:pPr>
        <w:pStyle w:val="11"/>
        <w:ind w:firstLine="883"/>
        <w:rPr>
          <w:rFonts w:hint="eastAsia" w:ascii="仿宋_GB2312" w:hAnsi="仿宋" w:eastAsia="仿宋_GB2312"/>
          <w:b/>
          <w:color w:val="000000"/>
          <w:sz w:val="44"/>
        </w:rPr>
      </w:pPr>
    </w:p>
    <w:p>
      <w:pPr>
        <w:pStyle w:val="11"/>
        <w:ind w:firstLine="883"/>
        <w:rPr>
          <w:rFonts w:hint="eastAsia" w:ascii="仿宋_GB2312" w:hAnsi="仿宋" w:eastAsia="仿宋_GB2312"/>
          <w:b/>
          <w:color w:val="000000"/>
          <w:sz w:val="44"/>
        </w:rPr>
      </w:pPr>
    </w:p>
    <w:p>
      <w:pPr>
        <w:pStyle w:val="11"/>
        <w:ind w:firstLine="883"/>
        <w:rPr>
          <w:rFonts w:hint="eastAsia" w:ascii="仿宋_GB2312" w:hAnsi="仿宋" w:eastAsia="仿宋_GB2312"/>
          <w:b/>
          <w:color w:val="000000"/>
          <w:sz w:val="44"/>
        </w:rPr>
      </w:pPr>
    </w:p>
    <w:p>
      <w:pPr>
        <w:pStyle w:val="11"/>
        <w:ind w:firstLine="883"/>
        <w:rPr>
          <w:rFonts w:hint="eastAsia" w:ascii="仿宋_GB2312" w:hAnsi="仿宋" w:eastAsia="仿宋_GB2312"/>
          <w:b/>
          <w:color w:val="000000"/>
          <w:sz w:val="44"/>
        </w:rPr>
      </w:pPr>
    </w:p>
    <w:p>
      <w:pPr>
        <w:jc w:val="center"/>
        <w:rPr>
          <w:rFonts w:ascii="黑体" w:eastAsia="黑体"/>
          <w:b/>
          <w:color w:val="000000"/>
          <w:sz w:val="52"/>
        </w:rPr>
      </w:pPr>
    </w:p>
    <w:p>
      <w:pPr>
        <w:pStyle w:val="4"/>
      </w:pPr>
    </w:p>
    <w:p>
      <w:pPr>
        <w:jc w:val="center"/>
        <w:rPr>
          <w:rFonts w:ascii="黑体" w:eastAsia="黑体"/>
          <w:b/>
          <w:color w:val="000000"/>
          <w:sz w:val="52"/>
        </w:rPr>
      </w:pPr>
    </w:p>
    <w:p>
      <w:pPr>
        <w:pStyle w:val="4"/>
        <w:rPr>
          <w:rFonts w:ascii="黑体" w:eastAsia="黑体"/>
          <w:b/>
          <w:color w:val="000000"/>
          <w:sz w:val="52"/>
        </w:rPr>
      </w:pPr>
    </w:p>
    <w:p>
      <w:pPr>
        <w:pStyle w:val="4"/>
        <w:rPr>
          <w:rFonts w:ascii="黑体" w:eastAsia="黑体"/>
          <w:b/>
          <w:color w:val="000000"/>
          <w:sz w:val="52"/>
        </w:rPr>
      </w:pPr>
    </w:p>
    <w:p>
      <w:pPr>
        <w:pStyle w:val="4"/>
        <w:rPr>
          <w:rFonts w:ascii="黑体" w:eastAsia="黑体"/>
          <w:b/>
          <w:color w:val="000000"/>
          <w:sz w:val="52"/>
        </w:rPr>
      </w:pPr>
    </w:p>
    <w:p>
      <w:pPr>
        <w:jc w:val="center"/>
        <w:rPr>
          <w:rFonts w:ascii="黑体" w:eastAsia="黑体"/>
          <w:b/>
          <w:color w:val="000000"/>
          <w:sz w:val="52"/>
        </w:rPr>
      </w:pPr>
    </w:p>
    <w:p>
      <w:pPr>
        <w:jc w:val="center"/>
        <w:rPr>
          <w:rFonts w:hint="eastAsia" w:ascii="仿宋_GB2312" w:hAnsi="仿宋" w:eastAsia="仿宋_GB2312"/>
          <w:color w:val="000000"/>
          <w:sz w:val="28"/>
        </w:rPr>
      </w:pPr>
    </w:p>
    <w:p>
      <w:pPr>
        <w:jc w:val="center"/>
        <w:rPr>
          <w:rFonts w:hint="eastAsia" w:ascii="仿宋_GB2312" w:hAnsi="仿宋" w:eastAsia="仿宋_GB2312"/>
          <w:color w:val="000000"/>
          <w:sz w:val="28"/>
        </w:rPr>
      </w:pPr>
      <w:r>
        <w:rPr>
          <w:rFonts w:hint="eastAsia" w:ascii="仿宋_GB2312" w:hAnsi="仿宋" w:eastAsia="仿宋_GB2312"/>
          <w:color w:val="000000"/>
          <w:sz w:val="28"/>
        </w:rPr>
        <w:t>云南送变电工程有限公司</w:t>
      </w:r>
    </w:p>
    <w:p>
      <w:pPr>
        <w:pStyle w:val="4"/>
      </w:pPr>
    </w:p>
    <w:p>
      <w:pPr>
        <w:pStyle w:val="4"/>
        <w:jc w:val="center"/>
        <w:rPr>
          <w:rFonts w:eastAsia="仿宋_GB2312"/>
        </w:rPr>
      </w:pPr>
      <w:r>
        <w:rPr>
          <w:rFonts w:hint="eastAsia" w:ascii="仿宋_GB2312" w:hAnsi="仿宋" w:eastAsia="仿宋_GB2312"/>
          <w:color w:val="000000"/>
          <w:sz w:val="28"/>
        </w:rPr>
        <w:t>2025年08月</w:t>
      </w:r>
    </w:p>
    <w:p>
      <w:pPr>
        <w:rPr>
          <w:rFonts w:hint="eastAsia" w:asciiTheme="minorEastAsia" w:hAnsiTheme="minorEastAsia" w:eastAsiaTheme="minorEastAsia" w:cstheme="minorEastAsia"/>
          <w:b/>
          <w:sz w:val="28"/>
          <w:szCs w:val="28"/>
        </w:rPr>
      </w:pPr>
      <w:bookmarkStart w:id="0" w:name="_Toc15233"/>
      <w:bookmarkStart w:id="1" w:name="_Toc4944"/>
      <w:r>
        <w:rPr>
          <w:rFonts w:hint="eastAsia" w:asciiTheme="minorEastAsia" w:hAnsiTheme="minorEastAsia" w:eastAsiaTheme="minorEastAsia" w:cstheme="minorEastAsia"/>
          <w:b/>
          <w:sz w:val="28"/>
          <w:szCs w:val="28"/>
        </w:rPr>
        <w:br w:type="page"/>
      </w:r>
    </w:p>
    <w:p>
      <w:pPr>
        <w:spacing w:line="360" w:lineRule="auto"/>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1.总则</w:t>
      </w:r>
      <w:bookmarkEnd w:id="0"/>
      <w:bookmarkEnd w:id="1"/>
    </w:p>
    <w:p>
      <w:pPr>
        <w:spacing w:line="360" w:lineRule="auto"/>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本技术规范书是招标方对</w:t>
      </w:r>
      <w:r>
        <w:rPr>
          <w:rFonts w:hint="eastAsia" w:asciiTheme="minorEastAsia" w:hAnsiTheme="minorEastAsia" w:eastAsiaTheme="minorEastAsia" w:cstheme="minorEastAsia"/>
          <w:b w:val="0"/>
          <w:bCs/>
          <w:sz w:val="21"/>
          <w:szCs w:val="21"/>
          <w:u w:val="single"/>
        </w:rPr>
        <w:t>云南送变电工程有限公司2025年</w:t>
      </w:r>
      <w:r>
        <w:rPr>
          <w:rFonts w:hint="eastAsia" w:asciiTheme="minorEastAsia" w:hAnsiTheme="minorEastAsia" w:eastAsiaTheme="minorEastAsia" w:cstheme="minorEastAsia"/>
          <w:b w:val="0"/>
          <w:bCs/>
          <w:sz w:val="21"/>
          <w:szCs w:val="21"/>
          <w:u w:val="single"/>
          <w:lang w:val="en-US" w:eastAsia="zh-CN"/>
        </w:rPr>
        <w:t>显卡采购项目</w:t>
      </w:r>
      <w:r>
        <w:rPr>
          <w:rFonts w:hint="eastAsia" w:asciiTheme="minorEastAsia" w:hAnsiTheme="minorEastAsia" w:eastAsiaTheme="minorEastAsia" w:cstheme="minorEastAsia"/>
          <w:szCs w:val="21"/>
        </w:rPr>
        <w:t>货物采购的投标方提出的技术要求，投标方提供的各项设备应完全符合招标方指明的标准，并满足或高于买方的技术要求。</w:t>
      </w:r>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如无特殊说明，本技术规范书中要求的所有硬件产品均须含不低于3年原厂7*24服务。</w:t>
      </w:r>
    </w:p>
    <w:p>
      <w:pPr>
        <w:spacing w:line="360" w:lineRule="auto"/>
        <w:outlineLvl w:val="0"/>
        <w:rPr>
          <w:rFonts w:hint="eastAsia" w:asciiTheme="minorEastAsia" w:hAnsiTheme="minorEastAsia" w:eastAsiaTheme="minorEastAsia" w:cstheme="minorEastAsia"/>
          <w:b/>
          <w:szCs w:val="21"/>
        </w:rPr>
      </w:pPr>
      <w:bookmarkStart w:id="2" w:name="_Toc7891"/>
      <w:bookmarkStart w:id="3" w:name="_Toc730"/>
      <w:r>
        <w:rPr>
          <w:rFonts w:hint="eastAsia" w:asciiTheme="minorEastAsia" w:hAnsiTheme="minorEastAsia" w:eastAsiaTheme="minorEastAsia" w:cstheme="minorEastAsia"/>
          <w:b/>
          <w:szCs w:val="21"/>
        </w:rPr>
        <w:t>2 项目概况</w:t>
      </w:r>
      <w:bookmarkEnd w:id="2"/>
      <w:bookmarkEnd w:id="3"/>
    </w:p>
    <w:p>
      <w:pPr>
        <w:spacing w:line="360" w:lineRule="auto"/>
        <w:ind w:firstLine="413" w:firstLineChars="196"/>
        <w:outlineLvl w:val="1"/>
        <w:rPr>
          <w:rFonts w:hint="eastAsia" w:asciiTheme="minorEastAsia" w:hAnsiTheme="minorEastAsia" w:eastAsiaTheme="minorEastAsia" w:cstheme="minorEastAsia"/>
          <w:b/>
          <w:szCs w:val="21"/>
        </w:rPr>
      </w:pPr>
      <w:bookmarkStart w:id="4" w:name="_Toc18713"/>
      <w:bookmarkStart w:id="5" w:name="_Toc2198"/>
      <w:r>
        <w:rPr>
          <w:rFonts w:hint="eastAsia" w:asciiTheme="minorEastAsia" w:hAnsiTheme="minorEastAsia" w:eastAsiaTheme="minorEastAsia" w:cstheme="minorEastAsia"/>
          <w:b/>
          <w:szCs w:val="21"/>
        </w:rPr>
        <w:t>2.1 项目背景</w:t>
      </w:r>
      <w:bookmarkEnd w:id="4"/>
      <w:bookmarkEnd w:id="5"/>
    </w:p>
    <w:p>
      <w:pPr>
        <w:spacing w:line="360" w:lineRule="auto"/>
        <w:ind w:firstLine="411" w:firstLineChars="196"/>
        <w:outlineLvl w:val="1"/>
      </w:pPr>
      <w:bookmarkStart w:id="6" w:name="_Toc3515"/>
      <w:bookmarkStart w:id="7" w:name="_Toc26916"/>
      <w:r>
        <w:rPr>
          <w:rFonts w:hint="eastAsia" w:ascii="宋体" w:hAnsi="Courier New"/>
          <w:szCs w:val="20"/>
        </w:rPr>
        <w:t>本系统的项目</w:t>
      </w:r>
      <w:r>
        <w:rPr>
          <w:rFonts w:hint="eastAsia" w:ascii="宋体" w:hAnsi="Courier New"/>
          <w:szCs w:val="20"/>
          <w:lang w:eastAsia="zh-Hans"/>
        </w:rPr>
        <w:t>课题是在全景状态下电力行业复杂数据的数字底座研究课题的数据模型及底座基础上，进行海量数据的预处理，然后将面向电力行业复杂场景的多源异构数据的跨模态融合技术研究</w:t>
      </w:r>
      <w:r>
        <w:rPr>
          <w:rFonts w:hint="eastAsia" w:ascii="宋体" w:hAnsi="Courier New"/>
          <w:szCs w:val="20"/>
        </w:rPr>
        <w:t>，</w:t>
      </w:r>
      <w:r>
        <w:rPr>
          <w:rFonts w:hint="eastAsia" w:ascii="宋体" w:hAnsi="Courier New"/>
          <w:szCs w:val="20"/>
          <w:lang w:eastAsia="zh-Hans"/>
        </w:rPr>
        <w:t>面向电力领域设备管理及故障诊断的知识图谱关键技术研究两个课题的研究算法、模型成果进行工程化实现，最终构建完成面向电力行业</w:t>
      </w:r>
      <w:r>
        <w:rPr>
          <w:rFonts w:hint="eastAsia"/>
        </w:rPr>
        <w:t>针对多源异构海量大数据处理</w:t>
      </w:r>
      <w:r>
        <w:rPr>
          <w:rFonts w:hint="eastAsia"/>
          <w:lang w:eastAsia="zh-Hans"/>
        </w:rPr>
        <w:t>，处理完毕后的数据进行智能电网知识图谱工创新应用、智能电网复杂场景图像工程化应用</w:t>
      </w:r>
      <w:r>
        <w:rPr>
          <w:rFonts w:hint="eastAsia"/>
        </w:rPr>
        <w:t>。</w:t>
      </w:r>
    </w:p>
    <w:p>
      <w:pPr>
        <w:spacing w:line="360" w:lineRule="auto"/>
        <w:ind w:firstLine="413" w:firstLineChars="196"/>
        <w:outlineLvl w:val="1"/>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2.2 采购设备清单</w:t>
      </w:r>
      <w:bookmarkEnd w:id="6"/>
      <w:bookmarkEnd w:id="7"/>
    </w:p>
    <w:p>
      <w:pPr>
        <w:snapToGrid w:val="0"/>
        <w:spacing w:line="360" w:lineRule="auto"/>
        <w:ind w:firstLine="420" w:firstLineChars="200"/>
        <w:rPr>
          <w:rStyle w:val="14"/>
          <w:rFonts w:hint="eastAsia" w:asciiTheme="minorEastAsia" w:hAnsiTheme="minorEastAsia" w:eastAsiaTheme="minorEastAsia" w:cstheme="minorEastAsia"/>
          <w:color w:val="auto"/>
          <w:szCs w:val="21"/>
          <w:u w:val="none"/>
        </w:rPr>
      </w:pPr>
      <w:r>
        <w:rPr>
          <w:rStyle w:val="14"/>
          <w:rFonts w:hint="eastAsia" w:asciiTheme="minorEastAsia" w:hAnsiTheme="minorEastAsia" w:eastAsiaTheme="minorEastAsia" w:cstheme="minorEastAsia"/>
          <w:color w:val="auto"/>
          <w:szCs w:val="21"/>
          <w:u w:val="none"/>
        </w:rPr>
        <w:t>2.2.1 采购货物清单及技术指标</w:t>
      </w:r>
    </w:p>
    <w:tbl>
      <w:tblPr>
        <w:tblStyle w:val="12"/>
        <w:tblW w:w="9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375"/>
        <w:gridCol w:w="4905"/>
        <w:gridCol w:w="1266"/>
        <w:gridCol w:w="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18" w:type="dxa"/>
            <w:vAlign w:val="center"/>
          </w:tcPr>
          <w:p>
            <w:pPr>
              <w:widowControl/>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75" w:type="dxa"/>
            <w:vAlign w:val="center"/>
          </w:tcPr>
          <w:p>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标的物名称</w:t>
            </w:r>
          </w:p>
        </w:tc>
        <w:tc>
          <w:tcPr>
            <w:tcW w:w="4905" w:type="dxa"/>
            <w:vAlign w:val="center"/>
          </w:tcPr>
          <w:p>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技术指标</w:t>
            </w:r>
          </w:p>
        </w:tc>
        <w:tc>
          <w:tcPr>
            <w:tcW w:w="1266" w:type="dxa"/>
            <w:vAlign w:val="center"/>
          </w:tcPr>
          <w:p>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数量(单位：块)</w:t>
            </w:r>
          </w:p>
        </w:tc>
        <w:tc>
          <w:tcPr>
            <w:tcW w:w="953" w:type="dxa"/>
            <w:vAlign w:val="center"/>
          </w:tcPr>
          <w:p>
            <w:pPr>
              <w:adjustRightInd w:val="0"/>
              <w:snapToGrid w:val="0"/>
              <w:spacing w:line="360" w:lineRule="auto"/>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3" w:hRule="atLeast"/>
        </w:trPr>
        <w:tc>
          <w:tcPr>
            <w:tcW w:w="718" w:type="dxa"/>
            <w:vAlign w:val="center"/>
          </w:tcPr>
          <w:p>
            <w:pPr>
              <w:widowControl/>
              <w:spacing w:line="360" w:lineRule="auto"/>
              <w:jc w:val="center"/>
              <w:textAlignment w:val="bottom"/>
              <w:rPr>
                <w:rFonts w:hint="eastAsia" w:asciiTheme="minorEastAsia" w:hAnsiTheme="minorEastAsia" w:eastAsiaTheme="minorEastAsia" w:cstheme="minorEastAsia"/>
                <w:szCs w:val="21"/>
                <w:lang w:val="de-DE"/>
              </w:rPr>
            </w:pPr>
            <w:r>
              <w:rPr>
                <w:rFonts w:hint="eastAsia" w:ascii="宋体" w:hAnsi="宋体" w:cs="宋体"/>
                <w:color w:val="000000"/>
                <w:kern w:val="0"/>
                <w:szCs w:val="21"/>
                <w:lang w:bidi="ar"/>
              </w:rPr>
              <w:t>1</w:t>
            </w:r>
          </w:p>
        </w:tc>
        <w:tc>
          <w:tcPr>
            <w:tcW w:w="1375" w:type="dxa"/>
            <w:vAlign w:val="center"/>
          </w:tcPr>
          <w:p>
            <w:pPr>
              <w:spacing w:line="360" w:lineRule="auto"/>
              <w:jc w:val="center"/>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显卡</w:t>
            </w:r>
          </w:p>
        </w:tc>
        <w:tc>
          <w:tcPr>
            <w:tcW w:w="4905" w:type="dxa"/>
            <w:vAlign w:val="center"/>
          </w:tcPr>
          <w:p>
            <w:pPr>
              <w:widowControl/>
              <w:jc w:val="lef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FP32</w:t>
            </w:r>
            <w:r>
              <w:rPr>
                <w:rFonts w:hint="eastAsia" w:asciiTheme="minorEastAsia" w:hAnsiTheme="minorEastAsia" w:eastAsiaTheme="minorEastAsia" w:cstheme="minorEastAsia"/>
                <w:szCs w:val="21"/>
              </w:rPr>
              <w:t>算力</w:t>
            </w:r>
            <w:r>
              <w:rPr>
                <w:rFonts w:asciiTheme="minorEastAsia" w:hAnsiTheme="minorEastAsia" w:eastAsiaTheme="minorEastAsia" w:cstheme="minorEastAsia"/>
                <w:szCs w:val="21"/>
              </w:rPr>
              <w:t>：5.2T FLOPS</w:t>
            </w:r>
          </w:p>
          <w:p>
            <w:pPr>
              <w:widowControl/>
              <w:jc w:val="lef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GPU核心频率：1.</w:t>
            </w:r>
            <w:r>
              <w:rPr>
                <w:rFonts w:hint="eastAsia" w:asciiTheme="minorEastAsia" w:hAnsiTheme="minorEastAsia" w:eastAsiaTheme="minorEastAsia" w:cstheme="minorEastAsia"/>
                <w:szCs w:val="21"/>
                <w:lang w:val="en-US" w:eastAsia="zh-CN"/>
              </w:rPr>
              <w:t>3</w:t>
            </w:r>
            <w:r>
              <w:rPr>
                <w:rFonts w:asciiTheme="minorEastAsia" w:hAnsiTheme="minorEastAsia" w:eastAsiaTheme="minorEastAsia" w:cstheme="minorEastAsia"/>
                <w:szCs w:val="21"/>
              </w:rPr>
              <w:t>GHz</w:t>
            </w:r>
          </w:p>
          <w:p>
            <w:pPr>
              <w:widowControl/>
              <w:jc w:val="lef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显存类型：LPDDR4</w:t>
            </w:r>
          </w:p>
          <w:p>
            <w:pPr>
              <w:widowControl/>
              <w:jc w:val="lef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显存容量：8GB</w:t>
            </w:r>
          </w:p>
          <w:p>
            <w:pPr>
              <w:widowControl/>
              <w:jc w:val="lef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显存位宽：256-bit</w:t>
            </w:r>
          </w:p>
          <w:p>
            <w:pPr>
              <w:widowControl/>
              <w:jc w:val="lef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显示接口:HDMI+DP+DP</w:t>
            </w:r>
          </w:p>
          <w:p>
            <w:pPr>
              <w:widowControl/>
              <w:jc w:val="lef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最大分辨率:8K@30Hz</w:t>
            </w:r>
          </w:p>
          <w:p>
            <w:pPr>
              <w:widowControl/>
              <w:jc w:val="lef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PCIe interface:PCIe 3.0 X16</w:t>
            </w:r>
          </w:p>
          <w:p>
            <w:pPr>
              <w:widowControl/>
              <w:jc w:val="lef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整卡功耗:85W（PCI 6pin）</w:t>
            </w:r>
          </w:p>
          <w:p>
            <w:pPr>
              <w:widowControl/>
              <w:jc w:val="lef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外观尺寸 长</w:t>
            </w:r>
            <w:r>
              <w:rPr>
                <w:rFonts w:hint="eastAsia" w:asciiTheme="minorEastAsia" w:hAnsiTheme="minorEastAsia" w:eastAsiaTheme="minorEastAsia" w:cstheme="minorEastAsia"/>
                <w:szCs w:val="21"/>
              </w:rPr>
              <w:t>*</w:t>
            </w:r>
            <w:r>
              <w:rPr>
                <w:rFonts w:asciiTheme="minorEastAsia" w:hAnsiTheme="minorEastAsia" w:eastAsiaTheme="minorEastAsia" w:cstheme="minorEastAsia"/>
                <w:szCs w:val="21"/>
              </w:rPr>
              <w:t>高（含挡片）:</w:t>
            </w:r>
            <w:r>
              <w:rPr>
                <w:rFonts w:hint="eastAsia" w:asciiTheme="minorEastAsia" w:hAnsiTheme="minorEastAsia" w:eastAsiaTheme="minorEastAsia" w:cstheme="minorEastAsia"/>
                <w:szCs w:val="21"/>
              </w:rPr>
              <w:t xml:space="preserve"> 264.4mm*126.6mm</w:t>
            </w:r>
          </w:p>
          <w:p>
            <w:pPr>
              <w:widowControl/>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支持X86、ARM、LoongArch架构</w:t>
            </w:r>
          </w:p>
          <w:p>
            <w:pPr>
              <w:widowControl/>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支持统信、麒麟、Ubuntu、Windows等操作系统</w:t>
            </w:r>
          </w:p>
        </w:tc>
        <w:tc>
          <w:tcPr>
            <w:tcW w:w="1266" w:type="dxa"/>
            <w:vAlign w:val="center"/>
          </w:tcPr>
          <w:p>
            <w:pPr>
              <w:widowControl/>
              <w:spacing w:line="360" w:lineRule="auto"/>
              <w:jc w:val="center"/>
              <w:textAlignment w:val="bottom"/>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5</w:t>
            </w:r>
          </w:p>
        </w:tc>
        <w:tc>
          <w:tcPr>
            <w:tcW w:w="953" w:type="dxa"/>
            <w:vAlign w:val="center"/>
          </w:tcPr>
          <w:p>
            <w:pPr>
              <w:widowControl/>
              <w:adjustRightInd w:val="0"/>
              <w:snapToGrid w:val="0"/>
              <w:spacing w:line="360" w:lineRule="auto"/>
              <w:rPr>
                <w:rFonts w:hint="eastAsia" w:asciiTheme="minorEastAsia" w:hAnsiTheme="minorEastAsia" w:eastAsiaTheme="minorEastAsia" w:cstheme="minorEastAsia"/>
                <w:kern w:val="0"/>
                <w:szCs w:val="21"/>
              </w:rPr>
            </w:pPr>
          </w:p>
        </w:tc>
      </w:tr>
    </w:tbl>
    <w:p>
      <w:pPr>
        <w:pStyle w:val="10"/>
        <w:tabs>
          <w:tab w:val="right" w:leader="dot" w:pos="8296"/>
        </w:tabs>
        <w:spacing w:line="360" w:lineRule="auto"/>
        <w:ind w:left="0" w:leftChars="0"/>
        <w:jc w:val="left"/>
        <w:rPr>
          <w:rFonts w:hint="eastAsia" w:asciiTheme="minorEastAsia" w:hAnsiTheme="minorEastAsia" w:eastAsiaTheme="minorEastAsia" w:cstheme="minorEastAsia"/>
          <w:color w:val="FF0000"/>
          <w:szCs w:val="21"/>
        </w:rPr>
      </w:pPr>
    </w:p>
    <w:p>
      <w:pPr>
        <w:spacing w:line="360" w:lineRule="auto"/>
        <w:ind w:firstLine="422" w:firstLineChars="200"/>
        <w:outlineLvl w:val="0"/>
        <w:rPr>
          <w:rFonts w:hint="eastAsia" w:asciiTheme="minorEastAsia" w:hAnsiTheme="minorEastAsia" w:eastAsiaTheme="minorEastAsia" w:cstheme="minorEastAsia"/>
          <w:b/>
          <w:szCs w:val="21"/>
        </w:rPr>
      </w:pPr>
      <w:bookmarkStart w:id="8" w:name="_Toc21466"/>
      <w:bookmarkStart w:id="9" w:name="_Toc1396"/>
      <w:r>
        <w:rPr>
          <w:rFonts w:hint="eastAsia" w:asciiTheme="minorEastAsia" w:hAnsiTheme="minorEastAsia" w:eastAsiaTheme="minorEastAsia" w:cstheme="minorEastAsia"/>
          <w:b/>
          <w:szCs w:val="21"/>
        </w:rPr>
        <w:t>3项目实施保证</w:t>
      </w:r>
      <w:bookmarkEnd w:id="8"/>
      <w:bookmarkEnd w:id="9"/>
    </w:p>
    <w:p>
      <w:pPr>
        <w:spacing w:line="360" w:lineRule="auto"/>
        <w:ind w:firstLine="413" w:firstLineChars="196"/>
        <w:outlineLvl w:val="1"/>
        <w:rPr>
          <w:rFonts w:hint="eastAsia" w:asciiTheme="minorEastAsia" w:hAnsiTheme="minorEastAsia" w:eastAsiaTheme="minorEastAsia" w:cstheme="minorEastAsia"/>
          <w:b/>
          <w:szCs w:val="21"/>
        </w:rPr>
      </w:pPr>
      <w:bookmarkStart w:id="10" w:name="_Toc11665"/>
      <w:bookmarkStart w:id="11" w:name="_Toc18202"/>
      <w:r>
        <w:rPr>
          <w:rFonts w:hint="eastAsia" w:asciiTheme="minorEastAsia" w:hAnsiTheme="minorEastAsia" w:eastAsiaTheme="minorEastAsia" w:cstheme="minorEastAsia"/>
          <w:b/>
          <w:szCs w:val="21"/>
        </w:rPr>
        <w:t>3.1 质量保证</w:t>
      </w:r>
      <w:bookmarkEnd w:id="10"/>
      <w:bookmarkEnd w:id="11"/>
    </w:p>
    <w:p>
      <w:pPr>
        <w:pStyle w:val="4"/>
        <w:spacing w:after="0" w:line="360" w:lineRule="auto"/>
        <w:ind w:firstLine="420"/>
        <w:rPr>
          <w:rFonts w:hint="eastAsia" w:asciiTheme="minorEastAsia" w:hAnsiTheme="minorEastAsia" w:cstheme="minorEastAsia"/>
          <w:szCs w:val="21"/>
        </w:rPr>
      </w:pPr>
      <w:r>
        <w:rPr>
          <w:rFonts w:hint="eastAsia" w:asciiTheme="minorEastAsia" w:hAnsiTheme="minorEastAsia" w:eastAsiaTheme="minorEastAsia" w:cstheme="minorEastAsia"/>
          <w:szCs w:val="21"/>
        </w:rPr>
        <w:t>产品的质保期限为交货验收之日起1年。因装置本身质量问题导致的设备故障，投标方应</w:t>
      </w:r>
      <w:r>
        <w:rPr>
          <w:rFonts w:hint="eastAsia" w:ascii="宋体" w:hAnsi="宋体" w:cs="宋体"/>
          <w:bCs/>
          <w:kern w:val="0"/>
          <w:szCs w:val="21"/>
        </w:rPr>
        <w:t>免费换货。</w:t>
      </w:r>
      <w:bookmarkStart w:id="31" w:name="_GoBack"/>
      <w:bookmarkEnd w:id="31"/>
    </w:p>
    <w:p>
      <w:pPr>
        <w:spacing w:line="360" w:lineRule="auto"/>
        <w:ind w:firstLine="413" w:firstLineChars="196"/>
        <w:outlineLvl w:val="1"/>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3.2 资质证明</w:t>
      </w:r>
    </w:p>
    <w:p>
      <w:pPr>
        <w:spacing w:line="360" w:lineRule="auto"/>
        <w:ind w:firstLine="42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为证明报价方具备执行项目所需的设备，并且具备合法经营的资质，需提供有效期内的相关资质证书副本复印件如；营业执照、非产品制造商投标需提供产品制造商针对本项目授权书等。</w:t>
      </w:r>
    </w:p>
    <w:p>
      <w:pPr>
        <w:spacing w:line="360" w:lineRule="auto"/>
        <w:ind w:firstLine="422" w:firstLineChars="200"/>
        <w:outlineLvl w:val="0"/>
        <w:rPr>
          <w:rFonts w:hint="eastAsia" w:asciiTheme="minorEastAsia" w:hAnsiTheme="minorEastAsia" w:eastAsiaTheme="minorEastAsia" w:cstheme="minorEastAsia"/>
          <w:b/>
          <w:szCs w:val="21"/>
        </w:rPr>
      </w:pPr>
      <w:bookmarkStart w:id="12" w:name="_Toc12965"/>
      <w:bookmarkStart w:id="13" w:name="_Toc17796"/>
      <w:r>
        <w:rPr>
          <w:rFonts w:hint="eastAsia" w:asciiTheme="minorEastAsia" w:hAnsiTheme="minorEastAsia" w:eastAsiaTheme="minorEastAsia" w:cstheme="minorEastAsia"/>
          <w:b/>
          <w:szCs w:val="21"/>
        </w:rPr>
        <w:t>4 交货验收</w:t>
      </w:r>
      <w:bookmarkEnd w:id="12"/>
      <w:bookmarkEnd w:id="13"/>
    </w:p>
    <w:p>
      <w:pPr>
        <w:spacing w:line="360" w:lineRule="auto"/>
        <w:ind w:firstLine="413" w:firstLineChars="196"/>
        <w:outlineLvl w:val="1"/>
        <w:rPr>
          <w:rFonts w:hint="eastAsia" w:asciiTheme="minorEastAsia" w:hAnsiTheme="minorEastAsia" w:eastAsiaTheme="minorEastAsia" w:cstheme="minorEastAsia"/>
          <w:b/>
          <w:szCs w:val="21"/>
        </w:rPr>
      </w:pPr>
      <w:bookmarkStart w:id="14" w:name="_Toc19860"/>
      <w:bookmarkStart w:id="15" w:name="_Toc17492"/>
      <w:bookmarkStart w:id="16" w:name="_Toc7433"/>
      <w:bookmarkStart w:id="17" w:name="_Toc31656"/>
      <w:r>
        <w:rPr>
          <w:rFonts w:hint="eastAsia" w:asciiTheme="minorEastAsia" w:hAnsiTheme="minorEastAsia" w:eastAsiaTheme="minorEastAsia" w:cstheme="minorEastAsia"/>
          <w:b/>
          <w:szCs w:val="21"/>
        </w:rPr>
        <w:t>4.1 交货时间与地点</w:t>
      </w:r>
      <w:bookmarkEnd w:id="14"/>
      <w:bookmarkEnd w:id="15"/>
    </w:p>
    <w:p>
      <w:pPr>
        <w:pStyle w:val="9"/>
        <w:tabs>
          <w:tab w:val="left" w:pos="420"/>
          <w:tab w:val="right" w:leader="dot" w:pos="8296"/>
        </w:tabs>
        <w:spacing w:before="0" w:after="0" w:line="360" w:lineRule="auto"/>
      </w:pP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t>从合同签订之日起10日内交付全部货物，交货地点云南送变电工程有限公司设计院。</w:t>
      </w:r>
    </w:p>
    <w:p>
      <w:pPr>
        <w:spacing w:line="360" w:lineRule="auto"/>
        <w:ind w:firstLine="413" w:firstLineChars="196"/>
        <w:outlineLvl w:val="1"/>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4.2 验收标准</w:t>
      </w:r>
      <w:bookmarkEnd w:id="16"/>
      <w:bookmarkEnd w:id="17"/>
    </w:p>
    <w:p>
      <w:pPr>
        <w:pStyle w:val="4"/>
        <w:spacing w:after="0" w:line="360" w:lineRule="auto"/>
        <w:ind w:firstLine="48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按国家产品质量标准及买方公开发布的要求标准执行。满足项目技术规范考核指标要求。</w:t>
      </w:r>
    </w:p>
    <w:p>
      <w:pPr>
        <w:spacing w:line="360" w:lineRule="auto"/>
        <w:ind w:firstLine="422" w:firstLineChars="200"/>
        <w:rPr>
          <w:rFonts w:hint="eastAsia" w:asciiTheme="minorEastAsia" w:hAnsiTheme="minorEastAsia" w:eastAsiaTheme="minorEastAsia" w:cstheme="minorEastAsia"/>
          <w:szCs w:val="21"/>
        </w:rPr>
      </w:pPr>
      <w:bookmarkStart w:id="18" w:name="_Toc16233"/>
      <w:bookmarkStart w:id="19" w:name="_Toc5263"/>
      <w:r>
        <w:rPr>
          <w:rFonts w:hint="eastAsia" w:asciiTheme="minorEastAsia" w:hAnsiTheme="minorEastAsia" w:eastAsiaTheme="minorEastAsia" w:cstheme="minorEastAsia"/>
          <w:b/>
          <w:bCs/>
          <w:szCs w:val="21"/>
        </w:rPr>
        <w:t>4.3 验收方法</w:t>
      </w:r>
      <w:bookmarkEnd w:id="18"/>
      <w:bookmarkEnd w:id="19"/>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4.3.1招标方进行现场验收；</w:t>
      </w:r>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4.3.2验收过程中为便于调试，投标方应派技术专家到招标方现场作技术支持服务；</w:t>
      </w:r>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4.3.3由于投标方的责任导致验收不能按时完成所引起的损失由投标方承担；</w:t>
      </w:r>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4.3.4所有验收费用由投标方承担。</w:t>
      </w:r>
    </w:p>
    <w:p>
      <w:pPr>
        <w:spacing w:line="360" w:lineRule="auto"/>
        <w:ind w:firstLine="422" w:firstLineChars="200"/>
        <w:rPr>
          <w:rFonts w:hint="eastAsia" w:asciiTheme="minorEastAsia" w:hAnsiTheme="minorEastAsia" w:eastAsiaTheme="minorEastAsia" w:cstheme="minorEastAsia"/>
          <w:szCs w:val="21"/>
        </w:rPr>
      </w:pPr>
      <w:bookmarkStart w:id="20" w:name="_Toc172737500"/>
      <w:r>
        <w:rPr>
          <w:rFonts w:hint="eastAsia" w:asciiTheme="minorEastAsia" w:hAnsiTheme="minorEastAsia" w:eastAsiaTheme="minorEastAsia" w:cstheme="minorEastAsia"/>
          <w:b/>
          <w:bCs/>
          <w:szCs w:val="21"/>
        </w:rPr>
        <w:t>5.售后服务要求</w:t>
      </w:r>
      <w:bookmarkEnd w:id="20"/>
    </w:p>
    <w:p>
      <w:pPr>
        <w:spacing w:line="360" w:lineRule="auto"/>
        <w:ind w:firstLine="422" w:firstLineChars="200"/>
        <w:rPr>
          <w:rFonts w:hint="eastAsia" w:asciiTheme="minorEastAsia" w:hAnsiTheme="minorEastAsia" w:eastAsiaTheme="minorEastAsia" w:cstheme="minorEastAsia"/>
          <w:szCs w:val="21"/>
        </w:rPr>
      </w:pPr>
      <w:bookmarkStart w:id="21" w:name="_Toc21341"/>
      <w:bookmarkStart w:id="22" w:name="_Toc172737501"/>
      <w:bookmarkStart w:id="23" w:name="_Toc14055"/>
      <w:bookmarkStart w:id="24" w:name="_Toc26992"/>
      <w:bookmarkStart w:id="25" w:name="_Toc9253385"/>
      <w:r>
        <w:rPr>
          <w:rFonts w:hint="eastAsia" w:asciiTheme="minorEastAsia" w:hAnsiTheme="minorEastAsia" w:eastAsiaTheme="minorEastAsia" w:cstheme="minorEastAsia"/>
          <w:b/>
          <w:bCs/>
          <w:szCs w:val="21"/>
        </w:rPr>
        <w:t>5.1售后服务整体要求</w:t>
      </w:r>
      <w:bookmarkEnd w:id="21"/>
      <w:bookmarkEnd w:id="22"/>
      <w:bookmarkEnd w:id="23"/>
      <w:bookmarkEnd w:id="24"/>
      <w:bookmarkEnd w:id="25"/>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5.1.1投标方应提供完整的、贯穿产品全生命周期的服务支持。</w:t>
      </w:r>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5.1.2投标方提供不少于一年质保期服务。</w:t>
      </w:r>
    </w:p>
    <w:p>
      <w:pPr>
        <w:spacing w:line="360" w:lineRule="auto"/>
        <w:ind w:firstLine="422" w:firstLineChars="200"/>
        <w:rPr>
          <w:rFonts w:hint="eastAsia" w:asciiTheme="minorEastAsia" w:hAnsiTheme="minorEastAsia" w:eastAsiaTheme="minorEastAsia" w:cstheme="minorEastAsia"/>
          <w:szCs w:val="21"/>
        </w:rPr>
      </w:pPr>
      <w:bookmarkStart w:id="26" w:name="_Toc7953"/>
      <w:bookmarkStart w:id="27" w:name="_Toc18691"/>
      <w:bookmarkStart w:id="28" w:name="_Toc19156"/>
      <w:bookmarkStart w:id="29" w:name="_Toc172737502"/>
      <w:bookmarkStart w:id="30" w:name="_Toc9253386"/>
      <w:r>
        <w:rPr>
          <w:rFonts w:hint="eastAsia" w:asciiTheme="minorEastAsia" w:hAnsiTheme="minorEastAsia" w:eastAsiaTheme="minorEastAsia" w:cstheme="minorEastAsia"/>
          <w:b/>
          <w:bCs/>
          <w:szCs w:val="21"/>
        </w:rPr>
        <w:t>5.2售后服务响应时间要求</w:t>
      </w:r>
      <w:bookmarkEnd w:id="26"/>
      <w:bookmarkEnd w:id="27"/>
      <w:bookmarkEnd w:id="28"/>
      <w:bookmarkEnd w:id="29"/>
      <w:bookmarkEnd w:id="30"/>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5.2.1在质保期内，发生故障时，投标方应派遣维修人员2小时内抵达现场。</w:t>
      </w:r>
    </w:p>
    <w:p>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5.2.2质保期结束后，能随时提供电话技术服务支持，电话支持无法解决的，投标方应派遣维修人员4小时内抵达现场。</w:t>
      </w:r>
    </w:p>
    <w:p>
      <w:pPr>
        <w:spacing w:line="360" w:lineRule="auto"/>
        <w:ind w:firstLine="422" w:firstLineChars="200"/>
      </w:pPr>
      <w:r>
        <w:rPr>
          <w:rFonts w:hint="eastAsia" w:asciiTheme="minorEastAsia" w:hAnsiTheme="minorEastAsia" w:eastAsiaTheme="minorEastAsia" w:cstheme="minorEastAsia"/>
          <w:b/>
          <w:bCs/>
          <w:szCs w:val="21"/>
        </w:rPr>
        <w:t>5.3故障维修时间要求</w:t>
      </w:r>
    </w:p>
    <w:p>
      <w:pPr>
        <w:spacing w:line="360" w:lineRule="auto"/>
        <w:ind w:firstLine="420" w:firstLineChars="200"/>
      </w:pPr>
      <w:r>
        <w:rPr>
          <w:rFonts w:hint="eastAsia"/>
        </w:rPr>
        <w:t>5.3.1对于不涉及硬件损坏的简单故障，应能在故障发生后7*24小时，提供电话技术支持予以解决。</w:t>
      </w:r>
    </w:p>
    <w:p>
      <w:pPr>
        <w:spacing w:line="360" w:lineRule="auto"/>
        <w:ind w:firstLine="420" w:firstLineChars="200"/>
      </w:pPr>
      <w:r>
        <w:rPr>
          <w:rFonts w:hint="eastAsia"/>
        </w:rPr>
        <w:t>5.3.2对于需要维修人员抵达现场解决的问题，应在人员抵达后2小时内查明故障原因，提出解决方案，对于可立刻解决的应当场解决。如确因故障情况复杂，特征不明显等原因无法在2小时内查明原因的，维修人员应做出解释，让使用单位充分了解情况。</w:t>
      </w:r>
    </w:p>
    <w:p>
      <w:pPr>
        <w:spacing w:line="360" w:lineRule="auto"/>
        <w:ind w:firstLine="420" w:firstLineChars="200"/>
      </w:pPr>
      <w:r>
        <w:rPr>
          <w:rFonts w:hint="eastAsia"/>
        </w:rPr>
        <w:t>5.3.3对于在质保期内，维修人员发现设备无法正常工作时，应能在4小时内提供备件，保障招标方正常工作，一周内完成厂家设备更换。</w:t>
      </w:r>
    </w:p>
    <w:sectPr>
      <w:headerReference r:id="rId3" w:type="default"/>
      <w:footerReference r:id="rId4" w:type="default"/>
      <w:pgSz w:w="11907" w:h="16839"/>
      <w:pgMar w:top="1440" w:right="1797" w:bottom="1440" w:left="1797" w:header="850" w:footer="850"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pPr>
    <w:r>
      <w:rPr>
        <w:rFonts w:hint="eastAsia" w:ascii="宋体" w:hAnsi="宋体"/>
        <w:sz w:val="21"/>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numPr>
        <w:ilvl w:val="6"/>
        <w:numId w:val="0"/>
      </w:numP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8"/>
      <w:suff w:val="nothing"/>
      <w:lvlText w:val="%1%2.%3.%4.%5.%6.%7　"/>
      <w:lvlJc w:val="left"/>
      <w:pPr>
        <w:ind w:left="3119"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2A66D7"/>
    <w:rsid w:val="002969EA"/>
    <w:rsid w:val="002C2090"/>
    <w:rsid w:val="003E2F85"/>
    <w:rsid w:val="00614214"/>
    <w:rsid w:val="006D4EB7"/>
    <w:rsid w:val="00AD0FAE"/>
    <w:rsid w:val="00C23720"/>
    <w:rsid w:val="00F30472"/>
    <w:rsid w:val="00FD4854"/>
    <w:rsid w:val="017F180D"/>
    <w:rsid w:val="02383E1A"/>
    <w:rsid w:val="091667B3"/>
    <w:rsid w:val="0A475469"/>
    <w:rsid w:val="11C95F9C"/>
    <w:rsid w:val="1609594A"/>
    <w:rsid w:val="16AC5E7D"/>
    <w:rsid w:val="18EE7016"/>
    <w:rsid w:val="19114EAB"/>
    <w:rsid w:val="1A4256D8"/>
    <w:rsid w:val="1B030F42"/>
    <w:rsid w:val="214C3C6A"/>
    <w:rsid w:val="21F31FF1"/>
    <w:rsid w:val="2333134F"/>
    <w:rsid w:val="24BC5AD3"/>
    <w:rsid w:val="265010C1"/>
    <w:rsid w:val="2F2315EF"/>
    <w:rsid w:val="2F500FD0"/>
    <w:rsid w:val="32AD7CAD"/>
    <w:rsid w:val="352A66D7"/>
    <w:rsid w:val="36CD2176"/>
    <w:rsid w:val="38281DDC"/>
    <w:rsid w:val="386701EA"/>
    <w:rsid w:val="39817055"/>
    <w:rsid w:val="3ECD243C"/>
    <w:rsid w:val="3F5801FD"/>
    <w:rsid w:val="414F73B2"/>
    <w:rsid w:val="43F751A2"/>
    <w:rsid w:val="45FB6232"/>
    <w:rsid w:val="4C475CE7"/>
    <w:rsid w:val="543A2197"/>
    <w:rsid w:val="57C36791"/>
    <w:rsid w:val="603345A8"/>
    <w:rsid w:val="61A9479A"/>
    <w:rsid w:val="67072FDE"/>
    <w:rsid w:val="6A657B43"/>
    <w:rsid w:val="6E335F6D"/>
    <w:rsid w:val="73E3065A"/>
    <w:rsid w:val="758076E2"/>
    <w:rsid w:val="767A68AF"/>
    <w:rsid w:val="768B0D8B"/>
    <w:rsid w:val="7FE32B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tabs>
        <w:tab w:val="left" w:pos="0"/>
      </w:tabs>
      <w:spacing w:before="260" w:after="260"/>
      <w:ind w:left="575" w:hanging="575"/>
      <w:outlineLvl w:val="1"/>
    </w:pPr>
    <w:rPr>
      <w:rFonts w:ascii="Arial" w:hAnsi="Arial"/>
      <w:b/>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5"/>
    <w:qFormat/>
    <w:uiPriority w:val="0"/>
    <w:pPr>
      <w:spacing w:after="120"/>
    </w:pPr>
  </w:style>
  <w:style w:type="paragraph" w:styleId="5">
    <w:name w:val="Title"/>
    <w:basedOn w:val="1"/>
    <w:next w:val="1"/>
    <w:qFormat/>
    <w:uiPriority w:val="0"/>
    <w:pPr>
      <w:spacing w:before="240" w:after="60"/>
      <w:jc w:val="center"/>
      <w:outlineLvl w:val="0"/>
    </w:pPr>
    <w:rPr>
      <w:rFonts w:ascii="Arial" w:hAnsi="Arial"/>
      <w:b/>
      <w:bCs/>
      <w:sz w:val="32"/>
      <w:szCs w:val="32"/>
    </w:rPr>
  </w:style>
  <w:style w:type="paragraph" w:styleId="6">
    <w:name w:val="Body Text Indent"/>
    <w:qFormat/>
    <w:uiPriority w:val="0"/>
    <w:pPr>
      <w:widowControl w:val="0"/>
      <w:spacing w:after="120"/>
      <w:ind w:left="420" w:leftChars="200"/>
      <w:jc w:val="both"/>
    </w:pPr>
    <w:rPr>
      <w:rFonts w:ascii="Times New Roman" w:hAnsi="Times New Roman" w:eastAsia="宋体" w:cs="Times New Roman"/>
      <w:kern w:val="2"/>
      <w:sz w:val="21"/>
      <w:szCs w:val="24"/>
      <w:lang w:val="zh-CN" w:eastAsia="zh-CN" w:bidi="ar-SA"/>
    </w:rPr>
  </w:style>
  <w:style w:type="paragraph" w:styleId="7">
    <w:name w:val="footer"/>
    <w:qFormat/>
    <w:uiPriority w:val="0"/>
    <w:pPr>
      <w:widowControl w:val="0"/>
      <w:tabs>
        <w:tab w:val="center" w:pos="4153"/>
        <w:tab w:val="right" w:pos="8306"/>
      </w:tabs>
      <w:snapToGrid w:val="0"/>
    </w:pPr>
    <w:rPr>
      <w:rFonts w:ascii="Times New Roman" w:hAnsi="Times New Roman" w:eastAsia="宋体" w:cs="Times New Roman"/>
      <w:kern w:val="2"/>
      <w:sz w:val="18"/>
      <w:szCs w:val="18"/>
      <w:lang w:val="en-US" w:eastAsia="zh-CN" w:bidi="ar-SA"/>
    </w:rPr>
  </w:style>
  <w:style w:type="paragraph" w:styleId="8">
    <w:name w:val="header"/>
    <w:qFormat/>
    <w:uiPriority w:val="0"/>
    <w:pPr>
      <w:widowControl w:val="0"/>
      <w:numPr>
        <w:ilvl w:val="6"/>
        <w:numId w:val="1"/>
      </w:numPr>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9">
    <w:name w:val="toc 1"/>
    <w:next w:val="1"/>
    <w:qFormat/>
    <w:uiPriority w:val="0"/>
    <w:pPr>
      <w:widowControl w:val="0"/>
      <w:spacing w:before="120" w:after="120"/>
    </w:pPr>
    <w:rPr>
      <w:rFonts w:ascii="等线" w:hAnsi="Times New Roman" w:eastAsia="等线" w:cs="Times New Roman"/>
      <w:b/>
      <w:bCs/>
      <w:caps/>
      <w:kern w:val="2"/>
      <w:lang w:val="en-US" w:eastAsia="zh-CN" w:bidi="ar-SA"/>
    </w:rPr>
  </w:style>
  <w:style w:type="paragraph" w:styleId="10">
    <w:name w:val="toc 2"/>
    <w:next w:val="1"/>
    <w:qFormat/>
    <w:uiPriority w:val="0"/>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11">
    <w:name w:val="Body Text First Indent 2"/>
    <w:qFormat/>
    <w:uiPriority w:val="0"/>
    <w:pPr>
      <w:widowControl w:val="0"/>
      <w:spacing w:after="120"/>
      <w:ind w:left="420" w:leftChars="200" w:firstLine="420" w:firstLineChars="200"/>
      <w:jc w:val="both"/>
    </w:pPr>
    <w:rPr>
      <w:rFonts w:ascii="Times New Roman" w:hAnsi="Times New Roman" w:eastAsia="宋体" w:cs="Times New Roman"/>
      <w:kern w:val="2"/>
      <w:sz w:val="21"/>
      <w:szCs w:val="24"/>
      <w:lang w:val="zh-CN" w:eastAsia="zh-CN" w:bidi="ar-SA"/>
    </w:rPr>
  </w:style>
  <w:style w:type="character" w:styleId="14">
    <w:name w:val="Hyperlink"/>
    <w:qFormat/>
    <w:uiPriority w:val="0"/>
    <w:rPr>
      <w:color w:val="0000FF"/>
      <w:u w:val="single"/>
    </w:rPr>
  </w:style>
  <w:style w:type="paragraph" w:customStyle="1" w:styleId="15">
    <w:name w:val="内容正文"/>
    <w:qFormat/>
    <w:uiPriority w:val="0"/>
    <w:pPr>
      <w:widowControl w:val="0"/>
      <w:spacing w:before="156" w:beforeLines="50" w:after="156" w:afterLines="50"/>
      <w:jc w:val="both"/>
    </w:pPr>
    <w:rPr>
      <w:rFonts w:ascii="Arial" w:hAnsi="Arial" w:eastAsia="Times New Roman" w:cs="Times New Roman"/>
      <w:kern w:val="2"/>
      <w:sz w:val="21"/>
      <w:szCs w:val="21"/>
      <w:lang w:val="en-US" w:eastAsia="zh-CN" w:bidi="ar-SA"/>
    </w:rPr>
  </w:style>
  <w:style w:type="paragraph" w:customStyle="1" w:styleId="16">
    <w:name w:val="_Style 9"/>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7">
    <w:name w:val="Other|1"/>
    <w:qFormat/>
    <w:uiPriority w:val="0"/>
    <w:pPr>
      <w:widowControl w:val="0"/>
      <w:jc w:val="center"/>
    </w:pPr>
    <w:rPr>
      <w:rFonts w:ascii="宋体" w:hAnsi="宋体" w:eastAsia="宋体" w:cs="宋体"/>
      <w:kern w:val="2"/>
      <w:sz w:val="19"/>
      <w:szCs w:val="19"/>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1302</Words>
  <Characters>1505</Characters>
  <Lines>57</Lines>
  <Paragraphs>61</Paragraphs>
  <TotalTime>31</TotalTime>
  <ScaleCrop>false</ScaleCrop>
  <LinksUpToDate>false</LinksUpToDate>
  <CharactersWithSpaces>1523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2024-05-11T07:56:00Z</dcterms:created>
  <dc:creator>wsgdj</dc:creator>
  <cp:lastModifiedBy>陈奇</cp:lastModifiedBy>
  <cp:lastPrinted>2024-05-31T02:00:00Z</cp:lastPrinted>
  <dcterms:modified xsi:type="dcterms:W3CDTF">2025-09-28T06:58:44Z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25BFDFB3376B4ED6B760E71B88F547F3_13</vt:lpwstr>
  </property>
  <property fmtid="{D5CDD505-2E9C-101B-9397-08002B2CF9AE}" pid="4" name="KSOTemplateDocerSaveRecord">
    <vt:lpwstr>eyJoZGlkIjoiOWUwMWE2ZjRjMGMyMDExZmM3MTBmM2U4MzBkOGJiY2IiLCJ1c2VySWQiOiIzNDQ0OTYzMTIifQ==</vt:lpwstr>
  </property>
</Properties>
</file>