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柳东新区电力应急抢修维护中心项目规划核实及房屋建筑面积测绘服务项目采购任务书</w:t>
      </w:r>
    </w:p>
    <w:p>
      <w:pPr>
        <w:pStyle w:val="2"/>
        <w:keepNext w:val="0"/>
        <w:keepLines w:val="0"/>
        <w:pageBreakBefore w:val="0"/>
        <w:kinsoku/>
        <w:overflowPunct/>
        <w:topLinePunct w:val="0"/>
        <w:autoSpaceDE/>
        <w:autoSpaceDN/>
        <w:bidi w:val="0"/>
        <w:adjustRightInd/>
        <w:snapToGrid/>
        <w:spacing w:line="520" w:lineRule="exact"/>
        <w:ind w:left="0" w:leftChars="0" w:firstLine="0" w:firstLineChars="0"/>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一、项目</w:t>
      </w:r>
      <w:r>
        <w:rPr>
          <w:rFonts w:hint="eastAsia" w:asciiTheme="minorEastAsia" w:hAnsiTheme="minorEastAsia" w:eastAsiaTheme="minorEastAsia" w:cstheme="minorEastAsia"/>
          <w:b/>
          <w:bCs/>
          <w:sz w:val="32"/>
          <w:szCs w:val="32"/>
        </w:rPr>
        <w:t>地点</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1.柳东新区电力应急抢修维护中心项目：柳州市柳东新区职教园片区文苑路与环山路交叉口西北面</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eastAsiaTheme="minorEastAsia" w:cstheme="minorEastAsia"/>
          <w:b/>
          <w:bCs/>
          <w:sz w:val="32"/>
          <w:szCs w:val="32"/>
          <w:lang w:eastAsia="zh-CN"/>
        </w:rPr>
        <w:t>二、服务内容</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（一）因办理不动产权证，需对柳东新区电力应急抢修维护中心项目开展不动产登记前的规划核实和房屋建筑面积测绘。</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1.现场检测部分包括：</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（1）资料核查：包括规划报建图纸、地名办及规划许可证、派出所门牌证明、竣工备案表；</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（2）绘算人员下现场实地勘测；</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（3）根据现场实际测量取得数据；</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2.分析计算鉴定部分包括：</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（1）按国家标准（GB/T50353-2013)《建筑工程建筑面积计算规范》测量面积；</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（2）出具房屋房产测绘报告。</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（二）对柳东新区电力应急抢修维护中心项目开展规划核实测绘服务，为房屋不动产权证办理过程中所需的规划审核提供依据。</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承包方根据国家有关部门关于房屋测量的规定和标准规范的一般原则，城市测量规范、柳州市自然资源和规划局相关规定及要求，通过现场勘察、核对、测绘、规划核实测量等方式，为发包方所属房屋进行规划核实测绘服务。</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2.承包方为发包方提供符合办理不动产权证要求的规划核实测绘报告及相关材料。</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（三）</w:t>
      </w:r>
      <w:r>
        <w:rPr>
          <w:rFonts w:hint="eastAsia" w:ascii="仿宋_GB2312" w:hAnsi="仿宋_GB2312" w:eastAsia="仿宋_GB2312" w:cs="仿宋_GB2312"/>
          <w:color w:val="auto"/>
          <w:sz w:val="32"/>
          <w:szCs w:val="32"/>
          <w:highlight w:val="none"/>
          <w:lang w:val="en-US" w:eastAsia="zh-CN"/>
        </w:rPr>
        <w:t>提交成果</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提交成果：</w:t>
      </w:r>
      <w:r>
        <w:rPr>
          <w:rFonts w:hint="eastAsia" w:ascii="仿宋_GB2312" w:hAnsi="仿宋_GB2312" w:eastAsia="仿宋_GB2312" w:cs="仿宋_GB2312"/>
          <w:color w:val="auto"/>
          <w:sz w:val="32"/>
          <w:szCs w:val="32"/>
          <w:highlight w:val="none"/>
          <w:lang w:val="en-US" w:eastAsia="zh-CN"/>
        </w:rPr>
        <w:t>承包方签订合同后，7日内组织人员及设备进场测绘，</w:t>
      </w:r>
      <w:r>
        <w:rPr>
          <w:rFonts w:hint="eastAsia" w:ascii="仿宋_GB2312" w:hAnsi="仿宋_GB2312" w:eastAsia="仿宋_GB2312" w:cs="仿宋_GB2312"/>
          <w:color w:val="auto"/>
          <w:sz w:val="32"/>
          <w:szCs w:val="32"/>
          <w:highlight w:val="none"/>
          <w:lang w:eastAsia="zh-CN"/>
        </w:rPr>
        <w:t>测绘完成后，应</w:t>
      </w:r>
      <w:r>
        <w:rPr>
          <w:rFonts w:hint="eastAsia" w:ascii="仿宋_GB2312" w:hAnsi="仿宋_GB2312" w:eastAsia="仿宋_GB2312" w:cs="仿宋_GB2312"/>
          <w:color w:val="auto"/>
          <w:sz w:val="32"/>
          <w:szCs w:val="32"/>
          <w:highlight w:val="none"/>
          <w:lang w:val="en-US" w:eastAsia="zh-CN"/>
        </w:rPr>
        <w:t>7日内</w:t>
      </w:r>
      <w:r>
        <w:rPr>
          <w:rFonts w:hint="eastAsia" w:ascii="仿宋_GB2312" w:hAnsi="仿宋_GB2312" w:eastAsia="仿宋_GB2312" w:cs="仿宋_GB2312"/>
          <w:color w:val="auto"/>
          <w:sz w:val="32"/>
          <w:szCs w:val="32"/>
          <w:highlight w:val="none"/>
          <w:lang w:eastAsia="zh-CN"/>
        </w:rPr>
        <w:t>提交详细的测绘报告、图纸和数据文件，包括电子和纸质版本，</w:t>
      </w:r>
      <w:r>
        <w:rPr>
          <w:rFonts w:hint="eastAsia" w:ascii="仿宋_GB2312" w:hAnsi="仿宋_GB2312" w:eastAsia="仿宋_GB2312" w:cs="仿宋_GB2312"/>
          <w:color w:val="auto"/>
          <w:sz w:val="32"/>
          <w:szCs w:val="32"/>
          <w:highlight w:val="none"/>
          <w:lang w:val="en-US" w:eastAsia="zh-CN"/>
        </w:rPr>
        <w:t>如因其他原因未能及时提交成果，需提前不少于2日告知发包方</w:t>
      </w:r>
      <w:r>
        <w:rPr>
          <w:rFonts w:hint="eastAsia" w:ascii="仿宋_GB2312" w:hAnsi="仿宋_GB2312" w:eastAsia="仿宋_GB2312" w:cs="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四</w:t>
      </w:r>
      <w:r>
        <w:rPr>
          <w:rFonts w:hint="eastAsia" w:ascii="仿宋_GB2312" w:hAnsi="仿宋_GB2312" w:eastAsia="仿宋_GB2312" w:cs="仿宋_GB2312"/>
          <w:color w:val="auto"/>
          <w:sz w:val="32"/>
          <w:szCs w:val="32"/>
          <w:highlight w:val="none"/>
          <w:lang w:eastAsia="zh-CN"/>
        </w:rPr>
        <w:t>）时间安排</w:t>
      </w:r>
    </w:p>
    <w:p>
      <w:pPr>
        <w:keepNext w:val="0"/>
        <w:keepLines w:val="0"/>
        <w:pageBreakBefore w:val="0"/>
        <w:widowControl w:val="0"/>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本次测绘任务的时间安排应根据工程的实际进度和需要进行合理安排。测绘工作应在确保质量的前提下，尽量缩短工期，以满足工程的实际需求。</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五</w:t>
      </w:r>
      <w:r>
        <w:rPr>
          <w:rFonts w:hint="eastAsia" w:ascii="仿宋_GB2312" w:hAnsi="仿宋_GB2312" w:eastAsia="仿宋_GB2312" w:cs="仿宋_GB2312"/>
          <w:color w:val="auto"/>
          <w:sz w:val="32"/>
          <w:szCs w:val="32"/>
          <w:lang w:eastAsia="zh-CN"/>
        </w:rPr>
        <w:t>）保密要求</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测绘工作涉及的地理信息数据具有一定的保密性，相关人员应严格遵守保密规定，确保测绘数据的安全性和保密性。未经许可，不得擅自泄露、传播或利用测绘数据。</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right="0" w:rightChars="0" w:firstLine="320" w:firstLineChars="1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六</w:t>
      </w:r>
      <w:r>
        <w:rPr>
          <w:rFonts w:hint="eastAsia" w:ascii="仿宋_GB2312" w:hAnsi="仿宋_GB2312" w:eastAsia="仿宋_GB2312" w:cs="仿宋_GB2312"/>
          <w:color w:val="auto"/>
          <w:sz w:val="32"/>
          <w:szCs w:val="32"/>
          <w:lang w:eastAsia="zh-CN"/>
        </w:rPr>
        <w:t>）责任与义务</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参与本次测绘任务的人员应履行相应的责任和义务，确保测绘工作的顺利进行和高质量完成。同时，应积极配合相关部门和单位的工作，为工程的顺利推进提供有力支持。</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三、投标人资质要求</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通用资格条件：</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1.在中华人民共和国境内注册，持有合法有效的</w:t>
      </w:r>
      <w:r>
        <w:rPr>
          <w:rFonts w:hint="eastAsia" w:ascii="仿宋_GB2312" w:hAnsi="仿宋_GB2312" w:eastAsia="仿宋_GB2312" w:cs="仿宋_GB2312"/>
          <w:color w:val="auto"/>
          <w:sz w:val="32"/>
          <w:szCs w:val="32"/>
          <w:lang w:val="en-US" w:eastAsia="zh-CN"/>
        </w:rPr>
        <w:t>企业</w:t>
      </w:r>
      <w:r>
        <w:rPr>
          <w:rFonts w:hint="eastAsia" w:ascii="仿宋_GB2312" w:hAnsi="仿宋_GB2312" w:eastAsia="仿宋_GB2312" w:cs="仿宋_GB2312"/>
          <w:color w:val="auto"/>
          <w:sz w:val="32"/>
          <w:szCs w:val="32"/>
          <w:lang w:eastAsia="zh-CN"/>
        </w:rPr>
        <w:t>法人</w:t>
      </w:r>
      <w:r>
        <w:rPr>
          <w:rFonts w:hint="eastAsia" w:ascii="仿宋_GB2312" w:hAnsi="仿宋_GB2312" w:eastAsia="仿宋_GB2312" w:cs="仿宋_GB2312"/>
          <w:color w:val="auto"/>
          <w:sz w:val="32"/>
          <w:szCs w:val="32"/>
          <w:lang w:val="en-US" w:eastAsia="zh-CN"/>
        </w:rPr>
        <w:t>资格证</w:t>
      </w:r>
      <w:r>
        <w:rPr>
          <w:rFonts w:hint="eastAsia" w:ascii="仿宋_GB2312" w:hAnsi="仿宋_GB2312" w:eastAsia="仿宋_GB2312" w:cs="仿宋_GB2312"/>
          <w:color w:val="auto"/>
          <w:sz w:val="32"/>
          <w:szCs w:val="32"/>
          <w:lang w:eastAsia="zh-CN"/>
        </w:rPr>
        <w:t>或</w:t>
      </w:r>
      <w:r>
        <w:rPr>
          <w:rFonts w:hint="eastAsia" w:ascii="仿宋_GB2312" w:hAnsi="仿宋_GB2312" w:eastAsia="仿宋_GB2312" w:cs="仿宋_GB2312"/>
          <w:color w:val="auto"/>
          <w:sz w:val="32"/>
          <w:szCs w:val="32"/>
          <w:lang w:val="en-US" w:eastAsia="zh-CN"/>
        </w:rPr>
        <w:t>营业执照</w:t>
      </w:r>
      <w:r>
        <w:rPr>
          <w:rFonts w:hint="eastAsia" w:ascii="仿宋_GB2312" w:hAnsi="仿宋_GB2312" w:eastAsia="仿宋_GB2312" w:cs="仿宋_GB2312"/>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2.单位负责人为同一人或者存在控股、管理关系的不同单位，或不同单位实际控制人为同一人或者互为夫妻关系的，或不同单位董事、监事、高级管理人员相互交叉任职的，不得参加同一标包（标段）投标或者未划分标包（标段）的同一招标项目（标的）的投标。</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3.其他不得存在的情形：被相关政府部门实施市场禁入、禁</w:t>
      </w:r>
      <w:bookmarkStart w:id="0" w:name="_GoBack"/>
      <w:bookmarkEnd w:id="0"/>
      <w:r>
        <w:rPr>
          <w:rFonts w:hint="eastAsia" w:ascii="仿宋_GB2312" w:hAnsi="仿宋_GB2312" w:eastAsia="仿宋_GB2312" w:cs="仿宋_GB2312"/>
          <w:color w:val="auto"/>
          <w:sz w:val="32"/>
          <w:szCs w:val="32"/>
          <w:lang w:eastAsia="zh-CN"/>
        </w:rPr>
        <w:t>止参加投标、承接新项目的；在中国南方电网有限责任公司范围内被纳入供应商预警名单或处理名单实施不接受投标处理、市场禁入处理，且未解除的。</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专用资格条件：</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default" w:ascii="仿宋_GB2312" w:hAnsi="仿宋_GB2312" w:eastAsia="仿宋_GB2312" w:cs="仿宋_GB2312"/>
          <w:color w:val="auto"/>
          <w:sz w:val="32"/>
          <w:szCs w:val="32"/>
          <w:lang w:val="en-US" w:eastAsia="zh-CN"/>
        </w:rPr>
      </w:pPr>
      <w:r>
        <w:rPr>
          <w:rFonts w:hint="default" w:ascii="仿宋_GB2312" w:hAnsi="仿宋_GB2312" w:eastAsia="仿宋_GB2312" w:cs="仿宋_GB2312"/>
          <w:color w:val="auto"/>
          <w:sz w:val="32"/>
          <w:szCs w:val="32"/>
          <w:lang w:val="en-US" w:eastAsia="zh-CN"/>
        </w:rPr>
        <w:t>拟任项目负责人应具备中级及以上工程师资格（测量专业）。</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仿宋_GB2312" w:hAnsi="仿宋_GB2312" w:eastAsia="仿宋_GB2312" w:cs="仿宋_GB2312"/>
          <w:b/>
          <w:bCs/>
          <w:sz w:val="32"/>
          <w:szCs w:val="32"/>
        </w:rPr>
      </w:pPr>
      <w:r>
        <w:rPr>
          <w:rFonts w:hint="eastAsia" w:asciiTheme="minorEastAsia" w:hAnsiTheme="minorEastAsia" w:cstheme="minorEastAsia"/>
          <w:b/>
          <w:bCs/>
          <w:sz w:val="32"/>
          <w:szCs w:val="32"/>
          <w:lang w:eastAsia="zh-CN"/>
        </w:rPr>
        <w:t>四</w:t>
      </w:r>
      <w:r>
        <w:rPr>
          <w:rFonts w:hint="eastAsia" w:asciiTheme="minorEastAsia" w:hAnsiTheme="minorEastAsia" w:eastAsiaTheme="minorEastAsia" w:cstheme="minorEastAsia"/>
          <w:b/>
          <w:bCs/>
          <w:sz w:val="32"/>
          <w:szCs w:val="32"/>
          <w:lang w:eastAsia="zh-CN"/>
        </w:rPr>
        <w:t>、结算方式</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本项目经验收合格后结算，结算金额</w:t>
      </w:r>
      <w:r>
        <w:rPr>
          <w:rFonts w:hint="eastAsia" w:ascii="仿宋_GB2312" w:hAnsi="仿宋_GB2312" w:eastAsia="仿宋_GB2312" w:cs="仿宋_GB2312"/>
          <w:color w:val="auto"/>
          <w:sz w:val="32"/>
          <w:szCs w:val="32"/>
          <w:highlight w:val="none"/>
          <w:lang w:val="en-US" w:eastAsia="zh-CN"/>
        </w:rPr>
        <w:t>按成交金额</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highlight w:val="none"/>
          <w:lang w:eastAsia="zh-CN"/>
        </w:rPr>
        <w:t>合同生效后，承包方完成发包方指定工程测绘任务并出具满足地方政府相关部门的要求测绘成果及报告，承包方按结算价格的100%向发包方出具增值税专用发票，甲方按票面金额于收到合格票据之日起60日内完成支付。</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lang w:eastAsia="zh-CN"/>
        </w:rPr>
        <w:t>、服务关键环</w:t>
      </w:r>
      <w:r>
        <w:rPr>
          <w:rFonts w:hint="eastAsia" w:asciiTheme="minorEastAsia" w:hAnsiTheme="minorEastAsia" w:cstheme="minorEastAsia"/>
          <w:b/>
          <w:bCs/>
          <w:sz w:val="32"/>
          <w:szCs w:val="32"/>
          <w:lang w:eastAsia="zh-CN"/>
        </w:rPr>
        <w:t>节</w:t>
      </w:r>
      <w:r>
        <w:rPr>
          <w:rFonts w:hint="eastAsia" w:asciiTheme="minorEastAsia" w:hAnsiTheme="minorEastAsia" w:eastAsiaTheme="minorEastAsia" w:cstheme="minorEastAsia"/>
          <w:b/>
          <w:bCs/>
          <w:sz w:val="32"/>
          <w:szCs w:val="32"/>
          <w:lang w:eastAsia="zh-CN"/>
        </w:rPr>
        <w:t>目标要求</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出具房屋</w:t>
      </w:r>
      <w:r>
        <w:rPr>
          <w:rFonts w:hint="eastAsia" w:ascii="仿宋_GB2312" w:hAnsi="仿宋_GB2312" w:eastAsia="仿宋_GB2312" w:cs="仿宋_GB2312"/>
          <w:sz w:val="32"/>
          <w:szCs w:val="32"/>
          <w:lang w:eastAsia="zh-CN"/>
        </w:rPr>
        <w:t>测绘</w:t>
      </w:r>
      <w:r>
        <w:rPr>
          <w:rFonts w:hint="eastAsia" w:ascii="仿宋_GB2312" w:hAnsi="仿宋_GB2312" w:eastAsia="仿宋_GB2312" w:cs="仿宋_GB2312"/>
          <w:sz w:val="32"/>
          <w:szCs w:val="32"/>
        </w:rPr>
        <w:t>报告</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建设工程竣工规划</w:t>
      </w:r>
      <w:r>
        <w:rPr>
          <w:rFonts w:hint="eastAsia" w:ascii="仿宋_GB2312" w:hAnsi="仿宋_GB2312" w:eastAsia="仿宋_GB2312" w:cs="仿宋_GB2312"/>
          <w:sz w:val="32"/>
          <w:szCs w:val="32"/>
          <w:lang w:val="en-US" w:eastAsia="zh-CN"/>
        </w:rPr>
        <w:t>条件</w:t>
      </w:r>
      <w:r>
        <w:rPr>
          <w:rFonts w:hint="eastAsia" w:ascii="仿宋_GB2312" w:hAnsi="仿宋_GB2312" w:eastAsia="仿宋_GB2312" w:cs="仿宋_GB2312"/>
          <w:sz w:val="32"/>
          <w:szCs w:val="32"/>
        </w:rPr>
        <w:t>核实成果</w:t>
      </w:r>
      <w:r>
        <w:rPr>
          <w:rFonts w:hint="eastAsia" w:ascii="仿宋_GB2312" w:hAnsi="仿宋_GB2312" w:eastAsia="仿宋_GB2312" w:cs="仿宋_GB2312"/>
          <w:sz w:val="32"/>
          <w:szCs w:val="32"/>
          <w:lang w:val="en-US" w:eastAsia="zh-CN"/>
        </w:rPr>
        <w:t>报告，并</w:t>
      </w:r>
      <w:r>
        <w:rPr>
          <w:rFonts w:hint="eastAsia" w:ascii="仿宋_GB2312" w:hAnsi="仿宋_GB2312" w:eastAsia="仿宋_GB2312" w:cs="仿宋_GB2312"/>
          <w:sz w:val="32"/>
          <w:szCs w:val="32"/>
        </w:rPr>
        <w:t>确保</w:t>
      </w:r>
      <w:r>
        <w:rPr>
          <w:rFonts w:hint="eastAsia" w:ascii="仿宋_GB2312" w:hAnsi="仿宋_GB2312" w:eastAsia="仿宋_GB2312" w:cs="仿宋_GB2312"/>
          <w:sz w:val="32"/>
          <w:szCs w:val="32"/>
          <w:lang w:val="en-US" w:eastAsia="zh-CN"/>
        </w:rPr>
        <w:t>所出具的</w:t>
      </w:r>
      <w:r>
        <w:rPr>
          <w:rFonts w:hint="eastAsia" w:ascii="仿宋_GB2312" w:hAnsi="仿宋_GB2312" w:eastAsia="仿宋_GB2312" w:cs="仿宋_GB2312"/>
          <w:sz w:val="32"/>
          <w:szCs w:val="32"/>
          <w:lang w:eastAsia="zh-CN"/>
        </w:rPr>
        <w:t>测绘成果</w:t>
      </w:r>
      <w:r>
        <w:rPr>
          <w:rFonts w:hint="eastAsia" w:ascii="仿宋_GB2312" w:hAnsi="仿宋_GB2312" w:eastAsia="仿宋_GB2312" w:cs="仿宋_GB2312"/>
          <w:sz w:val="32"/>
          <w:szCs w:val="32"/>
          <w:lang w:val="en-US" w:eastAsia="zh-CN"/>
        </w:rPr>
        <w:t>报告</w:t>
      </w:r>
      <w:r>
        <w:rPr>
          <w:rFonts w:hint="eastAsia" w:ascii="仿宋_GB2312" w:hAnsi="仿宋_GB2312" w:eastAsia="仿宋_GB2312" w:cs="仿宋_GB2312"/>
          <w:sz w:val="32"/>
          <w:szCs w:val="32"/>
        </w:rPr>
        <w:t>通过</w:t>
      </w:r>
      <w:r>
        <w:rPr>
          <w:rFonts w:hint="eastAsia" w:ascii="仿宋_GB2312" w:hAnsi="仿宋_GB2312" w:eastAsia="仿宋_GB2312" w:cs="仿宋_GB2312"/>
          <w:sz w:val="32"/>
          <w:szCs w:val="32"/>
          <w:lang w:eastAsia="zh-CN"/>
        </w:rPr>
        <w:t>地方</w:t>
      </w:r>
      <w:r>
        <w:rPr>
          <w:rFonts w:hint="eastAsia" w:ascii="仿宋_GB2312" w:hAnsi="仿宋_GB2312" w:eastAsia="仿宋_GB2312" w:cs="仿宋_GB2312"/>
          <w:sz w:val="32"/>
          <w:szCs w:val="32"/>
          <w:lang w:val="en-US" w:eastAsia="zh-CN"/>
        </w:rPr>
        <w:t>自然资源和规划局</w:t>
      </w:r>
      <w:r>
        <w:rPr>
          <w:rFonts w:hint="eastAsia" w:ascii="仿宋_GB2312" w:hAnsi="仿宋_GB2312" w:eastAsia="仿宋_GB2312" w:cs="仿宋_GB2312"/>
          <w:sz w:val="32"/>
          <w:szCs w:val="32"/>
          <w:lang w:eastAsia="zh-CN"/>
        </w:rPr>
        <w:t>的审</w:t>
      </w:r>
      <w:r>
        <w:rPr>
          <w:rFonts w:hint="eastAsia" w:ascii="仿宋_GB2312" w:hAnsi="仿宋_GB2312" w:eastAsia="仿宋_GB2312" w:cs="仿宋_GB2312"/>
          <w:sz w:val="32"/>
          <w:szCs w:val="32"/>
        </w:rPr>
        <w:t>核</w:t>
      </w:r>
      <w:r>
        <w:rPr>
          <w:rFonts w:hint="eastAsia" w:ascii="仿宋_GB2312" w:hAnsi="仿宋_GB2312" w:eastAsia="仿宋_GB2312" w:cs="仿宋_GB2312"/>
          <w:sz w:val="32"/>
          <w:szCs w:val="32"/>
          <w:lang w:eastAsia="zh-CN"/>
        </w:rPr>
        <w:t>备案</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房产测绘</w:t>
      </w:r>
      <w:r>
        <w:rPr>
          <w:rFonts w:hint="eastAsia" w:ascii="仿宋_GB2312" w:hAnsi="仿宋_GB2312" w:eastAsia="仿宋_GB2312" w:cs="仿宋_GB2312"/>
          <w:sz w:val="32"/>
          <w:szCs w:val="32"/>
        </w:rPr>
        <w:t>达到办</w:t>
      </w:r>
      <w:r>
        <w:rPr>
          <w:rFonts w:hint="eastAsia" w:ascii="仿宋_GB2312" w:hAnsi="仿宋_GB2312" w:eastAsia="仿宋_GB2312" w:cs="仿宋_GB2312"/>
          <w:sz w:val="32"/>
          <w:szCs w:val="32"/>
          <w:lang w:eastAsia="zh-CN"/>
        </w:rPr>
        <w:t>理</w:t>
      </w:r>
      <w:r>
        <w:rPr>
          <w:rFonts w:hint="eastAsia" w:ascii="仿宋_GB2312" w:hAnsi="仿宋_GB2312" w:eastAsia="仿宋_GB2312" w:cs="仿宋_GB2312"/>
          <w:sz w:val="32"/>
          <w:szCs w:val="32"/>
        </w:rPr>
        <w:t>不动产权证</w:t>
      </w:r>
      <w:r>
        <w:rPr>
          <w:rFonts w:hint="eastAsia" w:ascii="仿宋_GB2312" w:hAnsi="仿宋_GB2312" w:eastAsia="仿宋_GB2312" w:cs="仿宋_GB2312"/>
          <w:sz w:val="32"/>
          <w:szCs w:val="32"/>
          <w:lang w:val="en-US" w:eastAsia="zh-CN"/>
        </w:rPr>
        <w:t>及规划核实证明</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条件。</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Theme="minorEastAsia" w:hAnsiTheme="minorEastAsia" w:eastAsiaTheme="minorEastAsia" w:cstheme="minorEastAsia"/>
          <w:b/>
          <w:bCs/>
          <w:sz w:val="32"/>
          <w:szCs w:val="32"/>
          <w:lang w:eastAsia="zh-CN"/>
        </w:rPr>
      </w:pPr>
      <w:r>
        <w:rPr>
          <w:rFonts w:hint="eastAsia" w:asciiTheme="minorEastAsia" w:hAnsiTheme="minorEastAsia" w:cstheme="minorEastAsia"/>
          <w:b/>
          <w:bCs/>
          <w:sz w:val="32"/>
          <w:szCs w:val="32"/>
          <w:lang w:val="en-US" w:eastAsia="zh-CN"/>
        </w:rPr>
        <w:t>六</w:t>
      </w:r>
      <w:r>
        <w:rPr>
          <w:rFonts w:hint="eastAsia" w:asciiTheme="minorEastAsia" w:hAnsiTheme="minorEastAsia" w:eastAsiaTheme="minorEastAsia" w:cstheme="minorEastAsia"/>
          <w:b/>
          <w:bCs/>
          <w:sz w:val="32"/>
          <w:szCs w:val="32"/>
          <w:lang w:eastAsia="zh-CN"/>
        </w:rPr>
        <w:t>、</w:t>
      </w:r>
      <w:r>
        <w:rPr>
          <w:rFonts w:hint="eastAsia" w:asciiTheme="minorEastAsia" w:hAnsiTheme="minorEastAsia" w:cstheme="minorEastAsia"/>
          <w:b/>
          <w:bCs/>
          <w:sz w:val="32"/>
          <w:szCs w:val="32"/>
          <w:lang w:eastAsia="zh-CN"/>
        </w:rPr>
        <w:t>服务</w:t>
      </w:r>
      <w:r>
        <w:rPr>
          <w:rFonts w:hint="eastAsia" w:asciiTheme="minorEastAsia" w:hAnsiTheme="minorEastAsia" w:eastAsiaTheme="minorEastAsia" w:cstheme="minorEastAsia"/>
          <w:b/>
          <w:bCs/>
          <w:sz w:val="32"/>
          <w:szCs w:val="32"/>
          <w:lang w:eastAsia="zh-CN"/>
        </w:rPr>
        <w:t>期</w:t>
      </w:r>
      <w:r>
        <w:rPr>
          <w:rFonts w:hint="eastAsia" w:asciiTheme="minorEastAsia" w:hAnsiTheme="minorEastAsia" w:cstheme="minorEastAsia"/>
          <w:b/>
          <w:bCs/>
          <w:sz w:val="32"/>
          <w:szCs w:val="32"/>
          <w:lang w:eastAsia="zh-CN"/>
        </w:rPr>
        <w:t>限</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合同签订之日起</w:t>
      </w:r>
      <w:r>
        <w:rPr>
          <w:rFonts w:hint="eastAsia" w:ascii="仿宋_GB2312" w:hAnsi="仿宋_GB2312" w:eastAsia="仿宋_GB2312" w:cs="仿宋_GB2312"/>
          <w:sz w:val="32"/>
          <w:szCs w:val="32"/>
          <w:lang w:val="en-US" w:eastAsia="zh-CN"/>
        </w:rPr>
        <w:t>12个月。</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right="0" w:rightChars="0" w:firstLine="643" w:firstLineChars="200"/>
        <w:jc w:val="both"/>
        <w:textAlignment w:val="auto"/>
        <w:outlineLvl w:val="9"/>
        <w:rPr>
          <w:rFonts w:hint="eastAsia" w:asciiTheme="minorEastAsia" w:hAnsiTheme="minorEastAsia" w:cstheme="minorEastAsia"/>
          <w:b/>
          <w:bCs/>
          <w:sz w:val="32"/>
          <w:szCs w:val="32"/>
          <w:lang w:val="en-US" w:eastAsia="zh-CN"/>
        </w:rPr>
      </w:pPr>
      <w:r>
        <w:rPr>
          <w:rFonts w:hint="eastAsia" w:asciiTheme="minorEastAsia" w:hAnsiTheme="minorEastAsia" w:cstheme="minorEastAsia"/>
          <w:b/>
          <w:bCs/>
          <w:sz w:val="32"/>
          <w:szCs w:val="32"/>
          <w:lang w:val="en-US" w:eastAsia="zh-CN"/>
        </w:rPr>
        <w:t>其他要求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0" w:firstLineChars="200"/>
        <w:jc w:val="both"/>
        <w:textAlignment w:val="auto"/>
        <w:outlineLvl w:val="9"/>
        <w:rPr>
          <w:rFonts w:hint="eastAsia"/>
          <w:lang w:val="en-US" w:eastAsia="zh-CN"/>
        </w:rPr>
      </w:pPr>
      <w:r>
        <w:rPr>
          <w:rFonts w:hint="eastAsia" w:ascii="仿宋_GB2312" w:hAnsi="仿宋_GB2312" w:eastAsia="仿宋_GB2312" w:cs="仿宋_GB2312"/>
          <w:color w:val="auto"/>
          <w:sz w:val="32"/>
          <w:szCs w:val="32"/>
          <w:lang w:val="en-US" w:eastAsia="zh-CN"/>
        </w:rPr>
        <w:t>响应速度要求：承包商应在工作时间内保持电话畅通，确保发包方能够随时联系到承包商。承包商应具备在接到发包方通知后1小时内对发包方的需求做出响应，必要时前往项目现场复核或复测。</w:t>
      </w:r>
    </w:p>
    <w:p>
      <w:pPr>
        <w:keepNext w:val="0"/>
        <w:keepLines w:val="0"/>
        <w:pageBreakBefore w:val="0"/>
        <w:widowControl w:val="0"/>
        <w:kinsoku/>
        <w:wordWrap/>
        <w:overflowPunct/>
        <w:topLinePunct w:val="0"/>
        <w:autoSpaceDE/>
        <w:autoSpaceDN/>
        <w:bidi w:val="0"/>
        <w:adjustRightInd/>
        <w:snapToGrid/>
        <w:spacing w:line="52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right="0" w:rightChars="0" w:firstLine="64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p>
      <w:pPr>
        <w:keepNext w:val="0"/>
        <w:keepLines w:val="0"/>
        <w:pageBreakBefore w:val="0"/>
        <w:widowControl w:val="0"/>
        <w:kinsoku/>
        <w:wordWrap/>
        <w:overflowPunct/>
        <w:topLinePunct w:val="0"/>
        <w:autoSpaceDE/>
        <w:autoSpaceDN/>
        <w:bidi w:val="0"/>
        <w:adjustRightInd/>
        <w:snapToGrid/>
        <w:spacing w:line="520" w:lineRule="exact"/>
        <w:ind w:right="0" w:rightChars="0" w:firstLine="1292" w:firstLineChars="404"/>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1.项目清单（附后）</w:t>
      </w:r>
    </w:p>
    <w:p>
      <w:pPr>
        <w:keepNext w:val="0"/>
        <w:keepLines w:val="0"/>
        <w:pageBreakBefore w:val="0"/>
        <w:widowControl w:val="0"/>
        <w:kinsoku/>
        <w:wordWrap/>
        <w:overflowPunct/>
        <w:topLinePunct w:val="0"/>
        <w:autoSpaceDE/>
        <w:autoSpaceDN/>
        <w:bidi w:val="0"/>
        <w:adjustRightInd/>
        <w:snapToGrid/>
        <w:spacing w:line="520" w:lineRule="exact"/>
        <w:ind w:left="1597" w:leftChars="608" w:right="0" w:rightChars="0" w:hanging="320" w:hangingChars="100"/>
        <w:jc w:val="both"/>
        <w:textAlignment w:val="auto"/>
        <w:outlineLvl w:val="9"/>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2.柳东新区电力应急抢修维护中心项目最高总价限价表（附后）</w:t>
      </w:r>
    </w:p>
    <w:p>
      <w:pPr>
        <w:pStyle w:val="2"/>
        <w:keepNext w:val="0"/>
        <w:keepLines w:val="0"/>
        <w:pageBreakBefore w:val="0"/>
        <w:kinsoku/>
        <w:overflowPunct/>
        <w:topLinePunct w:val="0"/>
        <w:autoSpaceDE/>
        <w:autoSpaceDN/>
        <w:bidi w:val="0"/>
        <w:adjustRightInd/>
        <w:snapToGrid/>
        <w:spacing w:line="520" w:lineRule="exact"/>
        <w:ind w:left="0" w:leftChars="0" w:firstLine="0" w:firstLineChars="0"/>
        <w:rPr>
          <w:rFonts w:hint="eastAsia" w:ascii="仿宋_GB2312" w:hAnsi="仿宋_GB2312" w:eastAsia="仿宋_GB2312" w:cs="仿宋_GB2312"/>
          <w:kern w:val="2"/>
          <w:sz w:val="32"/>
          <w:szCs w:val="32"/>
          <w:lang w:val="en-US" w:eastAsia="zh-CN" w:bidi="ar-SA"/>
        </w:rPr>
      </w:pPr>
    </w:p>
    <w:p>
      <w:pPr>
        <w:keepNext w:val="0"/>
        <w:keepLines w:val="0"/>
        <w:pageBreakBefore w:val="0"/>
        <w:widowControl/>
        <w:kinsoku/>
        <w:wordWrap/>
        <w:overflowPunct/>
        <w:topLinePunct w:val="0"/>
        <w:autoSpaceDE/>
        <w:autoSpaceDN/>
        <w:bidi w:val="0"/>
        <w:adjustRightInd/>
        <w:snapToGrid/>
        <w:spacing w:line="520" w:lineRule="exact"/>
        <w:ind w:firstLine="640" w:firstLineChars="200"/>
        <w:jc w:val="righ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广西电网有限责任公司柳州供电局</w:t>
      </w:r>
    </w:p>
    <w:p>
      <w:pPr>
        <w:keepNext w:val="0"/>
        <w:keepLines w:val="0"/>
        <w:pageBreakBefore w:val="0"/>
        <w:widowControl/>
        <w:kinsoku/>
        <w:wordWrap w:val="0"/>
        <w:overflowPunct/>
        <w:topLinePunct w:val="0"/>
        <w:autoSpaceDE/>
        <w:autoSpaceDN/>
        <w:bidi w:val="0"/>
        <w:adjustRightInd/>
        <w:snapToGrid/>
        <w:spacing w:line="520" w:lineRule="exact"/>
        <w:ind w:firstLine="640" w:firstLineChars="200"/>
        <w:jc w:val="right"/>
        <w:textAlignment w:val="auto"/>
        <w:rPr>
          <w:rFonts w:hint="default" w:ascii="仿宋_GB2312" w:hAnsi="仿宋_GB2312" w:eastAsia="仿宋_GB2312" w:cs="仿宋_GB2312"/>
          <w:sz w:val="32"/>
          <w:szCs w:val="32"/>
          <w:u w:val="none"/>
          <w:lang w:val="en-US" w:eastAsia="zh-CN"/>
        </w:rPr>
      </w:pPr>
      <w:r>
        <w:rPr>
          <w:rFonts w:hint="default" w:ascii="仿宋_GB2312" w:hAnsi="仿宋_GB2312" w:eastAsia="仿宋_GB2312" w:cs="仿宋_GB2312"/>
          <w:sz w:val="32"/>
          <w:szCs w:val="32"/>
          <w:u w:val="none"/>
          <w:lang w:val="en-US" w:eastAsia="zh-CN"/>
        </w:rPr>
        <w:t>建设管理部</w:t>
      </w:r>
      <w:r>
        <w:rPr>
          <w:rFonts w:hint="eastAsia" w:ascii="仿宋_GB2312" w:hAnsi="仿宋_GB2312" w:eastAsia="仿宋_GB2312" w:cs="仿宋_GB2312"/>
          <w:sz w:val="32"/>
          <w:szCs w:val="32"/>
          <w:u w:val="none"/>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520" w:lineRule="exact"/>
        <w:ind w:firstLine="640" w:firstLineChars="200"/>
        <w:jc w:val="right"/>
        <w:textAlignment w:val="auto"/>
        <w:rPr>
          <w:rFonts w:hint="eastAsia" w:ascii="仿宋_GB2312" w:hAnsi="仿宋_GB2312" w:eastAsia="仿宋_GB2312" w:cs="仿宋_GB2312"/>
          <w:sz w:val="32"/>
          <w:szCs w:val="32"/>
          <w:u w:val="none"/>
          <w:lang w:val="en-US" w:eastAsia="zh-CN"/>
        </w:rPr>
        <w:sectPr>
          <w:footerReference r:id="rId3" w:type="default"/>
          <w:pgSz w:w="11906" w:h="16838"/>
          <w:pgMar w:top="1417" w:right="1417" w:bottom="1417" w:left="1417" w:header="851" w:footer="992" w:gutter="0"/>
          <w:pgNumType w:fmt="decimal"/>
          <w:cols w:space="0" w:num="1"/>
          <w:rtlGutter w:val="0"/>
          <w:docGrid w:type="lines" w:linePitch="312" w:charSpace="0"/>
        </w:sectPr>
      </w:pPr>
      <w:r>
        <w:rPr>
          <w:rFonts w:hint="eastAsia" w:ascii="仿宋_GB2312" w:hAnsi="仿宋_GB2312" w:eastAsia="仿宋_GB2312" w:cs="仿宋_GB2312"/>
          <w:sz w:val="32"/>
          <w:szCs w:val="32"/>
          <w:u w:val="none"/>
          <w:lang w:val="en-US" w:eastAsia="zh-CN"/>
        </w:rPr>
        <w:t xml:space="preserve">2025年9月25日      </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both"/>
        <w:textAlignment w:val="auto"/>
        <w:outlineLvl w:val="9"/>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asciiTheme="minorEastAsia" w:hAnsiTheme="minorEastAsia" w:eastAsiaTheme="minorEastAsia" w:cstheme="minorEastAsia"/>
          <w:b/>
          <w:bCs/>
          <w:sz w:val="32"/>
          <w:szCs w:val="32"/>
          <w:lang w:val="en-US" w:eastAsia="zh-CN"/>
        </w:rPr>
        <w:t>项目清单</w:t>
      </w:r>
    </w:p>
    <w:tbl>
      <w:tblPr>
        <w:tblStyle w:val="5"/>
        <w:tblW w:w="132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22"/>
        <w:gridCol w:w="4155"/>
        <w:gridCol w:w="2150"/>
        <w:gridCol w:w="1720"/>
        <w:gridCol w:w="4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75" w:hRule="exact"/>
          <w:jc w:val="center"/>
        </w:trPr>
        <w:tc>
          <w:tcPr>
            <w:tcW w:w="7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eastAsiaTheme="minorEastAsia" w:cstheme="minorEastAsia"/>
                <w:b/>
                <w:i w:val="0"/>
                <w:color w:val="000000"/>
                <w:kern w:val="0"/>
                <w:sz w:val="24"/>
                <w:szCs w:val="24"/>
                <w:u w:val="none"/>
                <w:lang w:val="en-US" w:eastAsia="zh-CN" w:bidi="ar"/>
              </w:rPr>
              <w:t>序号</w:t>
            </w:r>
          </w:p>
        </w:tc>
        <w:tc>
          <w:tcPr>
            <w:tcW w:w="4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Theme="minorEastAsia" w:hAnsiTheme="minorEastAsia" w:eastAsiaTheme="minorEastAsia" w:cstheme="minorEastAsia"/>
                <w:b/>
                <w:i w:val="0"/>
                <w:color w:val="000000"/>
                <w:sz w:val="24"/>
                <w:szCs w:val="24"/>
                <w:u w:val="none"/>
              </w:rPr>
            </w:pPr>
            <w:r>
              <w:rPr>
                <w:rFonts w:hint="eastAsia" w:asciiTheme="minorEastAsia" w:hAnsiTheme="minorEastAsia" w:cstheme="minorEastAsia"/>
                <w:b/>
                <w:i w:val="0"/>
                <w:color w:val="000000"/>
                <w:kern w:val="0"/>
                <w:sz w:val="24"/>
                <w:szCs w:val="24"/>
                <w:u w:val="none"/>
                <w:lang w:val="en-US" w:eastAsia="zh-CN" w:bidi="ar"/>
              </w:rPr>
              <w:t>项目</w:t>
            </w:r>
            <w:r>
              <w:rPr>
                <w:rFonts w:hint="eastAsia" w:asciiTheme="minorEastAsia" w:hAnsiTheme="minorEastAsia" w:eastAsiaTheme="minorEastAsia" w:cstheme="minorEastAsia"/>
                <w:b/>
                <w:i w:val="0"/>
                <w:color w:val="000000"/>
                <w:kern w:val="0"/>
                <w:sz w:val="24"/>
                <w:szCs w:val="24"/>
                <w:u w:val="none"/>
                <w:lang w:val="en-US" w:eastAsia="zh-CN" w:bidi="ar"/>
              </w:rPr>
              <w:t>名称</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Theme="minorEastAsia" w:hAnsiTheme="minorEastAsia" w:cstheme="minorEastAsia"/>
                <w:b/>
                <w:i w:val="0"/>
                <w:color w:val="000000"/>
                <w:kern w:val="0"/>
                <w:sz w:val="24"/>
                <w:szCs w:val="24"/>
                <w:u w:val="none"/>
                <w:lang w:val="en-US" w:eastAsia="zh-CN" w:bidi="ar"/>
              </w:rPr>
            </w:pPr>
            <w:r>
              <w:rPr>
                <w:rFonts w:hint="eastAsia" w:asciiTheme="minorEastAsia" w:hAnsiTheme="minorEastAsia" w:cstheme="minorEastAsia"/>
                <w:b/>
                <w:i w:val="0"/>
                <w:color w:val="000000"/>
                <w:kern w:val="0"/>
                <w:sz w:val="24"/>
                <w:szCs w:val="24"/>
                <w:u w:val="none"/>
                <w:lang w:val="en-US" w:eastAsia="zh-CN" w:bidi="ar"/>
              </w:rPr>
              <w:t>建设用地面积</w:t>
            </w:r>
          </w:p>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Theme="minorEastAsia" w:hAnsiTheme="minorEastAsia" w:eastAsiaTheme="minorEastAsia" w:cstheme="minorEastAsia"/>
                <w:b/>
                <w:i w:val="0"/>
                <w:color w:val="000000"/>
                <w:kern w:val="0"/>
                <w:sz w:val="24"/>
                <w:szCs w:val="24"/>
                <w:u w:val="none"/>
                <w:lang w:val="en-US" w:eastAsia="zh-CN" w:bidi="ar"/>
              </w:rPr>
            </w:pP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i w:val="0"/>
                <w:color w:val="000000"/>
                <w:kern w:val="0"/>
                <w:sz w:val="24"/>
                <w:szCs w:val="24"/>
                <w:u w:val="none"/>
                <w:lang w:val="en-US" w:eastAsia="zh-CN" w:bidi="ar"/>
              </w:rPr>
              <w:t>建筑面积</w:t>
            </w:r>
            <w:r>
              <w:rPr>
                <w:rFonts w:hint="eastAsia" w:asciiTheme="minorEastAsia" w:hAnsiTheme="minorEastAsia" w:eastAsiaTheme="minorEastAsia" w:cstheme="minorEastAsia"/>
                <w:b/>
                <w:i w:val="0"/>
                <w:color w:val="000000"/>
                <w:kern w:val="0"/>
                <w:sz w:val="24"/>
                <w:szCs w:val="24"/>
                <w:u w:val="none"/>
                <w:lang w:val="en-US" w:eastAsia="zh-CN" w:bidi="ar"/>
              </w:rPr>
              <w:br w:type="textWrapping"/>
            </w:r>
            <w:r>
              <w:rPr>
                <w:rFonts w:hint="eastAsia" w:asciiTheme="minorEastAsia" w:hAnsiTheme="minorEastAsia" w:eastAsiaTheme="minorEastAsia" w:cstheme="minorEastAsia"/>
                <w:b/>
                <w:i w:val="0"/>
                <w:color w:val="000000"/>
                <w:kern w:val="0"/>
                <w:sz w:val="24"/>
                <w:szCs w:val="24"/>
                <w:u w:val="none"/>
                <w:lang w:val="en-US" w:eastAsia="zh-CN" w:bidi="ar"/>
              </w:rPr>
              <w:t>(平方米)</w:t>
            </w:r>
          </w:p>
        </w:tc>
        <w:tc>
          <w:tcPr>
            <w:tcW w:w="4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b/>
                <w:bCs/>
                <w:sz w:val="24"/>
                <w:szCs w:val="24"/>
                <w:lang w:val="en-US" w:eastAsia="zh-CN"/>
              </w:rPr>
              <w:t>建设地点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450" w:hRule="atLeast"/>
          <w:jc w:val="center"/>
        </w:trPr>
        <w:tc>
          <w:tcPr>
            <w:tcW w:w="722"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Theme="minorEastAsia" w:hAnsiTheme="minorEastAsia" w:eastAsiaTheme="minorEastAsia" w:cstheme="minorEastAsia"/>
                <w:i w:val="0"/>
                <w:color w:val="auto"/>
                <w:sz w:val="24"/>
                <w:szCs w:val="24"/>
                <w:highlight w:val="none"/>
                <w:u w:val="none"/>
              </w:rPr>
            </w:pPr>
            <w:r>
              <w:rPr>
                <w:rFonts w:hint="eastAsia" w:asciiTheme="minorEastAsia" w:hAnsiTheme="minorEastAsia" w:cstheme="minorEastAsia"/>
                <w:i w:val="0"/>
                <w:color w:val="auto"/>
                <w:sz w:val="24"/>
                <w:szCs w:val="24"/>
                <w:highlight w:val="none"/>
                <w:u w:val="none"/>
                <w:lang w:val="en-US" w:eastAsia="zh-CN"/>
              </w:rPr>
              <w:t>1</w:t>
            </w:r>
          </w:p>
        </w:tc>
        <w:tc>
          <w:tcPr>
            <w:tcW w:w="4155"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eastAsia" w:asciiTheme="minorEastAsia" w:hAnsiTheme="minorEastAsia" w:eastAsiaTheme="minorEastAsia" w:cstheme="minorEastAsia"/>
                <w:i w:val="0"/>
                <w:color w:val="auto"/>
                <w:sz w:val="24"/>
                <w:szCs w:val="24"/>
                <w:highlight w:val="none"/>
                <w:u w:val="none"/>
                <w:lang w:eastAsia="zh-CN"/>
              </w:rPr>
            </w:pPr>
            <w:r>
              <w:rPr>
                <w:rFonts w:hint="eastAsia" w:asciiTheme="minorEastAsia" w:hAnsiTheme="minorEastAsia" w:cstheme="minorEastAsia"/>
                <w:i w:val="0"/>
                <w:color w:val="auto"/>
                <w:sz w:val="24"/>
                <w:szCs w:val="24"/>
                <w:highlight w:val="none"/>
                <w:u w:val="none"/>
                <w:lang w:eastAsia="zh-CN"/>
              </w:rPr>
              <w:t>柳东新区电力应急抢修维护中心项目</w:t>
            </w:r>
          </w:p>
        </w:tc>
        <w:tc>
          <w:tcPr>
            <w:tcW w:w="2150"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6666.98</w:t>
            </w:r>
          </w:p>
        </w:tc>
        <w:tc>
          <w:tcPr>
            <w:tcW w:w="1720"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6340.75</w:t>
            </w:r>
          </w:p>
        </w:tc>
        <w:tc>
          <w:tcPr>
            <w:tcW w:w="4530" w:type="dxa"/>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柳州市柳东新区职教园东面大岭山南侧110kV创业变电站旁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50" w:hRule="exact"/>
          <w:jc w:val="center"/>
        </w:trPr>
        <w:tc>
          <w:tcPr>
            <w:tcW w:w="48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合计</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default"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cstheme="minorEastAsia"/>
                <w:sz w:val="24"/>
                <w:szCs w:val="24"/>
                <w:highlight w:val="none"/>
                <w:lang w:val="en-US" w:eastAsia="zh-CN"/>
              </w:rPr>
              <w:t>6666.98</w:t>
            </w:r>
          </w:p>
        </w:tc>
        <w:tc>
          <w:tcPr>
            <w:tcW w:w="1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default" w:asciiTheme="minorEastAsia" w:hAnsiTheme="minorEastAsia" w:eastAsiaTheme="minorEastAsia" w:cstheme="minorEastAsia"/>
                <w:kern w:val="2"/>
                <w:sz w:val="24"/>
                <w:szCs w:val="24"/>
                <w:highlight w:val="none"/>
                <w:lang w:val="en-US" w:eastAsia="zh-CN" w:bidi="ar-SA"/>
              </w:rPr>
            </w:pPr>
            <w:r>
              <w:rPr>
                <w:rFonts w:hint="eastAsia" w:asciiTheme="minorEastAsia" w:hAnsiTheme="minorEastAsia" w:cstheme="minorEastAsia"/>
                <w:sz w:val="24"/>
                <w:szCs w:val="24"/>
                <w:highlight w:val="none"/>
                <w:lang w:val="en-US" w:eastAsia="zh-CN"/>
              </w:rPr>
              <w:t>6340.75</w:t>
            </w:r>
          </w:p>
        </w:tc>
        <w:tc>
          <w:tcPr>
            <w:tcW w:w="45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871" w:hRule="exact"/>
          <w:jc w:val="center"/>
        </w:trPr>
        <w:tc>
          <w:tcPr>
            <w:tcW w:w="132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overflowPunct/>
              <w:topLinePunct w:val="0"/>
              <w:autoSpaceDE/>
              <w:autoSpaceDN/>
              <w:bidi w:val="0"/>
              <w:adjustRightInd/>
              <w:snapToGrid/>
              <w:spacing w:beforeLines="0" w:afterLines="0" w:line="520" w:lineRule="exact"/>
              <w:jc w:val="left"/>
              <w:rPr>
                <w:rFonts w:hint="eastAsia" w:asciiTheme="minorEastAsia" w:hAnsiTheme="minorEastAsia" w:cstheme="minorEastAsia"/>
                <w:color w:val="000000"/>
                <w:sz w:val="24"/>
                <w:szCs w:val="24"/>
                <w:lang w:val="en-US" w:eastAsia="zh-CN"/>
              </w:rPr>
            </w:pPr>
            <w:r>
              <w:rPr>
                <w:rFonts w:hint="eastAsia" w:asciiTheme="minorEastAsia" w:hAnsiTheme="minorEastAsia" w:cstheme="minorEastAsia"/>
                <w:color w:val="000000"/>
                <w:sz w:val="24"/>
                <w:szCs w:val="24"/>
                <w:lang w:val="en-US" w:eastAsia="zh-CN"/>
              </w:rPr>
              <w:t>备注：以实际测绘工作量为准。</w:t>
            </w:r>
          </w:p>
        </w:tc>
      </w:tr>
    </w:tbl>
    <w:p>
      <w:pPr>
        <w:keepNext w:val="0"/>
        <w:keepLines w:val="0"/>
        <w:pageBreakBefore w:val="0"/>
        <w:widowControl/>
        <w:suppressLineNumbers w:val="0"/>
        <w:kinsoku/>
        <w:overflowPunct/>
        <w:topLinePunct w:val="0"/>
        <w:autoSpaceDE/>
        <w:autoSpaceDN/>
        <w:bidi w:val="0"/>
        <w:adjustRightInd/>
        <w:snapToGrid/>
        <w:spacing w:line="520" w:lineRule="exact"/>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pageBreakBefore w:val="0"/>
        <w:widowControl/>
        <w:suppressLineNumbers w:val="0"/>
        <w:kinsoku/>
        <w:overflowPunct/>
        <w:topLinePunct w:val="0"/>
        <w:autoSpaceDE/>
        <w:autoSpaceDN/>
        <w:bidi w:val="0"/>
        <w:adjustRightInd/>
        <w:snapToGrid/>
        <w:spacing w:line="520" w:lineRule="exact"/>
        <w:jc w:val="left"/>
        <w:textAlignment w:val="center"/>
        <w:rPr>
          <w:rFonts w:hint="eastAsia" w:ascii="仿宋_GB2312" w:hAnsi="仿宋_GB2312" w:eastAsia="仿宋_GB2312" w:cs="仿宋_GB2312"/>
          <w:i w:val="0"/>
          <w:color w:val="000000"/>
          <w:kern w:val="0"/>
          <w:sz w:val="32"/>
          <w:szCs w:val="32"/>
          <w:u w:val="none"/>
          <w:lang w:val="en-US" w:eastAsia="zh-CN" w:bidi="ar"/>
        </w:rPr>
      </w:pPr>
    </w:p>
    <w:p>
      <w:pPr>
        <w:keepNext w:val="0"/>
        <w:keepLines w:val="0"/>
        <w:pageBreakBefore w:val="0"/>
        <w:widowControl/>
        <w:suppressLineNumbers w:val="0"/>
        <w:kinsoku/>
        <w:overflowPunct/>
        <w:topLinePunct w:val="0"/>
        <w:autoSpaceDE/>
        <w:autoSpaceDN/>
        <w:bidi w:val="0"/>
        <w:adjustRightInd/>
        <w:snapToGrid/>
        <w:spacing w:line="520" w:lineRule="exact"/>
        <w:jc w:val="left"/>
        <w:textAlignment w:val="center"/>
        <w:rPr>
          <w:rFonts w:hint="eastAsia" w:ascii="仿宋_GB2312" w:hAnsi="仿宋_GB2312" w:eastAsia="仿宋_GB2312" w:cs="仿宋_GB2312"/>
          <w:i w:val="0"/>
          <w:color w:val="000000"/>
          <w:kern w:val="0"/>
          <w:sz w:val="32"/>
          <w:szCs w:val="32"/>
          <w:u w:val="none"/>
          <w:lang w:val="en-US" w:eastAsia="zh-CN" w:bidi="ar"/>
        </w:rPr>
        <w:sectPr>
          <w:pgSz w:w="16838" w:h="11906" w:orient="landscape"/>
          <w:pgMar w:top="1417" w:right="1417" w:bottom="1417" w:left="1417" w:header="851" w:footer="992" w:gutter="0"/>
          <w:pgNumType w:fmt="decimal"/>
          <w:cols w:space="0" w:num="1"/>
          <w:rtlGutter w:val="0"/>
          <w:docGrid w:type="lines" w:linePitch="312" w:charSpace="0"/>
        </w:sectPr>
      </w:pPr>
    </w:p>
    <w:p>
      <w:pPr>
        <w:keepNext w:val="0"/>
        <w:keepLines w:val="0"/>
        <w:pageBreakBefore w:val="0"/>
        <w:widowControl/>
        <w:suppressLineNumbers w:val="0"/>
        <w:kinsoku/>
        <w:overflowPunct/>
        <w:topLinePunct w:val="0"/>
        <w:autoSpaceDE/>
        <w:autoSpaceDN/>
        <w:bidi w:val="0"/>
        <w:adjustRightInd/>
        <w:snapToGrid/>
        <w:spacing w:line="520" w:lineRule="exact"/>
        <w:jc w:val="left"/>
        <w:textAlignment w:val="center"/>
        <w:rPr>
          <w:rFonts w:hint="eastAsia" w:ascii="仿宋_GB2312" w:hAnsi="仿宋_GB2312" w:eastAsia="仿宋_GB2312" w:cs="仿宋_GB2312"/>
          <w:i w:val="0"/>
          <w:color w:val="000000"/>
          <w:kern w:val="0"/>
          <w:sz w:val="32"/>
          <w:szCs w:val="32"/>
          <w:u w:val="none"/>
          <w:lang w:val="en-US" w:eastAsia="zh-CN" w:bidi="ar"/>
        </w:rPr>
      </w:pPr>
      <w:r>
        <w:rPr>
          <w:rFonts w:hint="eastAsia" w:ascii="仿宋_GB2312" w:hAnsi="仿宋_GB2312" w:eastAsia="仿宋_GB2312" w:cs="仿宋_GB2312"/>
          <w:i w:val="0"/>
          <w:color w:val="000000"/>
          <w:kern w:val="0"/>
          <w:sz w:val="32"/>
          <w:szCs w:val="32"/>
          <w:u w:val="none"/>
          <w:lang w:val="en-US" w:eastAsia="zh-CN" w:bidi="ar"/>
        </w:rPr>
        <w:t>附件2</w:t>
      </w:r>
    </w:p>
    <w:tbl>
      <w:tblPr>
        <w:tblStyle w:val="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2456"/>
        <w:gridCol w:w="3258"/>
        <w:gridCol w:w="3039"/>
        <w:gridCol w:w="2019"/>
        <w:gridCol w:w="26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sz w:val="32"/>
                <w:szCs w:val="32"/>
                <w:u w:val="none"/>
                <w:lang w:val="en-US" w:eastAsia="zh-CN"/>
              </w:rPr>
              <w:t>柳东新区电力应急抢修维护中心项目最高总价限价表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rPr>
            </w:pPr>
            <w:r>
              <w:rPr>
                <w:rStyle w:val="10"/>
                <w:lang w:val="en-US" w:eastAsia="zh-CN" w:bidi="ar"/>
              </w:rPr>
              <w:t>项目名称</w:t>
            </w:r>
            <w:r>
              <w:rPr>
                <w:rStyle w:val="11"/>
                <w:lang w:val="en-US" w:eastAsia="zh-CN" w:bidi="ar"/>
              </w:rPr>
              <w:t>：</w:t>
            </w:r>
            <w:r>
              <w:rPr>
                <w:rFonts w:hint="eastAsia" w:ascii="宋体" w:hAnsi="宋体" w:eastAsia="宋体" w:cs="宋体"/>
                <w:b/>
                <w:bCs/>
                <w:i w:val="0"/>
                <w:iCs w:val="0"/>
                <w:color w:val="000000"/>
                <w:sz w:val="24"/>
                <w:szCs w:val="24"/>
                <w:u w:val="none"/>
                <w:lang w:val="en-US" w:eastAsia="zh-CN"/>
              </w:rPr>
              <w:t>柳东新区电力应急抢修维护中心项目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0" w:type="auto"/>
            <w:tcBorders>
              <w:top w:val="single" w:color="000000" w:sz="4" w:space="0"/>
              <w:left w:val="single" w:color="000000" w:sz="4" w:space="0"/>
              <w:bottom w:val="single" w:color="000000"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0" w:type="auto"/>
            <w:gridSpan w:val="2"/>
            <w:tcBorders>
              <w:top w:val="single" w:color="000000" w:sz="4" w:space="0"/>
              <w:left w:val="single" w:color="auto"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测绘项目</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ascii="新宋体" w:hAnsi="新宋体" w:eastAsia="新宋体" w:cs="新宋体"/>
                <w:b/>
                <w:bCs/>
                <w:i w:val="0"/>
                <w:iCs w:val="0"/>
                <w:color w:val="000000"/>
                <w:sz w:val="28"/>
                <w:szCs w:val="28"/>
                <w:u w:val="none"/>
              </w:rPr>
            </w:pPr>
            <w:r>
              <w:rPr>
                <w:rFonts w:hint="eastAsia" w:ascii="新宋体" w:hAnsi="新宋体" w:eastAsia="新宋体" w:cs="新宋体"/>
                <w:b/>
                <w:bCs/>
                <w:i w:val="0"/>
                <w:iCs w:val="0"/>
                <w:color w:val="000000"/>
                <w:kern w:val="0"/>
                <w:sz w:val="28"/>
                <w:szCs w:val="2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工程数量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最高总价限价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0" w:type="auto"/>
            <w:vMerge w:val="restart"/>
            <w:tcBorders>
              <w:top w:val="single" w:color="000000" w:sz="4" w:space="0"/>
              <w:left w:val="single" w:color="000000"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1</w:t>
            </w:r>
          </w:p>
        </w:tc>
        <w:tc>
          <w:tcPr>
            <w:tcW w:w="0" w:type="auto"/>
            <w:vMerge w:val="restart"/>
            <w:tcBorders>
              <w:top w:val="single" w:color="000000"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规划核实测量</w:t>
            </w:r>
          </w:p>
        </w:tc>
        <w:tc>
          <w:tcPr>
            <w:tcW w:w="0" w:type="auto"/>
            <w:tcBorders>
              <w:top w:val="single" w:color="000000" w:sz="4" w:space="0"/>
              <w:left w:val="single" w:color="auto" w:sz="4" w:space="0"/>
              <w:bottom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kern w:val="0"/>
                <w:sz w:val="24"/>
                <w:szCs w:val="24"/>
                <w:u w:val="none"/>
                <w:lang w:val="en-US" w:eastAsia="zh-CN" w:bidi="ar"/>
              </w:rPr>
              <w:t>验测平面位置</w:t>
            </w:r>
          </w:p>
        </w:tc>
        <w:tc>
          <w:tcPr>
            <w:tcW w:w="0" w:type="auto"/>
            <w:tcBorders>
              <w:top w:val="single" w:color="000000" w:sz="4" w:space="0"/>
              <w:left w:val="single" w:color="000000" w:sz="4" w:space="0"/>
              <w:bottom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边</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21</w:t>
            </w:r>
          </w:p>
        </w:tc>
        <w:tc>
          <w:tcPr>
            <w:tcW w:w="0" w:type="auto"/>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4.92万元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0" w:type="auto"/>
            <w:vMerge w:val="continue"/>
            <w:tcBorders>
              <w:left w:val="single" w:color="000000"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p>
        </w:tc>
        <w:tc>
          <w:tcPr>
            <w:tcW w:w="0" w:type="auto"/>
            <w:vMerge w:val="continue"/>
            <w:tcBorders>
              <w:left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p>
        </w:tc>
        <w:tc>
          <w:tcPr>
            <w:tcW w:w="0" w:type="auto"/>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kern w:val="0"/>
                <w:sz w:val="24"/>
                <w:szCs w:val="24"/>
                <w:u w:val="none"/>
                <w:lang w:val="en-US" w:eastAsia="zh-CN" w:bidi="ar"/>
              </w:rPr>
              <w:t>验测高程、高度</w:t>
            </w:r>
          </w:p>
        </w:tc>
        <w:tc>
          <w:tcPr>
            <w:tcW w:w="0" w:type="auto"/>
            <w:tcBorders>
              <w:top w:val="single" w:color="auto"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4</w:t>
            </w:r>
          </w:p>
        </w:tc>
        <w:tc>
          <w:tcPr>
            <w:tcW w:w="0" w:type="auto"/>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0" w:type="auto"/>
            <w:vMerge w:val="continue"/>
            <w:tcBorders>
              <w:left w:val="single" w:color="000000"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p>
        </w:tc>
        <w:tc>
          <w:tcPr>
            <w:tcW w:w="0" w:type="auto"/>
            <w:vMerge w:val="continue"/>
            <w:tcBorders>
              <w:left w:val="single" w:color="auto"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p>
        </w:tc>
        <w:tc>
          <w:tcPr>
            <w:tcW w:w="0" w:type="auto"/>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kern w:val="0"/>
                <w:sz w:val="24"/>
                <w:szCs w:val="24"/>
                <w:u w:val="none"/>
                <w:lang w:val="en-US" w:eastAsia="zh-CN" w:bidi="ar"/>
              </w:rPr>
              <w:t>绿地面积核实测量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千平方米</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约8.3</w:t>
            </w:r>
          </w:p>
        </w:tc>
        <w:tc>
          <w:tcPr>
            <w:tcW w:w="0" w:type="auto"/>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0" w:type="auto"/>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b/>
                <w:bCs/>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2</w:t>
            </w:r>
          </w:p>
        </w:tc>
        <w:tc>
          <w:tcPr>
            <w:tcW w:w="0" w:type="auto"/>
            <w:gridSpan w:val="2"/>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房产测绘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rPr>
              <w:t>平方米</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约6340</w:t>
            </w:r>
          </w:p>
        </w:tc>
        <w:tc>
          <w:tcPr>
            <w:tcW w:w="0" w:type="auto"/>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0" w:type="auto"/>
            <w:tcBorders>
              <w:top w:val="single" w:color="auto" w:sz="4" w:space="0"/>
              <w:left w:val="single" w:color="000000" w:sz="4" w:space="0"/>
              <w:bottom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3</w:t>
            </w:r>
          </w:p>
        </w:tc>
        <w:tc>
          <w:tcPr>
            <w:tcW w:w="0" w:type="auto"/>
            <w:gridSpan w:val="2"/>
            <w:tcBorders>
              <w:top w:val="single" w:color="auto" w:sz="4" w:space="0"/>
              <w:left w:val="single" w:color="auto" w:sz="4" w:space="0"/>
              <w:bottom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1/500图(DLG)测绘</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幅（62500m²）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w:t>
            </w:r>
          </w:p>
        </w:tc>
        <w:tc>
          <w:tcPr>
            <w:tcW w:w="0" w:type="auto"/>
            <w:vMerge w:val="continue"/>
            <w:tcBorders>
              <w:left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trPr>
        <w:tc>
          <w:tcPr>
            <w:tcW w:w="0" w:type="auto"/>
            <w:tcBorders>
              <w:top w:val="single" w:color="auto" w:sz="4" w:space="0"/>
              <w:left w:val="single" w:color="000000"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b/>
                <w:bCs/>
                <w:i w:val="0"/>
                <w:iCs w:val="0"/>
                <w:color w:val="000000"/>
                <w:sz w:val="24"/>
                <w:szCs w:val="24"/>
                <w:u w:val="none"/>
                <w:lang w:val="en-US" w:eastAsia="zh-CN"/>
              </w:rPr>
              <w:t>4</w:t>
            </w:r>
          </w:p>
        </w:tc>
        <w:tc>
          <w:tcPr>
            <w:tcW w:w="0" w:type="auto"/>
            <w:gridSpan w:val="2"/>
            <w:tcBorders>
              <w:top w:val="single" w:color="auto" w:sz="4" w:space="0"/>
              <w:left w:val="single" w:color="auto" w:sz="4" w:space="0"/>
              <w:right w:val="single" w:color="auto"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rPr>
              <w:t>零星测量</w:t>
            </w:r>
          </w:p>
        </w:tc>
        <w:tc>
          <w:tcPr>
            <w:tcW w:w="0" w:type="auto"/>
            <w:tcBorders>
              <w:top w:val="single" w:color="000000" w:sz="4" w:space="0"/>
              <w:left w:val="single" w:color="auto"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人</w:t>
            </w:r>
            <w:r>
              <w:rPr>
                <w:rFonts w:hint="eastAsia" w:ascii="宋体" w:hAnsi="宋体" w:eastAsia="宋体" w:cs="宋体"/>
                <w:i w:val="0"/>
                <w:iCs w:val="0"/>
                <w:color w:val="000000"/>
                <w:sz w:val="24"/>
                <w:szCs w:val="24"/>
                <w:u w:val="none"/>
                <w:lang w:val="en-US" w:eastAsia="zh-CN"/>
              </w:rPr>
              <w:t>工日</w:t>
            </w:r>
          </w:p>
        </w:tc>
        <w:tc>
          <w:tcPr>
            <w:tcW w:w="0" w:type="auto"/>
            <w:tcBorders>
              <w:top w:val="single" w:color="000000" w:sz="4" w:space="0"/>
              <w:left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default"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自行测算</w:t>
            </w:r>
          </w:p>
        </w:tc>
        <w:tc>
          <w:tcPr>
            <w:tcW w:w="0" w:type="auto"/>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5"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suppressLineNumbers w:val="0"/>
              <w:kinsoku/>
              <w:overflowPunct/>
              <w:topLinePunct w:val="0"/>
              <w:autoSpaceDE/>
              <w:autoSpaceDN/>
              <w:bidi w:val="0"/>
              <w:adjustRightInd/>
              <w:snapToGrid/>
              <w:spacing w:line="520" w:lineRule="exact"/>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备注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pageBreakBefore w:val="0"/>
              <w:widowControl/>
              <w:numPr>
                <w:ilvl w:val="0"/>
                <w:numId w:val="0"/>
              </w:numPr>
              <w:suppressLineNumbers w:val="0"/>
              <w:kinsoku/>
              <w:overflowPunct/>
              <w:topLinePunct w:val="0"/>
              <w:autoSpaceDE/>
              <w:autoSpaceDN/>
              <w:bidi w:val="0"/>
              <w:adjustRightInd/>
              <w:snapToGrid/>
              <w:spacing w:line="52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rPr>
              <w:t>1.</w:t>
            </w:r>
            <w:r>
              <w:rPr>
                <w:rFonts w:hint="eastAsia" w:asciiTheme="minorEastAsia" w:hAnsiTheme="minorEastAsia" w:eastAsiaTheme="minorEastAsia" w:cstheme="minorEastAsia"/>
                <w:sz w:val="21"/>
                <w:szCs w:val="21"/>
                <w:lang w:val="en-US" w:eastAsia="zh-CN"/>
              </w:rPr>
              <w:t>规划核实测绘收费按《测绘生产成本费用定额》（财建〔2009〕17号）并给与相应折扣报单价，房产测绘按《广西壮族自治区物价局关于我区房产测绘收费及有关问题的通知（桂价费〔2010〕294号）》并给与相应折扣报单价。</w:t>
            </w:r>
          </w:p>
          <w:p>
            <w:pPr>
              <w:keepNext w:val="0"/>
              <w:keepLines w:val="0"/>
              <w:pageBreakBefore w:val="0"/>
              <w:widowControl/>
              <w:numPr>
                <w:ilvl w:val="0"/>
                <w:numId w:val="0"/>
              </w:numPr>
              <w:suppressLineNumbers w:val="0"/>
              <w:kinsoku/>
              <w:overflowPunct/>
              <w:topLinePunct w:val="0"/>
              <w:autoSpaceDE/>
              <w:autoSpaceDN/>
              <w:bidi w:val="0"/>
              <w:adjustRightInd/>
              <w:snapToGrid/>
              <w:spacing w:line="520" w:lineRule="exact"/>
              <w:jc w:val="left"/>
              <w:textAlignment w:val="center"/>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2.本项目经验收合格后结算，结算金额按成交金额。</w:t>
            </w:r>
          </w:p>
          <w:p>
            <w:pPr>
              <w:keepNext w:val="0"/>
              <w:keepLines w:val="0"/>
              <w:pageBreakBefore w:val="0"/>
              <w:widowControl/>
              <w:numPr>
                <w:ilvl w:val="0"/>
                <w:numId w:val="0"/>
              </w:numPr>
              <w:suppressLineNumbers w:val="0"/>
              <w:kinsoku/>
              <w:overflowPunct/>
              <w:topLinePunct w:val="0"/>
              <w:autoSpaceDE/>
              <w:autoSpaceDN/>
              <w:bidi w:val="0"/>
              <w:adjustRightInd/>
              <w:snapToGrid/>
              <w:spacing w:line="520" w:lineRule="exact"/>
              <w:jc w:val="left"/>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i w:val="0"/>
                <w:iCs w:val="0"/>
                <w:color w:val="auto"/>
                <w:kern w:val="0"/>
                <w:sz w:val="21"/>
                <w:szCs w:val="21"/>
                <w:u w:val="none"/>
                <w:lang w:val="en-US" w:eastAsia="zh-CN" w:bidi="ar"/>
              </w:rPr>
              <w:t>3.报价低于或等于最高</w:t>
            </w:r>
            <w:r>
              <w:rPr>
                <w:rFonts w:hint="eastAsia" w:asciiTheme="minorEastAsia" w:hAnsiTheme="minorEastAsia" w:cstheme="minorEastAsia"/>
                <w:i w:val="0"/>
                <w:iCs w:val="0"/>
                <w:color w:val="auto"/>
                <w:kern w:val="0"/>
                <w:sz w:val="21"/>
                <w:szCs w:val="21"/>
                <w:u w:val="none"/>
                <w:lang w:val="en-US" w:eastAsia="zh-CN" w:bidi="ar"/>
              </w:rPr>
              <w:t>总价</w:t>
            </w:r>
            <w:r>
              <w:rPr>
                <w:rFonts w:hint="eastAsia" w:asciiTheme="minorEastAsia" w:hAnsiTheme="minorEastAsia" w:eastAsiaTheme="minorEastAsia" w:cstheme="minorEastAsia"/>
                <w:i w:val="0"/>
                <w:iCs w:val="0"/>
                <w:color w:val="auto"/>
                <w:kern w:val="0"/>
                <w:sz w:val="21"/>
                <w:szCs w:val="21"/>
                <w:u w:val="none"/>
                <w:lang w:val="en-US" w:eastAsia="zh-CN" w:bidi="ar"/>
              </w:rPr>
              <w:t>限价的为有效报价。如果总价报价低于最高</w:t>
            </w:r>
            <w:r>
              <w:rPr>
                <w:rFonts w:hint="eastAsia" w:asciiTheme="minorEastAsia" w:hAnsiTheme="minorEastAsia" w:cstheme="minorEastAsia"/>
                <w:i w:val="0"/>
                <w:iCs w:val="0"/>
                <w:color w:val="auto"/>
                <w:kern w:val="0"/>
                <w:sz w:val="21"/>
                <w:szCs w:val="21"/>
                <w:u w:val="none"/>
                <w:lang w:val="en-US" w:eastAsia="zh-CN" w:bidi="ar"/>
              </w:rPr>
              <w:t>总价</w:t>
            </w:r>
            <w:r>
              <w:rPr>
                <w:rFonts w:hint="eastAsia" w:asciiTheme="minorEastAsia" w:hAnsiTheme="minorEastAsia" w:eastAsiaTheme="minorEastAsia" w:cstheme="minorEastAsia"/>
                <w:i w:val="0"/>
                <w:iCs w:val="0"/>
                <w:color w:val="auto"/>
                <w:kern w:val="0"/>
                <w:sz w:val="21"/>
                <w:szCs w:val="21"/>
                <w:u w:val="none"/>
                <w:lang w:val="en-US" w:eastAsia="zh-CN" w:bidi="ar"/>
              </w:rPr>
              <w:t>限价的80%，必须在报价文件中附成本分析报告，成本分析报告需充分说明总价费用的组成、降低成本的合理措施及在其他具体项目应用过的经验，否则视为实质上不响应采购文件要求，作否决处理。</w:t>
            </w:r>
          </w:p>
        </w:tc>
      </w:tr>
    </w:tbl>
    <w:p>
      <w:pPr>
        <w:keepNext w:val="0"/>
        <w:keepLines w:val="0"/>
        <w:pageBreakBefore w:val="0"/>
        <w:widowControl/>
        <w:suppressLineNumbers w:val="0"/>
        <w:kinsoku/>
        <w:overflowPunct/>
        <w:topLinePunct w:val="0"/>
        <w:autoSpaceDE/>
        <w:autoSpaceDN/>
        <w:bidi w:val="0"/>
        <w:adjustRightInd/>
        <w:snapToGrid/>
        <w:spacing w:line="520" w:lineRule="exact"/>
        <w:jc w:val="both"/>
        <w:textAlignment w:val="center"/>
        <w:rPr>
          <w:rFonts w:hint="eastAsia" w:asciiTheme="minorEastAsia" w:hAnsiTheme="minorEastAsia" w:eastAsiaTheme="minorEastAsia" w:cstheme="minorEastAsia"/>
          <w:b/>
          <w:bCs/>
          <w:sz w:val="32"/>
          <w:szCs w:val="32"/>
          <w:lang w:val="en-US" w:eastAsia="zh-CN"/>
        </w:rPr>
      </w:pPr>
    </w:p>
    <w:sectPr>
      <w:footerReference r:id="rId4" w:type="default"/>
      <w:pgSz w:w="16838" w:h="11906" w:orient="landscape"/>
      <w:pgMar w:top="1417" w:right="1417" w:bottom="1417" w:left="141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005A4B"/>
    <w:multiLevelType w:val="singleLevel"/>
    <w:tmpl w:val="5C005A4B"/>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E67089"/>
    <w:rsid w:val="01541FBE"/>
    <w:rsid w:val="01F000C2"/>
    <w:rsid w:val="02F06707"/>
    <w:rsid w:val="04E83F46"/>
    <w:rsid w:val="06581593"/>
    <w:rsid w:val="0662222F"/>
    <w:rsid w:val="0A1D552E"/>
    <w:rsid w:val="0A384CB8"/>
    <w:rsid w:val="0FB171C2"/>
    <w:rsid w:val="11CE228F"/>
    <w:rsid w:val="11CF6ED7"/>
    <w:rsid w:val="12404300"/>
    <w:rsid w:val="12BA0AA4"/>
    <w:rsid w:val="130948BA"/>
    <w:rsid w:val="13180760"/>
    <w:rsid w:val="13F2560A"/>
    <w:rsid w:val="15BA3E8A"/>
    <w:rsid w:val="175879D2"/>
    <w:rsid w:val="197E766C"/>
    <w:rsid w:val="19CC2E41"/>
    <w:rsid w:val="1B4F0896"/>
    <w:rsid w:val="1DD94CE5"/>
    <w:rsid w:val="219C4C32"/>
    <w:rsid w:val="21D544E9"/>
    <w:rsid w:val="225536FF"/>
    <w:rsid w:val="22E1627D"/>
    <w:rsid w:val="23A70CF1"/>
    <w:rsid w:val="23AE267F"/>
    <w:rsid w:val="25B46002"/>
    <w:rsid w:val="27D949B4"/>
    <w:rsid w:val="2927562A"/>
    <w:rsid w:val="293E359A"/>
    <w:rsid w:val="2B3A578B"/>
    <w:rsid w:val="2D540410"/>
    <w:rsid w:val="2D5C161A"/>
    <w:rsid w:val="2DA354EC"/>
    <w:rsid w:val="2EE517C3"/>
    <w:rsid w:val="2FC15B49"/>
    <w:rsid w:val="337B0E24"/>
    <w:rsid w:val="33A51F6D"/>
    <w:rsid w:val="34677222"/>
    <w:rsid w:val="3617436C"/>
    <w:rsid w:val="36765518"/>
    <w:rsid w:val="377A6A48"/>
    <w:rsid w:val="39481744"/>
    <w:rsid w:val="3BE23CDB"/>
    <w:rsid w:val="3C277BCE"/>
    <w:rsid w:val="400B0281"/>
    <w:rsid w:val="400C3A16"/>
    <w:rsid w:val="40402F89"/>
    <w:rsid w:val="40947E84"/>
    <w:rsid w:val="43434035"/>
    <w:rsid w:val="44D17C07"/>
    <w:rsid w:val="45531374"/>
    <w:rsid w:val="45562AD0"/>
    <w:rsid w:val="46317111"/>
    <w:rsid w:val="464177E7"/>
    <w:rsid w:val="46B762E4"/>
    <w:rsid w:val="471951F6"/>
    <w:rsid w:val="471D6B6F"/>
    <w:rsid w:val="47F636DE"/>
    <w:rsid w:val="48A51C70"/>
    <w:rsid w:val="495A215D"/>
    <w:rsid w:val="497179F9"/>
    <w:rsid w:val="49B92007"/>
    <w:rsid w:val="4B765137"/>
    <w:rsid w:val="4BE44573"/>
    <w:rsid w:val="4C160A98"/>
    <w:rsid w:val="4FF65F63"/>
    <w:rsid w:val="507C7C3B"/>
    <w:rsid w:val="51DB3858"/>
    <w:rsid w:val="523F747B"/>
    <w:rsid w:val="533267F6"/>
    <w:rsid w:val="533F5735"/>
    <w:rsid w:val="53D041C3"/>
    <w:rsid w:val="53E353C9"/>
    <w:rsid w:val="558B766D"/>
    <w:rsid w:val="55BF52D8"/>
    <w:rsid w:val="5670465C"/>
    <w:rsid w:val="574008F6"/>
    <w:rsid w:val="574D0C87"/>
    <w:rsid w:val="585E076F"/>
    <w:rsid w:val="59AA1D84"/>
    <w:rsid w:val="59D10071"/>
    <w:rsid w:val="5A4B6D54"/>
    <w:rsid w:val="5A900A3F"/>
    <w:rsid w:val="5AA41AF2"/>
    <w:rsid w:val="5B632BF1"/>
    <w:rsid w:val="5BBC79FA"/>
    <w:rsid w:val="5DAB49FC"/>
    <w:rsid w:val="5FAB1742"/>
    <w:rsid w:val="604A517F"/>
    <w:rsid w:val="60E02B13"/>
    <w:rsid w:val="61244CBD"/>
    <w:rsid w:val="62827D35"/>
    <w:rsid w:val="64F1211D"/>
    <w:rsid w:val="65807724"/>
    <w:rsid w:val="66657416"/>
    <w:rsid w:val="67B63CB1"/>
    <w:rsid w:val="67F97B21"/>
    <w:rsid w:val="68572FB1"/>
    <w:rsid w:val="696B10DA"/>
    <w:rsid w:val="6B112A65"/>
    <w:rsid w:val="6B20071F"/>
    <w:rsid w:val="6BBB4773"/>
    <w:rsid w:val="6BD562DD"/>
    <w:rsid w:val="6C650845"/>
    <w:rsid w:val="6E683DE6"/>
    <w:rsid w:val="6EA31B50"/>
    <w:rsid w:val="6F2E160A"/>
    <w:rsid w:val="71897F94"/>
    <w:rsid w:val="72AE77BD"/>
    <w:rsid w:val="72B526A3"/>
    <w:rsid w:val="7376296B"/>
    <w:rsid w:val="745836B3"/>
    <w:rsid w:val="75830E69"/>
    <w:rsid w:val="75C76AE3"/>
    <w:rsid w:val="76C769A3"/>
    <w:rsid w:val="76EA4830"/>
    <w:rsid w:val="776303B9"/>
    <w:rsid w:val="79EA1A55"/>
    <w:rsid w:val="7C942BE9"/>
    <w:rsid w:val="7D41771A"/>
    <w:rsid w:val="7D70584A"/>
    <w:rsid w:val="7E1517C7"/>
    <w:rsid w:val="7EF75E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1"/>
    <w:basedOn w:val="1"/>
    <w:qFormat/>
    <w:uiPriority w:val="34"/>
    <w:pPr>
      <w:ind w:firstLine="420" w:firstLineChars="200"/>
    </w:pPr>
  </w:style>
  <w:style w:type="character" w:customStyle="1" w:styleId="9">
    <w:name w:val="font01"/>
    <w:basedOn w:val="7"/>
    <w:qFormat/>
    <w:uiPriority w:val="0"/>
    <w:rPr>
      <w:rFonts w:hint="eastAsia" w:ascii="宋体" w:hAnsi="宋体" w:eastAsia="宋体" w:cs="宋体"/>
      <w:color w:val="000000"/>
      <w:sz w:val="20"/>
      <w:szCs w:val="20"/>
      <w:u w:val="none"/>
    </w:rPr>
  </w:style>
  <w:style w:type="character" w:customStyle="1" w:styleId="10">
    <w:name w:val="font31"/>
    <w:basedOn w:val="7"/>
    <w:qFormat/>
    <w:uiPriority w:val="0"/>
    <w:rPr>
      <w:rFonts w:hint="eastAsia" w:ascii="宋体" w:hAnsi="宋体" w:eastAsia="宋体" w:cs="宋体"/>
      <w:b/>
      <w:bCs/>
      <w:color w:val="000000"/>
      <w:sz w:val="24"/>
      <w:szCs w:val="24"/>
      <w:u w:val="none"/>
    </w:rPr>
  </w:style>
  <w:style w:type="character" w:customStyle="1" w:styleId="11">
    <w:name w:val="font41"/>
    <w:basedOn w:val="7"/>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2018-08-21T07:41:00Z</dcterms:created>
  <dc:creator>刘振成</dc:creator>
  <cp:lastModifiedBy>苏晨</cp:lastModifiedBy>
  <dcterms:modified xsi:type="dcterms:W3CDTF">2025-09-29T03:50:22Z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D31DB7EDE08B4B168BAF47F1244DE85C</vt:lpwstr>
  </property>
</Properties>
</file>