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6A404">
      <w:pPr>
        <w:autoSpaceDE w:val="0"/>
        <w:autoSpaceDN w:val="0"/>
        <w:adjustRightInd w:val="0"/>
        <w:spacing w:line="489" w:lineRule="exact"/>
        <w:ind w:right="-20" w:firstLine="240" w:firstLineChars="100"/>
        <w:jc w:val="center"/>
        <w:rPr>
          <w:rFonts w:ascii="方正小标宋_GBK" w:hAnsi="方正小标宋_GBK" w:eastAsia="方正小标宋_GBK" w:cs="方正小标宋_GBK"/>
          <w:kern w:val="0"/>
          <w:sz w:val="52"/>
          <w:szCs w:val="52"/>
        </w:rPr>
      </w:pPr>
      <w:bookmarkStart w:id="0" w:name="_Toc233640518"/>
      <w:bookmarkStart w:id="1" w:name="_Toc477855134"/>
      <w:r>
        <w:drawing>
          <wp:anchor distT="0" distB="0" distL="114300" distR="114300" simplePos="0" relativeHeight="251659264" behindDoc="1" locked="0" layoutInCell="1" allowOverlap="1">
            <wp:simplePos x="0" y="0"/>
            <wp:positionH relativeFrom="column">
              <wp:posOffset>-1400810</wp:posOffset>
            </wp:positionH>
            <wp:positionV relativeFrom="paragraph">
              <wp:posOffset>-1122680</wp:posOffset>
            </wp:positionV>
            <wp:extent cx="7905115" cy="8129905"/>
            <wp:effectExtent l="0" t="0" r="635" b="444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
                    <a:stretch>
                      <a:fillRect/>
                    </a:stretch>
                  </pic:blipFill>
                  <pic:spPr>
                    <a:xfrm>
                      <a:off x="0" y="0"/>
                      <a:ext cx="7905115" cy="8129905"/>
                    </a:xfrm>
                    <a:prstGeom prst="rect">
                      <a:avLst/>
                    </a:prstGeom>
                    <a:noFill/>
                    <a:ln>
                      <a:noFill/>
                    </a:ln>
                  </pic:spPr>
                </pic:pic>
              </a:graphicData>
            </a:graphic>
          </wp:anchor>
        </w:drawing>
      </w:r>
    </w:p>
    <w:p w14:paraId="56740E31">
      <w:pPr>
        <w:autoSpaceDE w:val="0"/>
        <w:autoSpaceDN w:val="0"/>
        <w:adjustRightInd w:val="0"/>
        <w:spacing w:line="489" w:lineRule="exact"/>
        <w:ind w:right="-20" w:firstLine="520" w:firstLineChars="100"/>
        <w:jc w:val="center"/>
        <w:rPr>
          <w:rFonts w:ascii="方正小标宋_GBK" w:hAnsi="方正小标宋_GBK" w:eastAsia="方正小标宋_GBK" w:cs="方正小标宋_GBK"/>
          <w:kern w:val="0"/>
          <w:sz w:val="52"/>
          <w:szCs w:val="52"/>
        </w:rPr>
      </w:pPr>
    </w:p>
    <w:p w14:paraId="3049818F">
      <w:pPr>
        <w:autoSpaceDE w:val="0"/>
        <w:autoSpaceDN w:val="0"/>
        <w:adjustRightInd w:val="0"/>
        <w:spacing w:line="489" w:lineRule="exact"/>
        <w:ind w:right="-20" w:firstLine="520" w:firstLineChars="100"/>
        <w:jc w:val="center"/>
        <w:rPr>
          <w:rFonts w:ascii="方正小标宋_GBK" w:hAnsi="方正小标宋_GBK" w:eastAsia="方正小标宋_GBK" w:cs="方正小标宋_GBK"/>
          <w:kern w:val="0"/>
          <w:sz w:val="52"/>
          <w:szCs w:val="52"/>
        </w:rPr>
      </w:pPr>
    </w:p>
    <w:p w14:paraId="6BDB1665">
      <w:pPr>
        <w:autoSpaceDE w:val="0"/>
        <w:autoSpaceDN w:val="0"/>
        <w:adjustRightInd w:val="0"/>
        <w:spacing w:line="489" w:lineRule="exact"/>
        <w:ind w:right="-20" w:firstLine="240" w:firstLineChars="100"/>
        <w:jc w:val="center"/>
        <w:rPr>
          <w:rFonts w:ascii="方正小标宋_GBK" w:hAnsi="方正小标宋_GBK" w:eastAsia="方正小标宋_GBK" w:cs="方正小标宋_GBK"/>
          <w:kern w:val="0"/>
          <w:sz w:val="52"/>
          <w:szCs w:val="52"/>
        </w:rPr>
      </w:pPr>
      <w:r>
        <w:drawing>
          <wp:anchor distT="0" distB="0" distL="114300" distR="114300" simplePos="0" relativeHeight="251660288" behindDoc="0" locked="0" layoutInCell="1" allowOverlap="1">
            <wp:simplePos x="0" y="0"/>
            <wp:positionH relativeFrom="column">
              <wp:posOffset>-434340</wp:posOffset>
            </wp:positionH>
            <wp:positionV relativeFrom="paragraph">
              <wp:posOffset>31750</wp:posOffset>
            </wp:positionV>
            <wp:extent cx="3771900" cy="887095"/>
            <wp:effectExtent l="0" t="0" r="0" b="8255"/>
            <wp:wrapNone/>
            <wp:docPr id="3" name="图片 2" descr="中国南方电网公司---横向标准组合"/>
            <wp:cNvGraphicFramePr/>
            <a:graphic xmlns:a="http://schemas.openxmlformats.org/drawingml/2006/main">
              <a:graphicData uri="http://schemas.openxmlformats.org/drawingml/2006/picture">
                <pic:pic xmlns:pic="http://schemas.openxmlformats.org/drawingml/2006/picture">
                  <pic:nvPicPr>
                    <pic:cNvPr id="3" name="图片 2" descr="中国南方电网公司---横向标准组合"/>
                    <pic:cNvPicPr/>
                  </pic:nvPicPr>
                  <pic:blipFill>
                    <a:blip r:embed="rId14"/>
                    <a:stretch>
                      <a:fillRect/>
                    </a:stretch>
                  </pic:blipFill>
                  <pic:spPr>
                    <a:xfrm>
                      <a:off x="0" y="0"/>
                      <a:ext cx="3771900" cy="887095"/>
                    </a:xfrm>
                    <a:prstGeom prst="rect">
                      <a:avLst/>
                    </a:prstGeom>
                    <a:noFill/>
                    <a:ln>
                      <a:noFill/>
                    </a:ln>
                  </pic:spPr>
                </pic:pic>
              </a:graphicData>
            </a:graphic>
          </wp:anchor>
        </w:drawing>
      </w:r>
    </w:p>
    <w:p w14:paraId="46B57FFF">
      <w:pPr>
        <w:autoSpaceDE w:val="0"/>
        <w:autoSpaceDN w:val="0"/>
        <w:adjustRightInd w:val="0"/>
        <w:spacing w:line="489" w:lineRule="exact"/>
        <w:ind w:right="-20" w:firstLine="880"/>
        <w:jc w:val="center"/>
        <w:rPr>
          <w:rFonts w:ascii="方正小标宋_GBK" w:hAnsi="方正小标宋_GBK" w:eastAsia="方正小标宋_GBK" w:cs="方正小标宋_GBK"/>
          <w:kern w:val="0"/>
          <w:sz w:val="44"/>
          <w:szCs w:val="44"/>
        </w:rPr>
      </w:pPr>
    </w:p>
    <w:p w14:paraId="6F75FDD2">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14:paraId="67E60CF6">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14:paraId="289CD30F">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14:paraId="692494C1">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14:paraId="6741515E">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14:paraId="43C431AD">
      <w:pPr>
        <w:autoSpaceDE w:val="0"/>
        <w:autoSpaceDN w:val="0"/>
        <w:adjustRightInd w:val="0"/>
        <w:spacing w:line="560" w:lineRule="exact"/>
        <w:ind w:right="-23" w:firstLine="880"/>
        <w:jc w:val="center"/>
        <w:rPr>
          <w:rFonts w:ascii="方正小标宋_GBK" w:hAnsi="方正小标宋_GBK" w:eastAsia="方正小标宋_GBK" w:cs="方正小标宋_GBK"/>
          <w:kern w:val="0"/>
          <w:sz w:val="44"/>
          <w:szCs w:val="44"/>
        </w:rPr>
      </w:pPr>
    </w:p>
    <w:p w14:paraId="7B5F5CAB">
      <w:pPr>
        <w:spacing w:line="360" w:lineRule="auto"/>
        <w:ind w:firstLine="0" w:firstLineChars="0"/>
        <w:jc w:val="center"/>
        <w:rPr>
          <w:rFonts w:ascii="方正小标宋_GBK" w:hAnsi="方正小标宋_GBK" w:eastAsia="方正小标宋_GBK" w:cs="方正小标宋_GBK"/>
          <w:kern w:val="0"/>
          <w:sz w:val="56"/>
          <w:szCs w:val="56"/>
        </w:rPr>
      </w:pPr>
      <w:r>
        <w:rPr>
          <w:rFonts w:hint="eastAsia" w:eastAsia="微软雅黑"/>
          <w:sz w:val="44"/>
          <w:szCs w:val="44"/>
        </w:rPr>
        <w:t>贵州电网信息中心2023基于深度聚类算法和Transformer模型的决策信息智能生成技术研究及应用项目技术服务采购项目技术规范书</w:t>
      </w:r>
    </w:p>
    <w:p w14:paraId="628BB10C">
      <w:pPr>
        <w:autoSpaceDE w:val="0"/>
        <w:autoSpaceDN w:val="0"/>
        <w:adjustRightInd w:val="0"/>
        <w:spacing w:line="560" w:lineRule="exact"/>
        <w:ind w:right="-23" w:firstLine="520" w:firstLineChars="100"/>
        <w:jc w:val="center"/>
        <w:rPr>
          <w:rFonts w:ascii="方正小标宋_GBK" w:hAnsi="方正小标宋_GBK" w:eastAsia="方正小标宋_GBK" w:cs="方正小标宋_GBK"/>
          <w:kern w:val="0"/>
          <w:sz w:val="52"/>
          <w:szCs w:val="52"/>
        </w:rPr>
      </w:pPr>
    </w:p>
    <w:p w14:paraId="722D0E4F">
      <w:pPr>
        <w:autoSpaceDE w:val="0"/>
        <w:autoSpaceDN w:val="0"/>
        <w:adjustRightInd w:val="0"/>
        <w:spacing w:line="560" w:lineRule="exact"/>
        <w:ind w:right="-23" w:firstLine="520" w:firstLineChars="100"/>
        <w:jc w:val="center"/>
        <w:rPr>
          <w:rFonts w:ascii="方正小标宋_GBK" w:hAnsi="方正小标宋_GBK" w:eastAsia="方正小标宋_GBK" w:cs="方正小标宋_GBK"/>
          <w:kern w:val="0"/>
          <w:sz w:val="52"/>
          <w:szCs w:val="52"/>
        </w:rPr>
      </w:pPr>
    </w:p>
    <w:p w14:paraId="296B7A1B">
      <w:pPr>
        <w:autoSpaceDE w:val="0"/>
        <w:autoSpaceDN w:val="0"/>
        <w:adjustRightInd w:val="0"/>
        <w:spacing w:line="560" w:lineRule="exact"/>
        <w:ind w:right="-23" w:firstLine="520" w:firstLineChars="100"/>
        <w:jc w:val="center"/>
        <w:rPr>
          <w:rFonts w:ascii="方正小标宋_GBK" w:hAnsi="方正小标宋_GBK" w:eastAsia="方正小标宋_GBK" w:cs="方正小标宋_GBK"/>
          <w:kern w:val="0"/>
          <w:sz w:val="52"/>
          <w:szCs w:val="52"/>
        </w:rPr>
      </w:pPr>
    </w:p>
    <w:p w14:paraId="7FCC18DF">
      <w:pPr>
        <w:autoSpaceDE w:val="0"/>
        <w:autoSpaceDN w:val="0"/>
        <w:adjustRightInd w:val="0"/>
        <w:spacing w:line="560" w:lineRule="exact"/>
        <w:ind w:right="-23" w:firstLine="520" w:firstLineChars="100"/>
        <w:jc w:val="center"/>
        <w:rPr>
          <w:rFonts w:ascii="方正小标宋_GBK" w:hAnsi="方正小标宋_GBK" w:eastAsia="方正小标宋_GBK" w:cs="方正小标宋_GBK"/>
          <w:kern w:val="0"/>
          <w:sz w:val="52"/>
          <w:szCs w:val="52"/>
        </w:rPr>
      </w:pPr>
    </w:p>
    <w:p w14:paraId="49D10A00">
      <w:pPr>
        <w:autoSpaceDE w:val="0"/>
        <w:autoSpaceDN w:val="0"/>
        <w:adjustRightInd w:val="0"/>
        <w:spacing w:line="560" w:lineRule="exact"/>
        <w:ind w:right="-23" w:firstLine="0" w:firstLineChars="0"/>
        <w:jc w:val="center"/>
        <w:rPr>
          <w:rFonts w:ascii="黑体" w:hAnsi="黑体" w:eastAsia="黑体"/>
          <w:b/>
          <w:sz w:val="36"/>
        </w:rPr>
      </w:pPr>
    </w:p>
    <w:p w14:paraId="7AFAECAF">
      <w:pPr>
        <w:autoSpaceDE w:val="0"/>
        <w:autoSpaceDN w:val="0"/>
        <w:adjustRightInd w:val="0"/>
        <w:spacing w:line="560" w:lineRule="exact"/>
        <w:ind w:right="-23" w:firstLine="0" w:firstLineChars="0"/>
        <w:jc w:val="center"/>
        <w:rPr>
          <w:rFonts w:ascii="方正小标宋_GBK" w:hAnsi="方正小标宋_GBK" w:eastAsia="方正小标宋_GBK" w:cs="方正小标宋_GBK"/>
          <w:bCs/>
          <w:kern w:val="0"/>
          <w:sz w:val="36"/>
          <w:szCs w:val="36"/>
        </w:rPr>
      </w:pPr>
      <w:r>
        <w:rPr>
          <w:rFonts w:hint="eastAsia" w:ascii="黑体" w:hAnsi="黑体" w:eastAsia="黑体"/>
          <w:bCs/>
          <w:sz w:val="36"/>
          <w:lang w:val="en-US" w:eastAsia="zh-CN"/>
        </w:rPr>
        <w:t>南方电网人工智能科技有限</w:t>
      </w:r>
      <w:r>
        <w:rPr>
          <w:rFonts w:hint="eastAsia" w:ascii="黑体" w:hAnsi="黑体" w:eastAsia="黑体"/>
          <w:bCs/>
          <w:sz w:val="36"/>
        </w:rPr>
        <w:t>公司</w:t>
      </w:r>
    </w:p>
    <w:p w14:paraId="46BB1DDA">
      <w:pPr>
        <w:autoSpaceDE w:val="0"/>
        <w:autoSpaceDN w:val="0"/>
        <w:adjustRightInd w:val="0"/>
        <w:spacing w:line="560" w:lineRule="exact"/>
        <w:ind w:right="-23" w:firstLine="0" w:firstLineChars="0"/>
        <w:jc w:val="center"/>
        <w:rPr>
          <w:rFonts w:ascii="黑体" w:hAnsi="黑体" w:eastAsia="黑体"/>
          <w:b/>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40" w:right="1162" w:bottom="1440" w:left="1797" w:header="851" w:footer="992" w:gutter="0"/>
          <w:pgNumType w:start="1"/>
          <w:cols w:space="720" w:num="1"/>
          <w:docGrid w:type="lines" w:linePitch="312" w:charSpace="0"/>
        </w:sectPr>
      </w:pPr>
      <w:r>
        <w:rPr>
          <w:rFonts w:hint="eastAsia" w:ascii="黑体" w:hAnsi="黑体" w:eastAsia="黑体" w:cs="黑体"/>
          <w:bCs/>
          <w:kern w:val="0"/>
          <w:sz w:val="36"/>
          <w:szCs w:val="36"/>
        </w:rPr>
        <w:t>202</w:t>
      </w:r>
      <w:r>
        <w:rPr>
          <w:rFonts w:ascii="黑体" w:hAnsi="黑体" w:eastAsia="黑体" w:cs="黑体"/>
          <w:bCs/>
          <w:kern w:val="0"/>
          <w:sz w:val="36"/>
          <w:szCs w:val="36"/>
        </w:rPr>
        <w:t>5</w:t>
      </w:r>
      <w:r>
        <w:rPr>
          <w:rFonts w:hint="eastAsia" w:ascii="黑体" w:hAnsi="黑体" w:eastAsia="黑体" w:cs="黑体"/>
          <w:bCs/>
          <w:kern w:val="0"/>
          <w:sz w:val="36"/>
          <w:szCs w:val="36"/>
        </w:rPr>
        <w:t>年</w:t>
      </w:r>
      <w:r>
        <w:rPr>
          <w:rFonts w:hint="eastAsia" w:ascii="黑体" w:hAnsi="黑体" w:eastAsia="黑体" w:cs="黑体"/>
          <w:bCs/>
          <w:kern w:val="0"/>
          <w:sz w:val="36"/>
          <w:szCs w:val="36"/>
          <w:lang w:val="en-US" w:eastAsia="zh-CN"/>
        </w:rPr>
        <w:t>9</w:t>
      </w:r>
      <w:r>
        <w:rPr>
          <w:rFonts w:hint="eastAsia" w:ascii="黑体" w:hAnsi="黑体" w:eastAsia="黑体" w:cs="黑体"/>
          <w:bCs/>
          <w:kern w:val="0"/>
          <w:sz w:val="36"/>
          <w:szCs w:val="36"/>
        </w:rPr>
        <w:t>月</w:t>
      </w:r>
    </w:p>
    <w:p w14:paraId="7C030DCE">
      <w:pPr>
        <w:ind w:firstLine="0" w:firstLineChars="0"/>
        <w:jc w:val="center"/>
        <w:outlineLvl w:val="0"/>
      </w:pPr>
      <w:bookmarkStart w:id="2" w:name="_Toc199335622"/>
      <w:bookmarkStart w:id="3" w:name="_Toc18748"/>
      <w:r>
        <w:rPr>
          <w:rFonts w:hint="eastAsia" w:ascii="黑体" w:hAnsi="黑体" w:eastAsia="黑体"/>
          <w:b/>
          <w:sz w:val="36"/>
          <w:szCs w:val="36"/>
        </w:rPr>
        <w:t>贵州电网信息中心2023基于深度聚类算法和Transformer模型的决策信息智能生成技术研究及应用项目技术服务采购项目</w:t>
      </w:r>
      <w:bookmarkEnd w:id="2"/>
      <w:bookmarkStart w:id="4" w:name="_Toc22710"/>
      <w:bookmarkStart w:id="5" w:name="_Toc199335623"/>
      <w:r>
        <w:rPr>
          <w:rFonts w:hint="eastAsia" w:ascii="黑体" w:hAnsi="黑体" w:eastAsia="黑体"/>
          <w:b/>
          <w:sz w:val="36"/>
          <w:szCs w:val="36"/>
        </w:rPr>
        <w:t>技术规范书</w:t>
      </w:r>
      <w:bookmarkEnd w:id="3"/>
      <w:bookmarkEnd w:id="4"/>
      <w:bookmarkEnd w:id="5"/>
    </w:p>
    <w:p w14:paraId="590FA6DC">
      <w:pPr>
        <w:pStyle w:val="2"/>
        <w:spacing w:before="156" w:line="360" w:lineRule="auto"/>
        <w:ind w:left="542" w:hanging="542"/>
      </w:pPr>
      <w:bookmarkStart w:id="6" w:name="_Toc3050"/>
      <w:bookmarkStart w:id="7" w:name="_Toc199335624"/>
      <w:r>
        <w:rPr>
          <w:rFonts w:hint="eastAsia"/>
        </w:rPr>
        <w:t>总则</w:t>
      </w:r>
      <w:bookmarkEnd w:id="0"/>
      <w:bookmarkEnd w:id="1"/>
      <w:bookmarkEnd w:id="6"/>
      <w:bookmarkEnd w:id="7"/>
    </w:p>
    <w:p w14:paraId="2770FD18">
      <w:pPr>
        <w:pStyle w:val="21"/>
        <w:spacing w:before="156" w:line="360" w:lineRule="auto"/>
      </w:pPr>
      <w:bookmarkStart w:id="8" w:name="_Toc20719"/>
      <w:bookmarkStart w:id="9" w:name="_Toc477855135"/>
      <w:bookmarkStart w:id="10" w:name="_Toc233640519"/>
      <w:bookmarkStart w:id="11" w:name="_Toc199335625"/>
      <w:r>
        <w:rPr>
          <w:rFonts w:hint="eastAsia"/>
        </w:rPr>
        <w:t>概述</w:t>
      </w:r>
      <w:bookmarkEnd w:id="8"/>
      <w:bookmarkEnd w:id="9"/>
      <w:bookmarkEnd w:id="10"/>
      <w:bookmarkEnd w:id="11"/>
    </w:p>
    <w:p w14:paraId="064A7200">
      <w:pPr>
        <w:pStyle w:val="6"/>
        <w:spacing w:line="360" w:lineRule="auto"/>
        <w:ind w:firstLine="480"/>
        <w:rPr>
          <w:sz w:val="24"/>
        </w:rPr>
      </w:pPr>
      <w:r>
        <w:rPr>
          <w:rFonts w:hint="eastAsia"/>
          <w:sz w:val="24"/>
        </w:rPr>
        <w:t>1)  本文件适用于《</w:t>
      </w:r>
      <w:r>
        <w:rPr>
          <w:rFonts w:hint="eastAsia"/>
          <w:b/>
          <w:bCs/>
          <w:sz w:val="24"/>
        </w:rPr>
        <w:t>贵州电网信息中心2023基于深度聚类算法和Transformer模型的决策信息智能生成技术研究及应用项目技术服务采购项目》</w:t>
      </w:r>
      <w:r>
        <w:rPr>
          <w:rFonts w:hint="eastAsia"/>
          <w:sz w:val="24"/>
        </w:rPr>
        <w:t xml:space="preserve">标包，本文件的最终解释权归采购方所有。 </w:t>
      </w:r>
    </w:p>
    <w:p w14:paraId="49B4AED3">
      <w:pPr>
        <w:pStyle w:val="6"/>
        <w:spacing w:line="360" w:lineRule="auto"/>
        <w:ind w:firstLine="480"/>
        <w:rPr>
          <w:sz w:val="24"/>
        </w:rPr>
      </w:pPr>
      <w:r>
        <w:rPr>
          <w:rFonts w:hint="eastAsia"/>
          <w:sz w:val="24"/>
        </w:rPr>
        <w:t>2)  响应方应保证所提供的所有资料真实、完整、准确无误，否则采购方将有权取消响应方的成交资格，由此产生的一切后果由响应方承担。</w:t>
      </w:r>
    </w:p>
    <w:p w14:paraId="7E0E2BFA">
      <w:pPr>
        <w:pStyle w:val="21"/>
        <w:spacing w:before="156" w:line="360" w:lineRule="auto"/>
      </w:pPr>
      <w:bookmarkStart w:id="12" w:name="_Toc477855136"/>
      <w:bookmarkStart w:id="13" w:name="_Toc199335626"/>
      <w:bookmarkStart w:id="14" w:name="_Toc4832"/>
      <w:r>
        <w:rPr>
          <w:rFonts w:hint="eastAsia"/>
        </w:rPr>
        <w:t>定义</w:t>
      </w:r>
      <w:bookmarkEnd w:id="12"/>
      <w:bookmarkEnd w:id="13"/>
      <w:bookmarkEnd w:id="14"/>
    </w:p>
    <w:p w14:paraId="2F347E4D">
      <w:pPr>
        <w:pStyle w:val="6"/>
        <w:spacing w:line="360" w:lineRule="auto"/>
        <w:ind w:firstLine="480"/>
        <w:rPr>
          <w:sz w:val="24"/>
          <w:highlight w:val="yellow"/>
        </w:rPr>
      </w:pPr>
      <w:r>
        <w:rPr>
          <w:rFonts w:hint="eastAsia"/>
          <w:sz w:val="24"/>
        </w:rPr>
        <w:t>1)  采购方：</w:t>
      </w:r>
      <w:r>
        <w:rPr>
          <w:rFonts w:hint="eastAsia"/>
          <w:sz w:val="24"/>
          <w:lang w:val="en-US" w:eastAsia="zh-CN"/>
        </w:rPr>
        <w:t>南方电网人工智能科技有限</w:t>
      </w:r>
      <w:r>
        <w:rPr>
          <w:rFonts w:hint="eastAsia"/>
          <w:sz w:val="24"/>
        </w:rPr>
        <w:t>公司。</w:t>
      </w:r>
    </w:p>
    <w:p w14:paraId="0135FCC9">
      <w:pPr>
        <w:pStyle w:val="6"/>
        <w:spacing w:line="360" w:lineRule="auto"/>
        <w:ind w:firstLine="480"/>
        <w:rPr>
          <w:sz w:val="24"/>
        </w:rPr>
      </w:pPr>
      <w:r>
        <w:rPr>
          <w:rFonts w:hint="eastAsia"/>
          <w:sz w:val="24"/>
        </w:rPr>
        <w:t xml:space="preserve">2)  响应方：参加本次采购并提交响应文件的供应商。 </w:t>
      </w:r>
    </w:p>
    <w:p w14:paraId="421D1C79">
      <w:pPr>
        <w:pStyle w:val="21"/>
        <w:spacing w:before="156" w:line="360" w:lineRule="auto"/>
      </w:pPr>
      <w:bookmarkStart w:id="15" w:name="_Toc477855137"/>
      <w:bookmarkStart w:id="16" w:name="_Toc12671"/>
      <w:bookmarkStart w:id="17" w:name="_Toc199335627"/>
      <w:r>
        <w:rPr>
          <w:rFonts w:hint="eastAsia"/>
        </w:rPr>
        <w:t>采购及项目范围</w:t>
      </w:r>
      <w:bookmarkEnd w:id="15"/>
      <w:bookmarkEnd w:id="16"/>
      <w:bookmarkEnd w:id="17"/>
    </w:p>
    <w:p w14:paraId="313BA611">
      <w:pPr>
        <w:spacing w:line="360" w:lineRule="auto"/>
        <w:ind w:firstLine="480"/>
      </w:pPr>
      <w:r>
        <w:rPr>
          <w:rFonts w:hint="eastAsia"/>
        </w:rPr>
        <w:t>受测平台/项目</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5084"/>
        <w:gridCol w:w="2464"/>
      </w:tblGrid>
      <w:tr w14:paraId="24A13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15" w:type="dxa"/>
            <w:vAlign w:val="center"/>
          </w:tcPr>
          <w:p w14:paraId="18A4FA31">
            <w:pPr>
              <w:pStyle w:val="14"/>
              <w:ind w:firstLine="0" w:firstLineChars="0"/>
              <w:jc w:val="center"/>
            </w:pPr>
            <w:r>
              <w:rPr>
                <w:rFonts w:hint="eastAsia"/>
              </w:rPr>
              <w:t>序号</w:t>
            </w:r>
          </w:p>
        </w:tc>
        <w:tc>
          <w:tcPr>
            <w:tcW w:w="5084" w:type="dxa"/>
            <w:vAlign w:val="center"/>
          </w:tcPr>
          <w:p w14:paraId="2CE70150">
            <w:pPr>
              <w:pStyle w:val="14"/>
              <w:ind w:firstLine="0" w:firstLineChars="0"/>
              <w:jc w:val="center"/>
            </w:pPr>
            <w:r>
              <w:rPr>
                <w:rFonts w:hint="eastAsia"/>
              </w:rPr>
              <w:t>测试项目</w:t>
            </w:r>
          </w:p>
        </w:tc>
        <w:tc>
          <w:tcPr>
            <w:tcW w:w="2464" w:type="dxa"/>
            <w:vAlign w:val="center"/>
          </w:tcPr>
          <w:p w14:paraId="1BB99094">
            <w:pPr>
              <w:pStyle w:val="14"/>
              <w:ind w:firstLine="0" w:firstLineChars="0"/>
              <w:jc w:val="center"/>
            </w:pPr>
            <w:r>
              <w:rPr>
                <w:rFonts w:hint="eastAsia"/>
              </w:rPr>
              <w:t>测试内容</w:t>
            </w:r>
          </w:p>
        </w:tc>
      </w:tr>
      <w:tr w14:paraId="7905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5" w:type="dxa"/>
            <w:vAlign w:val="center"/>
          </w:tcPr>
          <w:p w14:paraId="4C96823A">
            <w:pPr>
              <w:pStyle w:val="14"/>
              <w:ind w:firstLine="0" w:firstLineChars="0"/>
              <w:jc w:val="center"/>
            </w:pPr>
            <w:r>
              <w:rPr>
                <w:rFonts w:hint="eastAsia"/>
              </w:rPr>
              <w:t>1</w:t>
            </w:r>
          </w:p>
        </w:tc>
        <w:tc>
          <w:tcPr>
            <w:tcW w:w="5084" w:type="dxa"/>
            <w:vAlign w:val="center"/>
          </w:tcPr>
          <w:p w14:paraId="79144BB4">
            <w:pPr>
              <w:pStyle w:val="14"/>
              <w:ind w:firstLine="0" w:firstLineChars="0"/>
            </w:pPr>
            <w:r>
              <w:rPr>
                <w:rFonts w:hint="eastAsia" w:asciiTheme="minorEastAsia" w:hAnsiTheme="minorEastAsia" w:eastAsiaTheme="minorEastAsia" w:cstheme="minorEastAsia"/>
              </w:rPr>
              <w:t>贵州电网信息中心2023基于深度聚类算法和Transformer模型的决策信息智能生成技术研究及应用项目</w:t>
            </w:r>
            <w:r>
              <w:rPr>
                <w:rFonts w:hint="eastAsia" w:asciiTheme="minorEastAsia" w:hAnsiTheme="minorEastAsia" w:eastAsiaTheme="minorEastAsia" w:cstheme="minorEastAsia"/>
                <w:sz w:val="24"/>
                <w:szCs w:val="24"/>
              </w:rPr>
              <w:t>第三方测试技术服务采购</w:t>
            </w:r>
            <w:r>
              <w:rPr>
                <w:rFonts w:hint="eastAsia"/>
              </w:rPr>
              <w:t>项目</w:t>
            </w:r>
          </w:p>
        </w:tc>
        <w:tc>
          <w:tcPr>
            <w:tcW w:w="2464" w:type="dxa"/>
            <w:vAlign w:val="center"/>
          </w:tcPr>
          <w:p w14:paraId="6F40F232">
            <w:pPr>
              <w:pStyle w:val="14"/>
              <w:ind w:firstLine="0" w:firstLineChars="0"/>
              <w:jc w:val="center"/>
              <w:rPr>
                <w:rFonts w:hint="default" w:eastAsia="宋体"/>
                <w:lang w:val="en-US" w:eastAsia="zh-CN"/>
              </w:rPr>
            </w:pPr>
            <w:r>
              <w:rPr>
                <w:rFonts w:hint="eastAsia"/>
              </w:rPr>
              <w:t>功能、性能</w:t>
            </w:r>
            <w:r>
              <w:rPr>
                <w:rFonts w:hint="eastAsia"/>
                <w:lang w:eastAsia="zh-CN"/>
              </w:rPr>
              <w:t>、</w:t>
            </w:r>
            <w:r>
              <w:rPr>
                <w:rFonts w:hint="eastAsia"/>
                <w:lang w:val="en-US" w:eastAsia="zh-CN"/>
              </w:rPr>
              <w:t>安全</w:t>
            </w:r>
          </w:p>
        </w:tc>
      </w:tr>
      <w:tr w14:paraId="0FE0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3" w:type="dxa"/>
            <w:gridSpan w:val="3"/>
            <w:vAlign w:val="center"/>
          </w:tcPr>
          <w:p w14:paraId="5221D781">
            <w:pPr>
              <w:pStyle w:val="14"/>
              <w:ind w:firstLine="0" w:firstLineChars="0"/>
              <w:jc w:val="left"/>
              <w:rPr>
                <w:rFonts w:hint="eastAsia"/>
                <w:color w:val="FF0000"/>
              </w:rPr>
            </w:pPr>
            <w:bookmarkStart w:id="18" w:name="_Toc350595858"/>
            <w:bookmarkStart w:id="19" w:name="_Toc199335628"/>
            <w:bookmarkStart w:id="20" w:name="_Toc257207492"/>
            <w:bookmarkStart w:id="21" w:name="_Toc477855142"/>
            <w:bookmarkStart w:id="22" w:name="_Toc8698"/>
            <w:r>
              <w:rPr>
                <w:rFonts w:hint="eastAsia"/>
                <w:color w:val="FF0000"/>
              </w:rPr>
              <w:t>具体的测试需求，根据单个</w:t>
            </w:r>
            <w:r>
              <w:rPr>
                <w:rFonts w:hint="eastAsia"/>
                <w:color w:val="FF0000"/>
                <w:lang w:val="en-US" w:eastAsia="zh-CN"/>
              </w:rPr>
              <w:t>算法</w:t>
            </w:r>
            <w:r>
              <w:rPr>
                <w:rFonts w:hint="eastAsia"/>
                <w:color w:val="FF0000"/>
              </w:rPr>
              <w:t>的测试要求确定，根据采购方的要求，在合同签订之日起</w:t>
            </w:r>
            <w:r>
              <w:rPr>
                <w:rFonts w:hint="eastAsia"/>
                <w:color w:val="FF0000"/>
                <w:lang w:val="en-US" w:eastAsia="zh-CN"/>
              </w:rPr>
              <w:t>2</w:t>
            </w:r>
            <w:r>
              <w:rPr>
                <w:rFonts w:hint="eastAsia"/>
                <w:color w:val="FF0000"/>
              </w:rPr>
              <w:t>天内完成测试服务并提供盖章确认的测试报告</w:t>
            </w:r>
          </w:p>
          <w:p w14:paraId="7CD784EC">
            <w:pPr>
              <w:ind w:firstLine="0" w:firstLineChars="0"/>
              <w:rPr>
                <w:rFonts w:hint="default" w:eastAsia="宋体"/>
                <w:lang w:val="en-US" w:eastAsia="zh-CN"/>
              </w:rPr>
            </w:pPr>
            <w:r>
              <w:rPr>
                <w:rFonts w:hint="eastAsia"/>
                <w:color w:val="FF0000"/>
                <w:lang w:val="en-US" w:eastAsia="zh-CN"/>
              </w:rPr>
              <w:t>测试地点：贵州（驻场测试）</w:t>
            </w:r>
          </w:p>
        </w:tc>
      </w:tr>
    </w:tbl>
    <w:p w14:paraId="51ECDC47">
      <w:pPr>
        <w:pStyle w:val="21"/>
        <w:spacing w:before="156" w:line="360" w:lineRule="auto"/>
        <w:rPr>
          <w:color w:val="auto"/>
        </w:rPr>
      </w:pPr>
      <w:r>
        <w:rPr>
          <w:rFonts w:hint="eastAsia"/>
          <w:color w:val="auto"/>
        </w:rPr>
        <w:t>依据标准及规范</w:t>
      </w:r>
      <w:bookmarkEnd w:id="18"/>
      <w:bookmarkEnd w:id="19"/>
      <w:bookmarkEnd w:id="20"/>
      <w:bookmarkEnd w:id="21"/>
      <w:bookmarkEnd w:id="22"/>
    </w:p>
    <w:p w14:paraId="7043594E">
      <w:pPr>
        <w:spacing w:line="360" w:lineRule="auto"/>
        <w:ind w:firstLine="480"/>
      </w:pPr>
      <w:r>
        <w:rPr>
          <w:rFonts w:hint="eastAsia"/>
        </w:rPr>
        <w:t>除本技术规范书的特殊规定外，报价人所提供的项目成果需按下列标准和规程进行设计和检验。要求所用标准必须是最新版本，如果这些标准有矛盾时，应按最高标准的条款执行或按双方商定的标准执行。如果报价人选用本技术规范书规定以外的标准时，需提交所替换标准相当或优于本技术采购书规定的标准的证明。</w:t>
      </w:r>
    </w:p>
    <w:p w14:paraId="2DD919C8">
      <w:pPr>
        <w:spacing w:line="560" w:lineRule="exact"/>
        <w:ind w:firstLine="48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测试过程中</w:t>
      </w:r>
      <w:r>
        <w:rPr>
          <w:rFonts w:hint="eastAsia" w:asciiTheme="minorEastAsia" w:hAnsiTheme="minorEastAsia" w:eastAsiaTheme="minorEastAsia"/>
        </w:rPr>
        <w:t>响应方</w:t>
      </w:r>
      <w:r>
        <w:rPr>
          <w:rFonts w:asciiTheme="minorEastAsia" w:hAnsiTheme="minorEastAsia" w:eastAsiaTheme="minorEastAsia"/>
        </w:rPr>
        <w:t>应严格依据</w:t>
      </w:r>
      <w:r>
        <w:rPr>
          <w:rFonts w:hint="eastAsia" w:asciiTheme="minorEastAsia" w:hAnsiTheme="minorEastAsia" w:eastAsiaTheme="minorEastAsia"/>
        </w:rPr>
        <w:t>国家有关标准进行：</w:t>
      </w:r>
    </w:p>
    <w:p w14:paraId="3779A4EB">
      <w:pPr>
        <w:spacing w:line="360" w:lineRule="auto"/>
        <w:ind w:firstLine="240" w:firstLineChars="100"/>
      </w:pPr>
      <w:r>
        <w:rPr>
          <w:rFonts w:hint="eastAsia" w:ascii="宋体" w:hAnsi="宋体"/>
        </w:rPr>
        <w:t>①《GB/T25000.51-2016系统与软件工程 系统与软件质量要求和评价（SQuaRE） 第51部分：就绪可用软件产品（RUSP）的质量要求和测试细则》</w:t>
      </w:r>
    </w:p>
    <w:p w14:paraId="4261DE19">
      <w:pPr>
        <w:spacing w:line="360" w:lineRule="auto"/>
        <w:ind w:firstLine="240" w:firstLineChars="100"/>
      </w:pPr>
      <w:r>
        <w:rPr>
          <w:rFonts w:hint="eastAsia" w:ascii="宋体" w:hAnsi="宋体"/>
        </w:rPr>
        <w:t>②《GB/T 22239-2019 信息安全技术 信息系统安全等级保护基本要求》</w:t>
      </w:r>
    </w:p>
    <w:p w14:paraId="1E0242CB">
      <w:pPr>
        <w:spacing w:line="360" w:lineRule="auto"/>
        <w:ind w:firstLine="240" w:firstLineChars="100"/>
      </w:pPr>
      <w:r>
        <w:rPr>
          <w:rFonts w:hint="eastAsia" w:ascii="宋体" w:hAnsi="宋体"/>
        </w:rPr>
        <w:t>③《GB/T 9386-2008 计算机软件测试文档编制规范》</w:t>
      </w:r>
    </w:p>
    <w:p w14:paraId="1A328D16">
      <w:pPr>
        <w:spacing w:line="360" w:lineRule="auto"/>
        <w:ind w:firstLine="240" w:firstLineChars="100"/>
      </w:pPr>
      <w:r>
        <w:rPr>
          <w:rFonts w:hint="eastAsia" w:ascii="宋体" w:hAnsi="宋体"/>
        </w:rPr>
        <w:t>④《GB/T 15532-2008 计算机软件测试规范》</w:t>
      </w:r>
    </w:p>
    <w:p w14:paraId="1E1A5627">
      <w:pPr>
        <w:spacing w:line="360" w:lineRule="auto"/>
        <w:ind w:firstLine="240" w:firstLineChars="100"/>
      </w:pPr>
      <w:r>
        <w:rPr>
          <w:rFonts w:hint="eastAsia" w:ascii="宋体" w:hAnsi="宋体"/>
        </w:rPr>
        <w:t>⑤《系统需求规格说明书等技术规范文档》</w:t>
      </w:r>
    </w:p>
    <w:p w14:paraId="785702D1">
      <w:pPr>
        <w:spacing w:line="360" w:lineRule="auto"/>
        <w:ind w:firstLine="240" w:firstLineChars="100"/>
      </w:pPr>
      <w:r>
        <w:rPr>
          <w:rFonts w:hint="eastAsia" w:ascii="宋体" w:hAnsi="宋体"/>
        </w:rPr>
        <w:t>⑥《GB/T 18336.3-2015 信息技术 安全技术 信息技术安全评估准则 第3部分：安全保障组件》</w:t>
      </w:r>
    </w:p>
    <w:p w14:paraId="0AB68451">
      <w:pPr>
        <w:spacing w:line="560" w:lineRule="exact"/>
        <w:ind w:firstLine="480"/>
        <w:rPr>
          <w:rFonts w:ascii="宋体" w:hAnsi="宋体"/>
        </w:rPr>
      </w:pPr>
      <w:r>
        <w:rPr>
          <w:rFonts w:hint="eastAsia" w:ascii="宋体" w:hAnsi="宋体"/>
        </w:rPr>
        <w:t>2</w:t>
      </w:r>
      <w:r>
        <w:rPr>
          <w:rFonts w:ascii="宋体" w:hAnsi="宋体"/>
        </w:rPr>
        <w:t>）测试过程中</w:t>
      </w:r>
      <w:r>
        <w:rPr>
          <w:rFonts w:hint="eastAsia" w:ascii="宋体" w:hAnsi="宋体"/>
        </w:rPr>
        <w:t>响应方</w:t>
      </w:r>
      <w:r>
        <w:rPr>
          <w:rFonts w:ascii="宋体" w:hAnsi="宋体"/>
        </w:rPr>
        <w:t>应严格做好记录，以确保测试过程的有效性和可靠性</w:t>
      </w:r>
      <w:r>
        <w:rPr>
          <w:rFonts w:hint="eastAsia" w:ascii="宋体" w:hAnsi="宋体"/>
        </w:rPr>
        <w:t>。</w:t>
      </w:r>
    </w:p>
    <w:p w14:paraId="08710C14">
      <w:pPr>
        <w:spacing w:line="560" w:lineRule="exact"/>
        <w:ind w:firstLine="480"/>
        <w:rPr>
          <w:rFonts w:ascii="宋体" w:hAnsi="宋体"/>
        </w:rPr>
      </w:pPr>
      <w:r>
        <w:rPr>
          <w:rFonts w:hint="eastAsia" w:ascii="宋体" w:hAnsi="宋体"/>
        </w:rPr>
        <w:t>3）除了上述国家有关标准要求外，还需遵循所测系统的实际测试标准要求。</w:t>
      </w:r>
    </w:p>
    <w:p w14:paraId="34D0105E">
      <w:pPr>
        <w:pStyle w:val="2"/>
        <w:spacing w:before="156" w:line="360" w:lineRule="auto"/>
        <w:ind w:left="542" w:hanging="542"/>
      </w:pPr>
      <w:bookmarkStart w:id="23" w:name="_Toc199335629"/>
      <w:bookmarkStart w:id="24" w:name="_Toc15984"/>
      <w:bookmarkStart w:id="25" w:name="_Toc477855145"/>
      <w:r>
        <w:rPr>
          <w:rFonts w:hint="eastAsia"/>
        </w:rPr>
        <w:t>技术要求</w:t>
      </w:r>
      <w:bookmarkEnd w:id="23"/>
      <w:bookmarkEnd w:id="24"/>
      <w:bookmarkEnd w:id="25"/>
    </w:p>
    <w:p w14:paraId="6F06CA12">
      <w:pPr>
        <w:pStyle w:val="21"/>
        <w:ind w:left="576" w:hanging="576"/>
      </w:pPr>
      <w:bookmarkStart w:id="26" w:name="_Toc26247"/>
      <w:r>
        <w:rPr>
          <w:rFonts w:hint="eastAsia"/>
        </w:rPr>
        <w:t>功能测试要求</w:t>
      </w:r>
      <w:bookmarkEnd w:id="26"/>
    </w:p>
    <w:p w14:paraId="06DB45D0">
      <w:pPr>
        <w:autoSpaceDE w:val="0"/>
        <w:autoSpaceDN w:val="0"/>
        <w:spacing w:line="360" w:lineRule="auto"/>
        <w:ind w:firstLine="480"/>
        <w:jc w:val="left"/>
        <w:rPr>
          <w:rFonts w:ascii="宋体" w:hAnsi="宋体" w:cs="宋体"/>
        </w:rPr>
      </w:pPr>
      <w:r>
        <w:rPr>
          <w:rFonts w:hint="eastAsia" w:ascii="宋体" w:hAnsi="宋体" w:cs="宋体"/>
          <w:lang w:val="en-US" w:eastAsia="zh-CN"/>
        </w:rPr>
        <w:t>1、</w:t>
      </w:r>
      <w:r>
        <w:rPr>
          <w:rFonts w:hint="eastAsia" w:ascii="宋体" w:hAnsi="宋体" w:cs="宋体"/>
        </w:rPr>
        <w:t>测试内容</w:t>
      </w:r>
    </w:p>
    <w:p w14:paraId="5FC2231B">
      <w:pPr>
        <w:autoSpaceDE w:val="0"/>
        <w:autoSpaceDN w:val="0"/>
        <w:spacing w:line="360" w:lineRule="auto"/>
        <w:ind w:firstLine="480"/>
        <w:jc w:val="left"/>
        <w:rPr>
          <w:rFonts w:hint="eastAsia" w:ascii="宋体" w:hAnsi="宋体" w:eastAsia="宋体" w:cs="宋体"/>
          <w:lang w:val="en-US" w:eastAsia="zh-CN"/>
        </w:rPr>
      </w:pPr>
      <w:r>
        <w:rPr>
          <w:rFonts w:hint="eastAsia" w:ascii="宋体" w:hAnsi="宋体" w:cs="宋体"/>
          <w:lang w:val="en-US" w:eastAsia="zh-CN"/>
        </w:rPr>
        <w:t>功能依从性：</w:t>
      </w:r>
      <w:r>
        <w:rPr>
          <w:rFonts w:hint="eastAsia" w:ascii="宋体" w:hAnsi="宋体" w:cs="宋体"/>
        </w:rPr>
        <w:t>验证</w:t>
      </w:r>
      <w:r>
        <w:rPr>
          <w:rFonts w:hint="eastAsia" w:ascii="宋体" w:hAnsi="宋体" w:cs="宋体"/>
          <w:lang w:val="en-US" w:eastAsia="zh-CN"/>
        </w:rPr>
        <w:t>系统</w:t>
      </w:r>
      <w:r>
        <w:rPr>
          <w:rFonts w:hint="eastAsia" w:ascii="宋体" w:hAnsi="宋体" w:cs="宋体"/>
        </w:rPr>
        <w:t>是否实现需求文档中所有功能目标</w:t>
      </w:r>
      <w:r>
        <w:rPr>
          <w:rFonts w:hint="eastAsia" w:ascii="宋体" w:hAnsi="宋体" w:cs="宋体"/>
          <w:lang w:eastAsia="zh-CN"/>
        </w:rPr>
        <w:t>。</w:t>
      </w:r>
    </w:p>
    <w:p w14:paraId="17AE52B4">
      <w:pPr>
        <w:autoSpaceDE w:val="0"/>
        <w:autoSpaceDN w:val="0"/>
        <w:spacing w:line="360" w:lineRule="auto"/>
        <w:ind w:firstLine="480"/>
        <w:jc w:val="left"/>
        <w:rPr>
          <w:rFonts w:ascii="宋体" w:hAnsi="宋体" w:cs="宋体"/>
        </w:rPr>
      </w:pPr>
      <w:r>
        <w:rPr>
          <w:rFonts w:hint="eastAsia" w:ascii="宋体" w:hAnsi="宋体" w:cs="宋体"/>
          <w:lang w:val="en-US" w:eastAsia="zh-CN"/>
        </w:rPr>
        <w:t>2、</w:t>
      </w:r>
      <w:r>
        <w:rPr>
          <w:rFonts w:hint="eastAsia" w:ascii="宋体" w:hAnsi="宋体" w:cs="宋体"/>
        </w:rPr>
        <w:t>功能测试标准</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9"/>
        <w:gridCol w:w="7104"/>
      </w:tblGrid>
      <w:tr w14:paraId="471E1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9" w:type="dxa"/>
          </w:tcPr>
          <w:p w14:paraId="7D4451E9">
            <w:pPr>
              <w:autoSpaceDE w:val="0"/>
              <w:autoSpaceDN w:val="0"/>
              <w:spacing w:line="360" w:lineRule="auto"/>
              <w:ind w:firstLine="0" w:firstLineChars="0"/>
              <w:jc w:val="center"/>
              <w:rPr>
                <w:rFonts w:hint="eastAsia" w:ascii="宋体" w:hAnsi="宋体" w:eastAsia="宋体" w:cs="宋体"/>
                <w:vertAlign w:val="baseline"/>
                <w:lang w:val="en-US" w:eastAsia="zh-CN"/>
              </w:rPr>
            </w:pPr>
            <w:r>
              <w:rPr>
                <w:rFonts w:hint="eastAsia" w:ascii="宋体" w:hAnsi="宋体" w:cs="宋体"/>
                <w:vertAlign w:val="baseline"/>
                <w:lang w:val="en-US" w:eastAsia="zh-CN"/>
              </w:rPr>
              <w:t>指标</w:t>
            </w:r>
          </w:p>
        </w:tc>
        <w:tc>
          <w:tcPr>
            <w:tcW w:w="7104" w:type="dxa"/>
          </w:tcPr>
          <w:p w14:paraId="6DA84065">
            <w:pPr>
              <w:autoSpaceDE w:val="0"/>
              <w:autoSpaceDN w:val="0"/>
              <w:spacing w:line="360" w:lineRule="auto"/>
              <w:ind w:firstLine="0" w:firstLineChars="0"/>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标准</w:t>
            </w:r>
          </w:p>
        </w:tc>
      </w:tr>
      <w:tr w14:paraId="4288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9" w:type="dxa"/>
          </w:tcPr>
          <w:p w14:paraId="6108C2BA">
            <w:pPr>
              <w:autoSpaceDE w:val="0"/>
              <w:autoSpaceDN w:val="0"/>
              <w:spacing w:line="360" w:lineRule="auto"/>
              <w:ind w:firstLine="0" w:firstLineChars="0"/>
              <w:jc w:val="left"/>
              <w:rPr>
                <w:rFonts w:hint="default" w:ascii="宋体" w:hAnsi="宋体" w:eastAsia="宋体" w:cs="宋体"/>
                <w:vertAlign w:val="baseline"/>
                <w:lang w:val="en-US" w:eastAsia="zh-CN"/>
              </w:rPr>
            </w:pPr>
            <w:r>
              <w:rPr>
                <w:rFonts w:hint="eastAsia" w:ascii="宋体" w:hAnsi="宋体" w:cs="宋体"/>
                <w:vertAlign w:val="baseline"/>
                <w:lang w:val="en-US" w:eastAsia="zh-CN"/>
              </w:rPr>
              <w:t>测试用例执行率</w:t>
            </w:r>
          </w:p>
        </w:tc>
        <w:tc>
          <w:tcPr>
            <w:tcW w:w="7104" w:type="dxa"/>
          </w:tcPr>
          <w:p w14:paraId="76CED932">
            <w:pPr>
              <w:autoSpaceDE w:val="0"/>
              <w:autoSpaceDN w:val="0"/>
              <w:spacing w:line="360" w:lineRule="auto"/>
              <w:ind w:firstLine="0" w:firstLineChars="0"/>
              <w:jc w:val="left"/>
              <w:rPr>
                <w:rFonts w:hint="default" w:ascii="宋体" w:hAnsi="宋体" w:eastAsia="宋体" w:cs="宋体"/>
                <w:vertAlign w:val="baseline"/>
                <w:lang w:val="en-US" w:eastAsia="zh-CN"/>
              </w:rPr>
            </w:pPr>
            <w:r>
              <w:rPr>
                <w:rFonts w:hint="eastAsia" w:ascii="宋体" w:hAnsi="宋体" w:cs="宋体"/>
                <w:vertAlign w:val="baseline"/>
                <w:lang w:val="en-US" w:eastAsia="zh-CN"/>
              </w:rPr>
              <w:t>100%</w:t>
            </w:r>
          </w:p>
        </w:tc>
      </w:tr>
      <w:tr w14:paraId="4BE1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9" w:type="dxa"/>
          </w:tcPr>
          <w:p w14:paraId="3846E19B">
            <w:pPr>
              <w:autoSpaceDE w:val="0"/>
              <w:autoSpaceDN w:val="0"/>
              <w:spacing w:line="360" w:lineRule="auto"/>
              <w:ind w:firstLine="0" w:firstLineChars="0"/>
              <w:jc w:val="left"/>
              <w:rPr>
                <w:rFonts w:hint="default" w:ascii="宋体" w:hAnsi="宋体" w:eastAsia="宋体" w:cs="宋体"/>
                <w:vertAlign w:val="baseline"/>
                <w:lang w:val="en-US" w:eastAsia="zh-CN"/>
              </w:rPr>
            </w:pPr>
            <w:r>
              <w:rPr>
                <w:rFonts w:hint="eastAsia" w:ascii="宋体" w:hAnsi="宋体" w:cs="宋体"/>
                <w:vertAlign w:val="baseline"/>
                <w:lang w:val="en-US" w:eastAsia="zh-CN"/>
              </w:rPr>
              <w:t>核心功能通过率</w:t>
            </w:r>
          </w:p>
        </w:tc>
        <w:tc>
          <w:tcPr>
            <w:tcW w:w="7104" w:type="dxa"/>
          </w:tcPr>
          <w:p w14:paraId="2F0891D6">
            <w:pPr>
              <w:autoSpaceDE w:val="0"/>
              <w:autoSpaceDN w:val="0"/>
              <w:spacing w:line="360" w:lineRule="auto"/>
              <w:ind w:firstLine="0" w:firstLineChars="0"/>
              <w:jc w:val="left"/>
              <w:rPr>
                <w:rFonts w:hint="eastAsia" w:ascii="宋体" w:hAnsi="宋体" w:cs="宋体"/>
                <w:vertAlign w:val="baseline"/>
              </w:rPr>
            </w:pPr>
            <w:r>
              <w:rPr>
                <w:rFonts w:hint="eastAsia" w:ascii="宋体" w:hAnsi="宋体" w:cs="宋体"/>
              </w:rPr>
              <w:t>≥99%</w:t>
            </w:r>
          </w:p>
        </w:tc>
      </w:tr>
      <w:tr w14:paraId="3CB0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9" w:type="dxa"/>
          </w:tcPr>
          <w:p w14:paraId="288B8D09">
            <w:pPr>
              <w:autoSpaceDE w:val="0"/>
              <w:autoSpaceDN w:val="0"/>
              <w:spacing w:line="360" w:lineRule="auto"/>
              <w:ind w:firstLine="0" w:firstLineChars="0"/>
              <w:jc w:val="left"/>
              <w:rPr>
                <w:rFonts w:hint="default" w:ascii="宋体" w:hAnsi="宋体" w:eastAsia="宋体" w:cs="宋体"/>
                <w:vertAlign w:val="baseline"/>
                <w:lang w:val="en-US" w:eastAsia="zh-CN"/>
              </w:rPr>
            </w:pPr>
            <w:r>
              <w:rPr>
                <w:rFonts w:hint="eastAsia" w:ascii="宋体" w:hAnsi="宋体" w:cs="宋体"/>
                <w:vertAlign w:val="baseline"/>
                <w:lang w:val="en-US" w:eastAsia="zh-CN"/>
              </w:rPr>
              <w:t>严重缺陷修复率</w:t>
            </w:r>
          </w:p>
        </w:tc>
        <w:tc>
          <w:tcPr>
            <w:tcW w:w="7104" w:type="dxa"/>
          </w:tcPr>
          <w:p w14:paraId="03667693">
            <w:pPr>
              <w:autoSpaceDE w:val="0"/>
              <w:autoSpaceDN w:val="0"/>
              <w:spacing w:line="360" w:lineRule="auto"/>
              <w:ind w:firstLine="0" w:firstLineChars="0"/>
              <w:jc w:val="left"/>
              <w:rPr>
                <w:rFonts w:hint="default" w:ascii="宋体" w:hAnsi="宋体" w:eastAsia="宋体" w:cs="宋体"/>
                <w:vertAlign w:val="baseline"/>
                <w:lang w:val="en-US" w:eastAsia="zh-CN"/>
              </w:rPr>
            </w:pPr>
            <w:r>
              <w:rPr>
                <w:rFonts w:hint="eastAsia" w:ascii="宋体" w:hAnsi="宋体" w:cs="宋体"/>
                <w:vertAlign w:val="baseline"/>
                <w:lang w:val="en-US" w:eastAsia="zh-CN"/>
              </w:rPr>
              <w:t>100%</w:t>
            </w:r>
          </w:p>
        </w:tc>
      </w:tr>
    </w:tbl>
    <w:p w14:paraId="0C061943">
      <w:pPr>
        <w:pStyle w:val="21"/>
        <w:ind w:left="576" w:hanging="576"/>
      </w:pPr>
      <w:bookmarkStart w:id="27" w:name="_Toc24652"/>
      <w:r>
        <w:rPr>
          <w:rFonts w:hint="eastAsia"/>
        </w:rPr>
        <w:t>性能测试要求</w:t>
      </w:r>
      <w:bookmarkEnd w:id="27"/>
    </w:p>
    <w:p w14:paraId="53E32DB4">
      <w:pPr>
        <w:spacing w:line="360" w:lineRule="auto"/>
        <w:ind w:firstLine="480"/>
        <w:jc w:val="left"/>
        <w:rPr>
          <w:rFonts w:ascii="宋体" w:hAnsi="宋体"/>
        </w:rPr>
      </w:pPr>
      <w:r>
        <w:rPr>
          <w:rFonts w:hint="eastAsia" w:ascii="宋体" w:hAnsi="宋体"/>
          <w:lang w:val="en-US" w:eastAsia="zh-CN"/>
        </w:rPr>
        <w:t>1、</w:t>
      </w:r>
      <w:r>
        <w:rPr>
          <w:rFonts w:hint="eastAsia" w:ascii="宋体" w:hAnsi="宋体"/>
        </w:rPr>
        <w:t>测试内容</w:t>
      </w:r>
    </w:p>
    <w:p w14:paraId="1CF1591B">
      <w:pPr>
        <w:spacing w:line="360" w:lineRule="auto"/>
        <w:ind w:firstLine="480"/>
        <w:jc w:val="left"/>
        <w:rPr>
          <w:rFonts w:ascii="宋体" w:hAnsi="宋体"/>
        </w:rPr>
      </w:pPr>
      <w:r>
        <w:rPr>
          <w:rFonts w:hint="eastAsia" w:ascii="宋体" w:hAnsi="宋体"/>
        </w:rPr>
        <w:t>性能测试：按照需求文档中的功能性需求，</w:t>
      </w:r>
      <w:r>
        <w:rPr>
          <w:rFonts w:hint="eastAsia" w:ascii="宋体" w:hAnsi="宋体"/>
          <w:lang w:val="en-US" w:eastAsia="zh-CN"/>
        </w:rPr>
        <w:t>对系统的性能进行全面测试。</w:t>
      </w:r>
    </w:p>
    <w:p w14:paraId="3F5F7E25">
      <w:pPr>
        <w:spacing w:line="360" w:lineRule="auto"/>
        <w:ind w:firstLine="480"/>
        <w:jc w:val="left"/>
        <w:rPr>
          <w:rFonts w:hint="eastAsia" w:ascii="宋体" w:hAnsi="宋体"/>
        </w:rPr>
      </w:pPr>
      <w:r>
        <w:rPr>
          <w:rFonts w:hint="eastAsia" w:ascii="宋体" w:hAnsi="宋体"/>
          <w:lang w:val="en-US" w:eastAsia="zh-CN"/>
        </w:rPr>
        <w:t>2、</w:t>
      </w:r>
      <w:r>
        <w:rPr>
          <w:rFonts w:hint="eastAsia" w:ascii="宋体" w:hAnsi="宋体"/>
        </w:rPr>
        <w:t>性能测试标准</w:t>
      </w:r>
    </w:p>
    <w:p w14:paraId="714F806F">
      <w:pPr>
        <w:spacing w:before="0" w:after="0"/>
        <w:rPr>
          <w:rFonts w:hint="eastAsia"/>
        </w:rPr>
      </w:pPr>
      <w:r>
        <w:rPr>
          <w:rFonts w:hint="eastAsia"/>
        </w:rPr>
        <w:t>（1）错误token重复率(wrep)不高于28%；</w:t>
      </w:r>
    </w:p>
    <w:p w14:paraId="5E3D4FAD">
      <w:pPr>
        <w:spacing w:before="0" w:after="0"/>
        <w:rPr>
          <w:rFonts w:hint="eastAsia"/>
        </w:rPr>
      </w:pPr>
      <w:r>
        <w:rPr>
          <w:rFonts w:hint="eastAsia"/>
        </w:rPr>
        <w:t>（2）生成文本的困惑度(ppl)不高于23%；</w:t>
      </w:r>
    </w:p>
    <w:p w14:paraId="22F70E24">
      <w:pPr>
        <w:spacing w:before="0" w:after="0"/>
        <w:rPr>
          <w:rFonts w:hint="eastAsia"/>
        </w:rPr>
      </w:pPr>
      <w:r>
        <w:rPr>
          <w:rFonts w:hint="eastAsia"/>
        </w:rPr>
        <w:t>（3）关键词提取符合人工校验和判断率大于 90%；</w:t>
      </w:r>
    </w:p>
    <w:p w14:paraId="7DE2C64A">
      <w:pPr>
        <w:spacing w:before="0" w:after="0"/>
        <w:rPr>
          <w:rFonts w:hint="eastAsia"/>
        </w:rPr>
      </w:pPr>
      <w:r>
        <w:rPr>
          <w:rFonts w:hint="eastAsia"/>
        </w:rPr>
        <w:t>（4）能源行业知识图谱的知识抽取评估准确率大于90%；</w:t>
      </w:r>
    </w:p>
    <w:p w14:paraId="60C77D56">
      <w:pPr>
        <w:spacing w:before="0" w:after="0"/>
        <w:rPr>
          <w:rFonts w:hint="eastAsia"/>
        </w:rPr>
      </w:pPr>
      <w:r>
        <w:rPr>
          <w:rFonts w:hint="eastAsia"/>
        </w:rPr>
        <w:t>（5）能源行业知识图谱的知识节点数不低于5万个；</w:t>
      </w:r>
    </w:p>
    <w:p w14:paraId="39D5C05F">
      <w:pPr>
        <w:spacing w:before="0" w:after="0"/>
        <w:rPr>
          <w:rFonts w:hint="eastAsia"/>
        </w:rPr>
      </w:pPr>
      <w:r>
        <w:rPr>
          <w:rFonts w:hint="eastAsia"/>
        </w:rPr>
        <w:t>（6）深度关系查询级别不少于5级；</w:t>
      </w:r>
    </w:p>
    <w:p w14:paraId="2DAEACA7">
      <w:pPr>
        <w:spacing w:before="0" w:after="0"/>
        <w:rPr>
          <w:rFonts w:hint="eastAsia"/>
        </w:rPr>
      </w:pPr>
      <w:r>
        <w:rPr>
          <w:rFonts w:hint="eastAsia"/>
        </w:rPr>
        <w:t>（7）系统稳定性99.99%左右；</w:t>
      </w:r>
    </w:p>
    <w:p w14:paraId="0206DE06">
      <w:pPr>
        <w:spacing w:before="0" w:after="0"/>
        <w:rPr>
          <w:rFonts w:hint="eastAsia"/>
        </w:rPr>
      </w:pPr>
      <w:r>
        <w:rPr>
          <w:rFonts w:hint="eastAsia"/>
        </w:rPr>
        <w:t>（8）互联网站点的实时采集不少于 200个；</w:t>
      </w:r>
    </w:p>
    <w:p w14:paraId="0EE1113A">
      <w:pPr>
        <w:spacing w:before="0" w:after="0"/>
        <w:rPr>
          <w:rFonts w:hint="eastAsia"/>
        </w:rPr>
      </w:pPr>
      <w:r>
        <w:rPr>
          <w:rFonts w:hint="eastAsia"/>
        </w:rPr>
        <w:t>（9）网站信息采集的遗漏率不高于5%；</w:t>
      </w:r>
    </w:p>
    <w:p w14:paraId="3C682B36">
      <w:pPr>
        <w:spacing w:before="0" w:after="0"/>
        <w:rPr>
          <w:rFonts w:hint="eastAsia"/>
        </w:rPr>
      </w:pPr>
      <w:r>
        <w:rPr>
          <w:rFonts w:hint="eastAsia"/>
        </w:rPr>
        <w:t>（10）能源行业语料库条目数不低于5万条；</w:t>
      </w:r>
    </w:p>
    <w:p w14:paraId="5FCDA644">
      <w:pPr>
        <w:spacing w:before="0" w:after="0"/>
        <w:rPr>
          <w:rFonts w:hint="eastAsia"/>
        </w:rPr>
      </w:pPr>
      <w:r>
        <w:rPr>
          <w:rFonts w:hint="eastAsia"/>
        </w:rPr>
        <w:t>（11）信息交互平均响应时间不大于1s；</w:t>
      </w:r>
    </w:p>
    <w:p w14:paraId="5320DA70">
      <w:pPr>
        <w:spacing w:before="0" w:after="0"/>
        <w:rPr>
          <w:rFonts w:hint="eastAsia"/>
        </w:rPr>
      </w:pPr>
      <w:r>
        <w:rPr>
          <w:rFonts w:hint="eastAsia"/>
        </w:rPr>
        <w:t>（12）复杂查询平均响应时间不大于5s；</w:t>
      </w:r>
    </w:p>
    <w:p w14:paraId="62581A60">
      <w:pPr>
        <w:spacing w:before="0" w:after="0"/>
        <w:rPr>
          <w:rFonts w:hint="eastAsia"/>
          <w:lang w:val="en-US" w:eastAsia="zh-CN"/>
        </w:rPr>
      </w:pPr>
      <w:r>
        <w:rPr>
          <w:rFonts w:hint="eastAsia"/>
          <w:lang w:eastAsia="zh-CN"/>
        </w:rPr>
        <w:t>（</w:t>
      </w:r>
      <w:r>
        <w:rPr>
          <w:rFonts w:hint="eastAsia"/>
          <w:lang w:val="en-US" w:eastAsia="zh-CN"/>
        </w:rPr>
        <w:t>13</w:t>
      </w:r>
      <w:r>
        <w:rPr>
          <w:rFonts w:hint="eastAsia"/>
          <w:lang w:eastAsia="zh-CN"/>
        </w:rPr>
        <w:t>）</w:t>
      </w:r>
      <w:r>
        <w:rPr>
          <w:rFonts w:hint="eastAsia"/>
          <w:lang w:val="en-US" w:eastAsia="zh-CN"/>
        </w:rPr>
        <w:t>应用算法模型的数量不少于5个；</w:t>
      </w:r>
    </w:p>
    <w:p w14:paraId="6AE6E7A1">
      <w:pPr>
        <w:pStyle w:val="8"/>
      </w:pPr>
      <w:r>
        <w:rPr>
          <w:rFonts w:hint="eastAsia"/>
          <w:lang w:val="en-US" w:eastAsia="zh-CN"/>
        </w:rPr>
        <w:t>（14）政策解读、行业研究报告、市场分析报告评价质量不低于良。</w:t>
      </w:r>
    </w:p>
    <w:p w14:paraId="17BAE3FC">
      <w:pPr>
        <w:pStyle w:val="21"/>
        <w:ind w:left="576" w:hanging="576"/>
        <w:rPr>
          <w:rFonts w:hint="default"/>
          <w:lang w:val="en-US" w:eastAsia="zh-CN"/>
        </w:rPr>
      </w:pPr>
      <w:bookmarkStart w:id="28" w:name="_Toc7570"/>
      <w:r>
        <w:rPr>
          <w:rFonts w:hint="eastAsia"/>
          <w:lang w:val="en-US" w:eastAsia="zh-CN"/>
        </w:rPr>
        <w:t>安全测试要求</w:t>
      </w:r>
      <w:bookmarkEnd w:id="28"/>
    </w:p>
    <w:p w14:paraId="6048A422">
      <w:pPr>
        <w:rPr>
          <w:rFonts w:hint="default"/>
          <w:lang w:val="en-US" w:eastAsia="zh-CN"/>
        </w:rPr>
      </w:pPr>
      <w:r>
        <w:rPr>
          <w:rFonts w:hint="eastAsia"/>
          <w:lang w:val="en-US" w:eastAsia="zh-CN"/>
        </w:rPr>
        <w:t>根据普通安全性测试要求，开展系统的安全测试。</w:t>
      </w:r>
    </w:p>
    <w:p w14:paraId="2D68A487">
      <w:pPr>
        <w:pStyle w:val="2"/>
        <w:tabs>
          <w:tab w:val="left" w:pos="284"/>
        </w:tabs>
        <w:spacing w:before="156"/>
        <w:ind w:left="504" w:leftChars="-1" w:hanging="506" w:hangingChars="180"/>
        <w:rPr>
          <w:rFonts w:ascii="宋体" w:hAnsi="宋体"/>
          <w:sz w:val="28"/>
        </w:rPr>
      </w:pPr>
      <w:bookmarkStart w:id="29" w:name="_Toc9198"/>
      <w:r>
        <w:rPr>
          <w:rFonts w:hint="eastAsia" w:ascii="宋体" w:hAnsi="宋体"/>
          <w:sz w:val="28"/>
        </w:rPr>
        <w:t>供应商应具备的资格要求</w:t>
      </w:r>
      <w:bookmarkEnd w:id="29"/>
    </w:p>
    <w:tbl>
      <w:tblPr>
        <w:tblStyle w:val="15"/>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7485"/>
      </w:tblGrid>
      <w:tr w14:paraId="3A9B5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shd w:val="clear" w:color="auto" w:fill="FFFFFF"/>
            <w:vAlign w:val="center"/>
          </w:tcPr>
          <w:p w14:paraId="276E8DA9">
            <w:pPr>
              <w:ind w:firstLine="0" w:firstLineChars="0"/>
              <w:rPr>
                <w:rFonts w:ascii="宋体" w:hAnsi="宋体"/>
                <w:szCs w:val="21"/>
              </w:rPr>
            </w:pPr>
            <w:r>
              <w:rPr>
                <w:rFonts w:hint="eastAsia" w:ascii="宋体" w:hAnsi="宋体"/>
                <w:b/>
                <w:szCs w:val="21"/>
              </w:rPr>
              <w:t>序号</w:t>
            </w:r>
          </w:p>
        </w:tc>
        <w:tc>
          <w:tcPr>
            <w:tcW w:w="7485" w:type="dxa"/>
            <w:shd w:val="clear" w:color="auto" w:fill="FFFFFF"/>
            <w:vAlign w:val="center"/>
          </w:tcPr>
          <w:p w14:paraId="772724F6">
            <w:pPr>
              <w:ind w:firstLine="482"/>
              <w:jc w:val="center"/>
              <w:rPr>
                <w:rFonts w:ascii="宋体" w:hAnsi="宋体"/>
                <w:szCs w:val="21"/>
              </w:rPr>
            </w:pPr>
            <w:r>
              <w:rPr>
                <w:rFonts w:hint="eastAsia" w:ascii="宋体" w:hAnsi="宋体"/>
                <w:b/>
                <w:szCs w:val="21"/>
              </w:rPr>
              <w:t>内容</w:t>
            </w:r>
          </w:p>
        </w:tc>
      </w:tr>
      <w:tr w14:paraId="05616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14:paraId="7212D623">
            <w:pPr>
              <w:ind w:firstLine="199" w:firstLineChars="83"/>
              <w:rPr>
                <w:rFonts w:ascii="宋体" w:hAnsi="宋体"/>
                <w:szCs w:val="21"/>
              </w:rPr>
            </w:pPr>
            <w:r>
              <w:rPr>
                <w:rFonts w:hint="eastAsia" w:ascii="宋体" w:hAnsi="宋体"/>
                <w:szCs w:val="21"/>
              </w:rPr>
              <w:t>1</w:t>
            </w:r>
          </w:p>
        </w:tc>
        <w:tc>
          <w:tcPr>
            <w:tcW w:w="7485" w:type="dxa"/>
            <w:shd w:val="clear" w:color="auto" w:fill="FFFFFF"/>
            <w:vAlign w:val="center"/>
          </w:tcPr>
          <w:p w14:paraId="0D620CAA">
            <w:pPr>
              <w:ind w:firstLine="0" w:firstLineChars="0"/>
              <w:jc w:val="left"/>
              <w:rPr>
                <w:rFonts w:ascii="宋体" w:hAnsi="宋体"/>
                <w:szCs w:val="21"/>
              </w:rPr>
            </w:pPr>
            <w:r>
              <w:rPr>
                <w:rFonts w:hint="eastAsia" w:ascii="宋体" w:hAnsi="宋体"/>
                <w:szCs w:val="21"/>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14:paraId="2838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14:paraId="01ECF907">
            <w:pPr>
              <w:ind w:firstLine="199" w:firstLineChars="83"/>
              <w:rPr>
                <w:rFonts w:ascii="宋体" w:hAnsi="宋体"/>
                <w:szCs w:val="21"/>
              </w:rPr>
            </w:pPr>
            <w:r>
              <w:rPr>
                <w:rFonts w:hint="eastAsia" w:ascii="宋体" w:hAnsi="宋体"/>
                <w:szCs w:val="21"/>
              </w:rPr>
              <w:t>2</w:t>
            </w:r>
          </w:p>
        </w:tc>
        <w:tc>
          <w:tcPr>
            <w:tcW w:w="7485" w:type="dxa"/>
            <w:shd w:val="clear" w:color="auto" w:fill="FFFFFF"/>
            <w:vAlign w:val="center"/>
          </w:tcPr>
          <w:p w14:paraId="078F6BA7">
            <w:pPr>
              <w:ind w:firstLine="0" w:firstLineChars="0"/>
              <w:jc w:val="left"/>
              <w:rPr>
                <w:rFonts w:ascii="宋体" w:hAnsi="宋体"/>
                <w:szCs w:val="21"/>
              </w:rPr>
            </w:pPr>
            <w:r>
              <w:rPr>
                <w:rFonts w:hint="eastAsia" w:ascii="宋体" w:hAnsi="宋体"/>
                <w:szCs w:val="21"/>
              </w:rPr>
              <w:t>单位负责人为同一人或者存在控股、管理关系的不同单位，不得同时参加报价；</w:t>
            </w:r>
          </w:p>
        </w:tc>
      </w:tr>
      <w:tr w14:paraId="4E31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14:paraId="3174D06F">
            <w:pPr>
              <w:ind w:firstLine="199" w:firstLineChars="83"/>
              <w:rPr>
                <w:rFonts w:ascii="宋体" w:hAnsi="宋体"/>
                <w:szCs w:val="21"/>
              </w:rPr>
            </w:pPr>
            <w:r>
              <w:rPr>
                <w:rFonts w:hint="eastAsia" w:ascii="宋体" w:hAnsi="宋体"/>
                <w:szCs w:val="21"/>
              </w:rPr>
              <w:t>3</w:t>
            </w:r>
          </w:p>
        </w:tc>
        <w:tc>
          <w:tcPr>
            <w:tcW w:w="7485" w:type="dxa"/>
            <w:shd w:val="clear" w:color="auto" w:fill="FFFFFF"/>
            <w:vAlign w:val="center"/>
          </w:tcPr>
          <w:p w14:paraId="5169E231">
            <w:pPr>
              <w:ind w:firstLine="0" w:firstLineChars="0"/>
              <w:jc w:val="left"/>
              <w:rPr>
                <w:rFonts w:ascii="宋体" w:hAnsi="宋体"/>
                <w:szCs w:val="21"/>
              </w:rPr>
            </w:pPr>
            <w:r>
              <w:rPr>
                <w:rFonts w:hint="eastAsia" w:ascii="宋体" w:hAnsi="宋体"/>
                <w:szCs w:val="21"/>
              </w:rPr>
              <w:t>报价单位没有被中国南方电网有限责任公司暂停或取消其投标资格的。</w:t>
            </w:r>
          </w:p>
        </w:tc>
      </w:tr>
      <w:tr w14:paraId="2A84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14:paraId="79AD5ED3">
            <w:pPr>
              <w:ind w:firstLine="199" w:firstLineChars="83"/>
              <w:rPr>
                <w:rFonts w:ascii="宋体" w:hAnsi="宋体"/>
                <w:szCs w:val="21"/>
              </w:rPr>
            </w:pPr>
            <w:r>
              <w:rPr>
                <w:rFonts w:hint="eastAsia" w:ascii="宋体" w:hAnsi="宋体"/>
                <w:szCs w:val="21"/>
              </w:rPr>
              <w:t>4</w:t>
            </w:r>
          </w:p>
        </w:tc>
        <w:tc>
          <w:tcPr>
            <w:tcW w:w="7485" w:type="dxa"/>
            <w:shd w:val="clear" w:color="auto" w:fill="FFFFFF"/>
            <w:vAlign w:val="center"/>
          </w:tcPr>
          <w:p w14:paraId="5E5F1FB0">
            <w:pPr>
              <w:ind w:firstLine="0" w:firstLineChars="0"/>
              <w:jc w:val="left"/>
              <w:rPr>
                <w:rFonts w:ascii="宋体" w:hAnsi="宋体"/>
                <w:szCs w:val="21"/>
              </w:rPr>
            </w:pPr>
            <w:r>
              <w:rPr>
                <w:rFonts w:hint="eastAsia" w:ascii="宋体" w:hAnsi="宋体"/>
                <w:color w:val="000000" w:themeColor="text1"/>
                <w:szCs w:val="21"/>
                <w14:textFill>
                  <w14:solidFill>
                    <w14:schemeClr w14:val="tx1"/>
                  </w14:solidFill>
                </w14:textFill>
              </w:rPr>
              <w:t>报价单位应具备CMA测试资质</w:t>
            </w:r>
          </w:p>
        </w:tc>
      </w:tr>
      <w:tr w14:paraId="1BB45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FFFFFF"/>
            <w:vAlign w:val="center"/>
          </w:tcPr>
          <w:p w14:paraId="4D230647">
            <w:pPr>
              <w:ind w:firstLine="199" w:firstLineChars="83"/>
              <w:rPr>
                <w:rFonts w:hint="eastAsia" w:ascii="宋体" w:hAnsi="宋体" w:eastAsia="宋体"/>
                <w:szCs w:val="21"/>
                <w:lang w:val="en-US" w:eastAsia="zh-CN"/>
              </w:rPr>
            </w:pPr>
            <w:r>
              <w:rPr>
                <w:rFonts w:hint="eastAsia" w:ascii="宋体" w:hAnsi="宋体"/>
                <w:szCs w:val="21"/>
                <w:lang w:val="en-US" w:eastAsia="zh-CN"/>
              </w:rPr>
              <w:t>5</w:t>
            </w:r>
          </w:p>
        </w:tc>
        <w:tc>
          <w:tcPr>
            <w:tcW w:w="7485" w:type="dxa"/>
            <w:shd w:val="clear" w:color="auto" w:fill="FFFFFF"/>
            <w:vAlign w:val="center"/>
          </w:tcPr>
          <w:p w14:paraId="0C4BAD7D">
            <w:pPr>
              <w:ind w:firstLine="0" w:firstLineChars="0"/>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szCs w:val="21"/>
              </w:rPr>
              <w:t>报价单位测试人员具备</w:t>
            </w:r>
            <w:r>
              <w:rPr>
                <w:rFonts w:hint="eastAsia" w:ascii="宋体" w:hAnsi="宋体"/>
                <w:szCs w:val="21"/>
                <w:lang w:val="en-US" w:eastAsia="zh-CN"/>
              </w:rPr>
              <w:t>软件测试相关证书</w:t>
            </w:r>
          </w:p>
        </w:tc>
      </w:tr>
    </w:tbl>
    <w:p w14:paraId="0FBDAB64">
      <w:pPr>
        <w:pStyle w:val="2"/>
        <w:tabs>
          <w:tab w:val="left" w:pos="284"/>
        </w:tabs>
        <w:spacing w:before="156"/>
        <w:ind w:left="504" w:leftChars="-1" w:hanging="506" w:hangingChars="180"/>
        <w:rPr>
          <w:rFonts w:ascii="宋体" w:hAnsi="宋体"/>
          <w:sz w:val="28"/>
        </w:rPr>
      </w:pPr>
      <w:bookmarkStart w:id="30" w:name="_Toc23685"/>
      <w:r>
        <w:rPr>
          <w:rFonts w:hint="eastAsia" w:ascii="宋体" w:hAnsi="宋体"/>
          <w:sz w:val="28"/>
        </w:rPr>
        <w:t>成交办法</w:t>
      </w:r>
      <w:bookmarkEnd w:id="30"/>
    </w:p>
    <w:p w14:paraId="589B3097">
      <w:pPr>
        <w:ind w:firstLine="480"/>
        <w:rPr>
          <w:rFonts w:ascii="宋体" w:hAnsi="宋体"/>
          <w:szCs w:val="21"/>
        </w:rPr>
      </w:pPr>
      <w:r>
        <w:rPr>
          <w:rFonts w:hint="eastAsia" w:ascii="宋体" w:hAnsi="宋体"/>
          <w:szCs w:val="21"/>
        </w:rPr>
        <w:t>根据满足资格条件的各家单位有效报价，选择报价最低者为成交对象。</w:t>
      </w:r>
    </w:p>
    <w:p w14:paraId="5D0F5C59">
      <w:pPr>
        <w:spacing w:line="360" w:lineRule="auto"/>
        <w:ind w:firstLine="0" w:firstLineChars="0"/>
      </w:pPr>
    </w:p>
    <w:sectPr>
      <w:footerReference r:id="rId11" w:type="default"/>
      <w:pgSz w:w="11906" w:h="16838"/>
      <w:pgMar w:top="1440" w:right="1162" w:bottom="1440" w:left="1797" w:header="851"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FF1CDC-9B6E-4CA4-B29C-AA12A39AF6B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2" w:fontKey="{6676FAD1-E152-4B3E-87C0-D551E8EBAF82}"/>
  </w:font>
  <w:font w:name="微软雅黑">
    <w:panose1 w:val="020B0503020204020204"/>
    <w:charset w:val="86"/>
    <w:family w:val="swiss"/>
    <w:pitch w:val="default"/>
    <w:sig w:usb0="80000287" w:usb1="2ACF3C50" w:usb2="00000016" w:usb3="00000000" w:csb0="0004001F" w:csb1="00000000"/>
    <w:embedRegular r:id="rId3" w:fontKey="{90309AF4-DA1B-45F7-BA3D-DEB2EB784002}"/>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8AB4D">
    <w:pPr>
      <w:pStyle w:val="10"/>
      <w:tabs>
        <w:tab w:val="center" w:pos="4473"/>
        <w:tab w:val="clear" w:pos="4153"/>
      </w:tabs>
      <w:ind w:firstLineChars="111"/>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702E6">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5EAFE">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ED2A0">
    <w:pPr>
      <w:pStyle w:val="10"/>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28827">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B528827">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F5EDB">
    <w:pPr>
      <w:pStyle w:val="11"/>
      <w:ind w:right="360" w:firstLine="0" w:firstLineChars="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0D74E">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F68E5">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546B3E"/>
    <w:multiLevelType w:val="multilevel"/>
    <w:tmpl w:val="3E546B3E"/>
    <w:lvl w:ilvl="0" w:tentative="0">
      <w:start w:val="1"/>
      <w:numFmt w:val="decimal"/>
      <w:pStyle w:val="2"/>
      <w:lvlText w:val="%1"/>
      <w:lvlJc w:val="left"/>
      <w:pPr>
        <w:tabs>
          <w:tab w:val="left" w:pos="432"/>
        </w:tabs>
        <w:ind w:left="432" w:hanging="432"/>
      </w:pPr>
      <w:rPr>
        <w:rFonts w:hint="eastAsia"/>
      </w:rPr>
    </w:lvl>
    <w:lvl w:ilvl="1" w:tentative="0">
      <w:start w:val="1"/>
      <w:numFmt w:val="decimal"/>
      <w:pStyle w:val="21"/>
      <w:lvlText w:val="%1.%2"/>
      <w:lvlJc w:val="left"/>
      <w:pPr>
        <w:tabs>
          <w:tab w:val="left" w:pos="576"/>
        </w:tabs>
        <w:ind w:left="576" w:hanging="576"/>
      </w:pPr>
      <w:rPr>
        <w:rFonts w:hint="eastAsia"/>
        <w:lang w:val="sv-SE"/>
      </w:rPr>
    </w:lvl>
    <w:lvl w:ilvl="2" w:tentative="0">
      <w:start w:val="1"/>
      <w:numFmt w:val="decimal"/>
      <w:pStyle w:val="4"/>
      <w:lvlText w:val="%1.%2.%3"/>
      <w:lvlJc w:val="left"/>
      <w:pPr>
        <w:tabs>
          <w:tab w:val="left" w:pos="862"/>
        </w:tabs>
        <w:ind w:left="862" w:hanging="720"/>
      </w:pPr>
      <w:rPr>
        <w:rFonts w:hint="eastAsia"/>
        <w:lang w:val="en-US"/>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ascii="Times New Roman" w:hAnsi="Times New Roman" w:cs="Times New Roman"/>
        <w:i w:val="0"/>
        <w:iCs w:val="0"/>
        <w:caps w:val="0"/>
        <w:smallCaps w:val="0"/>
        <w:strike w:val="0"/>
        <w:dstrike w:val="0"/>
        <w:vanish w:val="0"/>
        <w:spacing w:val="0"/>
        <w:position w:val="0"/>
        <w:u w:val="none"/>
        <w:vertAlign w:val="baseline"/>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68FE14B3"/>
    <w:multiLevelType w:val="multilevel"/>
    <w:tmpl w:val="68FE14B3"/>
    <w:lvl w:ilvl="0" w:tentative="0">
      <w:start w:val="1"/>
      <w:numFmt w:val="chineseCountingThousand"/>
      <w:pStyle w:val="9"/>
      <w:lvlText w:val="第%1篇 "/>
      <w:lvlJc w:val="center"/>
      <w:pPr>
        <w:tabs>
          <w:tab w:val="left" w:pos="420"/>
        </w:tabs>
        <w:ind w:left="3060" w:hanging="420"/>
      </w:pPr>
      <w:rPr>
        <w:rFonts w:hint="eastAsia"/>
      </w:rPr>
    </w:lvl>
    <w:lvl w:ilvl="1" w:tentative="0">
      <w:start w:val="1"/>
      <w:numFmt w:val="lowerLetter"/>
      <w:lvlText w:val="%2)"/>
      <w:lvlJc w:val="left"/>
      <w:pPr>
        <w:tabs>
          <w:tab w:val="left" w:pos="840"/>
        </w:tabs>
        <w:ind w:left="3480" w:hanging="420"/>
      </w:pPr>
    </w:lvl>
    <w:lvl w:ilvl="2" w:tentative="0">
      <w:start w:val="1"/>
      <w:numFmt w:val="lowerRoman"/>
      <w:lvlText w:val="%3."/>
      <w:lvlJc w:val="right"/>
      <w:pPr>
        <w:tabs>
          <w:tab w:val="left" w:pos="1260"/>
        </w:tabs>
        <w:ind w:left="3900" w:hanging="420"/>
      </w:pPr>
    </w:lvl>
    <w:lvl w:ilvl="3" w:tentative="0">
      <w:start w:val="1"/>
      <w:numFmt w:val="decimal"/>
      <w:lvlText w:val="%4."/>
      <w:lvlJc w:val="left"/>
      <w:pPr>
        <w:tabs>
          <w:tab w:val="left" w:pos="1680"/>
        </w:tabs>
        <w:ind w:left="4320" w:hanging="420"/>
      </w:pPr>
    </w:lvl>
    <w:lvl w:ilvl="4" w:tentative="0">
      <w:start w:val="1"/>
      <w:numFmt w:val="lowerLetter"/>
      <w:lvlText w:val="%5)"/>
      <w:lvlJc w:val="left"/>
      <w:pPr>
        <w:tabs>
          <w:tab w:val="left" w:pos="2100"/>
        </w:tabs>
        <w:ind w:left="4740" w:hanging="420"/>
      </w:pPr>
    </w:lvl>
    <w:lvl w:ilvl="5" w:tentative="0">
      <w:start w:val="1"/>
      <w:numFmt w:val="lowerRoman"/>
      <w:lvlText w:val="%6."/>
      <w:lvlJc w:val="right"/>
      <w:pPr>
        <w:tabs>
          <w:tab w:val="left" w:pos="2520"/>
        </w:tabs>
        <w:ind w:left="5160" w:hanging="420"/>
      </w:pPr>
    </w:lvl>
    <w:lvl w:ilvl="6" w:tentative="0">
      <w:start w:val="1"/>
      <w:numFmt w:val="decimal"/>
      <w:lvlText w:val="%7."/>
      <w:lvlJc w:val="left"/>
      <w:pPr>
        <w:tabs>
          <w:tab w:val="left" w:pos="2940"/>
        </w:tabs>
        <w:ind w:left="5580" w:hanging="420"/>
      </w:pPr>
    </w:lvl>
    <w:lvl w:ilvl="7" w:tentative="0">
      <w:start w:val="1"/>
      <w:numFmt w:val="lowerLetter"/>
      <w:lvlText w:val="%8)"/>
      <w:lvlJc w:val="left"/>
      <w:pPr>
        <w:tabs>
          <w:tab w:val="left" w:pos="3360"/>
        </w:tabs>
        <w:ind w:left="6000" w:hanging="420"/>
      </w:pPr>
    </w:lvl>
    <w:lvl w:ilvl="8" w:tentative="0">
      <w:start w:val="1"/>
      <w:numFmt w:val="lowerRoman"/>
      <w:lvlText w:val="%9."/>
      <w:lvlJc w:val="right"/>
      <w:pPr>
        <w:tabs>
          <w:tab w:val="left" w:pos="3780"/>
        </w:tabs>
        <w:ind w:left="64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NjNTZjZGQ3ODQ0ZDJiZjZmOTJhOTc1NDE3MDdkZTUifQ=="/>
  </w:docVars>
  <w:rsids>
    <w:rsidRoot w:val="20513214"/>
    <w:rsid w:val="000F747A"/>
    <w:rsid w:val="00175702"/>
    <w:rsid w:val="00283F32"/>
    <w:rsid w:val="004F7BFE"/>
    <w:rsid w:val="00564362"/>
    <w:rsid w:val="0059237C"/>
    <w:rsid w:val="0069522E"/>
    <w:rsid w:val="006F69E3"/>
    <w:rsid w:val="008B7819"/>
    <w:rsid w:val="00A1403D"/>
    <w:rsid w:val="00AC57E7"/>
    <w:rsid w:val="00B04125"/>
    <w:rsid w:val="00BD10AB"/>
    <w:rsid w:val="00C51FD9"/>
    <w:rsid w:val="00C66730"/>
    <w:rsid w:val="00D10903"/>
    <w:rsid w:val="00D12089"/>
    <w:rsid w:val="00DC21A8"/>
    <w:rsid w:val="00E163A2"/>
    <w:rsid w:val="00E941C5"/>
    <w:rsid w:val="00EF3CF9"/>
    <w:rsid w:val="00F3417D"/>
    <w:rsid w:val="00F773EE"/>
    <w:rsid w:val="01251AC0"/>
    <w:rsid w:val="01642AE6"/>
    <w:rsid w:val="018F370D"/>
    <w:rsid w:val="01CA3EE0"/>
    <w:rsid w:val="01CC1FB4"/>
    <w:rsid w:val="022A1E86"/>
    <w:rsid w:val="025A5BC9"/>
    <w:rsid w:val="029C6239"/>
    <w:rsid w:val="029E7EDF"/>
    <w:rsid w:val="03337013"/>
    <w:rsid w:val="034457A1"/>
    <w:rsid w:val="038D16A3"/>
    <w:rsid w:val="03CF06FB"/>
    <w:rsid w:val="041D387F"/>
    <w:rsid w:val="0476467D"/>
    <w:rsid w:val="04FE3554"/>
    <w:rsid w:val="05347E4E"/>
    <w:rsid w:val="05532BB9"/>
    <w:rsid w:val="05585FFD"/>
    <w:rsid w:val="06A544BD"/>
    <w:rsid w:val="06AE5A22"/>
    <w:rsid w:val="06BC5B4B"/>
    <w:rsid w:val="07C959A8"/>
    <w:rsid w:val="07CC65DD"/>
    <w:rsid w:val="08807639"/>
    <w:rsid w:val="08F925A0"/>
    <w:rsid w:val="095A7C01"/>
    <w:rsid w:val="098D5FB5"/>
    <w:rsid w:val="09A15FC5"/>
    <w:rsid w:val="09B45249"/>
    <w:rsid w:val="09D6521E"/>
    <w:rsid w:val="0A174723"/>
    <w:rsid w:val="0A17700E"/>
    <w:rsid w:val="0A446526"/>
    <w:rsid w:val="0B9C0908"/>
    <w:rsid w:val="0B9E6F13"/>
    <w:rsid w:val="0C105124"/>
    <w:rsid w:val="0C1F1749"/>
    <w:rsid w:val="0C33532A"/>
    <w:rsid w:val="0C905A2F"/>
    <w:rsid w:val="0D033D67"/>
    <w:rsid w:val="0DCE29A2"/>
    <w:rsid w:val="0E371262"/>
    <w:rsid w:val="0EA43510"/>
    <w:rsid w:val="0F740428"/>
    <w:rsid w:val="0F927BBF"/>
    <w:rsid w:val="0FE850A5"/>
    <w:rsid w:val="0FFA658C"/>
    <w:rsid w:val="10CB1883"/>
    <w:rsid w:val="10DA1909"/>
    <w:rsid w:val="111E20F3"/>
    <w:rsid w:val="11280A52"/>
    <w:rsid w:val="11911161"/>
    <w:rsid w:val="119521DB"/>
    <w:rsid w:val="12124705"/>
    <w:rsid w:val="121641A8"/>
    <w:rsid w:val="126C6190"/>
    <w:rsid w:val="12D24484"/>
    <w:rsid w:val="12F4617E"/>
    <w:rsid w:val="13F954AD"/>
    <w:rsid w:val="142B0D01"/>
    <w:rsid w:val="145A3098"/>
    <w:rsid w:val="1483544B"/>
    <w:rsid w:val="14D0684F"/>
    <w:rsid w:val="15392642"/>
    <w:rsid w:val="158B1D3F"/>
    <w:rsid w:val="15D04AFB"/>
    <w:rsid w:val="16443087"/>
    <w:rsid w:val="16604A31"/>
    <w:rsid w:val="16AA638A"/>
    <w:rsid w:val="1700574C"/>
    <w:rsid w:val="17343954"/>
    <w:rsid w:val="17746DBB"/>
    <w:rsid w:val="18434287"/>
    <w:rsid w:val="188D471B"/>
    <w:rsid w:val="19A569AB"/>
    <w:rsid w:val="1A433161"/>
    <w:rsid w:val="1AB8785B"/>
    <w:rsid w:val="1B464E30"/>
    <w:rsid w:val="1B74226B"/>
    <w:rsid w:val="1BD81EE0"/>
    <w:rsid w:val="1C07544E"/>
    <w:rsid w:val="1C205F13"/>
    <w:rsid w:val="1C407A0A"/>
    <w:rsid w:val="1C723DE9"/>
    <w:rsid w:val="1D1F573B"/>
    <w:rsid w:val="1DA27668"/>
    <w:rsid w:val="1E434DF8"/>
    <w:rsid w:val="1E5852F0"/>
    <w:rsid w:val="1E5B326C"/>
    <w:rsid w:val="1EB074C1"/>
    <w:rsid w:val="1EDF7B17"/>
    <w:rsid w:val="1F035C98"/>
    <w:rsid w:val="1F270C01"/>
    <w:rsid w:val="1F6F5922"/>
    <w:rsid w:val="1F841754"/>
    <w:rsid w:val="1FBC6C50"/>
    <w:rsid w:val="1FC025BC"/>
    <w:rsid w:val="1FD437A4"/>
    <w:rsid w:val="203C323A"/>
    <w:rsid w:val="20513214"/>
    <w:rsid w:val="207F6E7C"/>
    <w:rsid w:val="20F856B0"/>
    <w:rsid w:val="210D07CD"/>
    <w:rsid w:val="2154322E"/>
    <w:rsid w:val="21A749A0"/>
    <w:rsid w:val="21B3363E"/>
    <w:rsid w:val="21C319AF"/>
    <w:rsid w:val="21E64293"/>
    <w:rsid w:val="22D1137A"/>
    <w:rsid w:val="23144B9D"/>
    <w:rsid w:val="232002FE"/>
    <w:rsid w:val="23292A37"/>
    <w:rsid w:val="237B7E49"/>
    <w:rsid w:val="23CB10C2"/>
    <w:rsid w:val="23CE14DA"/>
    <w:rsid w:val="23E30A71"/>
    <w:rsid w:val="23E51F36"/>
    <w:rsid w:val="24316581"/>
    <w:rsid w:val="243E6F37"/>
    <w:rsid w:val="24D37BF6"/>
    <w:rsid w:val="253E5A47"/>
    <w:rsid w:val="26201AD4"/>
    <w:rsid w:val="265160A2"/>
    <w:rsid w:val="27747A01"/>
    <w:rsid w:val="27C654CF"/>
    <w:rsid w:val="288A3CA1"/>
    <w:rsid w:val="28AD3722"/>
    <w:rsid w:val="294471C1"/>
    <w:rsid w:val="29827057"/>
    <w:rsid w:val="2AB841C5"/>
    <w:rsid w:val="2ABB04FF"/>
    <w:rsid w:val="2C2D65C7"/>
    <w:rsid w:val="2CD400BF"/>
    <w:rsid w:val="2CD418EF"/>
    <w:rsid w:val="2CD9006D"/>
    <w:rsid w:val="2D3712D8"/>
    <w:rsid w:val="2D634E75"/>
    <w:rsid w:val="2D7724CD"/>
    <w:rsid w:val="2D7B44D3"/>
    <w:rsid w:val="2D890EB1"/>
    <w:rsid w:val="2DCB1A9A"/>
    <w:rsid w:val="2DEC49CC"/>
    <w:rsid w:val="2DF42543"/>
    <w:rsid w:val="2E3E6AEA"/>
    <w:rsid w:val="2EEB3D12"/>
    <w:rsid w:val="2F777C63"/>
    <w:rsid w:val="2FF82135"/>
    <w:rsid w:val="30142899"/>
    <w:rsid w:val="302A4DFF"/>
    <w:rsid w:val="30D84322"/>
    <w:rsid w:val="30F22B46"/>
    <w:rsid w:val="31361434"/>
    <w:rsid w:val="318102D1"/>
    <w:rsid w:val="318F5168"/>
    <w:rsid w:val="31B0208D"/>
    <w:rsid w:val="31CF51B7"/>
    <w:rsid w:val="325644DD"/>
    <w:rsid w:val="326429C8"/>
    <w:rsid w:val="32954D02"/>
    <w:rsid w:val="33524933"/>
    <w:rsid w:val="33917E04"/>
    <w:rsid w:val="33E012B0"/>
    <w:rsid w:val="33E4350A"/>
    <w:rsid w:val="341E1138"/>
    <w:rsid w:val="343E558D"/>
    <w:rsid w:val="34DE3FC0"/>
    <w:rsid w:val="353E1CFE"/>
    <w:rsid w:val="36533ED6"/>
    <w:rsid w:val="365B684A"/>
    <w:rsid w:val="378E0036"/>
    <w:rsid w:val="37AF238B"/>
    <w:rsid w:val="37D66945"/>
    <w:rsid w:val="38130710"/>
    <w:rsid w:val="381516C8"/>
    <w:rsid w:val="38292B72"/>
    <w:rsid w:val="38B2092F"/>
    <w:rsid w:val="38C11361"/>
    <w:rsid w:val="38F139B8"/>
    <w:rsid w:val="39C74015"/>
    <w:rsid w:val="39E84BC2"/>
    <w:rsid w:val="3A051F80"/>
    <w:rsid w:val="3A1C4F2C"/>
    <w:rsid w:val="3A6950EF"/>
    <w:rsid w:val="3A762CFC"/>
    <w:rsid w:val="3A83644A"/>
    <w:rsid w:val="3B5010A7"/>
    <w:rsid w:val="3B5B6913"/>
    <w:rsid w:val="3BEF16F6"/>
    <w:rsid w:val="3C752966"/>
    <w:rsid w:val="3D243E5F"/>
    <w:rsid w:val="3D6C2F4B"/>
    <w:rsid w:val="3D7F19F5"/>
    <w:rsid w:val="3DAC5D1B"/>
    <w:rsid w:val="3DE30CB7"/>
    <w:rsid w:val="3E29721A"/>
    <w:rsid w:val="3F5D1180"/>
    <w:rsid w:val="3FBF6DE9"/>
    <w:rsid w:val="4093392C"/>
    <w:rsid w:val="40B71AB2"/>
    <w:rsid w:val="40F74D69"/>
    <w:rsid w:val="41EB37B3"/>
    <w:rsid w:val="42051E19"/>
    <w:rsid w:val="421F3B7E"/>
    <w:rsid w:val="427401E3"/>
    <w:rsid w:val="42F3104D"/>
    <w:rsid w:val="42F90068"/>
    <w:rsid w:val="43E034A8"/>
    <w:rsid w:val="444C79C3"/>
    <w:rsid w:val="44532F24"/>
    <w:rsid w:val="445600A5"/>
    <w:rsid w:val="44994069"/>
    <w:rsid w:val="44B429F6"/>
    <w:rsid w:val="44E150EF"/>
    <w:rsid w:val="4515653A"/>
    <w:rsid w:val="46292B77"/>
    <w:rsid w:val="46700DC9"/>
    <w:rsid w:val="46830D6B"/>
    <w:rsid w:val="4692143E"/>
    <w:rsid w:val="46F06FEE"/>
    <w:rsid w:val="46F44D53"/>
    <w:rsid w:val="4737744B"/>
    <w:rsid w:val="473A0BC5"/>
    <w:rsid w:val="4765394D"/>
    <w:rsid w:val="47B64D70"/>
    <w:rsid w:val="47E90EC8"/>
    <w:rsid w:val="487132B9"/>
    <w:rsid w:val="487B0C31"/>
    <w:rsid w:val="497F2D94"/>
    <w:rsid w:val="4A632182"/>
    <w:rsid w:val="4A9B75EA"/>
    <w:rsid w:val="4A9D4E93"/>
    <w:rsid w:val="4B145BDC"/>
    <w:rsid w:val="4BB905C4"/>
    <w:rsid w:val="4BCE6F1E"/>
    <w:rsid w:val="4C3C63C9"/>
    <w:rsid w:val="4D2244C5"/>
    <w:rsid w:val="4D461A2B"/>
    <w:rsid w:val="4D4873B2"/>
    <w:rsid w:val="4D9E4692"/>
    <w:rsid w:val="4E1567B1"/>
    <w:rsid w:val="4E213BAA"/>
    <w:rsid w:val="4F381C46"/>
    <w:rsid w:val="4F5977C7"/>
    <w:rsid w:val="4FB332EB"/>
    <w:rsid w:val="4FD72C43"/>
    <w:rsid w:val="4FF42E27"/>
    <w:rsid w:val="51231BD3"/>
    <w:rsid w:val="51747491"/>
    <w:rsid w:val="5197771F"/>
    <w:rsid w:val="52832C0B"/>
    <w:rsid w:val="529031A6"/>
    <w:rsid w:val="532F0E1A"/>
    <w:rsid w:val="5341538A"/>
    <w:rsid w:val="539707DD"/>
    <w:rsid w:val="53B92899"/>
    <w:rsid w:val="54094C85"/>
    <w:rsid w:val="54491066"/>
    <w:rsid w:val="544A3B27"/>
    <w:rsid w:val="5546714B"/>
    <w:rsid w:val="555A586E"/>
    <w:rsid w:val="55801110"/>
    <w:rsid w:val="55DC7EEB"/>
    <w:rsid w:val="55EC516E"/>
    <w:rsid w:val="55F54486"/>
    <w:rsid w:val="55F57FFE"/>
    <w:rsid w:val="566916E8"/>
    <w:rsid w:val="5735525D"/>
    <w:rsid w:val="57CE7C66"/>
    <w:rsid w:val="58D11205"/>
    <w:rsid w:val="591611F3"/>
    <w:rsid w:val="594254DB"/>
    <w:rsid w:val="597C20E0"/>
    <w:rsid w:val="599C1CEF"/>
    <w:rsid w:val="59B30532"/>
    <w:rsid w:val="59DB48FD"/>
    <w:rsid w:val="5A6F1D39"/>
    <w:rsid w:val="5AF4748E"/>
    <w:rsid w:val="5B415D1A"/>
    <w:rsid w:val="5B4E6EAA"/>
    <w:rsid w:val="5BEF2DD3"/>
    <w:rsid w:val="5C2160A9"/>
    <w:rsid w:val="5C76754B"/>
    <w:rsid w:val="5C8049B6"/>
    <w:rsid w:val="5CD673BA"/>
    <w:rsid w:val="5D805774"/>
    <w:rsid w:val="5D9973B9"/>
    <w:rsid w:val="5DD30350"/>
    <w:rsid w:val="5E347A13"/>
    <w:rsid w:val="5EAC0744"/>
    <w:rsid w:val="5F667EC2"/>
    <w:rsid w:val="5FA14FB2"/>
    <w:rsid w:val="5FD50549"/>
    <w:rsid w:val="60041798"/>
    <w:rsid w:val="604E7735"/>
    <w:rsid w:val="605878FB"/>
    <w:rsid w:val="60606096"/>
    <w:rsid w:val="60607A10"/>
    <w:rsid w:val="60657595"/>
    <w:rsid w:val="61671D4A"/>
    <w:rsid w:val="61BE5FC3"/>
    <w:rsid w:val="61CB4F1A"/>
    <w:rsid w:val="626F338E"/>
    <w:rsid w:val="63E21208"/>
    <w:rsid w:val="64211CD0"/>
    <w:rsid w:val="645A7730"/>
    <w:rsid w:val="65150523"/>
    <w:rsid w:val="65285B05"/>
    <w:rsid w:val="659402E6"/>
    <w:rsid w:val="65F36884"/>
    <w:rsid w:val="66FC3D30"/>
    <w:rsid w:val="671B3112"/>
    <w:rsid w:val="676B3B27"/>
    <w:rsid w:val="684A4BD2"/>
    <w:rsid w:val="68865404"/>
    <w:rsid w:val="68F8129E"/>
    <w:rsid w:val="68F823E3"/>
    <w:rsid w:val="69E32333"/>
    <w:rsid w:val="6A6D0179"/>
    <w:rsid w:val="6AB44C8B"/>
    <w:rsid w:val="6B0231E0"/>
    <w:rsid w:val="6B855157"/>
    <w:rsid w:val="6B9825C0"/>
    <w:rsid w:val="6BBF492C"/>
    <w:rsid w:val="6BDC6503"/>
    <w:rsid w:val="6C3D463A"/>
    <w:rsid w:val="6D2F5EB0"/>
    <w:rsid w:val="6D594933"/>
    <w:rsid w:val="6D667DE1"/>
    <w:rsid w:val="6DFA19B5"/>
    <w:rsid w:val="6E0A517B"/>
    <w:rsid w:val="6E49163D"/>
    <w:rsid w:val="6EC92A8C"/>
    <w:rsid w:val="6ED9344E"/>
    <w:rsid w:val="70300D70"/>
    <w:rsid w:val="703F1367"/>
    <w:rsid w:val="70C56595"/>
    <w:rsid w:val="70D3149F"/>
    <w:rsid w:val="71145D83"/>
    <w:rsid w:val="71EB0800"/>
    <w:rsid w:val="71FE5ABA"/>
    <w:rsid w:val="72213D5E"/>
    <w:rsid w:val="723D2D95"/>
    <w:rsid w:val="726C4F21"/>
    <w:rsid w:val="72AA3B42"/>
    <w:rsid w:val="72E71DA2"/>
    <w:rsid w:val="72F27EA0"/>
    <w:rsid w:val="72FA673A"/>
    <w:rsid w:val="738B27C3"/>
    <w:rsid w:val="738B2F83"/>
    <w:rsid w:val="73AB43D4"/>
    <w:rsid w:val="74593B95"/>
    <w:rsid w:val="749D7461"/>
    <w:rsid w:val="74FF1F58"/>
    <w:rsid w:val="75080B6C"/>
    <w:rsid w:val="76713988"/>
    <w:rsid w:val="76B404BE"/>
    <w:rsid w:val="76C471B9"/>
    <w:rsid w:val="77882CD1"/>
    <w:rsid w:val="77DD2133"/>
    <w:rsid w:val="78114F03"/>
    <w:rsid w:val="78EA3697"/>
    <w:rsid w:val="795B17C6"/>
    <w:rsid w:val="79697EBE"/>
    <w:rsid w:val="796E1799"/>
    <w:rsid w:val="7974442A"/>
    <w:rsid w:val="79A86172"/>
    <w:rsid w:val="79AC454F"/>
    <w:rsid w:val="7A4A7F65"/>
    <w:rsid w:val="7A4D6539"/>
    <w:rsid w:val="7A9E4A38"/>
    <w:rsid w:val="7AB62D06"/>
    <w:rsid w:val="7B4F1224"/>
    <w:rsid w:val="7B7F6D31"/>
    <w:rsid w:val="7B933A26"/>
    <w:rsid w:val="7BBE59A7"/>
    <w:rsid w:val="7BE10352"/>
    <w:rsid w:val="7BFE62D1"/>
    <w:rsid w:val="7C2B5AAD"/>
    <w:rsid w:val="7C586368"/>
    <w:rsid w:val="7C621CB4"/>
    <w:rsid w:val="7C6C5258"/>
    <w:rsid w:val="7D6477BC"/>
    <w:rsid w:val="7E01650F"/>
    <w:rsid w:val="7E6B689F"/>
    <w:rsid w:val="7F5F1045"/>
    <w:rsid w:val="7FD222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topLinePunct/>
      <w:adjustRightInd w:val="0"/>
      <w:snapToGrid w:val="0"/>
      <w:spacing w:before="50" w:beforeLines="50" w:line="480" w:lineRule="atLeast"/>
      <w:ind w:firstLine="0" w:firstLineChars="0"/>
      <w:textAlignment w:val="center"/>
      <w:outlineLvl w:val="0"/>
    </w:pPr>
    <w:rPr>
      <w:b/>
      <w:bCs/>
      <w:snapToGrid w:val="0"/>
      <w:sz w:val="30"/>
      <w:szCs w:val="28"/>
    </w:rPr>
  </w:style>
  <w:style w:type="paragraph" w:styleId="3">
    <w:name w:val="heading 2"/>
    <w:basedOn w:val="1"/>
    <w:next w:val="1"/>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numPr>
        <w:ilvl w:val="2"/>
        <w:numId w:val="1"/>
      </w:numPr>
      <w:topLinePunct/>
      <w:adjustRightInd w:val="0"/>
      <w:snapToGrid w:val="0"/>
      <w:spacing w:before="50" w:beforeLines="50" w:line="480" w:lineRule="atLeast"/>
      <w:ind w:left="0" w:firstLine="0" w:firstLineChars="0"/>
      <w:textAlignment w:val="center"/>
      <w:outlineLvl w:val="2"/>
    </w:pPr>
    <w:rPr>
      <w:b/>
      <w:bCs/>
      <w:sz w:val="28"/>
      <w:szCs w:val="28"/>
      <w:lang w:val="sv-SE"/>
    </w:rPr>
  </w:style>
  <w:style w:type="paragraph" w:styleId="5">
    <w:name w:val="heading 4"/>
    <w:basedOn w:val="1"/>
    <w:next w:val="1"/>
    <w:qFormat/>
    <w:uiPriority w:val="0"/>
    <w:pPr>
      <w:keepNext/>
      <w:keepLines/>
      <w:numPr>
        <w:ilvl w:val="3"/>
        <w:numId w:val="1"/>
      </w:numPr>
      <w:topLinePunct/>
      <w:adjustRightInd w:val="0"/>
      <w:snapToGrid w:val="0"/>
      <w:spacing w:line="480" w:lineRule="atLeast"/>
      <w:ind w:firstLine="200"/>
      <w:textAlignment w:val="center"/>
      <w:outlineLvl w:val="3"/>
    </w:pPr>
    <w:rPr>
      <w:b/>
      <w:bCs/>
      <w:lang w:val="sv-SE"/>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Normal Indent"/>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styleId="7">
    <w:name w:val="caption"/>
    <w:basedOn w:val="1"/>
    <w:next w:val="1"/>
    <w:qFormat/>
    <w:uiPriority w:val="0"/>
    <w:pPr>
      <w:adjustRightInd w:val="0"/>
      <w:spacing w:before="152" w:after="160" w:line="360" w:lineRule="atLeast"/>
      <w:ind w:firstLine="0" w:firstLineChars="0"/>
      <w:jc w:val="left"/>
      <w:textAlignment w:val="baseline"/>
    </w:pPr>
    <w:rPr>
      <w:rFonts w:ascii="Arial" w:hAnsi="Arial" w:eastAsia="黑体" w:cs="Arial"/>
      <w:kern w:val="0"/>
      <w:sz w:val="20"/>
      <w:szCs w:val="20"/>
    </w:rPr>
  </w:style>
  <w:style w:type="paragraph" w:styleId="8">
    <w:name w:val="Body Text"/>
    <w:basedOn w:val="1"/>
    <w:next w:val="9"/>
    <w:unhideWhenUsed/>
    <w:qFormat/>
    <w:uiPriority w:val="99"/>
    <w:pPr>
      <w:spacing w:after="120"/>
    </w:pPr>
  </w:style>
  <w:style w:type="paragraph" w:styleId="9">
    <w:name w:val="Title"/>
    <w:basedOn w:val="1"/>
    <w:next w:val="1"/>
    <w:qFormat/>
    <w:uiPriority w:val="10"/>
    <w:pPr>
      <w:numPr>
        <w:ilvl w:val="0"/>
        <w:numId w:val="2"/>
      </w:numPr>
      <w:spacing w:before="240" w:after="60" w:line="480" w:lineRule="auto"/>
      <w:jc w:val="center"/>
    </w:pPr>
    <w:rPr>
      <w:rFonts w:ascii="黑体" w:eastAsia="黑体" w:cs="Arial"/>
      <w:b/>
      <w:bCs/>
      <w:sz w:val="44"/>
      <w:szCs w:val="32"/>
    </w:rPr>
  </w:style>
  <w:style w:type="paragraph" w:styleId="10">
    <w:name w:val="footer"/>
    <w:basedOn w:val="1"/>
    <w:qFormat/>
    <w:uiPriority w:val="99"/>
    <w:pPr>
      <w:tabs>
        <w:tab w:val="center" w:pos="4153"/>
        <w:tab w:val="right" w:pos="8306"/>
      </w:tabs>
      <w:snapToGrid w:val="0"/>
      <w:spacing w:line="240" w:lineRule="atLeast"/>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qFormat/>
    <w:uiPriority w:val="39"/>
  </w:style>
  <w:style w:type="paragraph" w:styleId="13">
    <w:name w:val="toc 2"/>
    <w:basedOn w:val="1"/>
    <w:next w:val="1"/>
    <w:qFormat/>
    <w:uiPriority w:val="39"/>
    <w:pPr>
      <w:ind w:left="420" w:leftChars="200"/>
    </w:pPr>
  </w:style>
  <w:style w:type="paragraph" w:styleId="14">
    <w:name w:val="Body Text First Indent"/>
    <w:basedOn w:val="1"/>
    <w:next w:val="1"/>
    <w:qFormat/>
    <w:uiPriority w:val="0"/>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Hyperlink"/>
    <w:basedOn w:val="17"/>
    <w:unhideWhenUsed/>
    <w:qFormat/>
    <w:uiPriority w:val="99"/>
    <w:rPr>
      <w:color w:val="0563C1" w:themeColor="hyperlink"/>
      <w:u w:val="single"/>
      <w14:textFill>
        <w14:solidFill>
          <w14:schemeClr w14:val="hlink"/>
        </w14:solidFill>
      </w14:textFill>
    </w:rPr>
  </w:style>
  <w:style w:type="paragraph" w:customStyle="1" w:styleId="20">
    <w:name w:val="表格文字"/>
    <w:basedOn w:val="1"/>
    <w:qFormat/>
    <w:uiPriority w:val="0"/>
    <w:pPr>
      <w:spacing w:before="25" w:after="25"/>
    </w:pPr>
    <w:rPr>
      <w:bCs/>
      <w:spacing w:val="10"/>
    </w:rPr>
  </w:style>
  <w:style w:type="paragraph" w:customStyle="1" w:styleId="21">
    <w:name w:val="样式 标题 2h2Heading 2 HiddenHeading 2 CCBSheading 2第一章 标题 2H2...1"/>
    <w:qFormat/>
    <w:uiPriority w:val="0"/>
    <w:pPr>
      <w:keepNext/>
      <w:keepLines/>
      <w:widowControl w:val="0"/>
      <w:numPr>
        <w:ilvl w:val="1"/>
        <w:numId w:val="1"/>
      </w:numPr>
      <w:topLinePunct/>
      <w:adjustRightInd w:val="0"/>
      <w:snapToGrid w:val="0"/>
      <w:spacing w:before="50" w:beforeLines="50" w:line="480" w:lineRule="atLeast"/>
      <w:ind w:left="0" w:firstLine="0"/>
      <w:textAlignment w:val="center"/>
      <w:outlineLvl w:val="1"/>
    </w:pPr>
    <w:rPr>
      <w:rFonts w:ascii="宋体" w:hAnsi="宋体" w:eastAsia="宋体" w:cs="宋体"/>
      <w:b/>
      <w:bCs/>
      <w:color w:val="000000"/>
      <w:sz w:val="28"/>
      <w:szCs w:val="32"/>
      <w:lang w:val="en-US" w:eastAsia="zh-CN" w:bidi="ar-SA"/>
    </w:rPr>
  </w:style>
  <w:style w:type="paragraph" w:customStyle="1" w:styleId="22">
    <w:name w:val="GEDI正文样式"/>
    <w:qFormat/>
    <w:uiPriority w:val="0"/>
    <w:pPr>
      <w:widowControl w:val="0"/>
      <w:adjustRightInd w:val="0"/>
      <w:snapToGrid w:val="0"/>
      <w:spacing w:line="480" w:lineRule="atLeast"/>
      <w:ind w:firstLine="480" w:firstLineChars="200"/>
      <w:jc w:val="both"/>
    </w:pPr>
    <w:rPr>
      <w:rFonts w:ascii="Times New Roman" w:hAnsi="Times New Roman" w:eastAsia="宋体" w:cs="Times New Roman"/>
      <w:kern w:val="2"/>
      <w:sz w:val="24"/>
      <w:szCs w:val="24"/>
      <w:lang w:val="en-US" w:eastAsia="zh-CN" w:bidi="ar-SA"/>
    </w:rPr>
  </w:style>
  <w:style w:type="paragraph" w:styleId="23">
    <w:name w:val="List Paragraph"/>
    <w:qFormat/>
    <w:uiPriority w:val="34"/>
    <w:pPr>
      <w:widowControl w:val="0"/>
      <w:spacing w:line="480" w:lineRule="exact"/>
      <w:ind w:firstLine="420" w:firstLineChars="200"/>
      <w:jc w:val="both"/>
    </w:pPr>
    <w:rPr>
      <w:rFonts w:ascii="Times New Roman" w:hAnsi="Times New Roman" w:eastAsia="宋体" w:cs="Times New Roman"/>
      <w:kern w:val="2"/>
      <w:sz w:val="24"/>
      <w:szCs w:val="24"/>
      <w:lang w:val="en-US" w:eastAsia="zh-CN" w:bidi="ar-SA"/>
    </w:rPr>
  </w:style>
  <w:style w:type="paragraph" w:customStyle="1" w:styleId="24">
    <w:name w:val="GEDI一级项目编号"/>
    <w:qFormat/>
    <w:uiPriority w:val="0"/>
    <w:pPr>
      <w:widowControl w:val="0"/>
      <w:adjustRightInd w:val="0"/>
      <w:snapToGrid w:val="0"/>
      <w:spacing w:line="480" w:lineRule="atLeast"/>
      <w:jc w:val="both"/>
    </w:pPr>
    <w:rPr>
      <w:rFonts w:ascii="Times New Roman" w:hAnsi="Times New Roman" w:eastAsia="宋体" w:cs="Times New Roman"/>
      <w:kern w:val="2"/>
      <w:sz w:val="24"/>
      <w:szCs w:val="24"/>
      <w:lang w:val="en-US" w:eastAsia="zh-CN" w:bidi="ar-SA"/>
    </w:rPr>
  </w:style>
  <w:style w:type="paragraph" w:customStyle="1" w:styleId="25">
    <w:name w:val="列出段落1"/>
    <w:basedOn w:val="1"/>
    <w:qFormat/>
    <w:uiPriority w:val="34"/>
  </w:style>
  <w:style w:type="paragraph" w:customStyle="1" w:styleId="26">
    <w:name w:val="WPSOffice手动目录 1"/>
    <w:qFormat/>
    <w:uiPriority w:val="0"/>
    <w:rPr>
      <w:rFonts w:asciiTheme="minorHAnsi" w:hAnsiTheme="minorHAnsi" w:eastAsiaTheme="minorEastAsia" w:cstheme="minorBidi"/>
      <w:lang w:val="en-US" w:eastAsia="zh-CN" w:bidi="ar-SA"/>
    </w:rPr>
  </w:style>
  <w:style w:type="paragraph" w:customStyle="1" w:styleId="27">
    <w:name w:val="WPSOffice手动目录 2"/>
    <w:qFormat/>
    <w:uiPriority w:val="0"/>
    <w:pPr>
      <w:ind w:left="200" w:leftChars="200"/>
    </w:pPr>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1553</Words>
  <Characters>1732</Characters>
  <Lines>307</Lines>
  <Paragraphs>386</Paragraphs>
  <TotalTime>23</TotalTime>
  <ScaleCrop>false</ScaleCrop>
  <LinksUpToDate>false</LinksUpToDate>
  <CharactersWithSpaces>1758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2025-06-26T13:57:00Z</dcterms:created>
  <dcterms:modified xsi:type="dcterms:W3CDTF">2025-10-09T02:56:07Z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eyJoZGlkIjoiN2U1ODQ2MWU0YThkZDViNTBlZjc3ZDI1YjhjZDEyNjEiLCJ1c2VySWQiOiI2OTg2NTcxNjkifQ==</vt:lpwstr>
  </property>
  <property fmtid="{D5CDD505-2E9C-101B-9397-08002B2CF9AE}" pid="3" name="KSOProductBuildVer">
    <vt:lpwstr>2052-12.1.0.22529</vt:lpwstr>
  </property>
  <property fmtid="{D5CDD505-2E9C-101B-9397-08002B2CF9AE}" pid="4" name="ICV">
    <vt:lpwstr>0B4AE190E0DA4304848C58C20507B6A1_12</vt:lpwstr>
  </property>
</Properties>
</file>