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8100"/>
        </w:tabs>
        <w:adjustRightInd w:val="0"/>
        <w:snapToGrid w:val="0"/>
        <w:spacing w:line="348" w:lineRule="auto"/>
        <w:ind w:firstLine="840" w:firstLineChars="300"/>
        <w:rPr>
          <w:rFonts w:ascii="宋体" w:hAnsi="宋体"/>
          <w:color w:val="auto"/>
          <w:sz w:val="28"/>
          <w:szCs w:val="28"/>
          <w:highlight w:val="none"/>
        </w:rPr>
      </w:pPr>
    </w:p>
    <w:p>
      <w:pPr>
        <w:pStyle w:val="5"/>
        <w:spacing w:line="240" w:lineRule="auto"/>
        <w:jc w:val="center"/>
        <w:rPr>
          <w:color w:val="auto"/>
          <w:sz w:val="40"/>
          <w:szCs w:val="40"/>
          <w:highlight w:val="none"/>
          <w:lang w:val="zh-CN"/>
        </w:rPr>
      </w:pPr>
      <w:bookmarkStart w:id="0" w:name="_Toc350159239"/>
      <w:bookmarkStart w:id="1" w:name="_Toc351322324"/>
      <w:bookmarkStart w:id="2" w:name="_Toc432171539"/>
      <w:r>
        <w:rPr>
          <w:rFonts w:hint="eastAsia"/>
          <w:color w:val="auto"/>
          <w:sz w:val="40"/>
          <w:szCs w:val="40"/>
          <w:highlight w:val="none"/>
          <w:lang w:val="zh-CN"/>
        </w:rPr>
        <w:t>报价表</w:t>
      </w:r>
      <w:bookmarkEnd w:id="0"/>
      <w:bookmarkEnd w:id="1"/>
      <w:bookmarkEnd w:id="2"/>
    </w:p>
    <w:p>
      <w:pPr>
        <w:spacing w:line="360" w:lineRule="auto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投标人名称（盖公章或电子章）：</w:t>
      </w:r>
    </w:p>
    <w:p>
      <w:pPr>
        <w:spacing w:line="360" w:lineRule="auto"/>
        <w:rPr>
          <w:color w:val="auto"/>
          <w:highlight w:val="none"/>
        </w:rPr>
      </w:pPr>
      <w:r>
        <w:rPr>
          <w:rFonts w:hint="eastAsia"/>
          <w:color w:val="auto"/>
          <w:sz w:val="24"/>
          <w:highlight w:val="none"/>
        </w:rPr>
        <w:t xml:space="preserve">                                                           单位：元</w:t>
      </w:r>
    </w:p>
    <w:tbl>
      <w:tblPr>
        <w:tblStyle w:val="9"/>
        <w:tblW w:w="980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96"/>
        <w:gridCol w:w="2298"/>
        <w:gridCol w:w="1814"/>
        <w:gridCol w:w="1650"/>
        <w:gridCol w:w="16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  <w:jc w:val="center"/>
        </w:trPr>
        <w:tc>
          <w:tcPr>
            <w:tcW w:w="23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  <w:t>标的名称</w:t>
            </w:r>
          </w:p>
        </w:tc>
        <w:tc>
          <w:tcPr>
            <w:tcW w:w="2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  <w:t>标包名称</w:t>
            </w:r>
          </w:p>
        </w:tc>
        <w:tc>
          <w:tcPr>
            <w:tcW w:w="18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  <w:t>技术要求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  <w:t>投标</w:t>
            </w:r>
            <w:r>
              <w:rPr>
                <w:rFonts w:hint="eastAsia" w:ascii="宋体" w:hAnsi="宋体"/>
                <w:b/>
                <w:color w:val="auto"/>
                <w:sz w:val="24"/>
                <w:highlight w:val="none"/>
                <w:lang w:val="en-US" w:eastAsia="zh-CN"/>
              </w:rPr>
              <w:t>报</w:t>
            </w:r>
            <w:r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  <w:t>价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3" w:hRule="atLeast"/>
          <w:jc w:val="center"/>
        </w:trPr>
        <w:tc>
          <w:tcPr>
            <w:tcW w:w="23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车辆租赁服务</w:t>
            </w:r>
          </w:p>
        </w:tc>
        <w:tc>
          <w:tcPr>
            <w:tcW w:w="2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电力科研</w:t>
            </w:r>
            <w:r>
              <w:rPr>
                <w:rFonts w:hint="eastAsia" w:ascii="宋体" w:hAnsi="宋体" w:cs="宋体"/>
                <w:color w:val="auto"/>
                <w:highlight w:val="none"/>
                <w:lang w:val="en-US" w:eastAsia="zh-CN"/>
              </w:rPr>
              <w:t>院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、党校车辆租赁服务</w:t>
            </w:r>
          </w:p>
        </w:tc>
        <w:tc>
          <w:tcPr>
            <w:tcW w:w="18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详见技术规范书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本项目签订单价合同，投标</w:t>
            </w: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报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价为“分项价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格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表”中的</w:t>
            </w: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“</w:t>
            </w: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综合单价1-9之和</w:t>
            </w: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”</w:t>
            </w:r>
          </w:p>
        </w:tc>
      </w:tr>
    </w:tbl>
    <w:p>
      <w:pPr>
        <w:spacing w:line="360" w:lineRule="auto"/>
        <w:rPr>
          <w:color w:val="auto"/>
          <w:szCs w:val="21"/>
          <w:highlight w:val="none"/>
        </w:rPr>
      </w:pPr>
      <w:r>
        <w:rPr>
          <w:rFonts w:hint="eastAsia"/>
          <w:color w:val="auto"/>
          <w:szCs w:val="21"/>
          <w:highlight w:val="none"/>
        </w:rPr>
        <w:t>注：</w:t>
      </w:r>
    </w:p>
    <w:p>
      <w:pPr>
        <w:numPr>
          <w:ilvl w:val="0"/>
          <w:numId w:val="1"/>
        </w:numPr>
        <w:spacing w:line="360" w:lineRule="auto"/>
        <w:rPr>
          <w:color w:val="auto"/>
          <w:szCs w:val="21"/>
          <w:highlight w:val="none"/>
        </w:rPr>
      </w:pPr>
      <w:r>
        <w:rPr>
          <w:rFonts w:hint="eastAsia"/>
          <w:color w:val="auto"/>
          <w:szCs w:val="21"/>
          <w:highlight w:val="none"/>
        </w:rPr>
        <w:t>本次采购签订单价合同，综合单价仅用于评标使用，合同签订后按分项价格表内单价据实结算。</w:t>
      </w:r>
    </w:p>
    <w:p>
      <w:pPr>
        <w:numPr>
          <w:ilvl w:val="0"/>
          <w:numId w:val="1"/>
        </w:numPr>
        <w:spacing w:line="360" w:lineRule="auto"/>
        <w:rPr>
          <w:color w:val="auto"/>
          <w:szCs w:val="21"/>
          <w:highlight w:val="none"/>
        </w:rPr>
      </w:pPr>
      <w:r>
        <w:rPr>
          <w:rFonts w:hint="eastAsia"/>
          <w:color w:val="auto"/>
          <w:szCs w:val="21"/>
          <w:highlight w:val="none"/>
        </w:rPr>
        <w:t>除</w:t>
      </w:r>
      <w:r>
        <w:rPr>
          <w:rFonts w:hint="eastAsia"/>
          <w:color w:val="auto"/>
          <w:szCs w:val="21"/>
          <w:highlight w:val="none"/>
          <w:lang w:val="en-US" w:eastAsia="zh-CN"/>
        </w:rPr>
        <w:t>分项报价</w:t>
      </w:r>
      <w:r>
        <w:rPr>
          <w:rFonts w:hint="eastAsia"/>
          <w:color w:val="auto"/>
          <w:szCs w:val="21"/>
          <w:highlight w:val="none"/>
        </w:rPr>
        <w:t>表</w:t>
      </w:r>
      <w:r>
        <w:rPr>
          <w:rFonts w:hint="eastAsia"/>
          <w:color w:val="auto"/>
          <w:szCs w:val="21"/>
          <w:highlight w:val="none"/>
          <w:lang w:val="en-US" w:eastAsia="zh-CN"/>
        </w:rPr>
        <w:t>中表</w:t>
      </w:r>
      <w:r>
        <w:rPr>
          <w:rFonts w:hint="eastAsia"/>
          <w:color w:val="auto"/>
          <w:szCs w:val="21"/>
          <w:highlight w:val="none"/>
        </w:rPr>
        <w:t>6</w:t>
      </w:r>
      <w:r>
        <w:rPr>
          <w:rFonts w:hint="eastAsia"/>
          <w:color w:val="auto"/>
          <w:szCs w:val="21"/>
          <w:highlight w:val="none"/>
          <w:lang w:eastAsia="zh-CN"/>
        </w:rPr>
        <w:t>、</w:t>
      </w:r>
      <w:r>
        <w:rPr>
          <w:rFonts w:hint="eastAsia"/>
          <w:color w:val="auto"/>
          <w:szCs w:val="21"/>
          <w:highlight w:val="none"/>
        </w:rPr>
        <w:t>表7</w:t>
      </w:r>
      <w:r>
        <w:rPr>
          <w:rFonts w:hint="eastAsia"/>
          <w:color w:val="auto"/>
          <w:szCs w:val="21"/>
          <w:highlight w:val="none"/>
          <w:lang w:eastAsia="zh-CN"/>
        </w:rPr>
        <w:t>、</w:t>
      </w:r>
      <w:r>
        <w:rPr>
          <w:rFonts w:hint="eastAsia"/>
          <w:color w:val="auto"/>
          <w:szCs w:val="21"/>
          <w:highlight w:val="none"/>
          <w:lang w:val="en-US" w:eastAsia="zh-CN"/>
        </w:rPr>
        <w:t>表8</w:t>
      </w:r>
      <w:r>
        <w:rPr>
          <w:rFonts w:hint="eastAsia"/>
          <w:color w:val="auto"/>
          <w:szCs w:val="21"/>
          <w:highlight w:val="none"/>
          <w:lang w:eastAsia="zh-CN"/>
        </w:rPr>
        <w:t>、</w:t>
      </w:r>
      <w:r>
        <w:rPr>
          <w:rFonts w:hint="eastAsia"/>
          <w:color w:val="auto"/>
          <w:szCs w:val="21"/>
          <w:highlight w:val="none"/>
          <w:lang w:val="en-US" w:eastAsia="zh-CN"/>
        </w:rPr>
        <w:t>表9</w:t>
      </w:r>
      <w:bookmarkStart w:id="3" w:name="_GoBack"/>
      <w:bookmarkEnd w:id="3"/>
      <w:r>
        <w:rPr>
          <w:rFonts w:hint="eastAsia"/>
          <w:color w:val="auto"/>
          <w:szCs w:val="21"/>
          <w:highlight w:val="none"/>
        </w:rPr>
        <w:t>外，</w:t>
      </w:r>
      <w:r>
        <w:rPr>
          <w:rFonts w:hint="eastAsia"/>
          <w:color w:val="auto"/>
          <w:szCs w:val="21"/>
          <w:highlight w:val="none"/>
          <w:lang w:val="en-US" w:eastAsia="zh-CN"/>
        </w:rPr>
        <w:t>投</w:t>
      </w:r>
      <w:r>
        <w:rPr>
          <w:rFonts w:hint="eastAsia"/>
          <w:color w:val="auto"/>
          <w:szCs w:val="21"/>
          <w:highlight w:val="none"/>
        </w:rPr>
        <w:t>标人为执行合同所发生的一切费用（过路过桥/渡费、停车费等）均已包含在价格中投标人为执行合同所发生的一切费用</w:t>
      </w:r>
      <w:r>
        <w:rPr>
          <w:rFonts w:hint="eastAsia"/>
          <w:color w:val="auto"/>
          <w:szCs w:val="21"/>
          <w:highlight w:val="none"/>
          <w:lang w:eastAsia="zh-CN"/>
        </w:rPr>
        <w:t>（</w:t>
      </w:r>
      <w:r>
        <w:rPr>
          <w:rFonts w:hint="eastAsia" w:eastAsia="宋体"/>
          <w:color w:val="auto"/>
          <w:szCs w:val="21"/>
          <w:highlight w:val="none"/>
        </w:rPr>
        <w:t>过路过桥</w:t>
      </w:r>
      <w:r>
        <w:rPr>
          <w:rFonts w:hint="eastAsia"/>
          <w:color w:val="auto"/>
          <w:szCs w:val="21"/>
          <w:highlight w:val="none"/>
          <w:lang w:val="en-US" w:eastAsia="zh-CN"/>
        </w:rPr>
        <w:t>/</w:t>
      </w:r>
      <w:r>
        <w:rPr>
          <w:rFonts w:hint="eastAsia" w:eastAsia="宋体"/>
          <w:color w:val="auto"/>
          <w:szCs w:val="21"/>
          <w:highlight w:val="none"/>
        </w:rPr>
        <w:t>渡费、停车费</w:t>
      </w:r>
      <w:r>
        <w:rPr>
          <w:rFonts w:hint="eastAsia"/>
          <w:color w:val="auto"/>
          <w:szCs w:val="21"/>
          <w:highlight w:val="none"/>
          <w:lang w:val="en-US" w:eastAsia="zh-CN"/>
        </w:rPr>
        <w:t>等</w:t>
      </w:r>
      <w:r>
        <w:rPr>
          <w:rFonts w:hint="eastAsia"/>
          <w:color w:val="auto"/>
          <w:szCs w:val="21"/>
          <w:highlight w:val="none"/>
          <w:lang w:eastAsia="zh-CN"/>
        </w:rPr>
        <w:t>）</w:t>
      </w:r>
      <w:r>
        <w:rPr>
          <w:rFonts w:hint="eastAsia"/>
          <w:color w:val="auto"/>
          <w:szCs w:val="21"/>
          <w:highlight w:val="none"/>
        </w:rPr>
        <w:t>均已包含在价格中。</w:t>
      </w:r>
    </w:p>
    <w:p>
      <w:pPr>
        <w:numPr>
          <w:ilvl w:val="0"/>
          <w:numId w:val="1"/>
        </w:numPr>
        <w:spacing w:line="360" w:lineRule="auto"/>
        <w:rPr>
          <w:rFonts w:hint="eastAsia"/>
          <w:color w:val="auto"/>
          <w:szCs w:val="21"/>
          <w:highlight w:val="none"/>
        </w:rPr>
      </w:pPr>
      <w:r>
        <w:rPr>
          <w:rFonts w:hint="eastAsia"/>
          <w:color w:val="auto"/>
          <w:szCs w:val="21"/>
          <w:highlight w:val="none"/>
        </w:rPr>
        <w:t>评标价即为投标</w:t>
      </w:r>
      <w:r>
        <w:rPr>
          <w:rFonts w:hint="eastAsia"/>
          <w:color w:val="auto"/>
          <w:szCs w:val="21"/>
          <w:highlight w:val="none"/>
          <w:lang w:val="en-US" w:eastAsia="zh-CN"/>
        </w:rPr>
        <w:t>报</w:t>
      </w:r>
      <w:r>
        <w:rPr>
          <w:rFonts w:hint="eastAsia"/>
          <w:color w:val="auto"/>
          <w:szCs w:val="21"/>
          <w:highlight w:val="none"/>
        </w:rPr>
        <w:t>价。</w:t>
      </w:r>
    </w:p>
    <w:p>
      <w:pPr>
        <w:numPr>
          <w:ilvl w:val="0"/>
          <w:numId w:val="1"/>
        </w:numPr>
        <w:spacing w:line="360" w:lineRule="auto"/>
        <w:rPr>
          <w:rFonts w:hint="default"/>
          <w:color w:val="auto"/>
          <w:szCs w:val="21"/>
          <w:highlight w:val="none"/>
          <w:lang w:val="en-US" w:eastAsia="zh-CN"/>
        </w:rPr>
      </w:pPr>
      <w:r>
        <w:rPr>
          <w:rFonts w:hint="eastAsia"/>
          <w:color w:val="auto"/>
          <w:szCs w:val="21"/>
          <w:highlight w:val="none"/>
          <w:lang w:val="en-US" w:eastAsia="zh-CN"/>
        </w:rPr>
        <w:t>投标人在电网管理平台“需求明细报价表”填报时只需在电力科研院、党校两条需求的任意一条填报上述“投标报价”即可，另外一条无需填写。</w:t>
      </w:r>
    </w:p>
    <w:p>
      <w:pPr>
        <w:spacing w:line="520" w:lineRule="exact"/>
        <w:rPr>
          <w:color w:val="auto"/>
          <w:highlight w:val="none"/>
        </w:rPr>
      </w:pPr>
    </w:p>
    <w:p>
      <w:pPr>
        <w:rPr>
          <w:rFonts w:hint="eastAsia" w:ascii="宋体" w:hAnsi="宋体"/>
          <w:b/>
          <w:bCs/>
          <w:snapToGrid w:val="0"/>
          <w:color w:val="auto"/>
          <w:kern w:val="24"/>
          <w:sz w:val="36"/>
          <w:szCs w:val="22"/>
          <w:highlight w:val="none"/>
          <w:u w:color="000000"/>
        </w:rPr>
      </w:pPr>
      <w:r>
        <w:rPr>
          <w:rFonts w:hint="eastAsia" w:ascii="宋体" w:hAnsi="宋体"/>
          <w:b/>
          <w:bCs/>
          <w:snapToGrid w:val="0"/>
          <w:color w:val="auto"/>
          <w:kern w:val="24"/>
          <w:sz w:val="36"/>
          <w:szCs w:val="22"/>
          <w:highlight w:val="none"/>
          <w:u w:color="000000"/>
        </w:rPr>
        <w:br w:type="page"/>
      </w:r>
    </w:p>
    <w:p>
      <w:pPr>
        <w:jc w:val="center"/>
        <w:rPr>
          <w:rFonts w:hint="eastAsia" w:ascii="宋体" w:hAnsi="宋体"/>
          <w:b/>
          <w:bCs/>
          <w:snapToGrid w:val="0"/>
          <w:color w:val="auto"/>
          <w:kern w:val="24"/>
          <w:sz w:val="36"/>
          <w:szCs w:val="22"/>
          <w:highlight w:val="none"/>
          <w:u w:color="000000"/>
        </w:rPr>
      </w:pPr>
      <w:r>
        <w:rPr>
          <w:rFonts w:hint="eastAsia" w:ascii="宋体" w:hAnsi="宋体"/>
          <w:b/>
          <w:bCs/>
          <w:snapToGrid w:val="0"/>
          <w:color w:val="auto"/>
          <w:kern w:val="24"/>
          <w:sz w:val="36"/>
          <w:szCs w:val="22"/>
          <w:highlight w:val="none"/>
          <w:u w:color="000000"/>
        </w:rPr>
        <w:t>分项价格表</w:t>
      </w:r>
    </w:p>
    <w:p>
      <w:pPr>
        <w:pStyle w:val="2"/>
        <w:jc w:val="center"/>
        <w:rPr>
          <w:rFonts w:hint="eastAsia"/>
          <w:b/>
          <w:bCs/>
          <w:color w:val="auto"/>
          <w:sz w:val="18"/>
          <w:szCs w:val="18"/>
          <w:highlight w:val="none"/>
          <w:vertAlign w:val="baseline"/>
          <w:lang w:val="en-US" w:eastAsia="zh-CN"/>
        </w:rPr>
      </w:pPr>
    </w:p>
    <w:p>
      <w:pPr>
        <w:pStyle w:val="2"/>
        <w:jc w:val="both"/>
        <w:rPr>
          <w:rFonts w:hint="default"/>
          <w:color w:val="auto"/>
          <w:highlight w:val="none"/>
          <w:lang w:val="en-US" w:eastAsia="zh-CN"/>
        </w:rPr>
      </w:pPr>
      <w:r>
        <w:rPr>
          <w:rFonts w:hint="eastAsia"/>
          <w:b/>
          <w:bCs/>
          <w:color w:val="auto"/>
          <w:sz w:val="18"/>
          <w:szCs w:val="18"/>
          <w:highlight w:val="none"/>
          <w:vertAlign w:val="baseline"/>
          <w:lang w:val="en-US" w:eastAsia="zh-CN"/>
        </w:rPr>
        <w:t>表1：                                                                                  单位：元</w:t>
      </w:r>
    </w:p>
    <w:tbl>
      <w:tblPr>
        <w:tblStyle w:val="10"/>
        <w:tblW w:w="940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1"/>
        <w:gridCol w:w="713"/>
        <w:gridCol w:w="2537"/>
        <w:gridCol w:w="505"/>
        <w:gridCol w:w="622"/>
        <w:gridCol w:w="931"/>
        <w:gridCol w:w="705"/>
        <w:gridCol w:w="1450"/>
        <w:gridCol w:w="12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  <w:jc w:val="center"/>
        </w:trPr>
        <w:tc>
          <w:tcPr>
            <w:tcW w:w="64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71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车型</w:t>
            </w:r>
          </w:p>
        </w:tc>
        <w:tc>
          <w:tcPr>
            <w:tcW w:w="2537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项目</w:t>
            </w:r>
          </w:p>
        </w:tc>
        <w:tc>
          <w:tcPr>
            <w:tcW w:w="505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62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单位</w:t>
            </w:r>
          </w:p>
        </w:tc>
        <w:tc>
          <w:tcPr>
            <w:tcW w:w="93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单价(元)</w:t>
            </w:r>
          </w:p>
        </w:tc>
        <w:tc>
          <w:tcPr>
            <w:tcW w:w="705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权重</w:t>
            </w:r>
          </w:p>
        </w:tc>
        <w:tc>
          <w:tcPr>
            <w:tcW w:w="145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权重单价(=单价*权重)</w:t>
            </w:r>
          </w:p>
        </w:tc>
        <w:tc>
          <w:tcPr>
            <w:tcW w:w="125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4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713" w:type="dxa"/>
            <w:vMerge w:val="restart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5座轿车</w:t>
            </w:r>
          </w:p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537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短时租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（≤2小时，≤30公里内）</w:t>
            </w:r>
          </w:p>
        </w:tc>
        <w:tc>
          <w:tcPr>
            <w:tcW w:w="505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62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次</w:t>
            </w:r>
          </w:p>
        </w:tc>
        <w:tc>
          <w:tcPr>
            <w:tcW w:w="931" w:type="dxa"/>
            <w:noWrap w:val="0"/>
            <w:vAlign w:val="center"/>
          </w:tcPr>
          <w:p>
            <w:pPr>
              <w:pStyle w:val="3"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705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6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%</w:t>
            </w:r>
          </w:p>
        </w:tc>
        <w:tc>
          <w:tcPr>
            <w:tcW w:w="1450" w:type="dxa"/>
            <w:noWrap w:val="0"/>
            <w:vAlign w:val="center"/>
          </w:tcPr>
          <w:p>
            <w:pPr>
              <w:pStyle w:val="3"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1258" w:type="dxa"/>
            <w:noWrap w:val="0"/>
            <w:vAlign w:val="center"/>
          </w:tcPr>
          <w:p>
            <w:pPr>
              <w:pStyle w:val="3"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4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713" w:type="dxa"/>
            <w:vMerge w:val="continue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2537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半日租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（≤6小时，≤100公里）</w:t>
            </w:r>
          </w:p>
        </w:tc>
        <w:tc>
          <w:tcPr>
            <w:tcW w:w="505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62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次</w:t>
            </w:r>
          </w:p>
        </w:tc>
        <w:tc>
          <w:tcPr>
            <w:tcW w:w="931" w:type="dxa"/>
            <w:noWrap w:val="0"/>
            <w:vAlign w:val="center"/>
          </w:tcPr>
          <w:p>
            <w:pPr>
              <w:pStyle w:val="3"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705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35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%</w:t>
            </w:r>
          </w:p>
        </w:tc>
        <w:tc>
          <w:tcPr>
            <w:tcW w:w="1450" w:type="dxa"/>
            <w:noWrap w:val="0"/>
            <w:vAlign w:val="center"/>
          </w:tcPr>
          <w:p>
            <w:pPr>
              <w:pStyle w:val="3"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1258" w:type="dxa"/>
            <w:noWrap w:val="0"/>
            <w:vAlign w:val="center"/>
          </w:tcPr>
          <w:p>
            <w:pPr>
              <w:pStyle w:val="3"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4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713" w:type="dxa"/>
            <w:vMerge w:val="continue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537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一日租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（≤10小时，≤200公里）</w:t>
            </w:r>
          </w:p>
        </w:tc>
        <w:tc>
          <w:tcPr>
            <w:tcW w:w="505" w:type="dxa"/>
            <w:noWrap w:val="0"/>
            <w:vAlign w:val="center"/>
          </w:tcPr>
          <w:p>
            <w:pPr>
              <w:pStyle w:val="3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622" w:type="dxa"/>
            <w:noWrap w:val="0"/>
            <w:vAlign w:val="center"/>
          </w:tcPr>
          <w:p>
            <w:pPr>
              <w:pStyle w:val="3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次</w:t>
            </w:r>
          </w:p>
        </w:tc>
        <w:tc>
          <w:tcPr>
            <w:tcW w:w="931" w:type="dxa"/>
            <w:noWrap w:val="0"/>
            <w:vAlign w:val="center"/>
          </w:tcPr>
          <w:p>
            <w:pPr>
              <w:pStyle w:val="3"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705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35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%</w:t>
            </w:r>
          </w:p>
        </w:tc>
        <w:tc>
          <w:tcPr>
            <w:tcW w:w="1450" w:type="dxa"/>
            <w:noWrap w:val="0"/>
            <w:vAlign w:val="center"/>
          </w:tcPr>
          <w:p>
            <w:pPr>
              <w:pStyle w:val="3"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1258" w:type="dxa"/>
            <w:noWrap w:val="0"/>
            <w:vAlign w:val="center"/>
          </w:tcPr>
          <w:p>
            <w:pPr>
              <w:pStyle w:val="3"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4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713" w:type="dxa"/>
            <w:vMerge w:val="continue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537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长租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（每天≤24小时，≤300公里内）</w:t>
            </w:r>
          </w:p>
        </w:tc>
        <w:tc>
          <w:tcPr>
            <w:tcW w:w="505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62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次</w:t>
            </w:r>
          </w:p>
        </w:tc>
        <w:tc>
          <w:tcPr>
            <w:tcW w:w="93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705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8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%</w:t>
            </w:r>
          </w:p>
        </w:tc>
        <w:tc>
          <w:tcPr>
            <w:tcW w:w="145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125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4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713" w:type="dxa"/>
            <w:vMerge w:val="continue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537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超时间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（每小时）</w:t>
            </w:r>
          </w:p>
        </w:tc>
        <w:tc>
          <w:tcPr>
            <w:tcW w:w="505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62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小时</w:t>
            </w:r>
          </w:p>
        </w:tc>
        <w:tc>
          <w:tcPr>
            <w:tcW w:w="93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705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8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%</w:t>
            </w:r>
          </w:p>
        </w:tc>
        <w:tc>
          <w:tcPr>
            <w:tcW w:w="145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125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4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6</w:t>
            </w:r>
          </w:p>
        </w:tc>
        <w:tc>
          <w:tcPr>
            <w:tcW w:w="713" w:type="dxa"/>
            <w:vMerge w:val="continue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537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超里程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（每公里）</w:t>
            </w:r>
          </w:p>
        </w:tc>
        <w:tc>
          <w:tcPr>
            <w:tcW w:w="505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62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公里</w:t>
            </w:r>
          </w:p>
        </w:tc>
        <w:tc>
          <w:tcPr>
            <w:tcW w:w="93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705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8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%</w:t>
            </w:r>
          </w:p>
        </w:tc>
        <w:tc>
          <w:tcPr>
            <w:tcW w:w="145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125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5" w:hRule="atLeast"/>
          <w:jc w:val="center"/>
        </w:trPr>
        <w:tc>
          <w:tcPr>
            <w:tcW w:w="9401" w:type="dxa"/>
            <w:gridSpan w:val="9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综合单价1（权重单价之和）：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outlineLvl w:val="9"/>
        <w:rPr>
          <w:rFonts w:hint="eastAsia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</w:rPr>
      </w:pPr>
      <w:r>
        <w:rPr>
          <w:rFonts w:hint="eastAsia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</w:rPr>
        <w:t>备注：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240" w:lineRule="auto"/>
        <w:ind w:left="0" w:leftChars="0" w:firstLine="420" w:firstLineChars="0"/>
        <w:textAlignment w:val="auto"/>
        <w:outlineLvl w:val="9"/>
        <w:rPr>
          <w:rFonts w:hint="eastAsia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  <w:lang w:val="en-US" w:eastAsia="zh-CN"/>
        </w:rPr>
      </w:pPr>
      <w:r>
        <w:rPr>
          <w:rFonts w:hint="eastAsia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  <w:lang w:val="en-US" w:eastAsia="zh-CN"/>
        </w:rPr>
        <w:t>1.长租车一般为连续专题培训评价班期间驻点使用，正常情况下夜间不使用车辆。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240" w:lineRule="auto"/>
        <w:ind w:left="0" w:leftChars="0" w:firstLine="420" w:firstLineChars="0"/>
        <w:textAlignment w:val="auto"/>
        <w:outlineLvl w:val="9"/>
        <w:rPr>
          <w:rFonts w:hint="eastAsia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  <w:shd w:val="clear" w:color="auto" w:fill="auto"/>
          <w:lang w:val="en-US" w:eastAsia="zh-CN"/>
        </w:rPr>
      </w:pPr>
      <w:r>
        <w:rPr>
          <w:rFonts w:hint="eastAsia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  <w:shd w:val="clear" w:color="auto" w:fill="auto"/>
          <w:lang w:val="en-US" w:eastAsia="zh-CN"/>
        </w:rPr>
        <w:t>2.结算原则：</w:t>
      </w:r>
      <w:r>
        <w:rPr>
          <w:rFonts w:hint="eastAsia" w:ascii="仿宋_GB2312" w:hAnsi="仿宋" w:eastAsia="仿宋_GB2312" w:cs="宋体"/>
          <w:b/>
          <w:bCs/>
          <w:color w:val="auto"/>
          <w:kern w:val="0"/>
          <w:sz w:val="21"/>
          <w:szCs w:val="21"/>
          <w:highlight w:val="none"/>
          <w:lang w:val="en-US" w:eastAsia="zh-CN"/>
        </w:rPr>
        <w:t>租车服务</w:t>
      </w:r>
      <w:r>
        <w:rPr>
          <w:rFonts w:hint="eastAsia" w:ascii="仿宋_GB2312" w:hAnsi="仿宋" w:eastAsia="仿宋_GB2312" w:cs="宋体"/>
          <w:b/>
          <w:bCs/>
          <w:color w:val="auto"/>
          <w:kern w:val="0"/>
          <w:sz w:val="21"/>
          <w:szCs w:val="21"/>
          <w:highlight w:val="none"/>
          <w:shd w:val="clear" w:color="auto" w:fill="auto"/>
          <w:lang w:val="en-US" w:eastAsia="zh-CN"/>
        </w:rPr>
        <w:t>计费地点、时间</w:t>
      </w:r>
      <w:r>
        <w:rPr>
          <w:rFonts w:hint="eastAsia" w:ascii="仿宋_GB2312" w:hAnsi="仿宋" w:eastAsia="仿宋_GB2312" w:cs="宋体"/>
          <w:b/>
          <w:bCs/>
          <w:color w:val="auto"/>
          <w:kern w:val="0"/>
          <w:sz w:val="21"/>
          <w:szCs w:val="21"/>
          <w:highlight w:val="none"/>
          <w:lang w:val="en-US" w:eastAsia="zh-CN"/>
        </w:rPr>
        <w:t>以招标方安排的接送点和接送时间为起止点和起止时间</w:t>
      </w:r>
      <w:r>
        <w:rPr>
          <w:rFonts w:hint="eastAsia" w:ascii="仿宋_GB2312" w:hAnsi="仿宋" w:eastAsia="仿宋_GB2312" w:cs="宋体"/>
          <w:b/>
          <w:bCs/>
          <w:color w:val="auto"/>
          <w:kern w:val="0"/>
          <w:sz w:val="21"/>
          <w:szCs w:val="21"/>
          <w:highlight w:val="none"/>
          <w:shd w:val="clear" w:color="auto" w:fill="auto"/>
          <w:lang w:val="en-US" w:eastAsia="zh-CN"/>
        </w:rPr>
        <w:t>。超时间、超里程的用车服务按中标人的报价明细计算。</w:t>
      </w:r>
      <w:r>
        <w:rPr>
          <w:rFonts w:hint="eastAsia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  <w:shd w:val="clear" w:color="auto" w:fill="auto"/>
          <w:lang w:val="en-US" w:eastAsia="zh-CN"/>
        </w:rPr>
        <w:t>当实际用车标准超出短时租而未达到半日租标准时，按价格低者判定“短时租单价+超时/超公里价”结算方式或“半日租单价”结算方式。当实际用车标准超出半日租而未达到一日租标准时，按价格低者判定“半日租单价+超时/超公里价”结算方式或“一日租单价”结算方式。当实际用车标准超出一日租而未达到长租车标准时，按价格低者判定“一日租单价+超时/超公里价”结算方式或“长租车单价”结算方式。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240" w:lineRule="auto"/>
        <w:ind w:left="0" w:leftChars="0" w:firstLine="420" w:firstLineChars="0"/>
        <w:textAlignment w:val="auto"/>
        <w:outlineLvl w:val="9"/>
        <w:rPr>
          <w:rFonts w:hint="default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  <w:shd w:val="clear" w:color="auto" w:fill="auto"/>
          <w:lang w:val="en-US" w:eastAsia="zh-CN"/>
        </w:rPr>
      </w:pPr>
      <w:r>
        <w:rPr>
          <w:rFonts w:hint="eastAsia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  <w:shd w:val="clear" w:color="auto" w:fill="auto"/>
          <w:lang w:val="en-US" w:eastAsia="zh-CN"/>
        </w:rPr>
        <w:t>3.此项服务包含驾驶员，除长租项目外，其他项目投标方承担驾驶员餐费。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240" w:lineRule="auto"/>
        <w:ind w:left="0" w:leftChars="0" w:firstLine="420" w:firstLineChars="0"/>
        <w:textAlignment w:val="auto"/>
        <w:outlineLvl w:val="9"/>
        <w:rPr>
          <w:rFonts w:hint="default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  <w:shd w:val="clear" w:color="auto" w:fill="auto"/>
          <w:lang w:val="en-US" w:eastAsia="zh-CN"/>
        </w:rPr>
      </w:pPr>
      <w:r>
        <w:rPr>
          <w:rFonts w:hint="eastAsia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  <w:shd w:val="clear" w:color="auto" w:fill="auto"/>
          <w:lang w:val="en-US" w:eastAsia="zh-CN"/>
        </w:rPr>
        <w:br w:type="textWrapping"/>
      </w:r>
    </w:p>
    <w:p>
      <w:pPr>
        <w:pStyle w:val="2"/>
        <w:jc w:val="both"/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default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br w:type="page"/>
      </w:r>
      <w:r>
        <w:rPr>
          <w:rFonts w:hint="eastAsia"/>
          <w:b/>
          <w:bCs/>
          <w:color w:val="auto"/>
          <w:sz w:val="18"/>
          <w:szCs w:val="18"/>
          <w:highlight w:val="none"/>
          <w:vertAlign w:val="baseline"/>
          <w:lang w:val="en-US" w:eastAsia="zh-CN"/>
        </w:rPr>
        <w:t>表2：                                                                                  单位：元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 xml:space="preserve"> </w:t>
      </w:r>
    </w:p>
    <w:tbl>
      <w:tblPr>
        <w:tblStyle w:val="10"/>
        <w:tblW w:w="940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1"/>
        <w:gridCol w:w="713"/>
        <w:gridCol w:w="2537"/>
        <w:gridCol w:w="574"/>
        <w:gridCol w:w="574"/>
        <w:gridCol w:w="933"/>
        <w:gridCol w:w="605"/>
        <w:gridCol w:w="1781"/>
        <w:gridCol w:w="10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  <w:jc w:val="center"/>
        </w:trPr>
        <w:tc>
          <w:tcPr>
            <w:tcW w:w="64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71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车型</w:t>
            </w:r>
          </w:p>
        </w:tc>
        <w:tc>
          <w:tcPr>
            <w:tcW w:w="2537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项目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单位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单价(元)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权重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权重单价(=单价*权重)</w:t>
            </w:r>
          </w:p>
        </w:tc>
        <w:tc>
          <w:tcPr>
            <w:tcW w:w="104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4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713" w:type="dxa"/>
            <w:vMerge w:val="restart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5座SUV</w:t>
            </w:r>
          </w:p>
        </w:tc>
        <w:tc>
          <w:tcPr>
            <w:tcW w:w="2537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短时租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（≤2小时，≤30公里内）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次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3"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6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%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3"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043" w:type="dxa"/>
            <w:noWrap w:val="0"/>
            <w:vAlign w:val="center"/>
          </w:tcPr>
          <w:p>
            <w:pPr>
              <w:pStyle w:val="3"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4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713" w:type="dxa"/>
            <w:vMerge w:val="continue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2537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半日租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（≤6小时，≤100公里）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次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3"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35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%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3"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043" w:type="dxa"/>
            <w:noWrap w:val="0"/>
            <w:vAlign w:val="center"/>
          </w:tcPr>
          <w:p>
            <w:pPr>
              <w:pStyle w:val="3"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4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713" w:type="dxa"/>
            <w:vMerge w:val="continue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537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一日租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（≤10小时，≤200公里）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3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3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次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3"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35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%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3"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043" w:type="dxa"/>
            <w:noWrap w:val="0"/>
            <w:vAlign w:val="center"/>
          </w:tcPr>
          <w:p>
            <w:pPr>
              <w:pStyle w:val="3"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4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713" w:type="dxa"/>
            <w:vMerge w:val="continue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537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长租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（每天≤24小时，≤300公里内）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次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8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%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104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4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713" w:type="dxa"/>
            <w:vMerge w:val="continue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537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超时间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（每小时）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小时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8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%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104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4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6</w:t>
            </w:r>
          </w:p>
        </w:tc>
        <w:tc>
          <w:tcPr>
            <w:tcW w:w="713" w:type="dxa"/>
            <w:vMerge w:val="continue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537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超里程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（每公里）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公里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8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%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104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5" w:hRule="atLeast"/>
          <w:jc w:val="center"/>
        </w:trPr>
        <w:tc>
          <w:tcPr>
            <w:tcW w:w="9401" w:type="dxa"/>
            <w:gridSpan w:val="9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综合单价2（权重单价之和）：</w:t>
            </w:r>
          </w:p>
        </w:tc>
      </w:tr>
    </w:tbl>
    <w:p>
      <w:pPr>
        <w:rPr>
          <w:rFonts w:hint="eastAsia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</w:rPr>
      </w:pPr>
      <w:r>
        <w:rPr>
          <w:rFonts w:hint="eastAsia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</w:rPr>
        <w:t>备注：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240" w:lineRule="auto"/>
        <w:ind w:left="0" w:leftChars="0" w:firstLine="420" w:firstLineChars="0"/>
        <w:textAlignment w:val="auto"/>
        <w:outlineLvl w:val="9"/>
        <w:rPr>
          <w:rFonts w:hint="eastAsia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  <w:lang w:val="en-US" w:eastAsia="zh-CN"/>
        </w:rPr>
      </w:pPr>
      <w:r>
        <w:rPr>
          <w:rFonts w:hint="eastAsia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  <w:lang w:val="en-US" w:eastAsia="zh-CN"/>
        </w:rPr>
        <w:t>1.长租车一般为连续专题培训评价班期间驻点使用，正常情况下夜间不使用车辆。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240" w:lineRule="auto"/>
        <w:ind w:left="0" w:leftChars="0" w:firstLine="420" w:firstLineChars="0"/>
        <w:textAlignment w:val="auto"/>
        <w:outlineLvl w:val="9"/>
        <w:rPr>
          <w:rFonts w:hint="eastAsia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  <w:shd w:val="clear" w:color="auto" w:fill="auto"/>
          <w:lang w:val="en-US" w:eastAsia="zh-CN"/>
        </w:rPr>
      </w:pPr>
      <w:r>
        <w:rPr>
          <w:rFonts w:hint="eastAsia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  <w:shd w:val="clear" w:color="auto" w:fill="auto"/>
          <w:lang w:val="en-US" w:eastAsia="zh-CN"/>
        </w:rPr>
        <w:t>2.结算原则：</w:t>
      </w:r>
      <w:r>
        <w:rPr>
          <w:rFonts w:hint="eastAsia" w:ascii="仿宋_GB2312" w:hAnsi="仿宋" w:eastAsia="仿宋_GB2312" w:cs="宋体"/>
          <w:b/>
          <w:bCs/>
          <w:color w:val="auto"/>
          <w:kern w:val="0"/>
          <w:sz w:val="21"/>
          <w:szCs w:val="21"/>
          <w:highlight w:val="none"/>
          <w:lang w:val="en-US" w:eastAsia="zh-CN"/>
        </w:rPr>
        <w:t>租车服务</w:t>
      </w:r>
      <w:r>
        <w:rPr>
          <w:rFonts w:hint="eastAsia" w:ascii="仿宋_GB2312" w:hAnsi="仿宋" w:eastAsia="仿宋_GB2312" w:cs="宋体"/>
          <w:b/>
          <w:bCs/>
          <w:color w:val="auto"/>
          <w:kern w:val="0"/>
          <w:sz w:val="21"/>
          <w:szCs w:val="21"/>
          <w:highlight w:val="none"/>
          <w:shd w:val="clear" w:color="auto" w:fill="auto"/>
          <w:lang w:val="en-US" w:eastAsia="zh-CN"/>
        </w:rPr>
        <w:t>计费地点、时间</w:t>
      </w:r>
      <w:r>
        <w:rPr>
          <w:rFonts w:hint="eastAsia" w:ascii="仿宋_GB2312" w:hAnsi="仿宋" w:eastAsia="仿宋_GB2312" w:cs="宋体"/>
          <w:b/>
          <w:bCs/>
          <w:color w:val="auto"/>
          <w:kern w:val="0"/>
          <w:sz w:val="21"/>
          <w:szCs w:val="21"/>
          <w:highlight w:val="none"/>
          <w:lang w:val="en-US" w:eastAsia="zh-CN"/>
        </w:rPr>
        <w:t>以招标方安排的接送点和接送时间为起止点和起止时间</w:t>
      </w:r>
      <w:r>
        <w:rPr>
          <w:rFonts w:hint="eastAsia" w:ascii="仿宋_GB2312" w:hAnsi="仿宋" w:eastAsia="仿宋_GB2312" w:cs="宋体"/>
          <w:b/>
          <w:bCs/>
          <w:color w:val="auto"/>
          <w:kern w:val="0"/>
          <w:sz w:val="21"/>
          <w:szCs w:val="21"/>
          <w:highlight w:val="none"/>
          <w:shd w:val="clear" w:color="auto" w:fill="auto"/>
          <w:lang w:val="en-US" w:eastAsia="zh-CN"/>
        </w:rPr>
        <w:t>。超时间、超里程的用车服务按中标人的报价明细计算。</w:t>
      </w:r>
      <w:r>
        <w:rPr>
          <w:rFonts w:hint="eastAsia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  <w:shd w:val="clear" w:color="auto" w:fill="auto"/>
          <w:lang w:val="en-US" w:eastAsia="zh-CN"/>
        </w:rPr>
        <w:t>当实际用车标准超出短时租而未达到半日租标准时，按价格低者判定“短时租单价+超时/超公里价”结算方式或“半日租单价”结算方式。当实际用车标准超出半日租而未达到一日租标准时，按价格低者判定“半日租单价+超时/超公里价”结算方式或“一日租单价”结算方式。当实际用车标准超出一日租而未达到长租车标准时，按价格低者判定“一日租单价+超时/超公里价”结算方式或“长租车单价”结算方式。</w:t>
      </w:r>
      <w:r>
        <w:rPr>
          <w:rFonts w:hint="eastAsia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  <w:shd w:val="clear" w:color="auto" w:fill="auto"/>
          <w:lang w:val="en-US" w:eastAsia="zh-CN"/>
        </w:rPr>
        <w:br w:type="textWrapping"/>
      </w:r>
      <w:r>
        <w:rPr>
          <w:rFonts w:hint="eastAsia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  <w:shd w:val="clear" w:color="auto" w:fill="auto"/>
          <w:lang w:val="en-US" w:eastAsia="zh-CN"/>
        </w:rPr>
        <w:tab/>
      </w:r>
      <w:r>
        <w:rPr>
          <w:rFonts w:hint="eastAsia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  <w:shd w:val="clear" w:color="auto" w:fill="auto"/>
          <w:lang w:val="en-US" w:eastAsia="zh-CN"/>
        </w:rPr>
        <w:t>3.此项服务包含驾驶员，除长租项目外，其他项目投标方承担驾驶员餐费。</w:t>
      </w:r>
    </w:p>
    <w:p>
      <w:pPr>
        <w:rPr>
          <w:rFonts w:hint="eastAsia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  <w:shd w:val="clear" w:color="auto" w:fill="auto"/>
          <w:lang w:val="en-US" w:eastAsia="zh-CN"/>
        </w:rPr>
      </w:pPr>
      <w:r>
        <w:rPr>
          <w:rFonts w:hint="eastAsia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  <w:shd w:val="clear" w:color="auto" w:fill="auto"/>
          <w:lang w:val="en-US" w:eastAsia="zh-CN"/>
        </w:rPr>
        <w:tab/>
      </w:r>
    </w:p>
    <w:p>
      <w:pPr>
        <w:rPr>
          <w:rFonts w:hint="eastAsia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  <w:shd w:val="clear" w:color="auto" w:fill="auto"/>
          <w:lang w:val="en-US" w:eastAsia="zh-CN"/>
        </w:rPr>
      </w:pPr>
      <w:r>
        <w:rPr>
          <w:rFonts w:hint="eastAsia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  <w:shd w:val="clear" w:color="auto" w:fill="auto"/>
          <w:lang w:val="en-US" w:eastAsia="zh-CN"/>
        </w:rPr>
        <w:br w:type="page"/>
      </w:r>
    </w:p>
    <w:p>
      <w:pPr>
        <w:pStyle w:val="2"/>
        <w:rPr>
          <w:rFonts w:hint="default"/>
          <w:color w:val="auto"/>
          <w:highlight w:val="none"/>
          <w:lang w:val="en-US" w:eastAsia="zh-CN"/>
        </w:rPr>
      </w:pPr>
    </w:p>
    <w:p>
      <w:pPr>
        <w:pStyle w:val="2"/>
        <w:jc w:val="both"/>
        <w:rPr>
          <w:rFonts w:hint="eastAsia" w:ascii="宋体" w:hAnsi="宋体"/>
          <w:b/>
          <w:bCs/>
          <w:snapToGrid w:val="0"/>
          <w:color w:val="auto"/>
          <w:kern w:val="24"/>
          <w:sz w:val="36"/>
          <w:szCs w:val="22"/>
          <w:highlight w:val="none"/>
          <w:u w:color="000000"/>
        </w:rPr>
      </w:pPr>
      <w:r>
        <w:rPr>
          <w:rFonts w:hint="eastAsia"/>
          <w:b/>
          <w:bCs/>
          <w:color w:val="auto"/>
          <w:sz w:val="18"/>
          <w:szCs w:val="18"/>
          <w:highlight w:val="none"/>
          <w:vertAlign w:val="baseline"/>
          <w:lang w:val="en-US" w:eastAsia="zh-CN"/>
        </w:rPr>
        <w:t>表3：                                                                                  单位：元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 xml:space="preserve"> </w:t>
      </w:r>
    </w:p>
    <w:tbl>
      <w:tblPr>
        <w:tblStyle w:val="10"/>
        <w:tblW w:w="940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1"/>
        <w:gridCol w:w="713"/>
        <w:gridCol w:w="2537"/>
        <w:gridCol w:w="574"/>
        <w:gridCol w:w="574"/>
        <w:gridCol w:w="933"/>
        <w:gridCol w:w="605"/>
        <w:gridCol w:w="1781"/>
        <w:gridCol w:w="10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  <w:jc w:val="center"/>
        </w:trPr>
        <w:tc>
          <w:tcPr>
            <w:tcW w:w="64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71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车型</w:t>
            </w:r>
          </w:p>
        </w:tc>
        <w:tc>
          <w:tcPr>
            <w:tcW w:w="2537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项目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单位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单价(元)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权重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权重单价(=单价*权重)</w:t>
            </w:r>
          </w:p>
        </w:tc>
        <w:tc>
          <w:tcPr>
            <w:tcW w:w="104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4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713" w:type="dxa"/>
            <w:vMerge w:val="restart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7座商务车</w:t>
            </w:r>
          </w:p>
        </w:tc>
        <w:tc>
          <w:tcPr>
            <w:tcW w:w="2537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半日租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（≤6小时，≤100公里）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次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3"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0" w:type="auto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15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%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3"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043" w:type="dxa"/>
            <w:noWrap w:val="0"/>
            <w:vAlign w:val="center"/>
          </w:tcPr>
          <w:p>
            <w:pPr>
              <w:pStyle w:val="3"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4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713" w:type="dxa"/>
            <w:vMerge w:val="continue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537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一日租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（≤10小时，≤200公里）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3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3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次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3"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0" w:type="auto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15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%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3"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043" w:type="dxa"/>
            <w:noWrap w:val="0"/>
            <w:vAlign w:val="center"/>
          </w:tcPr>
          <w:p>
            <w:pPr>
              <w:pStyle w:val="3"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4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713" w:type="dxa"/>
            <w:vMerge w:val="continue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537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长租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（每天≤24小时，≤300公里内）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次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50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%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104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4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713" w:type="dxa"/>
            <w:vMerge w:val="continue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537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超时间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（每小时）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小时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10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%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104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4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713" w:type="dxa"/>
            <w:vMerge w:val="continue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537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超里程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（每公里）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公里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10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%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104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5" w:hRule="atLeast"/>
          <w:jc w:val="center"/>
        </w:trPr>
        <w:tc>
          <w:tcPr>
            <w:tcW w:w="9401" w:type="dxa"/>
            <w:gridSpan w:val="9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综合单价3（权重单价之和）：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outlineLvl w:val="9"/>
        <w:rPr>
          <w:rFonts w:hint="eastAsia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</w:rPr>
      </w:pPr>
      <w:r>
        <w:rPr>
          <w:rFonts w:hint="eastAsia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</w:rPr>
        <w:t>备注：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240" w:lineRule="auto"/>
        <w:ind w:left="0" w:leftChars="0" w:firstLine="420" w:firstLineChars="0"/>
        <w:textAlignment w:val="auto"/>
        <w:outlineLvl w:val="9"/>
        <w:rPr>
          <w:rFonts w:hint="eastAsia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  <w:lang w:val="en-US" w:eastAsia="zh-CN"/>
        </w:rPr>
      </w:pPr>
      <w:r>
        <w:rPr>
          <w:rFonts w:hint="eastAsia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  <w:lang w:val="en-US" w:eastAsia="zh-CN"/>
        </w:rPr>
        <w:t>1.长租车一般为连续专题培训评价班期间驻点使用，正常情况下夜间不使用车辆。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240" w:lineRule="auto"/>
        <w:ind w:left="0" w:leftChars="0" w:firstLine="420" w:firstLineChars="0"/>
        <w:textAlignment w:val="auto"/>
        <w:outlineLvl w:val="9"/>
        <w:rPr>
          <w:rFonts w:hint="eastAsia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  <w:shd w:val="clear" w:color="auto" w:fill="auto"/>
          <w:lang w:val="en-US" w:eastAsia="zh-CN"/>
        </w:rPr>
      </w:pPr>
      <w:r>
        <w:rPr>
          <w:rFonts w:hint="eastAsia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  <w:shd w:val="clear" w:color="auto" w:fill="auto"/>
          <w:lang w:val="en-US" w:eastAsia="zh-CN"/>
        </w:rPr>
        <w:t>2.结算原则：</w:t>
      </w:r>
      <w:r>
        <w:rPr>
          <w:rFonts w:hint="eastAsia" w:ascii="仿宋_GB2312" w:hAnsi="仿宋" w:eastAsia="仿宋_GB2312" w:cs="宋体"/>
          <w:b/>
          <w:bCs/>
          <w:color w:val="auto"/>
          <w:kern w:val="0"/>
          <w:sz w:val="21"/>
          <w:szCs w:val="21"/>
          <w:highlight w:val="none"/>
          <w:lang w:val="en-US" w:eastAsia="zh-CN"/>
        </w:rPr>
        <w:t>租车服务</w:t>
      </w:r>
      <w:r>
        <w:rPr>
          <w:rFonts w:hint="eastAsia" w:ascii="仿宋_GB2312" w:hAnsi="仿宋" w:eastAsia="仿宋_GB2312" w:cs="宋体"/>
          <w:b/>
          <w:bCs/>
          <w:color w:val="auto"/>
          <w:kern w:val="0"/>
          <w:sz w:val="21"/>
          <w:szCs w:val="21"/>
          <w:highlight w:val="none"/>
          <w:shd w:val="clear" w:color="auto" w:fill="auto"/>
          <w:lang w:val="en-US" w:eastAsia="zh-CN"/>
        </w:rPr>
        <w:t>计费地点、时间</w:t>
      </w:r>
      <w:r>
        <w:rPr>
          <w:rFonts w:hint="eastAsia" w:ascii="仿宋_GB2312" w:hAnsi="仿宋" w:eastAsia="仿宋_GB2312" w:cs="宋体"/>
          <w:b/>
          <w:bCs/>
          <w:color w:val="auto"/>
          <w:kern w:val="0"/>
          <w:sz w:val="21"/>
          <w:szCs w:val="21"/>
          <w:highlight w:val="none"/>
          <w:lang w:val="en-US" w:eastAsia="zh-CN"/>
        </w:rPr>
        <w:t>以招标方安排的接送点和接送时间为起止点和起止时间</w:t>
      </w:r>
      <w:r>
        <w:rPr>
          <w:rFonts w:hint="eastAsia" w:ascii="仿宋_GB2312" w:hAnsi="仿宋" w:eastAsia="仿宋_GB2312" w:cs="宋体"/>
          <w:b/>
          <w:bCs/>
          <w:color w:val="auto"/>
          <w:kern w:val="0"/>
          <w:sz w:val="21"/>
          <w:szCs w:val="21"/>
          <w:highlight w:val="none"/>
          <w:shd w:val="clear" w:color="auto" w:fill="auto"/>
          <w:lang w:val="en-US" w:eastAsia="zh-CN"/>
        </w:rPr>
        <w:t>。超时间、超里程的用车服务按中标人的报价明细计算。</w:t>
      </w:r>
      <w:r>
        <w:rPr>
          <w:rFonts w:hint="eastAsia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  <w:shd w:val="clear" w:color="auto" w:fill="auto"/>
          <w:lang w:val="en-US" w:eastAsia="zh-CN"/>
        </w:rPr>
        <w:t>当实际用车标准超出半日租而未达到一日租标准时，按价格低者判定“半日租单价+超时/超公里价”结算方式或“一日租单价”结算方式。当实际用车标准超出一日租而未达到长租车标准时，按价格低者判定“一日租单价+超时/超公里价”结算方式或“长租车单价”结算方式。</w:t>
      </w:r>
      <w:r>
        <w:rPr>
          <w:rFonts w:hint="eastAsia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  <w:shd w:val="clear" w:color="auto" w:fill="auto"/>
          <w:lang w:val="en-US" w:eastAsia="zh-CN"/>
        </w:rPr>
        <w:br w:type="textWrapping"/>
      </w:r>
      <w:r>
        <w:rPr>
          <w:rFonts w:hint="eastAsia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  <w:shd w:val="clear" w:color="auto" w:fill="auto"/>
          <w:lang w:val="en-US" w:eastAsia="zh-CN"/>
        </w:rPr>
        <w:tab/>
      </w:r>
      <w:r>
        <w:rPr>
          <w:rFonts w:hint="eastAsia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  <w:shd w:val="clear" w:color="auto" w:fill="auto"/>
          <w:lang w:val="en-US" w:eastAsia="zh-CN"/>
        </w:rPr>
        <w:t>3.此项服务包含驾驶员，除长租项目外，其他项目投标方承担驾驶员餐费。</w:t>
      </w:r>
    </w:p>
    <w:p>
      <w:pPr>
        <w:rPr>
          <w:rFonts w:hint="eastAsia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  <w:shd w:val="clear" w:color="auto" w:fill="auto"/>
          <w:lang w:val="en-US" w:eastAsia="zh-CN"/>
        </w:rPr>
      </w:pPr>
    </w:p>
    <w:p>
      <w:pPr>
        <w:rPr>
          <w:rFonts w:hint="eastAsia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  <w:shd w:val="clear" w:color="auto" w:fill="auto"/>
          <w:lang w:val="en-US" w:eastAsia="zh-CN"/>
        </w:rPr>
      </w:pPr>
      <w:r>
        <w:rPr>
          <w:rFonts w:hint="eastAsia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  <w:shd w:val="clear" w:color="auto" w:fill="auto"/>
          <w:lang w:val="en-US" w:eastAsia="zh-CN"/>
        </w:rPr>
        <w:br w:type="page"/>
      </w:r>
    </w:p>
    <w:p>
      <w:pPr>
        <w:pStyle w:val="2"/>
        <w:rPr>
          <w:rFonts w:hint="default"/>
          <w:color w:val="auto"/>
          <w:highlight w:val="none"/>
          <w:lang w:val="en-US" w:eastAsia="zh-CN"/>
        </w:rPr>
      </w:pPr>
    </w:p>
    <w:p>
      <w:pPr>
        <w:pStyle w:val="2"/>
        <w:jc w:val="both"/>
        <w:rPr>
          <w:rFonts w:hint="eastAsia" w:ascii="宋体" w:hAnsi="宋体"/>
          <w:b/>
          <w:bCs/>
          <w:snapToGrid w:val="0"/>
          <w:color w:val="auto"/>
          <w:kern w:val="24"/>
          <w:sz w:val="36"/>
          <w:szCs w:val="22"/>
          <w:highlight w:val="none"/>
          <w:u w:color="000000"/>
        </w:rPr>
      </w:pPr>
      <w:r>
        <w:rPr>
          <w:rFonts w:hint="eastAsia"/>
          <w:b/>
          <w:bCs/>
          <w:color w:val="auto"/>
          <w:sz w:val="18"/>
          <w:szCs w:val="18"/>
          <w:highlight w:val="none"/>
          <w:vertAlign w:val="baseline"/>
          <w:lang w:val="en-US" w:eastAsia="zh-CN"/>
        </w:rPr>
        <w:t>表4：                                                                                  单位：元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 xml:space="preserve"> </w:t>
      </w:r>
    </w:p>
    <w:tbl>
      <w:tblPr>
        <w:tblStyle w:val="10"/>
        <w:tblW w:w="940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1"/>
        <w:gridCol w:w="713"/>
        <w:gridCol w:w="2728"/>
        <w:gridCol w:w="568"/>
        <w:gridCol w:w="654"/>
        <w:gridCol w:w="1124"/>
        <w:gridCol w:w="879"/>
        <w:gridCol w:w="1093"/>
        <w:gridCol w:w="10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2" w:hRule="atLeast"/>
          <w:jc w:val="center"/>
        </w:trPr>
        <w:tc>
          <w:tcPr>
            <w:tcW w:w="64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71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车型</w:t>
            </w:r>
          </w:p>
        </w:tc>
        <w:tc>
          <w:tcPr>
            <w:tcW w:w="272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项目</w:t>
            </w:r>
          </w:p>
        </w:tc>
        <w:tc>
          <w:tcPr>
            <w:tcW w:w="56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654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单位</w:t>
            </w:r>
          </w:p>
        </w:tc>
        <w:tc>
          <w:tcPr>
            <w:tcW w:w="1124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单价(元)</w:t>
            </w:r>
          </w:p>
        </w:tc>
        <w:tc>
          <w:tcPr>
            <w:tcW w:w="879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权重</w:t>
            </w:r>
          </w:p>
        </w:tc>
        <w:tc>
          <w:tcPr>
            <w:tcW w:w="109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权重单价(=单价*权重)</w:t>
            </w:r>
          </w:p>
        </w:tc>
        <w:tc>
          <w:tcPr>
            <w:tcW w:w="100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4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713" w:type="dxa"/>
            <w:vMerge w:val="restart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23座中巴车</w:t>
            </w:r>
          </w:p>
        </w:tc>
        <w:tc>
          <w:tcPr>
            <w:tcW w:w="272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半日租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（≤6小时，≤100公里）</w:t>
            </w:r>
          </w:p>
        </w:tc>
        <w:tc>
          <w:tcPr>
            <w:tcW w:w="56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654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次</w:t>
            </w:r>
          </w:p>
        </w:tc>
        <w:tc>
          <w:tcPr>
            <w:tcW w:w="1124" w:type="dxa"/>
            <w:noWrap w:val="0"/>
            <w:vAlign w:val="center"/>
          </w:tcPr>
          <w:p>
            <w:pPr>
              <w:pStyle w:val="3"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879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30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%</w:t>
            </w:r>
          </w:p>
        </w:tc>
        <w:tc>
          <w:tcPr>
            <w:tcW w:w="1093" w:type="dxa"/>
            <w:noWrap w:val="0"/>
            <w:vAlign w:val="center"/>
          </w:tcPr>
          <w:p>
            <w:pPr>
              <w:pStyle w:val="3"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001" w:type="dxa"/>
            <w:noWrap w:val="0"/>
            <w:vAlign w:val="center"/>
          </w:tcPr>
          <w:p>
            <w:pPr>
              <w:pStyle w:val="3"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4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713" w:type="dxa"/>
            <w:vMerge w:val="continue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72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一日租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（≤10小时，≤200公里）</w:t>
            </w:r>
          </w:p>
        </w:tc>
        <w:tc>
          <w:tcPr>
            <w:tcW w:w="568" w:type="dxa"/>
            <w:noWrap w:val="0"/>
            <w:vAlign w:val="center"/>
          </w:tcPr>
          <w:p>
            <w:pPr>
              <w:pStyle w:val="3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654" w:type="dxa"/>
            <w:noWrap w:val="0"/>
            <w:vAlign w:val="center"/>
          </w:tcPr>
          <w:p>
            <w:pPr>
              <w:pStyle w:val="3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次</w:t>
            </w:r>
          </w:p>
        </w:tc>
        <w:tc>
          <w:tcPr>
            <w:tcW w:w="1124" w:type="dxa"/>
            <w:noWrap w:val="0"/>
            <w:vAlign w:val="center"/>
          </w:tcPr>
          <w:p>
            <w:pPr>
              <w:pStyle w:val="3"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879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50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%</w:t>
            </w:r>
          </w:p>
        </w:tc>
        <w:tc>
          <w:tcPr>
            <w:tcW w:w="1093" w:type="dxa"/>
            <w:noWrap w:val="0"/>
            <w:vAlign w:val="center"/>
          </w:tcPr>
          <w:p>
            <w:pPr>
              <w:pStyle w:val="3"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001" w:type="dxa"/>
            <w:noWrap w:val="0"/>
            <w:vAlign w:val="center"/>
          </w:tcPr>
          <w:p>
            <w:pPr>
              <w:pStyle w:val="3"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4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713" w:type="dxa"/>
            <w:vMerge w:val="continue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72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超时间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（每小时）</w:t>
            </w:r>
          </w:p>
        </w:tc>
        <w:tc>
          <w:tcPr>
            <w:tcW w:w="56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6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小时</w:t>
            </w:r>
          </w:p>
        </w:tc>
        <w:tc>
          <w:tcPr>
            <w:tcW w:w="1124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879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10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%</w:t>
            </w:r>
          </w:p>
        </w:tc>
        <w:tc>
          <w:tcPr>
            <w:tcW w:w="109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100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4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713" w:type="dxa"/>
            <w:vMerge w:val="continue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72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超里程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（每公里）</w:t>
            </w:r>
          </w:p>
        </w:tc>
        <w:tc>
          <w:tcPr>
            <w:tcW w:w="56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6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公里</w:t>
            </w:r>
          </w:p>
        </w:tc>
        <w:tc>
          <w:tcPr>
            <w:tcW w:w="1124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879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10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%</w:t>
            </w:r>
          </w:p>
        </w:tc>
        <w:tc>
          <w:tcPr>
            <w:tcW w:w="109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100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5" w:hRule="atLeast"/>
          <w:jc w:val="center"/>
        </w:trPr>
        <w:tc>
          <w:tcPr>
            <w:tcW w:w="9401" w:type="dxa"/>
            <w:gridSpan w:val="9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综合单价4（权重单价之和）：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outlineLvl w:val="9"/>
        <w:rPr>
          <w:rFonts w:hint="default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</w:rPr>
        <w:t>备注：</w:t>
      </w:r>
      <w:r>
        <w:rPr>
          <w:rFonts w:hint="eastAsia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  <w:shd w:val="clear" w:color="auto" w:fill="auto"/>
          <w:lang w:val="en-US" w:eastAsia="zh-CN"/>
        </w:rPr>
        <w:t>结算原则：</w:t>
      </w:r>
      <w:r>
        <w:rPr>
          <w:rFonts w:hint="eastAsia" w:ascii="仿宋_GB2312" w:hAnsi="仿宋" w:eastAsia="仿宋_GB2312" w:cs="宋体"/>
          <w:b/>
          <w:bCs/>
          <w:color w:val="auto"/>
          <w:kern w:val="0"/>
          <w:sz w:val="21"/>
          <w:szCs w:val="21"/>
          <w:highlight w:val="none"/>
          <w:lang w:val="en-US" w:eastAsia="zh-CN"/>
        </w:rPr>
        <w:t>租车服务</w:t>
      </w:r>
      <w:r>
        <w:rPr>
          <w:rFonts w:hint="eastAsia" w:ascii="仿宋_GB2312" w:hAnsi="仿宋" w:eastAsia="仿宋_GB2312" w:cs="宋体"/>
          <w:b/>
          <w:bCs/>
          <w:color w:val="auto"/>
          <w:kern w:val="0"/>
          <w:sz w:val="21"/>
          <w:szCs w:val="21"/>
          <w:highlight w:val="none"/>
          <w:shd w:val="clear" w:color="auto" w:fill="auto"/>
          <w:lang w:val="en-US" w:eastAsia="zh-CN"/>
        </w:rPr>
        <w:t>计费地点、时间</w:t>
      </w:r>
      <w:r>
        <w:rPr>
          <w:rFonts w:hint="eastAsia" w:ascii="仿宋_GB2312" w:hAnsi="仿宋" w:eastAsia="仿宋_GB2312" w:cs="宋体"/>
          <w:b/>
          <w:bCs/>
          <w:color w:val="auto"/>
          <w:kern w:val="0"/>
          <w:sz w:val="21"/>
          <w:szCs w:val="21"/>
          <w:highlight w:val="none"/>
          <w:lang w:val="en-US" w:eastAsia="zh-CN"/>
        </w:rPr>
        <w:t>以招标方安排的接送点和接送时间为起止点和起止时间</w:t>
      </w:r>
      <w:r>
        <w:rPr>
          <w:rFonts w:hint="eastAsia" w:ascii="仿宋_GB2312" w:hAnsi="仿宋" w:eastAsia="仿宋_GB2312" w:cs="宋体"/>
          <w:b/>
          <w:bCs/>
          <w:color w:val="auto"/>
          <w:kern w:val="0"/>
          <w:sz w:val="21"/>
          <w:szCs w:val="21"/>
          <w:highlight w:val="none"/>
          <w:shd w:val="clear" w:color="auto" w:fill="auto"/>
          <w:lang w:val="en-US" w:eastAsia="zh-CN"/>
        </w:rPr>
        <w:t>。超时间、超里程的用车服务按中标人的报价明细计算。</w:t>
      </w:r>
      <w:r>
        <w:rPr>
          <w:rFonts w:hint="eastAsia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  <w:shd w:val="clear" w:color="auto" w:fill="auto"/>
          <w:lang w:val="en-US" w:eastAsia="zh-CN"/>
        </w:rPr>
        <w:t>当实际用车标准超出半日租而未达到一日租标准时，按价格低者判定“半日租单价+超时/超公里价”结算方式或“一日租单价”结算方式。当实际用车标准超出一日租而未达到长租车标准时，按价格低者判定“一日租单价+超时/超公里价”结算方式或“长租车单价”结算方式。</w:t>
      </w:r>
      <w:r>
        <w:rPr>
          <w:rFonts w:hint="eastAsia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  <w:shd w:val="clear" w:color="auto" w:fill="auto"/>
          <w:lang w:val="en-US" w:eastAsia="zh-CN"/>
        </w:rPr>
        <w:br w:type="textWrapping"/>
      </w:r>
      <w:r>
        <w:rPr>
          <w:rFonts w:hint="eastAsia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  <w:shd w:val="clear" w:color="auto" w:fill="auto"/>
          <w:lang w:val="en-US" w:eastAsia="zh-CN"/>
        </w:rPr>
        <w:tab/>
      </w:r>
      <w:r>
        <w:rPr>
          <w:rFonts w:hint="eastAsia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  <w:shd w:val="clear" w:color="auto" w:fill="auto"/>
          <w:lang w:val="en-US" w:eastAsia="zh-CN"/>
        </w:rPr>
        <w:t>2.此项服务包含驾驶员，投标方承担驾驶员餐费。</w:t>
      </w:r>
      <w:r>
        <w:rPr>
          <w:rFonts w:hint="default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br w:type="page"/>
      </w:r>
    </w:p>
    <w:p>
      <w:pPr>
        <w:pStyle w:val="2"/>
        <w:jc w:val="both"/>
        <w:rPr>
          <w:rFonts w:hint="eastAsia" w:ascii="宋体" w:hAnsi="宋体"/>
          <w:b/>
          <w:bCs/>
          <w:snapToGrid w:val="0"/>
          <w:color w:val="auto"/>
          <w:kern w:val="24"/>
          <w:sz w:val="36"/>
          <w:szCs w:val="22"/>
          <w:highlight w:val="none"/>
          <w:u w:color="000000"/>
        </w:rPr>
      </w:pPr>
      <w:r>
        <w:rPr>
          <w:rFonts w:hint="eastAsia"/>
          <w:b/>
          <w:bCs/>
          <w:color w:val="auto"/>
          <w:sz w:val="18"/>
          <w:szCs w:val="18"/>
          <w:highlight w:val="none"/>
          <w:vertAlign w:val="baseline"/>
          <w:lang w:val="en-US" w:eastAsia="zh-CN"/>
        </w:rPr>
        <w:t>表5：                                                                                  单位：元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 xml:space="preserve"> </w:t>
      </w:r>
    </w:p>
    <w:tbl>
      <w:tblPr>
        <w:tblStyle w:val="10"/>
        <w:tblW w:w="940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1"/>
        <w:gridCol w:w="713"/>
        <w:gridCol w:w="2537"/>
        <w:gridCol w:w="738"/>
        <w:gridCol w:w="707"/>
        <w:gridCol w:w="761"/>
        <w:gridCol w:w="733"/>
        <w:gridCol w:w="1528"/>
        <w:gridCol w:w="10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  <w:jc w:val="center"/>
        </w:trPr>
        <w:tc>
          <w:tcPr>
            <w:tcW w:w="64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71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车型</w:t>
            </w:r>
          </w:p>
        </w:tc>
        <w:tc>
          <w:tcPr>
            <w:tcW w:w="2537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项目</w:t>
            </w:r>
          </w:p>
        </w:tc>
        <w:tc>
          <w:tcPr>
            <w:tcW w:w="73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707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单位</w:t>
            </w:r>
          </w:p>
        </w:tc>
        <w:tc>
          <w:tcPr>
            <w:tcW w:w="76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单价(元)</w:t>
            </w:r>
          </w:p>
        </w:tc>
        <w:tc>
          <w:tcPr>
            <w:tcW w:w="73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权重</w:t>
            </w:r>
          </w:p>
        </w:tc>
        <w:tc>
          <w:tcPr>
            <w:tcW w:w="152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权重单价(=单价*权重)</w:t>
            </w:r>
          </w:p>
        </w:tc>
        <w:tc>
          <w:tcPr>
            <w:tcW w:w="104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4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713" w:type="dxa"/>
            <w:vMerge w:val="restart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51座大巴车</w:t>
            </w:r>
          </w:p>
        </w:tc>
        <w:tc>
          <w:tcPr>
            <w:tcW w:w="2537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半日租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（≤6小时，≤100公里）</w:t>
            </w:r>
          </w:p>
        </w:tc>
        <w:tc>
          <w:tcPr>
            <w:tcW w:w="73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707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次</w:t>
            </w:r>
          </w:p>
        </w:tc>
        <w:tc>
          <w:tcPr>
            <w:tcW w:w="761" w:type="dxa"/>
            <w:noWrap w:val="0"/>
            <w:vAlign w:val="center"/>
          </w:tcPr>
          <w:p>
            <w:pPr>
              <w:pStyle w:val="3"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73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30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%</w:t>
            </w:r>
          </w:p>
        </w:tc>
        <w:tc>
          <w:tcPr>
            <w:tcW w:w="1528" w:type="dxa"/>
            <w:noWrap w:val="0"/>
            <w:vAlign w:val="center"/>
          </w:tcPr>
          <w:p>
            <w:pPr>
              <w:pStyle w:val="3"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043" w:type="dxa"/>
            <w:noWrap w:val="0"/>
            <w:vAlign w:val="center"/>
          </w:tcPr>
          <w:p>
            <w:pPr>
              <w:pStyle w:val="3"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4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713" w:type="dxa"/>
            <w:vMerge w:val="continue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537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一日租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（≤10小时，≤200公里）</w:t>
            </w:r>
          </w:p>
        </w:tc>
        <w:tc>
          <w:tcPr>
            <w:tcW w:w="738" w:type="dxa"/>
            <w:noWrap w:val="0"/>
            <w:vAlign w:val="center"/>
          </w:tcPr>
          <w:p>
            <w:pPr>
              <w:pStyle w:val="3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707" w:type="dxa"/>
            <w:noWrap w:val="0"/>
            <w:vAlign w:val="center"/>
          </w:tcPr>
          <w:p>
            <w:pPr>
              <w:pStyle w:val="3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次</w:t>
            </w:r>
          </w:p>
        </w:tc>
        <w:tc>
          <w:tcPr>
            <w:tcW w:w="761" w:type="dxa"/>
            <w:noWrap w:val="0"/>
            <w:vAlign w:val="center"/>
          </w:tcPr>
          <w:p>
            <w:pPr>
              <w:pStyle w:val="3"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73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50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%</w:t>
            </w:r>
          </w:p>
        </w:tc>
        <w:tc>
          <w:tcPr>
            <w:tcW w:w="1528" w:type="dxa"/>
            <w:noWrap w:val="0"/>
            <w:vAlign w:val="center"/>
          </w:tcPr>
          <w:p>
            <w:pPr>
              <w:pStyle w:val="3"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043" w:type="dxa"/>
            <w:noWrap w:val="0"/>
            <w:vAlign w:val="center"/>
          </w:tcPr>
          <w:p>
            <w:pPr>
              <w:pStyle w:val="3"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4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713" w:type="dxa"/>
            <w:vMerge w:val="continue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537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超时间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（每小时）</w:t>
            </w:r>
          </w:p>
        </w:tc>
        <w:tc>
          <w:tcPr>
            <w:tcW w:w="73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70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小时</w:t>
            </w:r>
          </w:p>
        </w:tc>
        <w:tc>
          <w:tcPr>
            <w:tcW w:w="76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73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10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%</w:t>
            </w:r>
          </w:p>
        </w:tc>
        <w:tc>
          <w:tcPr>
            <w:tcW w:w="152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104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4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713" w:type="dxa"/>
            <w:vMerge w:val="continue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537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超里程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（每公里）</w:t>
            </w:r>
          </w:p>
        </w:tc>
        <w:tc>
          <w:tcPr>
            <w:tcW w:w="73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70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公里</w:t>
            </w:r>
          </w:p>
        </w:tc>
        <w:tc>
          <w:tcPr>
            <w:tcW w:w="76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73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10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%</w:t>
            </w:r>
          </w:p>
        </w:tc>
        <w:tc>
          <w:tcPr>
            <w:tcW w:w="152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104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5" w:hRule="atLeast"/>
          <w:jc w:val="center"/>
        </w:trPr>
        <w:tc>
          <w:tcPr>
            <w:tcW w:w="9401" w:type="dxa"/>
            <w:gridSpan w:val="9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综合单价5（权重单价之和）：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outlineLvl w:val="9"/>
        <w:rPr>
          <w:rFonts w:hint="default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  <w:shd w:val="clear" w:color="auto" w:fill="auto"/>
          <w:lang w:val="en-US" w:eastAsia="zh-CN"/>
        </w:rPr>
      </w:pPr>
      <w:r>
        <w:rPr>
          <w:rFonts w:hint="eastAsia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</w:rPr>
        <w:t>备注</w:t>
      </w:r>
      <w:r>
        <w:rPr>
          <w:rFonts w:hint="eastAsia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  <w:lang w:val="en-US" w:eastAsia="zh-CN"/>
        </w:rPr>
        <w:t>1</w:t>
      </w:r>
      <w:r>
        <w:rPr>
          <w:rFonts w:hint="eastAsia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  <w:shd w:val="clear" w:color="auto" w:fill="auto"/>
          <w:lang w:val="en-US" w:eastAsia="zh-CN"/>
        </w:rPr>
        <w:t>.结算原则：</w:t>
      </w:r>
      <w:r>
        <w:rPr>
          <w:rFonts w:hint="eastAsia" w:ascii="仿宋_GB2312" w:hAnsi="仿宋" w:eastAsia="仿宋_GB2312" w:cs="宋体"/>
          <w:b/>
          <w:bCs/>
          <w:color w:val="auto"/>
          <w:kern w:val="0"/>
          <w:sz w:val="21"/>
          <w:szCs w:val="21"/>
          <w:highlight w:val="none"/>
          <w:lang w:val="en-US" w:eastAsia="zh-CN"/>
        </w:rPr>
        <w:t>租车服务</w:t>
      </w:r>
      <w:r>
        <w:rPr>
          <w:rFonts w:hint="eastAsia" w:ascii="仿宋_GB2312" w:hAnsi="仿宋" w:eastAsia="仿宋_GB2312" w:cs="宋体"/>
          <w:b/>
          <w:bCs/>
          <w:color w:val="auto"/>
          <w:kern w:val="0"/>
          <w:sz w:val="21"/>
          <w:szCs w:val="21"/>
          <w:highlight w:val="none"/>
          <w:shd w:val="clear" w:color="auto" w:fill="auto"/>
          <w:lang w:val="en-US" w:eastAsia="zh-CN"/>
        </w:rPr>
        <w:t>计费地点、时间</w:t>
      </w:r>
      <w:r>
        <w:rPr>
          <w:rFonts w:hint="eastAsia" w:ascii="仿宋_GB2312" w:hAnsi="仿宋" w:eastAsia="仿宋_GB2312" w:cs="宋体"/>
          <w:b/>
          <w:bCs/>
          <w:color w:val="auto"/>
          <w:kern w:val="0"/>
          <w:sz w:val="21"/>
          <w:szCs w:val="21"/>
          <w:highlight w:val="none"/>
          <w:lang w:val="en-US" w:eastAsia="zh-CN"/>
        </w:rPr>
        <w:t>以招标方安排的接送点和接送时间为起止点和起止时间</w:t>
      </w:r>
      <w:r>
        <w:rPr>
          <w:rFonts w:hint="eastAsia" w:ascii="仿宋_GB2312" w:hAnsi="仿宋" w:eastAsia="仿宋_GB2312" w:cs="宋体"/>
          <w:b/>
          <w:bCs/>
          <w:color w:val="auto"/>
          <w:kern w:val="0"/>
          <w:sz w:val="21"/>
          <w:szCs w:val="21"/>
          <w:highlight w:val="none"/>
          <w:shd w:val="clear" w:color="auto" w:fill="auto"/>
          <w:lang w:val="en-US" w:eastAsia="zh-CN"/>
        </w:rPr>
        <w:t>。超时间、超里程的用车服务按中标人的报价明细计算。</w:t>
      </w:r>
      <w:r>
        <w:rPr>
          <w:rFonts w:hint="eastAsia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  <w:shd w:val="clear" w:color="auto" w:fill="auto"/>
          <w:lang w:val="en-US" w:eastAsia="zh-CN"/>
        </w:rPr>
        <w:t>当实际用车标准超出半日租而未达到一日租标准时，按价格低者判定“半日租单价+超时/超公里价”结算方式或“一日租单价”结算方式。当实际用车标准超出一日租而未达到长租车标准时，按价格低者判定“一日租单价+超时/超公里价”结算方式或“长租车单价”结算方式。</w:t>
      </w:r>
      <w:r>
        <w:rPr>
          <w:rFonts w:hint="eastAsia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  <w:shd w:val="clear" w:color="auto" w:fill="auto"/>
          <w:lang w:val="en-US" w:eastAsia="zh-CN"/>
        </w:rPr>
        <w:br w:type="textWrapping"/>
      </w:r>
      <w:r>
        <w:rPr>
          <w:rFonts w:hint="eastAsia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  <w:shd w:val="clear" w:color="auto" w:fill="auto"/>
          <w:lang w:val="en-US" w:eastAsia="zh-CN"/>
        </w:rPr>
        <w:tab/>
      </w:r>
      <w:r>
        <w:rPr>
          <w:rFonts w:hint="eastAsia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  <w:shd w:val="clear" w:color="auto" w:fill="auto"/>
          <w:lang w:val="en-US" w:eastAsia="zh-CN"/>
        </w:rPr>
        <w:t>2.此项服务包含驾驶员，投标方承担驾驶员餐费。</w:t>
      </w:r>
    </w:p>
    <w:p>
      <w:pPr>
        <w:rPr>
          <w:rFonts w:hint="eastAsia" w:ascii="宋体" w:hAnsi="宋体"/>
          <w:b/>
          <w:bCs/>
          <w:snapToGrid w:val="0"/>
          <w:color w:val="auto"/>
          <w:kern w:val="24"/>
          <w:sz w:val="36"/>
          <w:szCs w:val="22"/>
          <w:highlight w:val="none"/>
          <w:u w:color="000000"/>
          <w:lang w:val="en-US" w:eastAsia="zh-CN"/>
        </w:rPr>
      </w:pPr>
      <w:r>
        <w:rPr>
          <w:rFonts w:hint="eastAsia" w:ascii="宋体" w:hAnsi="宋体"/>
          <w:b/>
          <w:bCs/>
          <w:snapToGrid w:val="0"/>
          <w:color w:val="auto"/>
          <w:kern w:val="24"/>
          <w:sz w:val="36"/>
          <w:szCs w:val="22"/>
          <w:highlight w:val="none"/>
          <w:u w:color="000000"/>
          <w:lang w:val="en-US" w:eastAsia="zh-CN"/>
        </w:rPr>
        <w:br w:type="page"/>
      </w:r>
    </w:p>
    <w:p>
      <w:pPr>
        <w:pStyle w:val="2"/>
        <w:jc w:val="both"/>
        <w:rPr>
          <w:rFonts w:hint="eastAsia" w:ascii="宋体" w:hAnsi="宋体"/>
          <w:b/>
          <w:bCs/>
          <w:snapToGrid w:val="0"/>
          <w:color w:val="auto"/>
          <w:kern w:val="24"/>
          <w:sz w:val="36"/>
          <w:szCs w:val="22"/>
          <w:highlight w:val="none"/>
          <w:u w:color="000000"/>
        </w:rPr>
      </w:pPr>
      <w:r>
        <w:rPr>
          <w:rFonts w:hint="eastAsia"/>
          <w:b/>
          <w:bCs/>
          <w:color w:val="auto"/>
          <w:sz w:val="18"/>
          <w:szCs w:val="18"/>
          <w:highlight w:val="none"/>
          <w:vertAlign w:val="baseline"/>
          <w:lang w:val="en-US" w:eastAsia="zh-CN"/>
        </w:rPr>
        <w:t>表6：                                                                                  单位：元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 xml:space="preserve"> </w:t>
      </w:r>
    </w:p>
    <w:tbl>
      <w:tblPr>
        <w:tblStyle w:val="10"/>
        <w:tblW w:w="956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1"/>
        <w:gridCol w:w="706"/>
        <w:gridCol w:w="2323"/>
        <w:gridCol w:w="655"/>
        <w:gridCol w:w="793"/>
        <w:gridCol w:w="1511"/>
        <w:gridCol w:w="750"/>
        <w:gridCol w:w="1414"/>
        <w:gridCol w:w="9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  <w:jc w:val="center"/>
        </w:trPr>
        <w:tc>
          <w:tcPr>
            <w:tcW w:w="48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706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服务类型</w:t>
            </w:r>
          </w:p>
        </w:tc>
        <w:tc>
          <w:tcPr>
            <w:tcW w:w="232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项目</w:t>
            </w:r>
          </w:p>
        </w:tc>
        <w:tc>
          <w:tcPr>
            <w:tcW w:w="655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79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单位</w:t>
            </w:r>
          </w:p>
        </w:tc>
        <w:tc>
          <w:tcPr>
            <w:tcW w:w="151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单价(元/天)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权重</w:t>
            </w:r>
          </w:p>
        </w:tc>
        <w:tc>
          <w:tcPr>
            <w:tcW w:w="1414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权重单价(=单价*权重)</w:t>
            </w:r>
          </w:p>
        </w:tc>
        <w:tc>
          <w:tcPr>
            <w:tcW w:w="93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8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706" w:type="dxa"/>
            <w:vMerge w:val="restart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A1驾照驾驶员</w:t>
            </w:r>
          </w:p>
        </w:tc>
        <w:tc>
          <w:tcPr>
            <w:tcW w:w="232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珠三角地区每天（不过夜，8小时内，超时：50元/时/人）</w:t>
            </w:r>
          </w:p>
        </w:tc>
        <w:tc>
          <w:tcPr>
            <w:tcW w:w="655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79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天</w:t>
            </w:r>
          </w:p>
        </w:tc>
        <w:tc>
          <w:tcPr>
            <w:tcW w:w="1511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75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80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%</w:t>
            </w:r>
          </w:p>
        </w:tc>
        <w:tc>
          <w:tcPr>
            <w:tcW w:w="14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933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8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706" w:type="dxa"/>
            <w:vMerge w:val="continue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32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非珠三角地区每天（在外过夜）</w:t>
            </w:r>
          </w:p>
        </w:tc>
        <w:tc>
          <w:tcPr>
            <w:tcW w:w="655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79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天</w:t>
            </w:r>
          </w:p>
        </w:tc>
        <w:tc>
          <w:tcPr>
            <w:tcW w:w="1511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75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20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%</w:t>
            </w:r>
          </w:p>
        </w:tc>
        <w:tc>
          <w:tcPr>
            <w:tcW w:w="14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933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5" w:hRule="atLeast"/>
          <w:jc w:val="center"/>
        </w:trPr>
        <w:tc>
          <w:tcPr>
            <w:tcW w:w="9566" w:type="dxa"/>
            <w:gridSpan w:val="9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综合单价6（权重单价之和）：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outlineLvl w:val="9"/>
        <w:rPr>
          <w:rFonts w:hint="eastAsia" w:ascii="仿宋_GB2312" w:hAnsi="仿宋" w:eastAsia="仿宋_GB2312" w:cs="宋体"/>
          <w:b w:val="0"/>
          <w:bCs w:val="0"/>
          <w:color w:val="auto"/>
          <w:kern w:val="0"/>
          <w:sz w:val="22"/>
          <w:szCs w:val="22"/>
          <w:highlight w:val="none"/>
          <w:shd w:val="clear" w:color="auto" w:fill="auto"/>
          <w:lang w:val="en-US" w:eastAsia="zh-CN"/>
        </w:rPr>
      </w:pPr>
      <w:r>
        <w:rPr>
          <w:rFonts w:hint="eastAsia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</w:rPr>
        <w:t>备注：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240" w:lineRule="auto"/>
        <w:ind w:left="0" w:leftChars="0" w:firstLine="420" w:firstLineChars="0"/>
        <w:textAlignment w:val="auto"/>
        <w:outlineLvl w:val="9"/>
        <w:rPr>
          <w:rFonts w:hint="default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  <w:shd w:val="clear" w:color="auto" w:fill="auto"/>
          <w:lang w:val="en-US" w:eastAsia="zh-CN"/>
        </w:rPr>
      </w:pPr>
      <w:r>
        <w:rPr>
          <w:rFonts w:hint="eastAsia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  <w:shd w:val="clear" w:color="auto" w:fill="auto"/>
          <w:lang w:val="en-US" w:eastAsia="zh-CN"/>
        </w:rPr>
        <w:t>1.如驾驶员离开珠三角地区产生住宿及餐费,食宿费按照300元/人/天进行包干结算。</w:t>
      </w:r>
      <w:r>
        <w:rPr>
          <w:rFonts w:hint="eastAsia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  <w:shd w:val="clear" w:color="auto" w:fill="auto"/>
          <w:lang w:val="en-US" w:eastAsia="zh-CN"/>
        </w:rPr>
        <w:br w:type="textWrapping"/>
      </w:r>
      <w:r>
        <w:rPr>
          <w:rFonts w:hint="eastAsia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  <w:shd w:val="clear" w:color="auto" w:fill="auto"/>
          <w:lang w:val="en-US" w:eastAsia="zh-CN"/>
        </w:rPr>
        <w:tab/>
      </w:r>
      <w:r>
        <w:rPr>
          <w:rFonts w:hint="eastAsia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  <w:shd w:val="clear" w:color="auto" w:fill="auto"/>
          <w:lang w:val="en-US" w:eastAsia="zh-CN"/>
        </w:rPr>
        <w:t>2.本项服务期间产生的车辆摆渡费、路桥费、油费、修理费、停车费，采取实报实销方式。除以上所列费用外，其余费用均由投标方解决。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240" w:lineRule="auto"/>
        <w:ind w:left="0" w:leftChars="0" w:firstLine="630" w:firstLineChars="300"/>
        <w:textAlignment w:val="auto"/>
        <w:outlineLvl w:val="9"/>
        <w:rPr>
          <w:rFonts w:hint="default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sectPr>
          <w:footerReference r:id="rId3" w:type="default"/>
          <w:pgSz w:w="11906" w:h="16838"/>
          <w:pgMar w:top="1440" w:right="1576" w:bottom="1440" w:left="1633" w:header="851" w:footer="992" w:gutter="0"/>
          <w:cols w:space="0" w:num="1"/>
          <w:rtlGutter w:val="0"/>
          <w:docGrid w:type="lines" w:linePitch="319" w:charSpace="0"/>
        </w:sectPr>
      </w:pPr>
    </w:p>
    <w:p>
      <w:pPr>
        <w:pStyle w:val="2"/>
        <w:jc w:val="both"/>
        <w:rPr>
          <w:rFonts w:hint="eastAsia" w:ascii="宋体" w:hAnsi="宋体"/>
          <w:b/>
          <w:bCs/>
          <w:snapToGrid w:val="0"/>
          <w:color w:val="auto"/>
          <w:kern w:val="24"/>
          <w:sz w:val="36"/>
          <w:szCs w:val="22"/>
          <w:highlight w:val="none"/>
          <w:u w:color="000000"/>
        </w:rPr>
      </w:pPr>
      <w:r>
        <w:rPr>
          <w:rFonts w:hint="eastAsia"/>
          <w:b/>
          <w:bCs/>
          <w:color w:val="auto"/>
          <w:sz w:val="18"/>
          <w:szCs w:val="18"/>
          <w:highlight w:val="none"/>
          <w:vertAlign w:val="baseline"/>
          <w:lang w:val="en-US" w:eastAsia="zh-CN"/>
        </w:rPr>
        <w:t>表7：                                                                                  单位：元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 xml:space="preserve"> </w:t>
      </w:r>
    </w:p>
    <w:tbl>
      <w:tblPr>
        <w:tblStyle w:val="10"/>
        <w:tblW w:w="956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1"/>
        <w:gridCol w:w="706"/>
        <w:gridCol w:w="2636"/>
        <w:gridCol w:w="750"/>
        <w:gridCol w:w="664"/>
        <w:gridCol w:w="1007"/>
        <w:gridCol w:w="804"/>
        <w:gridCol w:w="1414"/>
        <w:gridCol w:w="11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  <w:jc w:val="center"/>
        </w:trPr>
        <w:tc>
          <w:tcPr>
            <w:tcW w:w="48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706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服务类型</w:t>
            </w:r>
          </w:p>
        </w:tc>
        <w:tc>
          <w:tcPr>
            <w:tcW w:w="2636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项目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664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单位</w:t>
            </w:r>
          </w:p>
        </w:tc>
        <w:tc>
          <w:tcPr>
            <w:tcW w:w="1007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单价(元/天)</w:t>
            </w:r>
          </w:p>
        </w:tc>
        <w:tc>
          <w:tcPr>
            <w:tcW w:w="804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权重</w:t>
            </w:r>
          </w:p>
        </w:tc>
        <w:tc>
          <w:tcPr>
            <w:tcW w:w="1414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权重单价(=单价*权重)</w:t>
            </w:r>
          </w:p>
        </w:tc>
        <w:tc>
          <w:tcPr>
            <w:tcW w:w="1104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8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706" w:type="dxa"/>
            <w:vMerge w:val="restart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A2驾照驾驶员</w:t>
            </w:r>
          </w:p>
        </w:tc>
        <w:tc>
          <w:tcPr>
            <w:tcW w:w="2636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珠三角地区每天（不过夜，8小时内，超时：50元/时/人）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664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天</w:t>
            </w:r>
          </w:p>
        </w:tc>
        <w:tc>
          <w:tcPr>
            <w:tcW w:w="1007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804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80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%</w:t>
            </w:r>
          </w:p>
        </w:tc>
        <w:tc>
          <w:tcPr>
            <w:tcW w:w="14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10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  <w:jc w:val="center"/>
        </w:trPr>
        <w:tc>
          <w:tcPr>
            <w:tcW w:w="48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706" w:type="dxa"/>
            <w:vMerge w:val="continue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636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非珠三角地区每天（在外过夜）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664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天</w:t>
            </w:r>
          </w:p>
        </w:tc>
        <w:tc>
          <w:tcPr>
            <w:tcW w:w="1007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804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20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%</w:t>
            </w:r>
          </w:p>
        </w:tc>
        <w:tc>
          <w:tcPr>
            <w:tcW w:w="14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10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25" w:hRule="atLeast"/>
          <w:jc w:val="center"/>
        </w:trPr>
        <w:tc>
          <w:tcPr>
            <w:tcW w:w="9566" w:type="dxa"/>
            <w:gridSpan w:val="9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综合单价7（权重单价之和）：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outlineLvl w:val="9"/>
        <w:rPr>
          <w:rFonts w:hint="eastAsia" w:ascii="仿宋_GB2312" w:hAnsi="仿宋" w:eastAsia="仿宋_GB2312" w:cs="宋体"/>
          <w:b w:val="0"/>
          <w:bCs w:val="0"/>
          <w:color w:val="auto"/>
          <w:kern w:val="0"/>
          <w:sz w:val="22"/>
          <w:szCs w:val="22"/>
          <w:highlight w:val="none"/>
          <w:shd w:val="clear" w:color="auto" w:fill="auto"/>
          <w:lang w:val="en-US" w:eastAsia="zh-CN"/>
        </w:rPr>
      </w:pPr>
      <w:r>
        <w:rPr>
          <w:rFonts w:hint="eastAsia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</w:rPr>
        <w:t>备注：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240" w:lineRule="auto"/>
        <w:ind w:left="0" w:leftChars="0" w:firstLine="420" w:firstLineChars="0"/>
        <w:textAlignment w:val="auto"/>
        <w:outlineLvl w:val="9"/>
        <w:rPr>
          <w:rFonts w:hint="default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  <w:shd w:val="clear" w:color="auto" w:fill="auto"/>
          <w:lang w:val="en-US" w:eastAsia="zh-CN"/>
        </w:rPr>
      </w:pPr>
      <w:r>
        <w:rPr>
          <w:rFonts w:hint="eastAsia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  <w:shd w:val="clear" w:color="auto" w:fill="auto"/>
          <w:lang w:val="en-US" w:eastAsia="zh-CN"/>
        </w:rPr>
        <w:t>1.如驾驶员离开珠三角地区产生住宿及餐费,食宿费按照300元/人/天进行包干结算。</w:t>
      </w:r>
      <w:r>
        <w:rPr>
          <w:rFonts w:hint="eastAsia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  <w:shd w:val="clear" w:color="auto" w:fill="auto"/>
          <w:lang w:val="en-US" w:eastAsia="zh-CN"/>
        </w:rPr>
        <w:br w:type="textWrapping"/>
      </w:r>
      <w:r>
        <w:rPr>
          <w:rFonts w:hint="eastAsia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  <w:shd w:val="clear" w:color="auto" w:fill="auto"/>
          <w:lang w:val="en-US" w:eastAsia="zh-CN"/>
        </w:rPr>
        <w:tab/>
      </w:r>
      <w:r>
        <w:rPr>
          <w:rFonts w:hint="eastAsia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  <w:shd w:val="clear" w:color="auto" w:fill="auto"/>
          <w:lang w:val="en-US" w:eastAsia="zh-CN"/>
        </w:rPr>
        <w:t>2.本项服务期间产生的车辆摆渡费、路桥费、油费、修理费、停车费，采取实报实销方式。除以上所列费用外，其余费用均由投标方解决。</w:t>
      </w:r>
    </w:p>
    <w:p>
      <w:pPr>
        <w:rPr>
          <w:rFonts w:hint="eastAsia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  <w:shd w:val="clear" w:color="auto" w:fill="auto"/>
          <w:lang w:val="en-US" w:eastAsia="zh-CN"/>
        </w:rPr>
      </w:pPr>
      <w:r>
        <w:rPr>
          <w:rFonts w:hint="eastAsia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  <w:shd w:val="clear" w:color="auto" w:fill="auto"/>
          <w:lang w:val="en-US" w:eastAsia="zh-CN"/>
        </w:rPr>
        <w:br w:type="page"/>
      </w:r>
    </w:p>
    <w:p>
      <w:pPr>
        <w:pStyle w:val="2"/>
        <w:jc w:val="both"/>
        <w:rPr>
          <w:rFonts w:hint="eastAsia" w:ascii="宋体" w:hAnsi="宋体"/>
          <w:b/>
          <w:bCs/>
          <w:snapToGrid w:val="0"/>
          <w:color w:val="auto"/>
          <w:kern w:val="24"/>
          <w:sz w:val="36"/>
          <w:szCs w:val="22"/>
          <w:highlight w:val="none"/>
          <w:u w:color="000000"/>
        </w:rPr>
      </w:pPr>
      <w:r>
        <w:rPr>
          <w:rFonts w:hint="eastAsia"/>
          <w:b/>
          <w:bCs/>
          <w:color w:val="auto"/>
          <w:sz w:val="18"/>
          <w:szCs w:val="18"/>
          <w:highlight w:val="none"/>
          <w:vertAlign w:val="baseline"/>
          <w:lang w:val="en-US" w:eastAsia="zh-CN"/>
        </w:rPr>
        <w:t>表8：                                                                                  单位：元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 xml:space="preserve"> </w:t>
      </w:r>
    </w:p>
    <w:tbl>
      <w:tblPr>
        <w:tblStyle w:val="10"/>
        <w:tblW w:w="956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1"/>
        <w:gridCol w:w="867"/>
        <w:gridCol w:w="2614"/>
        <w:gridCol w:w="824"/>
        <w:gridCol w:w="612"/>
        <w:gridCol w:w="985"/>
        <w:gridCol w:w="697"/>
        <w:gridCol w:w="1393"/>
        <w:gridCol w:w="10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65" w:hRule="atLeast"/>
          <w:jc w:val="center"/>
        </w:trPr>
        <w:tc>
          <w:tcPr>
            <w:tcW w:w="48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867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服务类型</w:t>
            </w:r>
          </w:p>
        </w:tc>
        <w:tc>
          <w:tcPr>
            <w:tcW w:w="2614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项目</w:t>
            </w:r>
          </w:p>
        </w:tc>
        <w:tc>
          <w:tcPr>
            <w:tcW w:w="824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61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单位</w:t>
            </w:r>
          </w:p>
        </w:tc>
        <w:tc>
          <w:tcPr>
            <w:tcW w:w="985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单价(元/天)</w:t>
            </w:r>
          </w:p>
        </w:tc>
        <w:tc>
          <w:tcPr>
            <w:tcW w:w="697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权重</w:t>
            </w:r>
          </w:p>
        </w:tc>
        <w:tc>
          <w:tcPr>
            <w:tcW w:w="139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权重单价(=单价*权重)</w:t>
            </w:r>
          </w:p>
        </w:tc>
        <w:tc>
          <w:tcPr>
            <w:tcW w:w="109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8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867" w:type="dxa"/>
            <w:vMerge w:val="restart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B1驾照驾驶员</w:t>
            </w:r>
          </w:p>
        </w:tc>
        <w:tc>
          <w:tcPr>
            <w:tcW w:w="2614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珠三角地区每天（不过夜，8小时内，超时：50元/时/人）</w:t>
            </w:r>
          </w:p>
        </w:tc>
        <w:tc>
          <w:tcPr>
            <w:tcW w:w="824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61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天</w:t>
            </w:r>
          </w:p>
        </w:tc>
        <w:tc>
          <w:tcPr>
            <w:tcW w:w="985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697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80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%</w:t>
            </w:r>
          </w:p>
        </w:tc>
        <w:tc>
          <w:tcPr>
            <w:tcW w:w="1393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093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8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867" w:type="dxa"/>
            <w:vMerge w:val="continue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614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非珠三角地区每天（在外过夜）</w:t>
            </w:r>
          </w:p>
        </w:tc>
        <w:tc>
          <w:tcPr>
            <w:tcW w:w="824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61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天</w:t>
            </w:r>
          </w:p>
        </w:tc>
        <w:tc>
          <w:tcPr>
            <w:tcW w:w="985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697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20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%</w:t>
            </w:r>
          </w:p>
        </w:tc>
        <w:tc>
          <w:tcPr>
            <w:tcW w:w="1393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093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25" w:hRule="atLeast"/>
          <w:jc w:val="center"/>
        </w:trPr>
        <w:tc>
          <w:tcPr>
            <w:tcW w:w="9566" w:type="dxa"/>
            <w:gridSpan w:val="9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综合单价8（权重单价之和）：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outlineLvl w:val="9"/>
        <w:rPr>
          <w:rFonts w:hint="eastAsia" w:ascii="仿宋_GB2312" w:hAnsi="仿宋" w:eastAsia="仿宋_GB2312" w:cs="宋体"/>
          <w:b w:val="0"/>
          <w:bCs w:val="0"/>
          <w:color w:val="auto"/>
          <w:kern w:val="0"/>
          <w:sz w:val="22"/>
          <w:szCs w:val="22"/>
          <w:highlight w:val="none"/>
          <w:shd w:val="clear" w:color="auto" w:fill="auto"/>
          <w:lang w:val="en-US" w:eastAsia="zh-CN"/>
        </w:rPr>
      </w:pPr>
      <w:r>
        <w:rPr>
          <w:rFonts w:hint="eastAsia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</w:rPr>
        <w:t>备注：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240" w:lineRule="auto"/>
        <w:ind w:left="0" w:leftChars="0" w:firstLine="420" w:firstLineChars="0"/>
        <w:textAlignment w:val="auto"/>
        <w:outlineLvl w:val="9"/>
        <w:rPr>
          <w:rFonts w:hint="default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  <w:shd w:val="clear" w:color="auto" w:fill="auto"/>
          <w:lang w:val="en-US" w:eastAsia="zh-CN"/>
        </w:rPr>
      </w:pPr>
      <w:r>
        <w:rPr>
          <w:rFonts w:hint="eastAsia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  <w:shd w:val="clear" w:color="auto" w:fill="auto"/>
          <w:lang w:val="en-US" w:eastAsia="zh-CN"/>
        </w:rPr>
        <w:t>1.如驾驶员离开珠三角地区产生住宿及餐费,食宿费按照300元/人/天进行包干结算。</w:t>
      </w:r>
      <w:r>
        <w:rPr>
          <w:rFonts w:hint="eastAsia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  <w:shd w:val="clear" w:color="auto" w:fill="auto"/>
          <w:lang w:val="en-US" w:eastAsia="zh-CN"/>
        </w:rPr>
        <w:br w:type="textWrapping"/>
      </w:r>
      <w:r>
        <w:rPr>
          <w:rFonts w:hint="eastAsia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  <w:shd w:val="clear" w:color="auto" w:fill="auto"/>
          <w:lang w:val="en-US" w:eastAsia="zh-CN"/>
        </w:rPr>
        <w:tab/>
      </w:r>
      <w:r>
        <w:rPr>
          <w:rFonts w:hint="eastAsia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  <w:shd w:val="clear" w:color="auto" w:fill="auto"/>
          <w:lang w:val="en-US" w:eastAsia="zh-CN"/>
        </w:rPr>
        <w:t>2.服务期间产生的车辆摆渡费、路桥费、油费、修理费、停车费，采取实报实销方式。除以上所列费用外，其余费用均由投标方解决。</w:t>
      </w:r>
    </w:p>
    <w:p>
      <w:pPr>
        <w:rPr>
          <w:rFonts w:hint="default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default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br w:type="page"/>
      </w:r>
    </w:p>
    <w:p>
      <w:pPr>
        <w:pStyle w:val="2"/>
        <w:jc w:val="both"/>
        <w:rPr>
          <w:rFonts w:hint="eastAsia" w:ascii="宋体" w:hAnsi="宋体"/>
          <w:b/>
          <w:bCs/>
          <w:snapToGrid w:val="0"/>
          <w:color w:val="auto"/>
          <w:kern w:val="24"/>
          <w:sz w:val="36"/>
          <w:szCs w:val="22"/>
          <w:highlight w:val="none"/>
          <w:u w:color="000000"/>
        </w:rPr>
      </w:pPr>
      <w:r>
        <w:rPr>
          <w:rFonts w:hint="eastAsia"/>
          <w:b/>
          <w:bCs/>
          <w:color w:val="auto"/>
          <w:sz w:val="18"/>
          <w:szCs w:val="18"/>
          <w:highlight w:val="none"/>
          <w:vertAlign w:val="baseline"/>
          <w:lang w:val="en-US" w:eastAsia="zh-CN"/>
        </w:rPr>
        <w:t>表9：                                                                                  单位：元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 xml:space="preserve"> </w:t>
      </w:r>
    </w:p>
    <w:tbl>
      <w:tblPr>
        <w:tblStyle w:val="10"/>
        <w:tblW w:w="956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1"/>
        <w:gridCol w:w="706"/>
        <w:gridCol w:w="2689"/>
        <w:gridCol w:w="750"/>
        <w:gridCol w:w="1022"/>
        <w:gridCol w:w="1009"/>
        <w:gridCol w:w="673"/>
        <w:gridCol w:w="1410"/>
        <w:gridCol w:w="8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65" w:hRule="atLeast"/>
          <w:jc w:val="center"/>
        </w:trPr>
        <w:tc>
          <w:tcPr>
            <w:tcW w:w="48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706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服务类型</w:t>
            </w:r>
          </w:p>
        </w:tc>
        <w:tc>
          <w:tcPr>
            <w:tcW w:w="2689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项目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102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单位</w:t>
            </w:r>
          </w:p>
        </w:tc>
        <w:tc>
          <w:tcPr>
            <w:tcW w:w="1009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单价(元/天)</w:t>
            </w:r>
          </w:p>
        </w:tc>
        <w:tc>
          <w:tcPr>
            <w:tcW w:w="67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权重（%）</w:t>
            </w:r>
          </w:p>
        </w:tc>
        <w:tc>
          <w:tcPr>
            <w:tcW w:w="141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权重单价(=单价*权重)</w:t>
            </w:r>
          </w:p>
        </w:tc>
        <w:tc>
          <w:tcPr>
            <w:tcW w:w="826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  <w:jc w:val="center"/>
        </w:trPr>
        <w:tc>
          <w:tcPr>
            <w:tcW w:w="48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706" w:type="dxa"/>
            <w:vMerge w:val="restart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B2驾照驾驶员</w:t>
            </w:r>
          </w:p>
        </w:tc>
        <w:tc>
          <w:tcPr>
            <w:tcW w:w="2689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珠三角地区每天（不过夜，8小时内，超时：50元/时/人）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102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天</w:t>
            </w:r>
          </w:p>
        </w:tc>
        <w:tc>
          <w:tcPr>
            <w:tcW w:w="1009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67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80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%</w:t>
            </w:r>
          </w:p>
        </w:tc>
        <w:tc>
          <w:tcPr>
            <w:tcW w:w="1410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826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  <w:jc w:val="center"/>
        </w:trPr>
        <w:tc>
          <w:tcPr>
            <w:tcW w:w="48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706" w:type="dxa"/>
            <w:vMerge w:val="continue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689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非珠三角地区每天（在外过夜）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102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天</w:t>
            </w:r>
          </w:p>
        </w:tc>
        <w:tc>
          <w:tcPr>
            <w:tcW w:w="1009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67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20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%</w:t>
            </w:r>
          </w:p>
        </w:tc>
        <w:tc>
          <w:tcPr>
            <w:tcW w:w="1410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826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25" w:hRule="atLeast"/>
          <w:jc w:val="center"/>
        </w:trPr>
        <w:tc>
          <w:tcPr>
            <w:tcW w:w="9566" w:type="dxa"/>
            <w:gridSpan w:val="9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综合单价9（权重单价之和）：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outlineLvl w:val="9"/>
        <w:rPr>
          <w:rFonts w:hint="eastAsia" w:ascii="仿宋_GB2312" w:hAnsi="仿宋" w:eastAsia="仿宋_GB2312" w:cs="宋体"/>
          <w:b w:val="0"/>
          <w:bCs w:val="0"/>
          <w:color w:val="auto"/>
          <w:kern w:val="0"/>
          <w:sz w:val="22"/>
          <w:szCs w:val="22"/>
          <w:highlight w:val="none"/>
          <w:shd w:val="clear" w:color="auto" w:fill="auto"/>
          <w:lang w:val="en-US" w:eastAsia="zh-CN"/>
        </w:rPr>
      </w:pPr>
      <w:r>
        <w:rPr>
          <w:rFonts w:hint="eastAsia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</w:rPr>
        <w:t>备注：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240" w:lineRule="auto"/>
        <w:ind w:left="0" w:leftChars="0" w:firstLine="420" w:firstLineChars="0"/>
        <w:textAlignment w:val="auto"/>
        <w:outlineLvl w:val="9"/>
        <w:rPr>
          <w:rFonts w:hint="default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  <w:shd w:val="clear" w:color="auto" w:fill="auto"/>
          <w:lang w:val="en-US" w:eastAsia="zh-CN"/>
        </w:rPr>
      </w:pPr>
      <w:r>
        <w:rPr>
          <w:rFonts w:hint="eastAsia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  <w:shd w:val="clear" w:color="auto" w:fill="auto"/>
          <w:lang w:val="en-US" w:eastAsia="zh-CN"/>
        </w:rPr>
        <w:t>1.如驾驶员离开珠三角地区产生住宿及餐费,食宿费按照300元/人/天进行包干结算。</w:t>
      </w:r>
      <w:r>
        <w:rPr>
          <w:rFonts w:hint="eastAsia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  <w:shd w:val="clear" w:color="auto" w:fill="auto"/>
          <w:lang w:val="en-US" w:eastAsia="zh-CN"/>
        </w:rPr>
        <w:br w:type="textWrapping"/>
      </w:r>
      <w:r>
        <w:rPr>
          <w:rFonts w:hint="eastAsia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  <w:shd w:val="clear" w:color="auto" w:fill="auto"/>
          <w:lang w:val="en-US" w:eastAsia="zh-CN"/>
        </w:rPr>
        <w:tab/>
      </w:r>
      <w:r>
        <w:rPr>
          <w:rFonts w:hint="eastAsia" w:ascii="仿宋_GB2312" w:hAnsi="仿宋" w:eastAsia="仿宋_GB2312" w:cs="宋体"/>
          <w:b w:val="0"/>
          <w:bCs w:val="0"/>
          <w:color w:val="auto"/>
          <w:kern w:val="0"/>
          <w:sz w:val="21"/>
          <w:szCs w:val="21"/>
          <w:highlight w:val="none"/>
          <w:shd w:val="clear" w:color="auto" w:fill="auto"/>
          <w:lang w:val="en-US" w:eastAsia="zh-CN"/>
        </w:rPr>
        <w:t>2.服务期间产生的车辆摆渡费、路桥费、油费、修理费、停车费，采取实报实销方式。除以上所列费用外，其余费用均由投标方解决。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240" w:lineRule="auto"/>
        <w:ind w:left="0" w:leftChars="0" w:firstLine="630" w:firstLineChars="300"/>
        <w:textAlignment w:val="auto"/>
        <w:outlineLvl w:val="9"/>
        <w:rPr>
          <w:rFonts w:hint="default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1440" w:right="1576" w:bottom="1440" w:left="1633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9C06DB4"/>
    <w:multiLevelType w:val="multilevel"/>
    <w:tmpl w:val="29C06DB4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gxZmI5ZjMyOTAwMzVmMzVhZTcyZTEyYmIyMDIyMzEifQ=="/>
  </w:docVars>
  <w:rsids>
    <w:rsidRoot w:val="00B92CFF"/>
    <w:rsid w:val="00021293"/>
    <w:rsid w:val="00050123"/>
    <w:rsid w:val="0005116E"/>
    <w:rsid w:val="0005544C"/>
    <w:rsid w:val="00061588"/>
    <w:rsid w:val="0006458F"/>
    <w:rsid w:val="00080D01"/>
    <w:rsid w:val="000952F7"/>
    <w:rsid w:val="000B02D0"/>
    <w:rsid w:val="000C18BA"/>
    <w:rsid w:val="000C25D1"/>
    <w:rsid w:val="000C41CF"/>
    <w:rsid w:val="000D111F"/>
    <w:rsid w:val="000D30DB"/>
    <w:rsid w:val="000D4E00"/>
    <w:rsid w:val="000D53D5"/>
    <w:rsid w:val="000E0AD2"/>
    <w:rsid w:val="000E789E"/>
    <w:rsid w:val="00101CDC"/>
    <w:rsid w:val="001246FF"/>
    <w:rsid w:val="001327EB"/>
    <w:rsid w:val="001564D5"/>
    <w:rsid w:val="00177F6F"/>
    <w:rsid w:val="00195A18"/>
    <w:rsid w:val="001979EE"/>
    <w:rsid w:val="001B1BC6"/>
    <w:rsid w:val="001B3311"/>
    <w:rsid w:val="001B6504"/>
    <w:rsid w:val="001C0869"/>
    <w:rsid w:val="001C451D"/>
    <w:rsid w:val="001D7878"/>
    <w:rsid w:val="001E17FB"/>
    <w:rsid w:val="00223DCF"/>
    <w:rsid w:val="00226C91"/>
    <w:rsid w:val="002446A5"/>
    <w:rsid w:val="002703FA"/>
    <w:rsid w:val="00280323"/>
    <w:rsid w:val="00286E87"/>
    <w:rsid w:val="00294218"/>
    <w:rsid w:val="002A2F65"/>
    <w:rsid w:val="002A7945"/>
    <w:rsid w:val="002D27F3"/>
    <w:rsid w:val="002E5E04"/>
    <w:rsid w:val="002F1971"/>
    <w:rsid w:val="002F7E48"/>
    <w:rsid w:val="0030290F"/>
    <w:rsid w:val="0031019B"/>
    <w:rsid w:val="00315154"/>
    <w:rsid w:val="003331A8"/>
    <w:rsid w:val="0036605E"/>
    <w:rsid w:val="00366352"/>
    <w:rsid w:val="00374E21"/>
    <w:rsid w:val="00381028"/>
    <w:rsid w:val="0038437E"/>
    <w:rsid w:val="00384649"/>
    <w:rsid w:val="003B212E"/>
    <w:rsid w:val="003B6E6E"/>
    <w:rsid w:val="003E31AD"/>
    <w:rsid w:val="003E55BC"/>
    <w:rsid w:val="003E5BC2"/>
    <w:rsid w:val="003F49A6"/>
    <w:rsid w:val="003F7955"/>
    <w:rsid w:val="00446715"/>
    <w:rsid w:val="00465555"/>
    <w:rsid w:val="00477D8D"/>
    <w:rsid w:val="004903B7"/>
    <w:rsid w:val="00495425"/>
    <w:rsid w:val="00497E6F"/>
    <w:rsid w:val="004C1BC4"/>
    <w:rsid w:val="004D5AED"/>
    <w:rsid w:val="0051116F"/>
    <w:rsid w:val="005126BA"/>
    <w:rsid w:val="00516E19"/>
    <w:rsid w:val="00531E98"/>
    <w:rsid w:val="005322FD"/>
    <w:rsid w:val="005517C6"/>
    <w:rsid w:val="00561E79"/>
    <w:rsid w:val="00573177"/>
    <w:rsid w:val="0059241E"/>
    <w:rsid w:val="005A198E"/>
    <w:rsid w:val="005A44BC"/>
    <w:rsid w:val="005C3565"/>
    <w:rsid w:val="005C72B5"/>
    <w:rsid w:val="005D2886"/>
    <w:rsid w:val="005E667A"/>
    <w:rsid w:val="005F1041"/>
    <w:rsid w:val="005F1E0A"/>
    <w:rsid w:val="00603961"/>
    <w:rsid w:val="006342DB"/>
    <w:rsid w:val="006374B7"/>
    <w:rsid w:val="00641C2E"/>
    <w:rsid w:val="0065546F"/>
    <w:rsid w:val="00663885"/>
    <w:rsid w:val="00690FDA"/>
    <w:rsid w:val="006C2514"/>
    <w:rsid w:val="006C57D4"/>
    <w:rsid w:val="006D15BF"/>
    <w:rsid w:val="006F2A49"/>
    <w:rsid w:val="00723F9D"/>
    <w:rsid w:val="00733CB7"/>
    <w:rsid w:val="007376BA"/>
    <w:rsid w:val="00740401"/>
    <w:rsid w:val="00762E3C"/>
    <w:rsid w:val="007644E2"/>
    <w:rsid w:val="0076734D"/>
    <w:rsid w:val="00772FE4"/>
    <w:rsid w:val="0077449A"/>
    <w:rsid w:val="0078116F"/>
    <w:rsid w:val="007A1335"/>
    <w:rsid w:val="007B1DF4"/>
    <w:rsid w:val="007B452B"/>
    <w:rsid w:val="007B61F6"/>
    <w:rsid w:val="007E4E32"/>
    <w:rsid w:val="0080235D"/>
    <w:rsid w:val="00804713"/>
    <w:rsid w:val="00816D67"/>
    <w:rsid w:val="00832A75"/>
    <w:rsid w:val="008431CC"/>
    <w:rsid w:val="00843454"/>
    <w:rsid w:val="00844CE8"/>
    <w:rsid w:val="00845FE2"/>
    <w:rsid w:val="00861647"/>
    <w:rsid w:val="00887978"/>
    <w:rsid w:val="0089282B"/>
    <w:rsid w:val="008A4E5A"/>
    <w:rsid w:val="008D705B"/>
    <w:rsid w:val="008E1BCA"/>
    <w:rsid w:val="008E664C"/>
    <w:rsid w:val="008E6FFA"/>
    <w:rsid w:val="008F143F"/>
    <w:rsid w:val="00912606"/>
    <w:rsid w:val="00923EB8"/>
    <w:rsid w:val="0093071F"/>
    <w:rsid w:val="00942A54"/>
    <w:rsid w:val="00943C18"/>
    <w:rsid w:val="009554B0"/>
    <w:rsid w:val="0096175F"/>
    <w:rsid w:val="0096497C"/>
    <w:rsid w:val="00972B09"/>
    <w:rsid w:val="00975831"/>
    <w:rsid w:val="00984A56"/>
    <w:rsid w:val="00992BBF"/>
    <w:rsid w:val="00995686"/>
    <w:rsid w:val="009E4483"/>
    <w:rsid w:val="009E54B2"/>
    <w:rsid w:val="00A0474A"/>
    <w:rsid w:val="00A1215D"/>
    <w:rsid w:val="00A21D14"/>
    <w:rsid w:val="00A249B1"/>
    <w:rsid w:val="00A469C3"/>
    <w:rsid w:val="00A76228"/>
    <w:rsid w:val="00A77F51"/>
    <w:rsid w:val="00A8037D"/>
    <w:rsid w:val="00A874E9"/>
    <w:rsid w:val="00AC4115"/>
    <w:rsid w:val="00AC7359"/>
    <w:rsid w:val="00AD10F9"/>
    <w:rsid w:val="00AD4A50"/>
    <w:rsid w:val="00AD4B6A"/>
    <w:rsid w:val="00AD79EF"/>
    <w:rsid w:val="00AE48EA"/>
    <w:rsid w:val="00AF0C6F"/>
    <w:rsid w:val="00B21DAA"/>
    <w:rsid w:val="00B353B0"/>
    <w:rsid w:val="00B35571"/>
    <w:rsid w:val="00B3796F"/>
    <w:rsid w:val="00B5271B"/>
    <w:rsid w:val="00B601BB"/>
    <w:rsid w:val="00B82D59"/>
    <w:rsid w:val="00B82FAD"/>
    <w:rsid w:val="00B92CFF"/>
    <w:rsid w:val="00B97F41"/>
    <w:rsid w:val="00BC0B59"/>
    <w:rsid w:val="00BD1871"/>
    <w:rsid w:val="00BD18CC"/>
    <w:rsid w:val="00BE7EB1"/>
    <w:rsid w:val="00C053E6"/>
    <w:rsid w:val="00C11C79"/>
    <w:rsid w:val="00C20F10"/>
    <w:rsid w:val="00C54C9D"/>
    <w:rsid w:val="00C76641"/>
    <w:rsid w:val="00CC2D8C"/>
    <w:rsid w:val="00CC6586"/>
    <w:rsid w:val="00CD7778"/>
    <w:rsid w:val="00CE0424"/>
    <w:rsid w:val="00CE0693"/>
    <w:rsid w:val="00CE729D"/>
    <w:rsid w:val="00CF4BDA"/>
    <w:rsid w:val="00D011D1"/>
    <w:rsid w:val="00D01B01"/>
    <w:rsid w:val="00D02B43"/>
    <w:rsid w:val="00D45A22"/>
    <w:rsid w:val="00D62C23"/>
    <w:rsid w:val="00D85C82"/>
    <w:rsid w:val="00DB6252"/>
    <w:rsid w:val="00DC55D9"/>
    <w:rsid w:val="00DE336A"/>
    <w:rsid w:val="00DE3560"/>
    <w:rsid w:val="00E25316"/>
    <w:rsid w:val="00E27159"/>
    <w:rsid w:val="00E35EB5"/>
    <w:rsid w:val="00E455C5"/>
    <w:rsid w:val="00E72206"/>
    <w:rsid w:val="00E72DA4"/>
    <w:rsid w:val="00E7468A"/>
    <w:rsid w:val="00E978BD"/>
    <w:rsid w:val="00EA5F33"/>
    <w:rsid w:val="00EA6F01"/>
    <w:rsid w:val="00EA7429"/>
    <w:rsid w:val="00EC030C"/>
    <w:rsid w:val="00EC2F25"/>
    <w:rsid w:val="00EC54AE"/>
    <w:rsid w:val="00ED39AE"/>
    <w:rsid w:val="00ED7CB2"/>
    <w:rsid w:val="00EE586A"/>
    <w:rsid w:val="00F05DCF"/>
    <w:rsid w:val="00F132C7"/>
    <w:rsid w:val="00F170EB"/>
    <w:rsid w:val="00F23CA0"/>
    <w:rsid w:val="00F2495C"/>
    <w:rsid w:val="00F30EEE"/>
    <w:rsid w:val="00F313FE"/>
    <w:rsid w:val="00F3168D"/>
    <w:rsid w:val="00F45E76"/>
    <w:rsid w:val="00F50C32"/>
    <w:rsid w:val="00F62694"/>
    <w:rsid w:val="00F66FF7"/>
    <w:rsid w:val="00F83129"/>
    <w:rsid w:val="00F9271A"/>
    <w:rsid w:val="00F9570A"/>
    <w:rsid w:val="00F968A5"/>
    <w:rsid w:val="00F96900"/>
    <w:rsid w:val="00FA1AFF"/>
    <w:rsid w:val="00FA2FED"/>
    <w:rsid w:val="00FB72E3"/>
    <w:rsid w:val="00FD0469"/>
    <w:rsid w:val="00FD53DF"/>
    <w:rsid w:val="01CB5E59"/>
    <w:rsid w:val="028112E2"/>
    <w:rsid w:val="02D778C9"/>
    <w:rsid w:val="032C756B"/>
    <w:rsid w:val="0338545D"/>
    <w:rsid w:val="0387300D"/>
    <w:rsid w:val="042652DF"/>
    <w:rsid w:val="047C1377"/>
    <w:rsid w:val="04B009E5"/>
    <w:rsid w:val="0516690A"/>
    <w:rsid w:val="053E7324"/>
    <w:rsid w:val="05FC497A"/>
    <w:rsid w:val="06090BEF"/>
    <w:rsid w:val="06350552"/>
    <w:rsid w:val="068B51C8"/>
    <w:rsid w:val="07C946A1"/>
    <w:rsid w:val="08915049"/>
    <w:rsid w:val="08D170F7"/>
    <w:rsid w:val="09B9485A"/>
    <w:rsid w:val="0A601EFF"/>
    <w:rsid w:val="0B785A87"/>
    <w:rsid w:val="0C911954"/>
    <w:rsid w:val="0CF12E49"/>
    <w:rsid w:val="0D08511F"/>
    <w:rsid w:val="0D3027AB"/>
    <w:rsid w:val="0D5C7519"/>
    <w:rsid w:val="0DD46AE5"/>
    <w:rsid w:val="0DF62D64"/>
    <w:rsid w:val="0E9C6641"/>
    <w:rsid w:val="0EB070F1"/>
    <w:rsid w:val="0FE25086"/>
    <w:rsid w:val="116964B8"/>
    <w:rsid w:val="11F8418B"/>
    <w:rsid w:val="12173455"/>
    <w:rsid w:val="12386EF3"/>
    <w:rsid w:val="1311230A"/>
    <w:rsid w:val="131C7166"/>
    <w:rsid w:val="14EB79A2"/>
    <w:rsid w:val="15184011"/>
    <w:rsid w:val="155E5195"/>
    <w:rsid w:val="165556AF"/>
    <w:rsid w:val="17101665"/>
    <w:rsid w:val="17131689"/>
    <w:rsid w:val="18BF6F48"/>
    <w:rsid w:val="18CF049C"/>
    <w:rsid w:val="196602A0"/>
    <w:rsid w:val="197A1448"/>
    <w:rsid w:val="1A055E0A"/>
    <w:rsid w:val="1A1C7FE3"/>
    <w:rsid w:val="1A483123"/>
    <w:rsid w:val="1A754EF4"/>
    <w:rsid w:val="1B0C5613"/>
    <w:rsid w:val="1B3C7F86"/>
    <w:rsid w:val="1BCD2313"/>
    <w:rsid w:val="1E7551F8"/>
    <w:rsid w:val="1EBA7F49"/>
    <w:rsid w:val="1EFF05E2"/>
    <w:rsid w:val="1F6659CE"/>
    <w:rsid w:val="1F8D14CF"/>
    <w:rsid w:val="1FC720E6"/>
    <w:rsid w:val="1FF26488"/>
    <w:rsid w:val="2110280D"/>
    <w:rsid w:val="21A85B1D"/>
    <w:rsid w:val="21AE03CF"/>
    <w:rsid w:val="220F4F71"/>
    <w:rsid w:val="222A359C"/>
    <w:rsid w:val="226A2528"/>
    <w:rsid w:val="22CC7AA2"/>
    <w:rsid w:val="22FF28CD"/>
    <w:rsid w:val="23771DD1"/>
    <w:rsid w:val="23BD0A62"/>
    <w:rsid w:val="240A6030"/>
    <w:rsid w:val="244B3216"/>
    <w:rsid w:val="24B2744C"/>
    <w:rsid w:val="253C2BD0"/>
    <w:rsid w:val="25533070"/>
    <w:rsid w:val="255B2F57"/>
    <w:rsid w:val="25902155"/>
    <w:rsid w:val="2597502A"/>
    <w:rsid w:val="259C0E20"/>
    <w:rsid w:val="26B6068C"/>
    <w:rsid w:val="27475541"/>
    <w:rsid w:val="27DC5671"/>
    <w:rsid w:val="281F14C0"/>
    <w:rsid w:val="28D61729"/>
    <w:rsid w:val="295D00EB"/>
    <w:rsid w:val="2A6E0E5A"/>
    <w:rsid w:val="2AC4649F"/>
    <w:rsid w:val="2BCD6BEB"/>
    <w:rsid w:val="2C7D6DD4"/>
    <w:rsid w:val="2D306F2B"/>
    <w:rsid w:val="2E200A7D"/>
    <w:rsid w:val="2F5B00C1"/>
    <w:rsid w:val="2FA23035"/>
    <w:rsid w:val="2FF7387C"/>
    <w:rsid w:val="300761B5"/>
    <w:rsid w:val="30611B6D"/>
    <w:rsid w:val="3092790F"/>
    <w:rsid w:val="30AE1219"/>
    <w:rsid w:val="310A4FD5"/>
    <w:rsid w:val="31832ACA"/>
    <w:rsid w:val="32817F61"/>
    <w:rsid w:val="329507BF"/>
    <w:rsid w:val="338418CB"/>
    <w:rsid w:val="338B5000"/>
    <w:rsid w:val="339E1B79"/>
    <w:rsid w:val="33B757FC"/>
    <w:rsid w:val="33F5523E"/>
    <w:rsid w:val="3492124F"/>
    <w:rsid w:val="34AC0958"/>
    <w:rsid w:val="34BF3583"/>
    <w:rsid w:val="34F73711"/>
    <w:rsid w:val="350D68B6"/>
    <w:rsid w:val="35612C11"/>
    <w:rsid w:val="376D2721"/>
    <w:rsid w:val="37C56B6C"/>
    <w:rsid w:val="37E42A3B"/>
    <w:rsid w:val="380C7B53"/>
    <w:rsid w:val="385E51FE"/>
    <w:rsid w:val="38A07EE1"/>
    <w:rsid w:val="38BA625E"/>
    <w:rsid w:val="38C0489B"/>
    <w:rsid w:val="390F39AA"/>
    <w:rsid w:val="39D877D4"/>
    <w:rsid w:val="3C0154BD"/>
    <w:rsid w:val="3C8C2C67"/>
    <w:rsid w:val="3CA874EC"/>
    <w:rsid w:val="3CFF6620"/>
    <w:rsid w:val="3D1E4B3E"/>
    <w:rsid w:val="3D2E4317"/>
    <w:rsid w:val="3DC97EDB"/>
    <w:rsid w:val="3DED6BC5"/>
    <w:rsid w:val="3E37026C"/>
    <w:rsid w:val="3E541FD3"/>
    <w:rsid w:val="3ED625F7"/>
    <w:rsid w:val="3F0833B0"/>
    <w:rsid w:val="3F255D10"/>
    <w:rsid w:val="3F875C15"/>
    <w:rsid w:val="3FB96F48"/>
    <w:rsid w:val="3FBF2E91"/>
    <w:rsid w:val="3FF23580"/>
    <w:rsid w:val="3FF94882"/>
    <w:rsid w:val="400C24E8"/>
    <w:rsid w:val="401F4AC2"/>
    <w:rsid w:val="404F5918"/>
    <w:rsid w:val="409576D5"/>
    <w:rsid w:val="40E70C87"/>
    <w:rsid w:val="4106495B"/>
    <w:rsid w:val="41AB5B1D"/>
    <w:rsid w:val="41CE0DC6"/>
    <w:rsid w:val="42413FC2"/>
    <w:rsid w:val="43767463"/>
    <w:rsid w:val="43C85524"/>
    <w:rsid w:val="446866CB"/>
    <w:rsid w:val="44C37B0E"/>
    <w:rsid w:val="44C80E26"/>
    <w:rsid w:val="455871C2"/>
    <w:rsid w:val="466014B4"/>
    <w:rsid w:val="46AC3F81"/>
    <w:rsid w:val="472E1B04"/>
    <w:rsid w:val="47610893"/>
    <w:rsid w:val="47897144"/>
    <w:rsid w:val="48135689"/>
    <w:rsid w:val="48894BB5"/>
    <w:rsid w:val="48E61E2F"/>
    <w:rsid w:val="48EA7206"/>
    <w:rsid w:val="493B7D47"/>
    <w:rsid w:val="49781810"/>
    <w:rsid w:val="49995C78"/>
    <w:rsid w:val="49C1268F"/>
    <w:rsid w:val="4A1C3B6A"/>
    <w:rsid w:val="4A9C37DF"/>
    <w:rsid w:val="4ADF520B"/>
    <w:rsid w:val="4C675DA4"/>
    <w:rsid w:val="4CB04E78"/>
    <w:rsid w:val="4CE84AB9"/>
    <w:rsid w:val="4D1E5F58"/>
    <w:rsid w:val="4D626D9E"/>
    <w:rsid w:val="4E5C0459"/>
    <w:rsid w:val="4E765B46"/>
    <w:rsid w:val="4F070DE5"/>
    <w:rsid w:val="4F0C70F7"/>
    <w:rsid w:val="4F536A30"/>
    <w:rsid w:val="4F537DF9"/>
    <w:rsid w:val="4FCF4482"/>
    <w:rsid w:val="502D3DF8"/>
    <w:rsid w:val="5060476D"/>
    <w:rsid w:val="509C58BA"/>
    <w:rsid w:val="50C75C0A"/>
    <w:rsid w:val="51CE7F90"/>
    <w:rsid w:val="520E6AD8"/>
    <w:rsid w:val="52D76D63"/>
    <w:rsid w:val="535126B9"/>
    <w:rsid w:val="53A10F86"/>
    <w:rsid w:val="54121BAE"/>
    <w:rsid w:val="54E35F77"/>
    <w:rsid w:val="5542376D"/>
    <w:rsid w:val="55670CE8"/>
    <w:rsid w:val="56D24789"/>
    <w:rsid w:val="575F5654"/>
    <w:rsid w:val="57B70667"/>
    <w:rsid w:val="57DE7768"/>
    <w:rsid w:val="58D46A0F"/>
    <w:rsid w:val="596576B0"/>
    <w:rsid w:val="597A58D9"/>
    <w:rsid w:val="5A562001"/>
    <w:rsid w:val="5AFD12A8"/>
    <w:rsid w:val="5BB4742B"/>
    <w:rsid w:val="5BFB5978"/>
    <w:rsid w:val="5C007110"/>
    <w:rsid w:val="5C736CFF"/>
    <w:rsid w:val="5CBB7BC5"/>
    <w:rsid w:val="5CF15EDF"/>
    <w:rsid w:val="5DED7EF9"/>
    <w:rsid w:val="5F2F5192"/>
    <w:rsid w:val="5F303ED9"/>
    <w:rsid w:val="5F465451"/>
    <w:rsid w:val="5F7F1C04"/>
    <w:rsid w:val="5FC54A0B"/>
    <w:rsid w:val="60975D06"/>
    <w:rsid w:val="610A345E"/>
    <w:rsid w:val="61320714"/>
    <w:rsid w:val="62AE428A"/>
    <w:rsid w:val="62DA23DF"/>
    <w:rsid w:val="63021AE7"/>
    <w:rsid w:val="63CE3457"/>
    <w:rsid w:val="63D95A0C"/>
    <w:rsid w:val="642B7EF4"/>
    <w:rsid w:val="64356038"/>
    <w:rsid w:val="64CA0F84"/>
    <w:rsid w:val="65C7065A"/>
    <w:rsid w:val="65D13BDB"/>
    <w:rsid w:val="65F26BFB"/>
    <w:rsid w:val="664C0099"/>
    <w:rsid w:val="68E3739B"/>
    <w:rsid w:val="698F3680"/>
    <w:rsid w:val="699D31E0"/>
    <w:rsid w:val="69ED73C1"/>
    <w:rsid w:val="6A530054"/>
    <w:rsid w:val="6A807DB7"/>
    <w:rsid w:val="6A977E79"/>
    <w:rsid w:val="6B1348BC"/>
    <w:rsid w:val="6B983FDF"/>
    <w:rsid w:val="6C3879F9"/>
    <w:rsid w:val="6DAD625A"/>
    <w:rsid w:val="6EB720CE"/>
    <w:rsid w:val="6EC1747D"/>
    <w:rsid w:val="6F011E61"/>
    <w:rsid w:val="6F43283F"/>
    <w:rsid w:val="70442F3F"/>
    <w:rsid w:val="70456B77"/>
    <w:rsid w:val="70923350"/>
    <w:rsid w:val="71947ED4"/>
    <w:rsid w:val="726A5553"/>
    <w:rsid w:val="72835C0E"/>
    <w:rsid w:val="72EF5CC8"/>
    <w:rsid w:val="74560177"/>
    <w:rsid w:val="747249BF"/>
    <w:rsid w:val="747D15AF"/>
    <w:rsid w:val="7519692A"/>
    <w:rsid w:val="755D199D"/>
    <w:rsid w:val="760E76E9"/>
    <w:rsid w:val="766878D1"/>
    <w:rsid w:val="76C7316E"/>
    <w:rsid w:val="770E4D91"/>
    <w:rsid w:val="778F6F79"/>
    <w:rsid w:val="77B12203"/>
    <w:rsid w:val="78360943"/>
    <w:rsid w:val="797E3632"/>
    <w:rsid w:val="79A5244C"/>
    <w:rsid w:val="7B1B3108"/>
    <w:rsid w:val="7B340931"/>
    <w:rsid w:val="7B986282"/>
    <w:rsid w:val="7BF7200D"/>
    <w:rsid w:val="7C29756A"/>
    <w:rsid w:val="7CC67B4E"/>
    <w:rsid w:val="7CE0511F"/>
    <w:rsid w:val="7DD955C5"/>
    <w:rsid w:val="7DE34815"/>
    <w:rsid w:val="7E3322A7"/>
    <w:rsid w:val="7EE173A5"/>
    <w:rsid w:val="7FA21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5">
    <w:name w:val="heading 1"/>
    <w:basedOn w:val="1"/>
    <w:next w:val="1"/>
    <w:link w:val="13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4"/>
    <w:qFormat/>
    <w:uiPriority w:val="0"/>
    <w:pPr>
      <w:spacing w:before="0" w:after="120"/>
    </w:pPr>
  </w:style>
  <w:style w:type="paragraph" w:styleId="3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paragraph" w:styleId="4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6">
    <w:name w:val="footer"/>
    <w:basedOn w:val="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semiHidden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toc 1"/>
    <w:basedOn w:val="1"/>
    <w:next w:val="1"/>
    <w:qFormat/>
    <w:uiPriority w:val="39"/>
    <w:pPr>
      <w:spacing w:before="120" w:after="120"/>
      <w:jc w:val="left"/>
    </w:pPr>
    <w:rPr>
      <w:b/>
      <w:bCs/>
      <w:caps/>
      <w:sz w:val="20"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2">
    <w:name w:val="_Style 3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customStyle="1" w:styleId="13">
    <w:name w:val="标题 1 字符"/>
    <w:basedOn w:val="11"/>
    <w:link w:val="5"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paragraph" w:customStyle="1" w:styleId="14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Calibri" w:eastAsia="宋体" w:cs="Times New Roman"/>
      <w:color w:val="000000"/>
      <w:sz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10</Pages>
  <Words>43</Words>
  <Characters>247</Characters>
  <Lines>2</Lines>
  <Paragraphs>1</Paragraphs>
  <TotalTime>1</TotalTime>
  <ScaleCrop>false</ScaleCrop>
  <LinksUpToDate>false</LinksUpToDate>
  <CharactersWithSpaces>289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2017-08-17T03:09:00Z</dcterms:created>
  <dc:creator>林玉凤</dc:creator>
  <cp:lastModifiedBy>huangting2</cp:lastModifiedBy>
  <dcterms:modified xsi:type="dcterms:W3CDTF">2025-10-09T09:07:25Z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7CA315AA1F2C4AC6BB94B52EF6D8AC52</vt:lpwstr>
  </property>
</Properties>
</file>