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0" w:type="auto"/>
        <w:tblInd w:w="-142" w:type="dxa"/>
        <w:tblLayout w:type="fixed"/>
        <w:tblCellMar>
          <w:top w:w="0" w:type="dxa"/>
          <w:left w:w="28" w:type="dxa"/>
          <w:bottom w:w="0" w:type="dxa"/>
          <w:right w:w="28" w:type="dxa"/>
        </w:tblCellMar>
      </w:tblPr>
      <w:tblGrid>
        <w:gridCol w:w="9576"/>
      </w:tblGrid>
      <w:tr>
        <w:tblPrEx>
          <w:tblCellMar>
            <w:top w:w="0" w:type="dxa"/>
            <w:left w:w="28" w:type="dxa"/>
            <w:bottom w:w="0" w:type="dxa"/>
            <w:right w:w="28" w:type="dxa"/>
          </w:tblCellMar>
        </w:tblPrEx>
        <w:trPr>
          <w:trHeight w:val="1565" w:hRule="atLeast"/>
        </w:trPr>
        <w:tc>
          <w:tcPr>
            <w:tcW w:w="9576" w:type="dxa"/>
            <w:noWrap w:val="0"/>
            <w:vAlign w:val="top"/>
          </w:tcPr>
          <w:p>
            <w:pPr>
              <w:spacing w:line="340" w:lineRule="atLeast"/>
              <w:ind w:firstLine="480"/>
              <w:rPr>
                <w:rFonts w:hint="default" w:ascii="Times New Roman" w:hAnsi="Times New Roman" w:cs="Times New Roman"/>
                <w:highlight w:val="none"/>
              </w:rPr>
            </w:pPr>
            <w:bookmarkStart w:id="50" w:name="_GoBack"/>
            <w:bookmarkEnd w:id="50"/>
            <w:r>
              <w:rPr>
                <w:rFonts w:hint="default" w:ascii="Times New Roman" w:hAnsi="Times New Roman" w:cs="Times New Roman"/>
                <w:highlight w:val="none"/>
              </w:rPr>
              <w:drawing>
                <wp:anchor distT="0" distB="0" distL="114300" distR="114300" simplePos="0" relativeHeight="251659264" behindDoc="0" locked="0" layoutInCell="1" allowOverlap="1">
                  <wp:simplePos x="0" y="0"/>
                  <wp:positionH relativeFrom="column">
                    <wp:posOffset>-1630680</wp:posOffset>
                  </wp:positionH>
                  <wp:positionV relativeFrom="paragraph">
                    <wp:posOffset>-1117600</wp:posOffset>
                  </wp:positionV>
                  <wp:extent cx="8362315" cy="2593340"/>
                  <wp:effectExtent l="0" t="0" r="635" b="16510"/>
                  <wp:wrapNone/>
                  <wp:docPr id="1" name="图片 1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模板-3"/>
                          <pic:cNvPicPr>
                            <a:picLocks noChangeAspect="1"/>
                          </pic:cNvPicPr>
                        </pic:nvPicPr>
                        <pic:blipFill>
                          <a:blip r:embed="rId15"/>
                          <a:srcRect b="75984"/>
                          <a:stretch>
                            <a:fillRect/>
                          </a:stretch>
                        </pic:blipFill>
                        <pic:spPr>
                          <a:xfrm>
                            <a:off x="0" y="0"/>
                            <a:ext cx="8362315" cy="2593340"/>
                          </a:xfrm>
                          <a:prstGeom prst="rect">
                            <a:avLst/>
                          </a:prstGeom>
                          <a:noFill/>
                          <a:ln>
                            <a:noFill/>
                          </a:ln>
                        </pic:spPr>
                      </pic:pic>
                    </a:graphicData>
                  </a:graphic>
                </wp:anchor>
              </w:drawing>
            </w:r>
          </w:p>
        </w:tc>
      </w:tr>
    </w:tbl>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left="0" w:leftChars="0" w:firstLine="0" w:firstLineChars="0"/>
        <w:jc w:val="left"/>
        <w:rPr>
          <w:rFonts w:hint="eastAsia" w:ascii="黑体" w:hAnsi="黑体" w:eastAsia="黑体" w:cs="黑体"/>
          <w:sz w:val="52"/>
          <w:szCs w:val="52"/>
          <w:highlight w:val="none"/>
        </w:rPr>
      </w:pPr>
      <w:r>
        <w:rPr>
          <w:rFonts w:hint="eastAsia" w:ascii="黑体" w:hAnsi="黑体" w:eastAsia="黑体" w:cs="黑体"/>
          <w:sz w:val="52"/>
          <w:szCs w:val="52"/>
          <w:highlight w:val="none"/>
        </w:rPr>
        <w:t>输电分公司实操基地管理中心2025年</w:t>
      </w:r>
    </w:p>
    <w:p>
      <w:pPr>
        <w:ind w:left="0" w:leftChars="0" w:firstLine="0" w:firstLineChars="0"/>
        <w:jc w:val="center"/>
        <w:rPr>
          <w:rFonts w:hint="eastAsia" w:ascii="黑体" w:hAnsi="黑体" w:eastAsia="黑体" w:cs="黑体"/>
          <w:sz w:val="52"/>
          <w:szCs w:val="52"/>
          <w:highlight w:val="none"/>
        </w:rPr>
      </w:pPr>
      <w:r>
        <w:rPr>
          <w:rFonts w:hint="eastAsia" w:ascii="黑体" w:hAnsi="黑体" w:eastAsia="黑体" w:cs="黑体"/>
          <w:sz w:val="52"/>
          <w:szCs w:val="52"/>
          <w:highlight w:val="none"/>
        </w:rPr>
        <w:t>智慧培训管理平台运行维护</w:t>
      </w:r>
    </w:p>
    <w:p>
      <w:pPr>
        <w:ind w:firstLine="480"/>
        <w:jc w:val="center"/>
        <w:rPr>
          <w:rFonts w:hint="eastAsia" w:ascii="黑体" w:hAnsi="黑体" w:eastAsia="黑体" w:cs="黑体"/>
          <w:sz w:val="52"/>
          <w:szCs w:val="52"/>
          <w:highlight w:val="none"/>
        </w:rPr>
      </w:pPr>
      <w:r>
        <w:rPr>
          <w:rFonts w:hint="eastAsia" w:ascii="黑体" w:hAnsi="黑体" w:eastAsia="黑体" w:cs="黑体"/>
          <w:sz w:val="52"/>
          <w:szCs w:val="52"/>
          <w:highlight w:val="none"/>
        </w:rPr>
        <w:t>技术规范书</w:t>
      </w:r>
    </w:p>
    <w:p>
      <w:pPr>
        <w:ind w:firstLine="480"/>
        <w:jc w:val="center"/>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pStyle w:val="55"/>
        <w:adjustRightInd w:val="0"/>
        <w:snapToGrid w:val="0"/>
        <w:rPr>
          <w:rFonts w:hint="default" w:ascii="Times New Roman" w:hAnsi="Times New Roman" w:cs="Times New Roman"/>
          <w:spacing w:val="60"/>
          <w:highlight w:val="none"/>
        </w:rPr>
      </w:pPr>
    </w:p>
    <w:p>
      <w:pPr>
        <w:pStyle w:val="55"/>
        <w:adjustRightInd w:val="0"/>
        <w:snapToGrid w:val="0"/>
        <w:rPr>
          <w:rFonts w:hint="default" w:ascii="Times New Roman" w:hAnsi="Times New Roman" w:cs="Times New Roman"/>
          <w:spacing w:val="60"/>
          <w:highlight w:val="none"/>
        </w:rPr>
      </w:pPr>
    </w:p>
    <w:p>
      <w:pPr>
        <w:pStyle w:val="55"/>
        <w:adjustRightInd w:val="0"/>
        <w:snapToGrid w:val="0"/>
        <w:rPr>
          <w:rFonts w:hint="default" w:ascii="Times New Roman" w:hAnsi="Times New Roman" w:cs="Times New Roman"/>
          <w:spacing w:val="60"/>
          <w:highlight w:val="none"/>
        </w:rPr>
      </w:pPr>
    </w:p>
    <w:p>
      <w:pPr>
        <w:pStyle w:val="55"/>
        <w:adjustRightInd w:val="0"/>
        <w:snapToGrid w:val="0"/>
        <w:rPr>
          <w:rFonts w:hint="default" w:ascii="Times New Roman" w:hAnsi="Times New Roman" w:cs="Times New Roman"/>
          <w:spacing w:val="60"/>
          <w:highlight w:val="none"/>
        </w:rPr>
      </w:pPr>
    </w:p>
    <w:p>
      <w:pPr>
        <w:pStyle w:val="55"/>
        <w:adjustRightInd w:val="0"/>
        <w:snapToGrid w:val="0"/>
        <w:rPr>
          <w:rFonts w:hint="eastAsia" w:ascii="黑体" w:hAnsi="黑体" w:eastAsia="黑体" w:cs="黑体"/>
          <w:spacing w:val="60"/>
          <w:highlight w:val="none"/>
        </w:rPr>
      </w:pPr>
      <w:r>
        <w:rPr>
          <w:rFonts w:hint="eastAsia" w:ascii="黑体" w:hAnsi="黑体" w:eastAsia="黑体" w:cs="黑体"/>
          <w:spacing w:val="60"/>
          <w:highlight w:val="none"/>
        </w:rPr>
        <w:t>云南电网有限责任公司</w:t>
      </w:r>
    </w:p>
    <w:p>
      <w:pPr>
        <w:pStyle w:val="76"/>
        <w:adjustRightInd w:val="0"/>
        <w:snapToGrid w:val="0"/>
        <w:spacing w:line="360" w:lineRule="atLeast"/>
        <w:rPr>
          <w:rFonts w:hint="eastAsia" w:ascii="黑体" w:hAnsi="黑体" w:eastAsia="黑体" w:cs="黑体"/>
          <w:highlight w:val="none"/>
        </w:rPr>
      </w:pPr>
      <w:r>
        <w:rPr>
          <w:rFonts w:hint="eastAsia" w:ascii="黑体" w:hAnsi="黑体" w:eastAsia="黑体" w:cs="黑体"/>
          <w:highlight w:val="none"/>
        </w:rPr>
        <w:t>20</w:t>
      </w:r>
      <w:r>
        <w:rPr>
          <w:rFonts w:hint="eastAsia" w:ascii="黑体" w:hAnsi="黑体" w:eastAsia="黑体" w:cs="黑体"/>
          <w:highlight w:val="none"/>
          <w:lang w:val="en-US" w:eastAsia="zh-CN"/>
        </w:rPr>
        <w:t>25</w:t>
      </w:r>
      <w:r>
        <w:rPr>
          <w:rFonts w:hint="eastAsia" w:ascii="黑体" w:hAnsi="黑体" w:eastAsia="黑体" w:cs="黑体"/>
          <w:highlight w:val="none"/>
        </w:rPr>
        <w:t>年</w:t>
      </w:r>
      <w:r>
        <w:rPr>
          <w:rFonts w:hint="eastAsia" w:ascii="黑体" w:hAnsi="黑体" w:eastAsia="黑体" w:cs="黑体"/>
          <w:highlight w:val="none"/>
          <w:lang w:val="en-US" w:eastAsia="zh-CN"/>
        </w:rPr>
        <w:t>6</w:t>
      </w:r>
      <w:r>
        <w:rPr>
          <w:rFonts w:hint="eastAsia" w:ascii="黑体" w:hAnsi="黑体" w:eastAsia="黑体" w:cs="黑体"/>
          <w:highlight w:val="none"/>
        </w:rPr>
        <w:t>月</w:t>
      </w: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701" w:right="1134" w:bottom="1418" w:left="1474" w:header="851" w:footer="964" w:gutter="0"/>
          <w:cols w:space="720" w:num="1"/>
          <w:docGrid w:type="lines" w:linePitch="312" w:charSpace="0"/>
        </w:sectPr>
      </w:pPr>
    </w:p>
    <w:p>
      <w:pPr>
        <w:pStyle w:val="65"/>
        <w:bidi w:val="0"/>
        <w:rPr>
          <w:rFonts w:hint="default"/>
        </w:rPr>
      </w:pPr>
      <w:r>
        <w:rPr>
          <w:rFonts w:hint="default"/>
        </w:rPr>
        <w:t>目 录</w:t>
      </w:r>
    </w:p>
    <w:p>
      <w:pPr>
        <w:spacing w:before="0" w:beforeLines="0" w:after="0" w:afterLines="0" w:line="240" w:lineRule="auto"/>
        <w:ind w:left="0" w:leftChars="0" w:right="0" w:rightChars="0" w:firstLine="0" w:firstLineChars="0"/>
        <w:jc w:val="center"/>
      </w:pP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TOC \o "1-2" \h \u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_Toc12164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1. </w:t>
      </w:r>
      <w:r>
        <w:rPr>
          <w:rFonts w:hint="eastAsia"/>
          <w:lang w:val="en-US" w:eastAsia="zh-CN"/>
        </w:rPr>
        <w:t>总则</w:t>
      </w:r>
      <w:r>
        <w:tab/>
      </w:r>
      <w:r>
        <w:fldChar w:fldCharType="begin"/>
      </w:r>
      <w:r>
        <w:instrText xml:space="preserve"> PAGEREF _Toc12164 \h </w:instrText>
      </w:r>
      <w:r>
        <w:fldChar w:fldCharType="separate"/>
      </w:r>
      <w:r>
        <w:t>1</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_Toc18253 </w:instrText>
      </w:r>
      <w:r>
        <w:rPr>
          <w:rFonts w:hint="default" w:ascii="Times New Roman" w:hAnsi="Times New Roman" w:cs="Times New Roman"/>
          <w:highlight w:val="none"/>
        </w:rPr>
        <w:fldChar w:fldCharType="separate"/>
      </w:r>
      <w:r>
        <w:rPr>
          <w:rFonts w:hint="default" w:ascii="宋体" w:hAnsi="宋体" w:eastAsia="宋体" w:cs="宋体"/>
          <w:bCs/>
          <w:szCs w:val="24"/>
        </w:rPr>
        <w:t xml:space="preserve">2. </w:t>
      </w:r>
      <w:r>
        <w:rPr>
          <w:rFonts w:hint="eastAsia"/>
          <w:lang w:val="en-US" w:eastAsia="zh-CN"/>
        </w:rPr>
        <w:t>项目背景</w:t>
      </w:r>
      <w:r>
        <w:tab/>
      </w:r>
      <w:r>
        <w:fldChar w:fldCharType="begin"/>
      </w:r>
      <w:r>
        <w:instrText xml:space="preserve"> PAGEREF _Toc18253 \h </w:instrText>
      </w:r>
      <w:r>
        <w:fldChar w:fldCharType="separate"/>
      </w:r>
      <w:r>
        <w:t>1</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_Toc3352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3. </w:t>
      </w:r>
      <w:r>
        <w:rPr>
          <w:rFonts w:hint="eastAsia"/>
          <w:lang w:val="en-US" w:eastAsia="zh-CN"/>
        </w:rPr>
        <w:t>技术服务范围</w:t>
      </w:r>
      <w:r>
        <w:tab/>
      </w:r>
      <w:r>
        <w:fldChar w:fldCharType="begin"/>
      </w:r>
      <w:r>
        <w:instrText xml:space="preserve"> PAGEREF _Toc3352 \h </w:instrText>
      </w:r>
      <w:r>
        <w:fldChar w:fldCharType="separate"/>
      </w:r>
      <w:r>
        <w:t>1</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_Toc26739 </w:instrText>
      </w:r>
      <w:r>
        <w:rPr>
          <w:rFonts w:hint="default" w:ascii="Times New Roman" w:hAnsi="Times New Roman" w:cs="Times New Roman"/>
          <w:highlight w:val="none"/>
        </w:rPr>
        <w:fldChar w:fldCharType="separate"/>
      </w:r>
      <w:r>
        <w:rPr>
          <w:rFonts w:hint="default" w:ascii="仿宋" w:hAnsi="仿宋" w:eastAsia="仿宋" w:cs="仿宋"/>
          <w:bCs/>
          <w:szCs w:val="24"/>
        </w:rPr>
        <w:t xml:space="preserve">3.1. </w:t>
      </w:r>
      <w:r>
        <w:rPr>
          <w:rFonts w:hint="eastAsia"/>
          <w:lang w:val="en-US" w:eastAsia="zh-CN"/>
        </w:rPr>
        <w:t>维护</w:t>
      </w:r>
      <w:r>
        <w:rPr>
          <w:rFonts w:hint="eastAsia"/>
        </w:rPr>
        <w:t>范围</w:t>
      </w:r>
      <w:r>
        <w:tab/>
      </w:r>
      <w:r>
        <w:fldChar w:fldCharType="begin"/>
      </w:r>
      <w:r>
        <w:instrText xml:space="preserve"> PAGEREF _Toc26739 \h </w:instrText>
      </w:r>
      <w:r>
        <w:fldChar w:fldCharType="separate"/>
      </w:r>
      <w:r>
        <w:t>1</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_Toc5027 </w:instrText>
      </w:r>
      <w:r>
        <w:rPr>
          <w:rFonts w:hint="default" w:ascii="Times New Roman" w:hAnsi="Times New Roman" w:cs="Times New Roman"/>
          <w:highlight w:val="none"/>
        </w:rPr>
        <w:fldChar w:fldCharType="separate"/>
      </w:r>
      <w:r>
        <w:rPr>
          <w:rFonts w:hint="default" w:ascii="仿宋" w:hAnsi="仿宋" w:eastAsia="仿宋" w:cs="仿宋"/>
          <w:bCs/>
          <w:szCs w:val="24"/>
        </w:rPr>
        <w:t xml:space="preserve">3.2. </w:t>
      </w:r>
      <w:r>
        <w:rPr>
          <w:rFonts w:hint="eastAsia"/>
          <w:lang w:val="en-US" w:eastAsia="zh-CN"/>
        </w:rPr>
        <w:t>服务周期</w:t>
      </w:r>
      <w:r>
        <w:tab/>
      </w:r>
      <w:r>
        <w:fldChar w:fldCharType="begin"/>
      </w:r>
      <w:r>
        <w:instrText xml:space="preserve"> PAGEREF _Toc5027 \h </w:instrText>
      </w:r>
      <w:r>
        <w:fldChar w:fldCharType="separate"/>
      </w:r>
      <w:r>
        <w:t>3</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_Toc20477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4. </w:t>
      </w:r>
      <w:r>
        <w:rPr>
          <w:rFonts w:hint="eastAsia"/>
          <w:lang w:val="en-US" w:eastAsia="zh-CN"/>
        </w:rPr>
        <w:t>技术</w:t>
      </w:r>
      <w:r>
        <w:rPr>
          <w:rFonts w:hint="default"/>
          <w:lang w:val="en-US" w:eastAsia="zh-CN"/>
        </w:rPr>
        <w:t>服务</w:t>
      </w:r>
      <w:r>
        <w:rPr>
          <w:rFonts w:hint="eastAsia"/>
          <w:lang w:val="en-US" w:eastAsia="zh-CN"/>
        </w:rPr>
        <w:t>方式</w:t>
      </w:r>
      <w:r>
        <w:tab/>
      </w:r>
      <w:r>
        <w:fldChar w:fldCharType="begin"/>
      </w:r>
      <w:r>
        <w:instrText xml:space="preserve"> PAGEREF _Toc20477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_Toc16413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4.1. </w:t>
      </w:r>
      <w:r>
        <w:rPr>
          <w:rFonts w:hint="eastAsia"/>
          <w:lang w:val="en-US" w:eastAsia="zh-CN"/>
        </w:rPr>
        <w:t>现场专项改造提升</w:t>
      </w:r>
      <w:r>
        <w:tab/>
      </w:r>
      <w:r>
        <w:fldChar w:fldCharType="begin"/>
      </w:r>
      <w:r>
        <w:instrText xml:space="preserve"> PAGEREF _Toc16413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_Toc9057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4.2. </w:t>
      </w:r>
      <w:r>
        <w:rPr>
          <w:rFonts w:hint="eastAsia"/>
          <w:lang w:val="en-US" w:eastAsia="zh-CN"/>
        </w:rPr>
        <w:t>定期技术服务支持</w:t>
      </w:r>
      <w:r>
        <w:tab/>
      </w:r>
      <w:r>
        <w:fldChar w:fldCharType="begin"/>
      </w:r>
      <w:r>
        <w:instrText xml:space="preserve"> PAGEREF _Toc9057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_Toc13595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4.3. </w:t>
      </w:r>
      <w:r>
        <w:rPr>
          <w:rFonts w:hint="eastAsia"/>
          <w:lang w:val="en-US" w:eastAsia="zh-CN"/>
        </w:rPr>
        <w:t>软件平台优化完善</w:t>
      </w:r>
      <w:r>
        <w:tab/>
      </w:r>
      <w:r>
        <w:fldChar w:fldCharType="begin"/>
      </w:r>
      <w:r>
        <w:instrText xml:space="preserve"> PAGEREF _Toc13595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_Toc2567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4.4. </w:t>
      </w:r>
      <w:r>
        <w:rPr>
          <w:rFonts w:hint="eastAsia"/>
          <w:lang w:val="en-US" w:eastAsia="zh-CN"/>
        </w:rPr>
        <w:t>应急相应技术服务支持</w:t>
      </w:r>
      <w:r>
        <w:tab/>
      </w:r>
      <w:r>
        <w:fldChar w:fldCharType="begin"/>
      </w:r>
      <w:r>
        <w:instrText xml:space="preserve"> PAGEREF _Toc2567 \h </w:instrText>
      </w:r>
      <w:r>
        <w:fldChar w:fldCharType="separate"/>
      </w:r>
      <w:r>
        <w:t>3</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_Toc30438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5. </w:t>
      </w:r>
      <w:r>
        <w:rPr>
          <w:rFonts w:hint="eastAsia"/>
          <w:lang w:val="en-US" w:eastAsia="zh-CN"/>
        </w:rPr>
        <w:t>技术</w:t>
      </w:r>
      <w:r>
        <w:rPr>
          <w:rFonts w:hint="default"/>
          <w:lang w:val="en-US" w:eastAsia="zh-CN"/>
        </w:rPr>
        <w:t>服务</w:t>
      </w:r>
      <w:r>
        <w:rPr>
          <w:rFonts w:hint="eastAsia"/>
          <w:lang w:val="en-US" w:eastAsia="zh-CN"/>
        </w:rPr>
        <w:t>内容</w:t>
      </w:r>
      <w:r>
        <w:tab/>
      </w:r>
      <w:r>
        <w:fldChar w:fldCharType="begin"/>
      </w:r>
      <w:r>
        <w:instrText xml:space="preserve"> PAGEREF _Toc30438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_Toc3986 </w:instrText>
      </w:r>
      <w:r>
        <w:rPr>
          <w:rFonts w:hint="default" w:ascii="Times New Roman" w:hAnsi="Times New Roman" w:cs="Times New Roman"/>
          <w:highlight w:val="none"/>
        </w:rPr>
        <w:fldChar w:fldCharType="separate"/>
      </w:r>
      <w:r>
        <w:rPr>
          <w:rFonts w:hint="default" w:ascii="仿宋" w:hAnsi="仿宋" w:eastAsia="仿宋" w:cs="仿宋"/>
          <w:bCs/>
          <w:szCs w:val="24"/>
        </w:rPr>
        <w:t xml:space="preserve">5.1. </w:t>
      </w:r>
      <w:r>
        <w:rPr>
          <w:rFonts w:hint="eastAsia"/>
        </w:rPr>
        <w:t>网络链路专线优化</w:t>
      </w:r>
      <w:r>
        <w:tab/>
      </w:r>
      <w:r>
        <w:fldChar w:fldCharType="begin"/>
      </w:r>
      <w:r>
        <w:instrText xml:space="preserve"> PAGEREF _Toc3986 \h </w:instrText>
      </w:r>
      <w:r>
        <w:fldChar w:fldCharType="separate"/>
      </w:r>
      <w:r>
        <w:t>3</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_Toc295 </w:instrText>
      </w:r>
      <w:r>
        <w:rPr>
          <w:rFonts w:hint="default" w:ascii="Times New Roman" w:hAnsi="Times New Roman" w:cs="Times New Roman"/>
          <w:highlight w:val="none"/>
        </w:rPr>
        <w:fldChar w:fldCharType="separate"/>
      </w:r>
      <w:r>
        <w:rPr>
          <w:rFonts w:hint="default" w:ascii="仿宋" w:hAnsi="仿宋" w:eastAsia="仿宋" w:cs="仿宋"/>
          <w:bCs/>
          <w:szCs w:val="24"/>
        </w:rPr>
        <w:t xml:space="preserve">5.2. </w:t>
      </w:r>
      <w:r>
        <w:rPr>
          <w:rFonts w:hint="eastAsia"/>
        </w:rPr>
        <w:t>基础设施运行维护</w:t>
      </w:r>
      <w:r>
        <w:tab/>
      </w:r>
      <w:r>
        <w:fldChar w:fldCharType="begin"/>
      </w:r>
      <w:r>
        <w:instrText xml:space="preserve"> PAGEREF _Toc295 \h </w:instrText>
      </w:r>
      <w:r>
        <w:fldChar w:fldCharType="separate"/>
      </w:r>
      <w:r>
        <w:t>4</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_Toc11595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5.3. </w:t>
      </w:r>
      <w:r>
        <w:rPr>
          <w:rFonts w:hint="eastAsia"/>
          <w:lang w:val="en-US" w:eastAsia="zh-CN"/>
        </w:rPr>
        <w:t>智慧基地管理软件平台优化完善</w:t>
      </w:r>
      <w:r>
        <w:tab/>
      </w:r>
      <w:r>
        <w:fldChar w:fldCharType="begin"/>
      </w:r>
      <w:r>
        <w:instrText xml:space="preserve"> PAGEREF _Toc11595 \h </w:instrText>
      </w:r>
      <w:r>
        <w:fldChar w:fldCharType="separate"/>
      </w:r>
      <w:r>
        <w:t>4</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_Toc19234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6. </w:t>
      </w:r>
      <w:r>
        <w:rPr>
          <w:rFonts w:hint="eastAsia"/>
          <w:lang w:val="en-US" w:eastAsia="zh-CN"/>
        </w:rPr>
        <w:t>人员配置及服务能力要求</w:t>
      </w:r>
      <w:r>
        <w:tab/>
      </w:r>
      <w:r>
        <w:fldChar w:fldCharType="begin"/>
      </w:r>
      <w:r>
        <w:instrText xml:space="preserve"> PAGEREF _Toc19234 \h </w:instrText>
      </w:r>
      <w:r>
        <w:fldChar w:fldCharType="separate"/>
      </w:r>
      <w:r>
        <w:t>4</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_Toc23557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6.1. </w:t>
      </w:r>
      <w:r>
        <w:rPr>
          <w:rFonts w:hint="eastAsia"/>
          <w:lang w:val="en-US" w:eastAsia="zh-CN"/>
        </w:rPr>
        <w:t>团队成员数量要求</w:t>
      </w:r>
      <w:r>
        <w:tab/>
      </w:r>
      <w:r>
        <w:fldChar w:fldCharType="begin"/>
      </w:r>
      <w:r>
        <w:instrText xml:space="preserve"> PAGEREF _Toc23557 \h </w:instrText>
      </w:r>
      <w:r>
        <w:fldChar w:fldCharType="separate"/>
      </w:r>
      <w:r>
        <w:t>4</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_Toc13973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6.2. </w:t>
      </w:r>
      <w:r>
        <w:rPr>
          <w:rFonts w:hint="eastAsia"/>
          <w:lang w:val="en-US" w:eastAsia="zh-CN"/>
        </w:rPr>
        <w:t>团队成员资质要求</w:t>
      </w:r>
      <w:r>
        <w:tab/>
      </w:r>
      <w:r>
        <w:fldChar w:fldCharType="begin"/>
      </w:r>
      <w:r>
        <w:instrText xml:space="preserve"> PAGEREF _Toc13973 \h </w:instrText>
      </w:r>
      <w:r>
        <w:fldChar w:fldCharType="separate"/>
      </w:r>
      <w:r>
        <w:t>5</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_Toc23023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7. </w:t>
      </w:r>
      <w:r>
        <w:rPr>
          <w:rFonts w:hint="eastAsia" w:ascii="Times New Roman" w:hAnsi="Times New Roman" w:cs="Times New Roman"/>
          <w:bCs/>
          <w:lang w:val="en-US" w:eastAsia="zh-CN"/>
        </w:rPr>
        <w:t>项目验收</w:t>
      </w:r>
      <w:r>
        <w:tab/>
      </w:r>
      <w:r>
        <w:fldChar w:fldCharType="begin"/>
      </w:r>
      <w:r>
        <w:instrText xml:space="preserve"> PAGEREF _Toc23023 \h </w:instrText>
      </w:r>
      <w:r>
        <w:fldChar w:fldCharType="separate"/>
      </w:r>
      <w:r>
        <w:t>5</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_Toc1712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7.1. </w:t>
      </w:r>
      <w:r>
        <w:rPr>
          <w:rFonts w:hint="eastAsia"/>
        </w:rPr>
        <w:t>验收标准</w:t>
      </w:r>
      <w:r>
        <w:tab/>
      </w:r>
      <w:r>
        <w:fldChar w:fldCharType="begin"/>
      </w:r>
      <w:r>
        <w:instrText xml:space="preserve"> PAGEREF _Toc1712 \h </w:instrText>
      </w:r>
      <w:r>
        <w:fldChar w:fldCharType="separate"/>
      </w:r>
      <w:r>
        <w:t>5</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_Toc27699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7.2. </w:t>
      </w:r>
      <w:r>
        <w:rPr>
          <w:rFonts w:hint="eastAsia"/>
        </w:rPr>
        <w:t>验收</w:t>
      </w:r>
      <w:r>
        <w:rPr>
          <w:rFonts w:hint="eastAsia"/>
          <w:lang w:val="en-US" w:eastAsia="zh-CN"/>
        </w:rPr>
        <w:t>方法</w:t>
      </w:r>
      <w:r>
        <w:tab/>
      </w:r>
      <w:r>
        <w:fldChar w:fldCharType="begin"/>
      </w:r>
      <w:r>
        <w:instrText xml:space="preserve"> PAGEREF _Toc27699 \h </w:instrText>
      </w:r>
      <w:r>
        <w:fldChar w:fldCharType="separate"/>
      </w:r>
      <w:r>
        <w:t>5</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_Toc10186 </w:instrText>
      </w:r>
      <w:r>
        <w:rPr>
          <w:rFonts w:hint="default" w:ascii="Times New Roman" w:hAnsi="Times New Roman" w:cs="Times New Roman"/>
          <w:highlight w:val="none"/>
        </w:rPr>
        <w:fldChar w:fldCharType="separate"/>
      </w:r>
      <w:r>
        <w:rPr>
          <w:rFonts w:hint="default" w:ascii="仿宋" w:hAnsi="仿宋" w:eastAsia="仿宋" w:cs="仿宋"/>
          <w:bCs/>
          <w:szCs w:val="24"/>
        </w:rPr>
        <w:t xml:space="preserve">7.3. </w:t>
      </w:r>
      <w:r>
        <w:rPr>
          <w:rFonts w:hint="eastAsia"/>
        </w:rPr>
        <w:t>验收时间与地点</w:t>
      </w:r>
      <w:r>
        <w:tab/>
      </w:r>
      <w:r>
        <w:fldChar w:fldCharType="begin"/>
      </w:r>
      <w:r>
        <w:instrText xml:space="preserve"> PAGEREF _Toc10186 \h </w:instrText>
      </w:r>
      <w:r>
        <w:fldChar w:fldCharType="separate"/>
      </w:r>
      <w:r>
        <w:t>5</w:t>
      </w:r>
      <w:r>
        <w:fldChar w:fldCharType="end"/>
      </w:r>
      <w:r>
        <w:rPr>
          <w:rFonts w:hint="default" w:ascii="Times New Roman" w:hAnsi="Times New Roman" w:cs="Times New Roman"/>
          <w:highlight w:val="none"/>
        </w:rPr>
        <w:fldChar w:fldCharType="end"/>
      </w:r>
    </w:p>
    <w:p>
      <w:pPr>
        <w:pStyle w:val="23"/>
        <w:tabs>
          <w:tab w:val="right" w:leader="dot" w:pos="8880"/>
          <w:tab w:val="clear" w:pos="63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_Toc25172 </w:instrText>
      </w:r>
      <w:r>
        <w:rPr>
          <w:rFonts w:hint="default" w:ascii="Times New Roman" w:hAnsi="Times New Roman" w:cs="Times New Roman"/>
          <w:highlight w:val="none"/>
        </w:rPr>
        <w:fldChar w:fldCharType="separate"/>
      </w:r>
      <w:r>
        <w:rPr>
          <w:rFonts w:hint="default" w:ascii="宋体" w:hAnsi="宋体" w:eastAsia="宋体" w:cs="宋体"/>
          <w:bCs/>
          <w:szCs w:val="24"/>
          <w:lang w:val="en-US" w:eastAsia="zh-CN"/>
        </w:rPr>
        <w:t xml:space="preserve">8. </w:t>
      </w:r>
      <w:r>
        <w:rPr>
          <w:rFonts w:hint="eastAsia"/>
          <w:lang w:val="en-US" w:eastAsia="zh-CN"/>
        </w:rPr>
        <w:t>其他</w:t>
      </w:r>
      <w:r>
        <w:rPr>
          <w:rFonts w:hint="default"/>
          <w:lang w:val="en-US" w:eastAsia="zh-CN"/>
        </w:rPr>
        <w:t>要求</w:t>
      </w:r>
      <w:r>
        <w:tab/>
      </w:r>
      <w:r>
        <w:fldChar w:fldCharType="begin"/>
      </w:r>
      <w:r>
        <w:instrText xml:space="preserve"> PAGEREF _Toc25172 \h </w:instrText>
      </w:r>
      <w:r>
        <w:fldChar w:fldCharType="separate"/>
      </w:r>
      <w:r>
        <w:t>5</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_Toc5563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8.1. </w:t>
      </w:r>
      <w:r>
        <w:rPr>
          <w:rFonts w:hint="default"/>
          <w:lang w:val="en-US" w:eastAsia="zh-CN"/>
        </w:rPr>
        <w:t>网络安全</w:t>
      </w:r>
      <w:r>
        <w:rPr>
          <w:rFonts w:hint="eastAsia"/>
          <w:lang w:val="en-US" w:eastAsia="zh-CN"/>
        </w:rPr>
        <w:t>及</w:t>
      </w:r>
      <w:r>
        <w:rPr>
          <w:rFonts w:hint="default"/>
          <w:lang w:val="en-US" w:eastAsia="zh-CN"/>
        </w:rPr>
        <w:t>数据安全限制性要求</w:t>
      </w:r>
      <w:r>
        <w:tab/>
      </w:r>
      <w:r>
        <w:fldChar w:fldCharType="begin"/>
      </w:r>
      <w:r>
        <w:instrText xml:space="preserve"> PAGEREF _Toc5563 \h </w:instrText>
      </w:r>
      <w:r>
        <w:fldChar w:fldCharType="separate"/>
      </w:r>
      <w:r>
        <w:t>5</w:t>
      </w:r>
      <w:r>
        <w:fldChar w:fldCharType="end"/>
      </w:r>
      <w:r>
        <w:rPr>
          <w:rFonts w:hint="default" w:ascii="Times New Roman" w:hAnsi="Times New Roman" w:cs="Times New Roman"/>
          <w:highlight w:val="none"/>
        </w:rPr>
        <w:fldChar w:fldCharType="end"/>
      </w:r>
    </w:p>
    <w:p>
      <w:pPr>
        <w:pStyle w:val="26"/>
        <w:tabs>
          <w:tab w:val="right" w:leader="dot" w:pos="8880"/>
          <w:tab w:val="clear" w:pos="1050"/>
          <w:tab w:val="clear" w:pos="9288"/>
        </w:tabs>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_Toc4514 </w:instrText>
      </w:r>
      <w:r>
        <w:rPr>
          <w:rFonts w:hint="default" w:ascii="Times New Roman" w:hAnsi="Times New Roman" w:cs="Times New Roman"/>
          <w:highlight w:val="none"/>
        </w:rPr>
        <w:fldChar w:fldCharType="separate"/>
      </w:r>
      <w:r>
        <w:rPr>
          <w:rFonts w:hint="default" w:ascii="仿宋" w:hAnsi="仿宋" w:eastAsia="仿宋" w:cs="仿宋"/>
          <w:bCs/>
          <w:szCs w:val="24"/>
          <w:lang w:val="en-US" w:eastAsia="zh-CN"/>
        </w:rPr>
        <w:t xml:space="preserve">8.2. </w:t>
      </w:r>
      <w:r>
        <w:rPr>
          <w:rFonts w:hint="default"/>
          <w:lang w:val="en-US" w:eastAsia="zh-CN"/>
        </w:rPr>
        <w:t>保密及敏感信息管理要求</w:t>
      </w:r>
      <w:r>
        <w:tab/>
      </w:r>
      <w:r>
        <w:fldChar w:fldCharType="begin"/>
      </w:r>
      <w:r>
        <w:instrText xml:space="preserve"> PAGEREF _Toc4514 \h </w:instrText>
      </w:r>
      <w:r>
        <w:fldChar w:fldCharType="separate"/>
      </w:r>
      <w:r>
        <w:t>6</w:t>
      </w:r>
      <w:r>
        <w:fldChar w:fldCharType="end"/>
      </w:r>
      <w:r>
        <w:rPr>
          <w:rFonts w:hint="default" w:ascii="Times New Roman" w:hAnsi="Times New Roman" w:cs="Times New Roman"/>
          <w:highlight w:val="none"/>
        </w:rPr>
        <w:fldChar w:fldCharType="end"/>
      </w:r>
    </w:p>
    <w:p>
      <w:pPr>
        <w:ind w:firstLine="480"/>
        <w:rPr>
          <w:rFonts w:hint="default" w:ascii="Times New Roman" w:hAnsi="Times New Roman" w:cs="Times New Roman"/>
          <w:highlight w:val="none"/>
        </w:rPr>
      </w:pPr>
      <w:r>
        <w:rPr>
          <w:rFonts w:hint="default" w:ascii="Times New Roman" w:hAnsi="Times New Roman" w:cs="Times New Roman"/>
          <w:highlight w:val="none"/>
        </w:rPr>
        <w:fldChar w:fldCharType="end"/>
      </w: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pPr>
    </w:p>
    <w:p>
      <w:pPr>
        <w:ind w:firstLine="480"/>
        <w:rPr>
          <w:rFonts w:hint="default" w:ascii="Times New Roman" w:hAnsi="Times New Roman" w:cs="Times New Roman"/>
          <w:highlight w:val="none"/>
        </w:rPr>
        <w:sectPr>
          <w:headerReference r:id="rId11" w:type="default"/>
          <w:footerReference r:id="rId12" w:type="default"/>
          <w:pgSz w:w="11906" w:h="16838"/>
          <w:pgMar w:top="1701" w:right="1552" w:bottom="1418" w:left="1474" w:header="851" w:footer="964" w:gutter="0"/>
          <w:pgNumType w:fmt="lowerRoman" w:start="1"/>
          <w:cols w:space="720" w:num="1"/>
          <w:docGrid w:type="lines" w:linePitch="326" w:charSpace="0"/>
        </w:sectPr>
      </w:pPr>
    </w:p>
    <w:p>
      <w:pPr>
        <w:pStyle w:val="3"/>
        <w:bidi w:val="0"/>
        <w:rPr>
          <w:rFonts w:hint="default"/>
          <w:lang w:val="en-US" w:eastAsia="zh-CN"/>
        </w:rPr>
      </w:pPr>
      <w:bookmarkStart w:id="0" w:name="_Toc12164"/>
      <w:r>
        <w:rPr>
          <w:rFonts w:hint="eastAsia"/>
          <w:lang w:val="en-US" w:eastAsia="zh-CN"/>
        </w:rPr>
        <w:t>总则</w:t>
      </w:r>
      <w:bookmarkEnd w:id="0"/>
    </w:p>
    <w:p>
      <w:pPr>
        <w:pStyle w:val="31"/>
        <w:bidi w:val="0"/>
        <w:rPr>
          <w:rFonts w:hint="eastAsia"/>
          <w:lang w:val="en-US" w:eastAsia="zh-CN"/>
        </w:rPr>
      </w:pPr>
      <w:r>
        <w:rPr>
          <w:rFonts w:hint="eastAsia"/>
          <w:lang w:val="en-US" w:eastAsia="zh-CN"/>
        </w:rPr>
        <w:t>1.本技术规范书适用于云南电网有限责任公司“</w:t>
      </w:r>
      <w:r>
        <w:rPr>
          <w:rFonts w:hint="eastAsia"/>
          <w:b/>
          <w:bCs/>
          <w:lang w:val="en-US" w:eastAsia="zh-CN"/>
        </w:rPr>
        <w:t>输电分公司实操基地管理中心2025年智慧培训管理平台运行维护</w:t>
      </w:r>
      <w:r>
        <w:rPr>
          <w:rFonts w:hint="eastAsia"/>
          <w:lang w:val="en-US" w:eastAsia="zh-CN"/>
        </w:rPr>
        <w:t>”项目。</w:t>
      </w:r>
    </w:p>
    <w:p>
      <w:pPr>
        <w:pStyle w:val="31"/>
        <w:bidi w:val="0"/>
        <w:rPr>
          <w:rFonts w:hint="eastAsia"/>
          <w:lang w:val="en-US" w:eastAsia="zh-CN"/>
        </w:rPr>
      </w:pPr>
      <w:r>
        <w:rPr>
          <w:rFonts w:hint="eastAsia"/>
          <w:lang w:val="en-US" w:eastAsia="zh-CN"/>
        </w:rPr>
        <w:t>2.本技术规范书提出的是最低限度的技术要求。凡本技术规范书中未规定，</w:t>
      </w:r>
      <w:r>
        <w:rPr>
          <w:rFonts w:hint="eastAsia"/>
        </w:rPr>
        <w:t>本技术规范所使用的标准如与国家、行业、电网公司以及投标人所执行的标准不一致时，按要求较高的标准执行</w:t>
      </w:r>
      <w:r>
        <w:rPr>
          <w:rFonts w:hint="eastAsia"/>
          <w:lang w:val="en-US" w:eastAsia="zh-CN"/>
        </w:rPr>
        <w:t>。</w:t>
      </w:r>
    </w:p>
    <w:p>
      <w:pPr>
        <w:pStyle w:val="31"/>
        <w:bidi w:val="0"/>
        <w:rPr>
          <w:rFonts w:hint="eastAsia"/>
          <w:lang w:val="en-US" w:eastAsia="zh-CN"/>
        </w:rPr>
      </w:pPr>
      <w:r>
        <w:rPr>
          <w:rFonts w:hint="eastAsia"/>
          <w:lang w:val="en-US" w:eastAsia="zh-CN"/>
        </w:rPr>
        <w:t>3.如果投标人没有以书面形式对本技术规范书的条文提出异议，则意味着投标人提供的设备完全符合本技术规范书的要求。</w:t>
      </w:r>
    </w:p>
    <w:p>
      <w:pPr>
        <w:pStyle w:val="31"/>
        <w:bidi w:val="0"/>
        <w:rPr>
          <w:rFonts w:hint="eastAsia"/>
          <w:lang w:val="en-US" w:eastAsia="zh-CN"/>
        </w:rPr>
      </w:pPr>
      <w:r>
        <w:rPr>
          <w:rFonts w:hint="eastAsia"/>
          <w:lang w:val="en-US" w:eastAsia="zh-CN"/>
        </w:rPr>
        <w:t>4.本技术规范书经招投标双方确认后作为合同的技术附件，与合同正文具有同等的法律效力。</w:t>
      </w:r>
    </w:p>
    <w:p>
      <w:pPr>
        <w:pStyle w:val="31"/>
        <w:bidi w:val="0"/>
        <w:rPr>
          <w:rFonts w:hint="eastAsia"/>
          <w:lang w:val="en-US" w:eastAsia="zh-CN"/>
        </w:rPr>
      </w:pPr>
      <w:r>
        <w:rPr>
          <w:rFonts w:hint="eastAsia"/>
          <w:lang w:val="en-US" w:eastAsia="zh-CN"/>
        </w:rPr>
        <w:t>5.本技术规范书未尽事宜，由招标人与投标人双方协商确定。</w:t>
      </w:r>
    </w:p>
    <w:p>
      <w:pPr>
        <w:pStyle w:val="31"/>
        <w:bidi w:val="0"/>
        <w:rPr>
          <w:rFonts w:hint="eastAsia"/>
          <w:lang w:val="en-US" w:eastAsia="zh-CN"/>
        </w:rPr>
      </w:pPr>
      <w:r>
        <w:rPr>
          <w:rFonts w:hint="eastAsia"/>
          <w:lang w:val="en-US" w:eastAsia="zh-CN"/>
        </w:rPr>
        <w:t>6.投标人应该按照技术规范书的要求，在技术方案中提供详细的实施计划、人员配备、验收、技术服务等方面的内容。</w:t>
      </w:r>
    </w:p>
    <w:p>
      <w:pPr>
        <w:pStyle w:val="31"/>
        <w:bidi w:val="0"/>
        <w:rPr>
          <w:rFonts w:hint="default"/>
          <w:lang w:val="en-US" w:eastAsia="zh-CN"/>
        </w:rPr>
      </w:pPr>
      <w:r>
        <w:rPr>
          <w:rFonts w:hint="eastAsia"/>
          <w:lang w:val="en-US" w:eastAsia="zh-CN"/>
        </w:rPr>
        <w:t>7.投标人应充分理解本技术规范书，并逐项进行响应。</w:t>
      </w:r>
    </w:p>
    <w:p>
      <w:pPr>
        <w:pStyle w:val="3"/>
        <w:tabs>
          <w:tab w:val="left" w:pos="576"/>
          <w:tab w:val="clear" w:pos="432"/>
        </w:tabs>
        <w:bidi w:val="0"/>
        <w:rPr>
          <w:rFonts w:hint="eastAsia"/>
        </w:rPr>
      </w:pPr>
      <w:bookmarkStart w:id="1" w:name="_Toc18253"/>
      <w:r>
        <w:rPr>
          <w:rFonts w:hint="eastAsia"/>
          <w:lang w:val="en-US" w:eastAsia="zh-CN"/>
        </w:rPr>
        <w:t>项目背景</w:t>
      </w:r>
      <w:bookmarkEnd w:id="1"/>
    </w:p>
    <w:p>
      <w:pPr>
        <w:pStyle w:val="31"/>
        <w:bidi w:val="0"/>
        <w:rPr>
          <w:rFonts w:hint="default"/>
          <w:highlight w:val="none"/>
          <w:lang w:val="en-US" w:eastAsia="zh-CN"/>
        </w:rPr>
      </w:pPr>
      <w:r>
        <w:rPr>
          <w:rFonts w:hint="eastAsia"/>
          <w:lang w:val="en-US" w:eastAsia="zh-CN"/>
        </w:rPr>
        <w:t>2023年，输电分公司技能实训基地开展基于数字化创意互动的实操基地智慧基地培训管理关键技术研究与应用项目，完成智慧管理软件平台（含智慧培评APP）的建设，建设交付后，该系统及配套的基础设施无专业团队开展维护，对输电分公司技能实训基地的培评业务造成一定影响，亟需针对智慧管理软件平台及配套的基础设施开展专项梳理及问题消缺，解决系统、网络卡顿问题，提供运维技术支撑服务，确保智慧管理软件平台及配套的基础设施安全稳定运行</w:t>
      </w:r>
      <w:r>
        <w:rPr>
          <w:rFonts w:hint="eastAsia"/>
          <w:highlight w:val="none"/>
          <w:lang w:val="en-US" w:eastAsia="zh-CN"/>
        </w:rPr>
        <w:t>。同时，2023年建设的基于室内高精度定位和复杂环境模拟技术得多旋翼无人机仿真培训研究，该项目涉及的无人机室内复杂竞赛系统目前无运维方，运行使用。</w:t>
      </w:r>
    </w:p>
    <w:p>
      <w:pPr>
        <w:pStyle w:val="3"/>
        <w:bidi w:val="0"/>
        <w:rPr>
          <w:rFonts w:hint="default"/>
          <w:lang w:val="en-US" w:eastAsia="zh-CN"/>
        </w:rPr>
      </w:pPr>
      <w:bookmarkStart w:id="2" w:name="_Toc3352"/>
      <w:bookmarkStart w:id="3" w:name="_Toc454043112"/>
      <w:bookmarkStart w:id="4" w:name="_Toc11241"/>
      <w:bookmarkStart w:id="5" w:name="_Toc16199"/>
      <w:bookmarkStart w:id="6" w:name="OLE_LINK4"/>
      <w:bookmarkStart w:id="7" w:name="OLE_LINK1"/>
      <w:bookmarkStart w:id="8" w:name="OLE_LINK2"/>
      <w:r>
        <w:rPr>
          <w:rFonts w:hint="eastAsia"/>
          <w:lang w:val="en-US" w:eastAsia="zh-CN"/>
        </w:rPr>
        <w:t>技术服务范围</w:t>
      </w:r>
      <w:bookmarkEnd w:id="2"/>
    </w:p>
    <w:p>
      <w:pPr>
        <w:pStyle w:val="4"/>
        <w:bidi w:val="0"/>
        <w:rPr>
          <w:rFonts w:hint="eastAsia"/>
        </w:rPr>
      </w:pPr>
      <w:bookmarkStart w:id="9" w:name="_Toc26739"/>
      <w:r>
        <w:rPr>
          <w:rFonts w:hint="eastAsia"/>
          <w:lang w:val="en-US" w:eastAsia="zh-CN"/>
        </w:rPr>
        <w:t>维护</w:t>
      </w:r>
      <w:r>
        <w:rPr>
          <w:rFonts w:hint="eastAsia"/>
        </w:rPr>
        <w:t>范围</w:t>
      </w:r>
      <w:bookmarkEnd w:id="3"/>
      <w:bookmarkEnd w:id="4"/>
      <w:bookmarkEnd w:id="5"/>
      <w:bookmarkEnd w:id="9"/>
    </w:p>
    <w:p>
      <w:pPr>
        <w:rPr>
          <w:rFonts w:hint="eastAsia"/>
        </w:rPr>
      </w:pPr>
    </w:p>
    <w:tbl>
      <w:tblPr>
        <w:tblStyle w:val="32"/>
        <w:tblW w:w="847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9"/>
        <w:gridCol w:w="2067"/>
        <w:gridCol w:w="690"/>
        <w:gridCol w:w="930"/>
        <w:gridCol w:w="1110"/>
        <w:gridCol w:w="3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64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序号</w:t>
            </w:r>
          </w:p>
        </w:tc>
        <w:tc>
          <w:tcPr>
            <w:tcW w:w="20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设备名称</w:t>
            </w:r>
          </w:p>
        </w:tc>
        <w:tc>
          <w:tcPr>
            <w:tcW w:w="6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数量</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单位</w:t>
            </w:r>
          </w:p>
        </w:tc>
        <w:tc>
          <w:tcPr>
            <w:tcW w:w="11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存放位置</w:t>
            </w:r>
          </w:p>
        </w:tc>
        <w:tc>
          <w:tcPr>
            <w:tcW w:w="30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64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20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cs="仿宋"/>
                <w:sz w:val="21"/>
                <w:szCs w:val="21"/>
                <w:highlight w:val="none"/>
                <w:lang w:val="en-US" w:eastAsia="zh-CN"/>
              </w:rPr>
              <w:t>无人机室内复杂竞赛系统</w:t>
            </w:r>
          </w:p>
        </w:tc>
        <w:tc>
          <w:tcPr>
            <w:tcW w:w="6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套</w:t>
            </w:r>
          </w:p>
        </w:tc>
        <w:tc>
          <w:tcPr>
            <w:tcW w:w="1110" w:type="dxa"/>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p>
        </w:tc>
        <w:tc>
          <w:tcPr>
            <w:tcW w:w="3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多旋翼无人机室内复杂环境竞赛软件平</w:t>
            </w:r>
            <w:r>
              <w:rPr>
                <w:rFonts w:hint="eastAsia" w:cs="仿宋"/>
                <w:sz w:val="21"/>
                <w:szCs w:val="21"/>
                <w:highlight w:val="none"/>
                <w:lang w:val="en-US" w:eastAsia="zh-CN"/>
              </w:rPr>
              <w:t>台1套运维</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多旋翼无人机室内复杂环境竞赛平台智能显示装置</w:t>
            </w:r>
            <w:r>
              <w:rPr>
                <w:rFonts w:hint="eastAsia" w:cs="仿宋"/>
                <w:sz w:val="21"/>
                <w:szCs w:val="21"/>
                <w:highlight w:val="none"/>
                <w:lang w:val="en-US" w:eastAsia="zh-CN"/>
              </w:rPr>
              <w:t>1套运维</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多旋翼无人机室内复杂环境竞赛平台风速调节装置</w:t>
            </w:r>
            <w:r>
              <w:rPr>
                <w:rFonts w:hint="eastAsia" w:cs="仿宋"/>
                <w:sz w:val="21"/>
                <w:szCs w:val="21"/>
                <w:highlight w:val="none"/>
                <w:lang w:val="en-US" w:eastAsia="zh-CN"/>
              </w:rPr>
              <w:t>1套运维</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多旋翼无人机室内复杂环境竞赛平台电磁辐射装置</w:t>
            </w:r>
            <w:r>
              <w:rPr>
                <w:rFonts w:hint="eastAsia" w:cs="仿宋"/>
                <w:sz w:val="21"/>
                <w:szCs w:val="21"/>
                <w:highlight w:val="none"/>
                <w:lang w:val="en-US" w:eastAsia="zh-CN"/>
              </w:rPr>
              <w:t>1套运维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trPr>
        <w:tc>
          <w:tcPr>
            <w:tcW w:w="64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2067"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智慧基地</w:t>
            </w:r>
            <w:r>
              <w:rPr>
                <w:rFonts w:hint="eastAsia" w:cs="仿宋"/>
                <w:sz w:val="21"/>
                <w:szCs w:val="21"/>
                <w:highlight w:val="none"/>
                <w:lang w:val="en-US" w:eastAsia="zh-CN"/>
              </w:rPr>
              <w:t>管理</w:t>
            </w:r>
            <w:r>
              <w:rPr>
                <w:rFonts w:hint="eastAsia" w:ascii="仿宋" w:hAnsi="仿宋" w:eastAsia="仿宋" w:cs="仿宋"/>
                <w:sz w:val="21"/>
                <w:szCs w:val="21"/>
                <w:highlight w:val="none"/>
                <w:lang w:val="en-US" w:eastAsia="zh-CN"/>
              </w:rPr>
              <w:t>服务器</w:t>
            </w:r>
          </w:p>
        </w:tc>
        <w:tc>
          <w:tcPr>
            <w:tcW w:w="69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93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套</w:t>
            </w:r>
          </w:p>
        </w:tc>
        <w:tc>
          <w:tcPr>
            <w:tcW w:w="1110" w:type="dxa"/>
            <w:vMerge w:val="continue"/>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p>
        </w:tc>
        <w:tc>
          <w:tcPr>
            <w:tcW w:w="303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包含服务器2套、交换机1套、防火墙1套。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64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cs="仿宋"/>
                <w:sz w:val="21"/>
                <w:szCs w:val="21"/>
                <w:highlight w:val="none"/>
                <w:lang w:val="en-US" w:eastAsia="zh-CN"/>
              </w:rPr>
              <w:t>3</w:t>
            </w:r>
          </w:p>
        </w:tc>
        <w:tc>
          <w:tcPr>
            <w:tcW w:w="2067"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智慧基地管理软件平台</w:t>
            </w:r>
          </w:p>
        </w:tc>
        <w:tc>
          <w:tcPr>
            <w:tcW w:w="690" w:type="dxa"/>
            <w:tcBorders>
              <w:top w:val="single" w:color="auto" w:sz="4" w:space="0"/>
              <w:left w:val="single" w:color="000000"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cs="仿宋"/>
                <w:sz w:val="21"/>
                <w:szCs w:val="21"/>
                <w:highlight w:val="none"/>
                <w:lang w:val="en-US" w:eastAsia="zh-CN"/>
              </w:rPr>
              <w:t>1</w:t>
            </w:r>
          </w:p>
        </w:tc>
        <w:tc>
          <w:tcPr>
            <w:tcW w:w="930" w:type="dxa"/>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 w:val="21"/>
                <w:szCs w:val="21"/>
                <w:highlight w:val="none"/>
                <w:lang w:val="en-US" w:eastAsia="zh-CN"/>
              </w:rPr>
            </w:pPr>
          </w:p>
        </w:tc>
        <w:tc>
          <w:tcPr>
            <w:tcW w:w="111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智慧基地建设</w:t>
            </w:r>
          </w:p>
        </w:tc>
        <w:tc>
          <w:tcPr>
            <w:tcW w:w="3030" w:type="dxa"/>
            <w:tcBorders>
              <w:top w:val="single" w:color="auto" w:sz="4" w:space="0"/>
              <w:left w:val="single" w:color="000000"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智能管理套件</w:t>
            </w:r>
            <w:r>
              <w:rPr>
                <w:rFonts w:hint="eastAsia" w:cs="仿宋"/>
                <w:sz w:val="21"/>
                <w:szCs w:val="21"/>
                <w:highlight w:val="none"/>
                <w:lang w:val="en-US" w:eastAsia="zh-CN"/>
              </w:rPr>
              <w:t>2套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物联汇聚装置</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无人机智能巢</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物联隔离装置</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物联防护装置</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物联互通装置</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物联计算装置</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无线路由器</w:t>
            </w:r>
            <w:r>
              <w:rPr>
                <w:rFonts w:hint="eastAsia" w:cs="仿宋"/>
                <w:sz w:val="21"/>
                <w:szCs w:val="21"/>
                <w:highlight w:val="none"/>
                <w:lang w:val="en-US" w:eastAsia="zh-CN"/>
              </w:rPr>
              <w:t>设备41套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lang w:val="en-US" w:eastAsia="zh-CN"/>
              </w:rPr>
              <w:t>智能考评终端</w:t>
            </w:r>
            <w:r>
              <w:rPr>
                <w:rFonts w:hint="eastAsia" w:cs="仿宋"/>
                <w:sz w:val="21"/>
                <w:szCs w:val="21"/>
                <w:highlight w:val="none"/>
                <w:lang w:val="en-US" w:eastAsia="zh-CN"/>
              </w:rPr>
              <w:t>设备50台</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lang w:val="en-US" w:eastAsia="zh-CN"/>
              </w:rPr>
              <w:t>无纸化智能</w:t>
            </w:r>
            <w:r>
              <w:rPr>
                <w:rFonts w:hint="eastAsia" w:cs="仿宋"/>
                <w:sz w:val="21"/>
                <w:szCs w:val="21"/>
                <w:highlight w:val="none"/>
                <w:lang w:val="en-US" w:eastAsia="zh-CN"/>
              </w:rPr>
              <w:t>会议</w:t>
            </w:r>
            <w:r>
              <w:rPr>
                <w:rFonts w:hint="eastAsia" w:ascii="仿宋" w:hAnsi="仿宋" w:eastAsia="仿宋" w:cs="仿宋"/>
                <w:sz w:val="21"/>
                <w:szCs w:val="21"/>
                <w:highlight w:val="none"/>
                <w:lang w:val="en-US" w:eastAsia="zh-CN"/>
              </w:rPr>
              <w:t>终端</w:t>
            </w:r>
            <w:r>
              <w:rPr>
                <w:rFonts w:hint="eastAsia" w:cs="仿宋"/>
                <w:sz w:val="21"/>
                <w:szCs w:val="21"/>
                <w:highlight w:val="none"/>
                <w:lang w:val="en-US" w:eastAsia="zh-CN"/>
              </w:rPr>
              <w:t>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cs="仿宋"/>
                <w:sz w:val="21"/>
                <w:szCs w:val="21"/>
                <w:highlight w:val="none"/>
                <w:lang w:val="en-US" w:eastAsia="zh-CN"/>
              </w:rPr>
            </w:pPr>
            <w:r>
              <w:rPr>
                <w:rFonts w:hint="eastAsia" w:ascii="仿宋" w:hAnsi="仿宋" w:eastAsia="仿宋" w:cs="仿宋"/>
                <w:sz w:val="21"/>
                <w:szCs w:val="21"/>
                <w:highlight w:val="none"/>
                <w:lang w:val="en-US" w:eastAsia="zh-CN"/>
              </w:rPr>
              <w:t>智慧培评APP</w:t>
            </w:r>
            <w:r>
              <w:rPr>
                <w:rFonts w:hint="eastAsia" w:cs="仿宋"/>
                <w:sz w:val="21"/>
                <w:szCs w:val="21"/>
                <w:highlight w:val="none"/>
                <w:lang w:val="en-US" w:eastAsia="zh-CN"/>
              </w:rPr>
              <w:t xml:space="preserve"> 1套，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仿宋" w:hAnsi="仿宋" w:eastAsia="仿宋" w:cs="仿宋"/>
                <w:sz w:val="21"/>
                <w:szCs w:val="21"/>
                <w:highlight w:val="none"/>
                <w:lang w:val="en-US" w:eastAsia="zh-CN"/>
              </w:rPr>
            </w:pPr>
            <w:r>
              <w:rPr>
                <w:rFonts w:hint="eastAsia" w:cs="仿宋"/>
                <w:sz w:val="21"/>
                <w:szCs w:val="21"/>
                <w:highlight w:val="none"/>
                <w:lang w:val="en-US" w:eastAsia="zh-CN"/>
              </w:rPr>
              <w:t>其他附属设备。</w:t>
            </w:r>
          </w:p>
        </w:tc>
      </w:tr>
    </w:tbl>
    <w:p>
      <w:pPr>
        <w:bidi w:val="0"/>
        <w:rPr>
          <w:rFonts w:hint="eastAsia"/>
        </w:rPr>
      </w:pPr>
    </w:p>
    <w:bookmarkEnd w:id="6"/>
    <w:bookmarkEnd w:id="7"/>
    <w:bookmarkEnd w:id="8"/>
    <w:p>
      <w:pPr>
        <w:pStyle w:val="4"/>
        <w:bidi w:val="0"/>
      </w:pPr>
      <w:bookmarkStart w:id="10" w:name="_Toc5027"/>
      <w:r>
        <w:rPr>
          <w:rFonts w:hint="eastAsia"/>
          <w:lang w:val="en-US" w:eastAsia="zh-CN"/>
        </w:rPr>
        <w:t>服务周期</w:t>
      </w:r>
      <w:bookmarkEnd w:id="10"/>
    </w:p>
    <w:p>
      <w:pPr>
        <w:pStyle w:val="31"/>
        <w:bidi w:val="0"/>
        <w:rPr>
          <w:rFonts w:hint="eastAsia"/>
          <w:highlight w:val="none"/>
          <w:lang w:val="en-US" w:eastAsia="zh-CN"/>
        </w:rPr>
      </w:pPr>
      <w:r>
        <w:rPr>
          <w:rFonts w:hint="eastAsia"/>
          <w:highlight w:val="none"/>
          <w:lang w:val="en-US" w:eastAsia="zh-CN"/>
        </w:rPr>
        <w:t>自合同签订之日起运维满一年。</w:t>
      </w:r>
    </w:p>
    <w:p>
      <w:pPr>
        <w:pStyle w:val="3"/>
        <w:bidi w:val="0"/>
        <w:rPr>
          <w:rFonts w:hint="default"/>
          <w:lang w:val="en-US" w:eastAsia="zh-CN"/>
        </w:rPr>
      </w:pPr>
      <w:bookmarkStart w:id="11" w:name="_Toc20477"/>
      <w:r>
        <w:rPr>
          <w:rFonts w:hint="eastAsia"/>
          <w:lang w:val="en-US" w:eastAsia="zh-CN"/>
        </w:rPr>
        <w:t>技术</w:t>
      </w:r>
      <w:r>
        <w:rPr>
          <w:rFonts w:hint="default"/>
          <w:lang w:val="en-US" w:eastAsia="zh-CN"/>
        </w:rPr>
        <w:t>服务</w:t>
      </w:r>
      <w:r>
        <w:rPr>
          <w:rFonts w:hint="eastAsia"/>
          <w:lang w:val="en-US" w:eastAsia="zh-CN"/>
        </w:rPr>
        <w:t>方式</w:t>
      </w:r>
      <w:bookmarkEnd w:id="11"/>
    </w:p>
    <w:p>
      <w:pPr>
        <w:pStyle w:val="4"/>
        <w:bidi w:val="0"/>
        <w:rPr>
          <w:rFonts w:hint="eastAsia"/>
          <w:lang w:val="en-US" w:eastAsia="zh-CN"/>
        </w:rPr>
      </w:pPr>
      <w:bookmarkStart w:id="12" w:name="_Toc5658"/>
      <w:bookmarkStart w:id="13" w:name="_Toc16413"/>
      <w:r>
        <w:rPr>
          <w:rFonts w:hint="eastAsia"/>
          <w:lang w:val="en-US" w:eastAsia="zh-CN"/>
        </w:rPr>
        <w:t>现场专项改造提升</w:t>
      </w:r>
      <w:bookmarkEnd w:id="12"/>
      <w:bookmarkEnd w:id="13"/>
    </w:p>
    <w:p>
      <w:pPr>
        <w:pStyle w:val="31"/>
        <w:bidi w:val="0"/>
        <w:rPr>
          <w:rFonts w:hint="eastAsia"/>
          <w:lang w:val="en-US" w:eastAsia="zh-CN"/>
        </w:rPr>
      </w:pPr>
      <w:r>
        <w:rPr>
          <w:rFonts w:hint="eastAsia"/>
          <w:lang w:val="en-US" w:eastAsia="zh-CN"/>
        </w:rPr>
        <w:t>针对网络链路优化改造工作，指派专家团队现场梳理网络架构及网络连线情况，定位网络卡顿稳定根源，采取网络物理链路更换、网络配置完善等方式，解决园区网络问题。</w:t>
      </w:r>
    </w:p>
    <w:p>
      <w:pPr>
        <w:pStyle w:val="4"/>
        <w:bidi w:val="0"/>
        <w:rPr>
          <w:rFonts w:hint="eastAsia"/>
          <w:lang w:val="en-US" w:eastAsia="zh-CN"/>
        </w:rPr>
      </w:pPr>
      <w:bookmarkStart w:id="14" w:name="_Toc8657"/>
      <w:bookmarkStart w:id="15" w:name="_Toc9057"/>
      <w:r>
        <w:rPr>
          <w:rFonts w:hint="eastAsia"/>
          <w:lang w:val="en-US" w:eastAsia="zh-CN"/>
        </w:rPr>
        <w:t>定期技术服务支持</w:t>
      </w:r>
      <w:bookmarkEnd w:id="14"/>
      <w:bookmarkEnd w:id="15"/>
    </w:p>
    <w:p>
      <w:pPr>
        <w:pStyle w:val="31"/>
        <w:bidi w:val="0"/>
        <w:rPr>
          <w:rFonts w:hint="eastAsia"/>
          <w:lang w:val="en-US" w:eastAsia="zh-CN"/>
        </w:rPr>
      </w:pPr>
      <w:r>
        <w:rPr>
          <w:rFonts w:hint="eastAsia"/>
          <w:lang w:val="en-US" w:eastAsia="zh-CN"/>
        </w:rPr>
        <w:t>针对常态化的运维保障服务，每月（预估不少于2天）到现场对终端设备、网络设备、服务器、打印机、会议室等设备开展巡检、备份、消缺、安全加固等工作，提供7*24小时技术咨询支持。</w:t>
      </w:r>
    </w:p>
    <w:p>
      <w:pPr>
        <w:pStyle w:val="4"/>
        <w:bidi w:val="0"/>
        <w:rPr>
          <w:rFonts w:hint="eastAsia"/>
          <w:lang w:val="en-US" w:eastAsia="zh-CN"/>
        </w:rPr>
      </w:pPr>
      <w:bookmarkStart w:id="16" w:name="_Toc13595"/>
      <w:bookmarkStart w:id="17" w:name="_Toc14646"/>
      <w:r>
        <w:rPr>
          <w:rFonts w:hint="eastAsia"/>
          <w:lang w:val="en-US" w:eastAsia="zh-CN"/>
        </w:rPr>
        <w:t>软件平台优化完善</w:t>
      </w:r>
      <w:bookmarkEnd w:id="16"/>
    </w:p>
    <w:p>
      <w:pPr>
        <w:rPr>
          <w:rFonts w:hint="default" w:cs="Times New Roman"/>
          <w:lang w:val="en-US" w:eastAsia="zh-CN"/>
        </w:rPr>
      </w:pPr>
      <w:r>
        <w:rPr>
          <w:rFonts w:hint="eastAsia"/>
          <w:lang w:val="en-US" w:eastAsia="zh-CN"/>
        </w:rPr>
        <w:t>“实操基地智慧培训管理平台”和“实操基地智慧培训管理平台移动</w:t>
      </w:r>
      <w:r>
        <w:rPr>
          <w:rFonts w:hint="eastAsia" w:cs="Times New Roman"/>
          <w:lang w:val="en-US" w:eastAsia="zh-CN"/>
        </w:rPr>
        <w:t>应用”系统存在问题修改，易用性改造，满足培训基地系统应用需求。</w:t>
      </w:r>
    </w:p>
    <w:p>
      <w:pPr>
        <w:pStyle w:val="31"/>
        <w:bidi w:val="0"/>
        <w:rPr>
          <w:rFonts w:hint="default"/>
          <w:lang w:val="en-US" w:eastAsia="zh-CN"/>
        </w:rPr>
      </w:pPr>
    </w:p>
    <w:p>
      <w:pPr>
        <w:pStyle w:val="4"/>
        <w:bidi w:val="0"/>
        <w:rPr>
          <w:rFonts w:hint="eastAsia"/>
          <w:lang w:val="en-US" w:eastAsia="zh-CN"/>
        </w:rPr>
      </w:pPr>
      <w:bookmarkStart w:id="18" w:name="_Toc2567"/>
      <w:r>
        <w:rPr>
          <w:rFonts w:hint="eastAsia"/>
          <w:lang w:val="en-US" w:eastAsia="zh-CN"/>
        </w:rPr>
        <w:t>应急相应技术服务支持</w:t>
      </w:r>
      <w:bookmarkEnd w:id="17"/>
      <w:bookmarkEnd w:id="18"/>
    </w:p>
    <w:p>
      <w:pPr>
        <w:pStyle w:val="31"/>
        <w:bidi w:val="0"/>
        <w:rPr>
          <w:rFonts w:hint="default"/>
          <w:lang w:val="en-US" w:eastAsia="zh-CN"/>
        </w:rPr>
      </w:pPr>
      <w:r>
        <w:rPr>
          <w:rFonts w:hint="eastAsia"/>
          <w:lang w:val="en-US" w:eastAsia="zh-CN"/>
        </w:rPr>
        <w:t>针对应急突发情况，提供7*24小时电话技术支持，必要情况下，4小时内赶到现场应急处置。</w:t>
      </w:r>
    </w:p>
    <w:p>
      <w:pPr>
        <w:pStyle w:val="3"/>
        <w:bidi w:val="0"/>
        <w:rPr>
          <w:rFonts w:hint="default"/>
          <w:lang w:val="en-US" w:eastAsia="zh-CN"/>
        </w:rPr>
      </w:pPr>
      <w:bookmarkStart w:id="19" w:name="_Toc30438"/>
      <w:r>
        <w:rPr>
          <w:rFonts w:hint="eastAsia"/>
          <w:lang w:val="en-US" w:eastAsia="zh-CN"/>
        </w:rPr>
        <w:t>技术</w:t>
      </w:r>
      <w:r>
        <w:rPr>
          <w:rFonts w:hint="default"/>
          <w:lang w:val="en-US" w:eastAsia="zh-CN"/>
        </w:rPr>
        <w:t>服务</w:t>
      </w:r>
      <w:r>
        <w:rPr>
          <w:rFonts w:hint="eastAsia"/>
          <w:lang w:val="en-US" w:eastAsia="zh-CN"/>
        </w:rPr>
        <w:t>内容</w:t>
      </w:r>
      <w:bookmarkEnd w:id="19"/>
    </w:p>
    <w:p>
      <w:pPr>
        <w:pStyle w:val="4"/>
        <w:bidi w:val="0"/>
        <w:rPr>
          <w:rFonts w:hint="eastAsia"/>
        </w:rPr>
      </w:pPr>
      <w:bookmarkStart w:id="20" w:name="_Toc31175"/>
      <w:bookmarkStart w:id="21" w:name="_Toc3986"/>
      <w:bookmarkStart w:id="22" w:name="_Toc22792"/>
      <w:r>
        <w:rPr>
          <w:rFonts w:hint="eastAsia"/>
        </w:rPr>
        <w:t>网络链路专线优化</w:t>
      </w:r>
      <w:bookmarkEnd w:id="20"/>
      <w:bookmarkEnd w:id="21"/>
    </w:p>
    <w:p>
      <w:pPr>
        <w:pStyle w:val="5"/>
        <w:bidi w:val="0"/>
        <w:rPr>
          <w:rFonts w:hint="eastAsia"/>
          <w:lang w:val="en-US" w:eastAsia="zh-CN"/>
        </w:rPr>
      </w:pPr>
      <w:r>
        <w:rPr>
          <w:rFonts w:hint="eastAsia"/>
          <w:lang w:val="en-US" w:eastAsia="zh-CN"/>
        </w:rPr>
        <w:t>网络链路优化</w:t>
      </w:r>
    </w:p>
    <w:p>
      <w:pPr>
        <w:bidi w:val="0"/>
        <w:rPr>
          <w:rFonts w:hint="eastAsia"/>
          <w:lang w:val="en-US" w:eastAsia="zh-CN"/>
        </w:rPr>
      </w:pPr>
      <w:r>
        <w:rPr>
          <w:rFonts w:hint="eastAsia"/>
          <w:lang w:val="en-US" w:eastAsia="zh-CN"/>
        </w:rPr>
        <w:t>开展智慧园区网络核查工作，梳理网络连线情况，排查机房至各楼层交换的连接情况，识别网络链路的传输问题点，优化改造物理网络链路，提升网络传输效率。</w:t>
      </w:r>
    </w:p>
    <w:p>
      <w:pPr>
        <w:pStyle w:val="5"/>
        <w:bidi w:val="0"/>
        <w:rPr>
          <w:rFonts w:hint="eastAsia"/>
          <w:lang w:val="en-US" w:eastAsia="zh-CN"/>
        </w:rPr>
      </w:pPr>
      <w:r>
        <w:rPr>
          <w:rFonts w:hint="eastAsia"/>
          <w:lang w:val="en-US" w:eastAsia="zh-CN"/>
        </w:rPr>
        <w:t>安全能力提升</w:t>
      </w:r>
    </w:p>
    <w:p>
      <w:pPr>
        <w:pStyle w:val="31"/>
        <w:bidi w:val="0"/>
        <w:rPr>
          <w:rFonts w:hint="eastAsia"/>
          <w:lang w:val="en-US" w:eastAsia="zh-CN"/>
        </w:rPr>
      </w:pPr>
      <w:r>
        <w:rPr>
          <w:rFonts w:hint="eastAsia"/>
          <w:lang w:val="en-US" w:eastAsia="zh-CN"/>
        </w:rPr>
        <w:t>核查机房网络设备连接，完善网络拓扑架构，强化网络边界的防护，完善防火墙、IPS等安全设备的配置，提升园区网络安全。</w:t>
      </w:r>
    </w:p>
    <w:p>
      <w:pPr>
        <w:pStyle w:val="4"/>
        <w:bidi w:val="0"/>
        <w:rPr>
          <w:rFonts w:hint="eastAsia"/>
        </w:rPr>
      </w:pPr>
      <w:bookmarkStart w:id="23" w:name="_Toc295"/>
      <w:bookmarkStart w:id="24" w:name="_Toc3846"/>
      <w:r>
        <w:rPr>
          <w:rFonts w:hint="eastAsia"/>
        </w:rPr>
        <w:t>基础设施运行维护</w:t>
      </w:r>
      <w:bookmarkEnd w:id="23"/>
      <w:bookmarkEnd w:id="24"/>
    </w:p>
    <w:p>
      <w:pPr>
        <w:pStyle w:val="5"/>
        <w:bidi w:val="0"/>
        <w:rPr>
          <w:rFonts w:hint="eastAsia"/>
        </w:rPr>
      </w:pPr>
      <w:r>
        <w:rPr>
          <w:rFonts w:hint="eastAsia"/>
        </w:rPr>
        <w:t>终端维护</w:t>
      </w:r>
    </w:p>
    <w:p>
      <w:pPr>
        <w:pStyle w:val="31"/>
        <w:bidi w:val="0"/>
        <w:rPr>
          <w:rFonts w:hint="eastAsia"/>
          <w:lang w:eastAsia="zh-CN"/>
        </w:rPr>
      </w:pPr>
      <w:r>
        <w:rPr>
          <w:rFonts w:hint="eastAsia"/>
          <w:lang w:val="en-US" w:eastAsia="zh-CN"/>
        </w:rPr>
        <w:t>开展</w:t>
      </w:r>
      <w:r>
        <w:rPr>
          <w:rFonts w:hint="eastAsia"/>
        </w:rPr>
        <w:t>软件安装、升级、维护及安全加固</w:t>
      </w:r>
      <w:r>
        <w:rPr>
          <w:rFonts w:hint="eastAsia"/>
          <w:lang w:eastAsia="zh-CN"/>
        </w:rPr>
        <w:t>：</w:t>
      </w:r>
      <w:r>
        <w:rPr>
          <w:rFonts w:hint="eastAsia"/>
          <w:lang w:val="en-US" w:eastAsia="zh-CN"/>
        </w:rPr>
        <w:t>提供</w:t>
      </w:r>
      <w:r>
        <w:rPr>
          <w:rFonts w:hint="eastAsia"/>
          <w:lang w:eastAsia="zh-CN"/>
        </w:rPr>
        <w:t>电脑操作系统、通用软件、补丁的安装维护、升级、故障检测及问题处理，办公软件（含移动端）使用咨询、指导及技术支持。终端弱口令、端口及漏洞扫描。终端安全整改、终端基线安全加固实施。</w:t>
      </w:r>
    </w:p>
    <w:p>
      <w:pPr>
        <w:pStyle w:val="31"/>
        <w:bidi w:val="0"/>
        <w:rPr>
          <w:rFonts w:hint="eastAsia"/>
          <w:lang w:val="en-US" w:eastAsia="zh-CN"/>
        </w:rPr>
      </w:pPr>
      <w:r>
        <w:rPr>
          <w:rFonts w:hint="eastAsia"/>
          <w:lang w:val="en-US" w:eastAsia="zh-CN"/>
        </w:rPr>
        <w:t>硬件维修维护及保养：终端故障鉴定及处理，需要更换及时联系招标人购买配件。</w:t>
      </w:r>
    </w:p>
    <w:p>
      <w:pPr>
        <w:pStyle w:val="5"/>
        <w:bidi w:val="0"/>
        <w:rPr>
          <w:rFonts w:hint="eastAsia"/>
        </w:rPr>
      </w:pPr>
      <w:r>
        <w:rPr>
          <w:rFonts w:hint="eastAsia"/>
        </w:rPr>
        <w:t>软硬件基础设施维护</w:t>
      </w:r>
    </w:p>
    <w:p>
      <w:pPr>
        <w:pStyle w:val="31"/>
        <w:bidi w:val="0"/>
        <w:rPr>
          <w:rFonts w:hint="eastAsia"/>
        </w:rPr>
      </w:pPr>
      <w:r>
        <w:rPr>
          <w:rFonts w:hint="eastAsia"/>
          <w:lang w:val="en-US" w:eastAsia="zh-CN"/>
        </w:rPr>
        <w:t>软件系统运维：开展智慧管理软件平台（含智慧培评APP）的</w:t>
      </w:r>
      <w:r>
        <w:rPr>
          <w:rFonts w:hint="eastAsia"/>
        </w:rPr>
        <w:t>监控</w:t>
      </w:r>
      <w:r>
        <w:rPr>
          <w:rFonts w:hint="eastAsia"/>
          <w:lang w:eastAsia="zh-CN"/>
        </w:rPr>
        <w:t>、</w:t>
      </w:r>
      <w:r>
        <w:rPr>
          <w:rFonts w:hint="eastAsia"/>
        </w:rPr>
        <w:t>系统巡检、</w:t>
      </w:r>
      <w:r>
        <w:rPr>
          <w:rFonts w:hint="eastAsia"/>
          <w:lang w:val="en-US" w:eastAsia="zh-CN"/>
        </w:rPr>
        <w:t>日</w:t>
      </w:r>
      <w:r>
        <w:rPr>
          <w:rFonts w:hint="eastAsia"/>
        </w:rPr>
        <w:t>常系统操作、配置维护、运行分析、备份/恢复、故障处理、系统优化、安全整改及安全加固等。</w:t>
      </w:r>
    </w:p>
    <w:p>
      <w:pPr>
        <w:pStyle w:val="31"/>
        <w:bidi w:val="0"/>
        <w:rPr>
          <w:rFonts w:hint="eastAsia"/>
          <w:lang w:val="en-US" w:eastAsia="zh-CN"/>
        </w:rPr>
      </w:pPr>
      <w:r>
        <w:rPr>
          <w:rFonts w:hint="eastAsia"/>
          <w:lang w:val="en-US" w:eastAsia="zh-CN"/>
        </w:rPr>
        <w:t>硬件设备维护：开展服务器硬件基础设施的维护工作。</w:t>
      </w:r>
    </w:p>
    <w:p>
      <w:pPr>
        <w:pStyle w:val="5"/>
        <w:bidi w:val="0"/>
        <w:rPr>
          <w:rFonts w:hint="eastAsia"/>
        </w:rPr>
      </w:pPr>
      <w:r>
        <w:rPr>
          <w:rFonts w:hint="eastAsia"/>
        </w:rPr>
        <w:t>网络维护</w:t>
      </w:r>
    </w:p>
    <w:p>
      <w:pPr>
        <w:pStyle w:val="31"/>
        <w:bidi w:val="0"/>
        <w:rPr>
          <w:rFonts w:hint="eastAsia"/>
          <w:lang w:eastAsia="zh-CN"/>
        </w:rPr>
      </w:pPr>
      <w:r>
        <w:rPr>
          <w:rFonts w:hint="eastAsia"/>
        </w:rPr>
        <w:t>网络布线及网络系统的维护</w:t>
      </w:r>
      <w:r>
        <w:rPr>
          <w:rFonts w:hint="eastAsia"/>
          <w:lang w:eastAsia="zh-CN"/>
        </w:rPr>
        <w:t>：</w:t>
      </w:r>
      <w:r>
        <w:rPr>
          <w:rFonts w:hint="eastAsia"/>
          <w:lang w:val="en-US" w:eastAsia="zh-CN"/>
        </w:rPr>
        <w:t>按照要求完成机房、办公区域的网络布线，检修</w:t>
      </w:r>
      <w:r>
        <w:rPr>
          <w:rFonts w:hint="eastAsia"/>
        </w:rPr>
        <w:t>网络通讯线路</w:t>
      </w:r>
      <w:r>
        <w:rPr>
          <w:rFonts w:hint="eastAsia"/>
          <w:lang w:eastAsia="zh-CN"/>
        </w:rPr>
        <w:t>、</w:t>
      </w:r>
      <w:r>
        <w:rPr>
          <w:rFonts w:hint="eastAsia"/>
        </w:rPr>
        <w:t>桌面网口</w:t>
      </w:r>
      <w:r>
        <w:rPr>
          <w:rFonts w:hint="eastAsia"/>
          <w:lang w:eastAsia="zh-CN"/>
        </w:rPr>
        <w:t>，</w:t>
      </w:r>
      <w:r>
        <w:rPr>
          <w:rFonts w:hint="eastAsia"/>
        </w:rPr>
        <w:t>解决办公网络故障</w:t>
      </w:r>
      <w:r>
        <w:rPr>
          <w:rFonts w:hint="eastAsia"/>
          <w:lang w:eastAsia="zh-CN"/>
        </w:rPr>
        <w:t>。</w:t>
      </w:r>
    </w:p>
    <w:p>
      <w:pPr>
        <w:pStyle w:val="31"/>
        <w:bidi w:val="0"/>
        <w:rPr>
          <w:rFonts w:hint="eastAsia"/>
          <w:lang w:val="en-US" w:eastAsia="zh-CN"/>
        </w:rPr>
      </w:pPr>
      <w:r>
        <w:rPr>
          <w:rFonts w:hint="eastAsia"/>
          <w:lang w:eastAsia="zh-CN"/>
        </w:rPr>
        <w:t>交换机网络设备、安全设备</w:t>
      </w:r>
      <w:r>
        <w:rPr>
          <w:rFonts w:hint="eastAsia"/>
          <w:lang w:val="en-US" w:eastAsia="zh-CN"/>
        </w:rPr>
        <w:t>的配置及维护：按照要求配置网络设备，定期备份配置，解决网络问题及网络故障。</w:t>
      </w:r>
    </w:p>
    <w:p>
      <w:pPr>
        <w:pStyle w:val="4"/>
        <w:bidi w:val="0"/>
        <w:rPr>
          <w:rFonts w:hint="eastAsia"/>
          <w:lang w:val="en-US" w:eastAsia="zh-CN"/>
        </w:rPr>
      </w:pPr>
      <w:bookmarkStart w:id="25" w:name="_Toc30066"/>
      <w:bookmarkStart w:id="26" w:name="_Toc11595"/>
      <w:r>
        <w:rPr>
          <w:rFonts w:hint="eastAsia"/>
          <w:lang w:val="en-US" w:eastAsia="zh-CN"/>
        </w:rPr>
        <w:t>智慧基地管理软件平台优化完善</w:t>
      </w:r>
      <w:bookmarkEnd w:id="25"/>
      <w:bookmarkEnd w:id="26"/>
    </w:p>
    <w:p>
      <w:pPr>
        <w:pStyle w:val="31"/>
        <w:bidi w:val="0"/>
        <w:rPr>
          <w:rFonts w:hint="default"/>
          <w:lang w:eastAsia="zh-CN"/>
        </w:rPr>
      </w:pPr>
      <w:r>
        <w:rPr>
          <w:rFonts w:hint="eastAsia"/>
          <w:lang w:val="en-US" w:eastAsia="zh-CN"/>
        </w:rPr>
        <w:t>对“实操基地智慧培训管理平台”和“实操基地智慧培训管理平台移动应用”系统的智能实训场、人机智能巡检、智能考试、智能教室、智能宿舍、智能食堂、智能仓储、智能门禁、智能大屏应用场景进行优化完善，满足培训基地系统易用性和实用性要求</w:t>
      </w:r>
      <w:r>
        <w:rPr>
          <w:rFonts w:hint="default"/>
          <w:lang w:eastAsia="zh-CN"/>
        </w:rPr>
        <w:t>。</w:t>
      </w:r>
    </w:p>
    <w:p>
      <w:pPr>
        <w:pStyle w:val="3"/>
        <w:bidi w:val="0"/>
        <w:rPr>
          <w:rFonts w:hint="eastAsia"/>
          <w:lang w:val="en-US" w:eastAsia="zh-CN"/>
        </w:rPr>
      </w:pPr>
      <w:bookmarkStart w:id="27" w:name="_Toc19234"/>
      <w:r>
        <w:rPr>
          <w:rFonts w:hint="eastAsia"/>
          <w:lang w:val="en-US" w:eastAsia="zh-CN"/>
        </w:rPr>
        <w:t>人员配置及服务能力要求</w:t>
      </w:r>
      <w:bookmarkEnd w:id="27"/>
    </w:p>
    <w:p>
      <w:pPr>
        <w:pStyle w:val="4"/>
        <w:bidi w:val="0"/>
        <w:rPr>
          <w:rFonts w:hint="eastAsia"/>
          <w:lang w:val="en-US" w:eastAsia="zh-CN"/>
        </w:rPr>
      </w:pPr>
      <w:bookmarkStart w:id="28" w:name="_Toc23557"/>
      <w:r>
        <w:rPr>
          <w:rFonts w:hint="eastAsia"/>
          <w:lang w:val="en-US" w:eastAsia="zh-CN"/>
        </w:rPr>
        <w:t>团队成员数量要求</w:t>
      </w:r>
      <w:bookmarkEnd w:id="28"/>
    </w:p>
    <w:p>
      <w:pPr>
        <w:pStyle w:val="31"/>
        <w:bidi w:val="0"/>
        <w:rPr>
          <w:rFonts w:hint="eastAsia"/>
          <w:lang w:val="en-US" w:eastAsia="zh-CN"/>
        </w:rPr>
      </w:pPr>
      <w:r>
        <w:rPr>
          <w:rFonts w:hint="eastAsia"/>
          <w:lang w:val="en-US" w:eastAsia="zh-CN"/>
        </w:rPr>
        <w:t>1.项目经理数量：1人，。</w:t>
      </w:r>
    </w:p>
    <w:p>
      <w:pPr>
        <w:pStyle w:val="31"/>
        <w:bidi w:val="0"/>
        <w:rPr>
          <w:rFonts w:hint="eastAsia"/>
          <w:lang w:val="en-US" w:eastAsia="zh-CN"/>
        </w:rPr>
      </w:pPr>
      <w:r>
        <w:rPr>
          <w:rFonts w:hint="eastAsia"/>
          <w:lang w:val="en-US" w:eastAsia="zh-CN"/>
        </w:rPr>
        <w:t>2.团队成员数量：2人（不包含项目经理）。</w:t>
      </w:r>
    </w:p>
    <w:p>
      <w:pPr>
        <w:pStyle w:val="4"/>
        <w:bidi w:val="0"/>
        <w:rPr>
          <w:rFonts w:hint="eastAsia"/>
          <w:lang w:val="en-US" w:eastAsia="zh-CN"/>
        </w:rPr>
      </w:pPr>
      <w:bookmarkStart w:id="29" w:name="_Toc13973"/>
      <w:r>
        <w:rPr>
          <w:rFonts w:hint="eastAsia"/>
          <w:lang w:val="en-US" w:eastAsia="zh-CN"/>
        </w:rPr>
        <w:t>团队成员资质要求</w:t>
      </w:r>
      <w:bookmarkEnd w:id="29"/>
    </w:p>
    <w:p>
      <w:pPr>
        <w:pStyle w:val="31"/>
        <w:bidi w:val="0"/>
        <w:rPr>
          <w:rFonts w:hint="eastAsia"/>
          <w:lang w:val="en-US" w:eastAsia="zh-CN"/>
        </w:rPr>
      </w:pPr>
      <w:r>
        <w:rPr>
          <w:rFonts w:hint="eastAsia"/>
          <w:lang w:val="en-US" w:eastAsia="zh-CN"/>
        </w:rPr>
        <w:t>1．项目经理资质：大学本科及以上学历，至少具备3年软硬件平台维护类项目负责人经验，持有PMP或者信息系统项目管理师（软考高级）证书或同等资质证书，并提供相应的证明材料。</w:t>
      </w:r>
    </w:p>
    <w:p>
      <w:pPr>
        <w:pStyle w:val="31"/>
        <w:bidi w:val="0"/>
        <w:rPr>
          <w:rFonts w:hint="eastAsia"/>
          <w:lang w:val="en-US" w:eastAsia="zh-CN"/>
        </w:rPr>
      </w:pPr>
      <w:r>
        <w:rPr>
          <w:rFonts w:hint="eastAsia"/>
          <w:lang w:val="en-US" w:eastAsia="zh-CN"/>
        </w:rPr>
        <w:t>2．团队成员资质：至少持有1个以下证书： RHCE（红帽认证专家）或RHCA(红 帽认证大师)或HCIP（华为数通）或CCIE（思科路由交换机专家）或网络工程师（软考中级）或网络规划设计师（软考高级）或同等资质证书。</w:t>
      </w:r>
      <w:bookmarkEnd w:id="22"/>
    </w:p>
    <w:p>
      <w:pPr>
        <w:pStyle w:val="3"/>
        <w:tabs>
          <w:tab w:val="left" w:pos="576"/>
          <w:tab w:val="clear" w:pos="432"/>
        </w:tabs>
        <w:bidi w:val="0"/>
        <w:ind w:left="0" w:firstLine="0"/>
        <w:rPr>
          <w:rFonts w:hint="default" w:ascii="Times New Roman" w:hAnsi="Times New Roman" w:cs="Times New Roman"/>
          <w:b/>
          <w:bCs/>
          <w:lang w:val="en-US" w:eastAsia="zh-CN"/>
        </w:rPr>
      </w:pPr>
      <w:bookmarkStart w:id="30" w:name="_Toc23023"/>
      <w:bookmarkStart w:id="31" w:name="_Toc4020"/>
      <w:bookmarkStart w:id="32" w:name="_Toc18332"/>
      <w:r>
        <w:rPr>
          <w:rFonts w:hint="eastAsia" w:ascii="Times New Roman" w:hAnsi="Times New Roman" w:cs="Times New Roman"/>
          <w:b/>
          <w:bCs/>
          <w:lang w:val="en-US" w:eastAsia="zh-CN"/>
        </w:rPr>
        <w:t>项目验收</w:t>
      </w:r>
      <w:bookmarkEnd w:id="30"/>
      <w:bookmarkEnd w:id="31"/>
    </w:p>
    <w:p>
      <w:pPr>
        <w:bidi w:val="0"/>
        <w:rPr>
          <w:rFonts w:hint="eastAsia"/>
          <w:lang w:val="en-US" w:eastAsia="zh-CN"/>
        </w:rPr>
      </w:pPr>
      <w:r>
        <w:rPr>
          <w:rFonts w:hint="eastAsia"/>
          <w:lang w:val="en-US" w:eastAsia="zh-CN"/>
        </w:rPr>
        <w:t>双方确定以下列标准和方式对中标人的服务及工作成果进行验收：</w:t>
      </w:r>
    </w:p>
    <w:p>
      <w:pPr>
        <w:pStyle w:val="4"/>
        <w:bidi w:val="0"/>
        <w:rPr>
          <w:rFonts w:hint="eastAsia"/>
          <w:lang w:val="en-US" w:eastAsia="zh-CN"/>
        </w:rPr>
      </w:pPr>
      <w:bookmarkStart w:id="33" w:name="_Toc32491"/>
      <w:bookmarkStart w:id="34" w:name="_Toc26199"/>
      <w:bookmarkStart w:id="35" w:name="_Toc379746246"/>
      <w:bookmarkStart w:id="36" w:name="_Toc368234644"/>
      <w:bookmarkStart w:id="37" w:name="_Toc1712"/>
      <w:r>
        <w:rPr>
          <w:rFonts w:hint="eastAsia"/>
        </w:rPr>
        <w:t>验收标准</w:t>
      </w:r>
      <w:bookmarkEnd w:id="33"/>
      <w:bookmarkEnd w:id="34"/>
      <w:bookmarkEnd w:id="35"/>
      <w:bookmarkEnd w:id="36"/>
      <w:bookmarkEnd w:id="37"/>
    </w:p>
    <w:p>
      <w:pPr>
        <w:bidi w:val="0"/>
        <w:rPr>
          <w:rFonts w:hint="eastAsia"/>
        </w:rPr>
      </w:pPr>
      <w:r>
        <w:rPr>
          <w:rFonts w:hint="eastAsia"/>
          <w:lang w:val="en-US" w:eastAsia="zh-CN"/>
        </w:rPr>
        <w:t>1、</w:t>
      </w:r>
      <w:r>
        <w:rPr>
          <w:rFonts w:hint="eastAsia"/>
          <w:lang w:eastAsia="zh-CN"/>
        </w:rPr>
        <w:t>中标人</w:t>
      </w:r>
      <w:r>
        <w:rPr>
          <w:rFonts w:hint="eastAsia"/>
        </w:rPr>
        <w:t>按照双方签订的技术协议完成约定的</w:t>
      </w:r>
      <w:r>
        <w:rPr>
          <w:rFonts w:hint="eastAsia"/>
          <w:lang w:val="en-US" w:eastAsia="zh-CN"/>
        </w:rPr>
        <w:t>相关</w:t>
      </w:r>
      <w:r>
        <w:rPr>
          <w:rFonts w:hint="eastAsia"/>
        </w:rPr>
        <w:t>工作。</w:t>
      </w:r>
    </w:p>
    <w:p>
      <w:pPr>
        <w:bidi w:val="0"/>
        <w:rPr>
          <w:rFonts w:hint="eastAsia"/>
        </w:rPr>
      </w:pPr>
      <w:r>
        <w:rPr>
          <w:rFonts w:hint="eastAsia"/>
          <w:lang w:val="en-US" w:eastAsia="zh-CN"/>
        </w:rPr>
        <w:t>2、</w:t>
      </w:r>
      <w:r>
        <w:rPr>
          <w:rFonts w:hint="eastAsia"/>
          <w:lang w:eastAsia="zh-CN"/>
        </w:rPr>
        <w:t>中标人</w:t>
      </w:r>
      <w:r>
        <w:rPr>
          <w:rFonts w:hint="eastAsia"/>
        </w:rPr>
        <w:t>提交成果符合</w:t>
      </w:r>
      <w:r>
        <w:rPr>
          <w:rFonts w:hint="eastAsia"/>
          <w:lang w:eastAsia="zh-CN"/>
        </w:rPr>
        <w:t>招标人</w:t>
      </w:r>
      <w:r>
        <w:rPr>
          <w:rFonts w:hint="eastAsia"/>
        </w:rPr>
        <w:t>信息化项目验收相关标准和管理办法。</w:t>
      </w:r>
    </w:p>
    <w:p>
      <w:pPr>
        <w:pStyle w:val="4"/>
        <w:bidi w:val="0"/>
        <w:rPr>
          <w:rFonts w:hint="eastAsia"/>
          <w:lang w:val="en-US" w:eastAsia="zh-CN"/>
        </w:rPr>
      </w:pPr>
      <w:bookmarkStart w:id="38" w:name="_Toc32584"/>
      <w:bookmarkStart w:id="39" w:name="_Toc27699"/>
      <w:r>
        <w:rPr>
          <w:rFonts w:hint="eastAsia"/>
        </w:rPr>
        <w:t>验收</w:t>
      </w:r>
      <w:r>
        <w:rPr>
          <w:rFonts w:hint="eastAsia"/>
          <w:lang w:val="en-US" w:eastAsia="zh-CN"/>
        </w:rPr>
        <w:t>方法</w:t>
      </w:r>
      <w:bookmarkEnd w:id="38"/>
      <w:bookmarkEnd w:id="39"/>
    </w:p>
    <w:p>
      <w:pPr>
        <w:bidi w:val="0"/>
        <w:rPr>
          <w:rFonts w:hint="eastAsia"/>
        </w:rPr>
      </w:pPr>
      <w:r>
        <w:rPr>
          <w:rFonts w:hint="eastAsia"/>
        </w:rPr>
        <w:t>如双方认为项目已具备验收条件，</w:t>
      </w:r>
      <w:r>
        <w:rPr>
          <w:rFonts w:hint="eastAsia"/>
          <w:lang w:eastAsia="zh-CN"/>
        </w:rPr>
        <w:t>中标人</w:t>
      </w:r>
      <w:r>
        <w:rPr>
          <w:rFonts w:hint="eastAsia"/>
        </w:rPr>
        <w:t>向</w:t>
      </w:r>
      <w:r>
        <w:rPr>
          <w:rFonts w:hint="eastAsia"/>
          <w:lang w:eastAsia="zh-CN"/>
        </w:rPr>
        <w:t>招标人</w:t>
      </w:r>
      <w:r>
        <w:rPr>
          <w:rFonts w:hint="eastAsia"/>
        </w:rPr>
        <w:t>提出验收申请，</w:t>
      </w:r>
      <w:r>
        <w:rPr>
          <w:rFonts w:hint="eastAsia"/>
          <w:lang w:eastAsia="zh-CN"/>
        </w:rPr>
        <w:t>招标人</w:t>
      </w:r>
      <w:r>
        <w:rPr>
          <w:rFonts w:hint="eastAsia"/>
        </w:rPr>
        <w:t>在接到</w:t>
      </w:r>
      <w:r>
        <w:rPr>
          <w:rFonts w:hint="eastAsia"/>
          <w:lang w:eastAsia="zh-CN"/>
        </w:rPr>
        <w:t>中标人</w:t>
      </w:r>
      <w:r>
        <w:rPr>
          <w:rFonts w:hint="eastAsia"/>
        </w:rPr>
        <w:t>验收申请后组织对</w:t>
      </w:r>
      <w:r>
        <w:rPr>
          <w:rFonts w:hint="eastAsia"/>
          <w:lang w:eastAsia="zh-CN"/>
        </w:rPr>
        <w:t>中标人</w:t>
      </w:r>
      <w:r>
        <w:rPr>
          <w:rFonts w:hint="eastAsia"/>
        </w:rPr>
        <w:t>提交的资料进行审核，确认</w:t>
      </w:r>
      <w:r>
        <w:rPr>
          <w:rFonts w:hint="eastAsia"/>
          <w:lang w:eastAsia="zh-CN"/>
        </w:rPr>
        <w:t>中标人</w:t>
      </w:r>
      <w:r>
        <w:rPr>
          <w:rFonts w:hint="eastAsia"/>
        </w:rPr>
        <w:t>提交资料符合</w:t>
      </w:r>
      <w:r>
        <w:rPr>
          <w:rFonts w:hint="eastAsia"/>
          <w:lang w:val="en-US" w:eastAsia="zh-CN"/>
        </w:rPr>
        <w:t>招标人</w:t>
      </w:r>
      <w:r>
        <w:rPr>
          <w:rFonts w:hint="eastAsia"/>
        </w:rPr>
        <w:t>信息化项目验收标准后，由</w:t>
      </w:r>
      <w:r>
        <w:rPr>
          <w:rFonts w:hint="eastAsia"/>
          <w:lang w:eastAsia="zh-CN"/>
        </w:rPr>
        <w:t>招标人</w:t>
      </w:r>
      <w:r>
        <w:rPr>
          <w:rFonts w:hint="eastAsia"/>
        </w:rPr>
        <w:t>组织相关人员对</w:t>
      </w:r>
      <w:r>
        <w:rPr>
          <w:rFonts w:hint="eastAsia"/>
          <w:lang w:eastAsia="zh-CN"/>
        </w:rPr>
        <w:t>中标人</w:t>
      </w:r>
      <w:r>
        <w:rPr>
          <w:rFonts w:hint="eastAsia"/>
        </w:rPr>
        <w:t>工作提交的交付物进行评审。</w:t>
      </w:r>
    </w:p>
    <w:p>
      <w:pPr>
        <w:pStyle w:val="4"/>
        <w:bidi w:val="0"/>
        <w:rPr>
          <w:rFonts w:hint="eastAsia"/>
        </w:rPr>
      </w:pPr>
      <w:bookmarkStart w:id="40" w:name="_Toc368234646"/>
      <w:bookmarkStart w:id="41" w:name="_Toc10186"/>
      <w:bookmarkStart w:id="42" w:name="_Toc379746248"/>
      <w:bookmarkStart w:id="43" w:name="_Toc11130"/>
      <w:bookmarkStart w:id="44" w:name="_Toc14183"/>
      <w:r>
        <w:rPr>
          <w:rFonts w:hint="eastAsia"/>
        </w:rPr>
        <w:t>验收时间与地点</w:t>
      </w:r>
      <w:bookmarkEnd w:id="40"/>
      <w:bookmarkEnd w:id="41"/>
      <w:bookmarkEnd w:id="42"/>
      <w:bookmarkEnd w:id="43"/>
      <w:bookmarkEnd w:id="44"/>
    </w:p>
    <w:p>
      <w:pPr>
        <w:bidi w:val="0"/>
        <w:rPr>
          <w:rFonts w:hint="eastAsia"/>
        </w:rPr>
      </w:pPr>
      <w:r>
        <w:rPr>
          <w:rFonts w:hint="eastAsia"/>
        </w:rPr>
        <w:t>验收时间：</w:t>
      </w:r>
      <w:r>
        <w:rPr>
          <w:rFonts w:hint="eastAsia"/>
          <w:lang w:eastAsia="zh-CN"/>
        </w:rPr>
        <w:t>中标人</w:t>
      </w:r>
      <w:r>
        <w:rPr>
          <w:rFonts w:hint="eastAsia"/>
        </w:rPr>
        <w:t>提交验收申请，经</w:t>
      </w:r>
      <w:r>
        <w:rPr>
          <w:rFonts w:hint="eastAsia"/>
          <w:lang w:eastAsia="zh-CN"/>
        </w:rPr>
        <w:t>招标人</w:t>
      </w:r>
      <w:r>
        <w:rPr>
          <w:rFonts w:hint="eastAsia"/>
        </w:rPr>
        <w:t>确认提交资料满足验收标准</w:t>
      </w:r>
      <w:r>
        <w:rPr>
          <w:rFonts w:hint="eastAsia"/>
          <w:lang w:val="en-US" w:eastAsia="zh-CN"/>
        </w:rPr>
        <w:t>后</w:t>
      </w:r>
      <w:r>
        <w:rPr>
          <w:rFonts w:hint="eastAsia"/>
        </w:rPr>
        <w:t>，双方具体约定。</w:t>
      </w:r>
    </w:p>
    <w:p>
      <w:pPr>
        <w:bidi w:val="0"/>
        <w:rPr>
          <w:rFonts w:hint="default"/>
        </w:rPr>
      </w:pPr>
      <w:r>
        <w:rPr>
          <w:rFonts w:hint="eastAsia"/>
        </w:rPr>
        <w:t>验收地点：双方具体约定</w:t>
      </w:r>
      <w:r>
        <w:rPr>
          <w:rFonts w:hint="default"/>
        </w:rPr>
        <w:t>。</w:t>
      </w:r>
    </w:p>
    <w:p>
      <w:pPr>
        <w:pStyle w:val="3"/>
        <w:bidi w:val="0"/>
        <w:rPr>
          <w:rFonts w:hint="default"/>
          <w:lang w:val="en-US" w:eastAsia="zh-CN"/>
        </w:rPr>
      </w:pPr>
      <w:bookmarkStart w:id="45" w:name="_Toc25172"/>
      <w:r>
        <w:rPr>
          <w:rFonts w:hint="eastAsia"/>
          <w:lang w:val="en-US" w:eastAsia="zh-CN"/>
        </w:rPr>
        <w:t>其他</w:t>
      </w:r>
      <w:r>
        <w:rPr>
          <w:rFonts w:hint="default"/>
          <w:lang w:val="en-US" w:eastAsia="zh-CN"/>
        </w:rPr>
        <w:t>要求</w:t>
      </w:r>
      <w:bookmarkEnd w:id="32"/>
      <w:bookmarkEnd w:id="45"/>
    </w:p>
    <w:p>
      <w:pPr>
        <w:pStyle w:val="4"/>
        <w:tabs>
          <w:tab w:val="left" w:pos="432"/>
          <w:tab w:val="clear" w:pos="576"/>
        </w:tabs>
        <w:bidi w:val="0"/>
        <w:rPr>
          <w:rFonts w:hint="default"/>
          <w:lang w:val="en-US" w:eastAsia="zh-CN"/>
        </w:rPr>
      </w:pPr>
      <w:bookmarkStart w:id="46" w:name="_Toc5563"/>
      <w:bookmarkStart w:id="47" w:name="_Toc26670"/>
      <w:r>
        <w:rPr>
          <w:rFonts w:hint="default"/>
          <w:lang w:val="en-US" w:eastAsia="zh-CN"/>
        </w:rPr>
        <w:t>网络安全</w:t>
      </w:r>
      <w:r>
        <w:rPr>
          <w:rFonts w:hint="eastAsia"/>
          <w:lang w:val="en-US" w:eastAsia="zh-CN"/>
        </w:rPr>
        <w:t>及</w:t>
      </w:r>
      <w:r>
        <w:rPr>
          <w:rFonts w:hint="default"/>
          <w:lang w:val="en-US" w:eastAsia="zh-CN"/>
        </w:rPr>
        <w:t>数据安全限制性要求</w:t>
      </w:r>
      <w:bookmarkEnd w:id="46"/>
      <w:bookmarkEnd w:id="47"/>
    </w:p>
    <w:p>
      <w:pPr>
        <w:bidi w:val="0"/>
        <w:rPr>
          <w:rFonts w:hint="default"/>
          <w:lang w:val="en-US" w:eastAsia="zh-CN"/>
        </w:rPr>
      </w:pPr>
      <w:r>
        <w:rPr>
          <w:rFonts w:hint="default"/>
          <w:lang w:val="en-US" w:eastAsia="zh-CN"/>
        </w:rPr>
        <w:t>1.中标人应对其人员进行网络安全培训，签订网络安全责任书，提高风险管理意识，敦促项目相关人员清理在个人终端或发布在互联网上的同类系统源代码、网络拓扑、系统账号等敏感信息，确保网络安全管控措施在服务过程中有效落实。</w:t>
      </w:r>
    </w:p>
    <w:p>
      <w:pPr>
        <w:bidi w:val="0"/>
        <w:rPr>
          <w:rFonts w:hint="default"/>
          <w:lang w:val="en-US" w:eastAsia="zh-CN"/>
        </w:rPr>
      </w:pPr>
      <w:r>
        <w:rPr>
          <w:rFonts w:hint="default"/>
          <w:lang w:val="en-US" w:eastAsia="zh-CN"/>
        </w:rPr>
        <w:t>2.中标人人员应遵守招标人场地管理、设备使用等方面的制度和规定。中标人承诺保障招标人信息的安全性。因中标人原因造成招标人敏感信息泄露或发生有责任的网络安全事件时，招标人有权随时终止本合同并要求中标人赔偿因此给招标人造成的全部损失。招标人有权对中标人与本项目工作有关的工作履行情况及网络安全和控制情况进行监控、检查和评价。中标人应按照招标人安排定期或不定期对中标人在服务过程中的合规行为进行自查并向招标人报告情况。</w:t>
      </w:r>
    </w:p>
    <w:p>
      <w:pPr>
        <w:bidi w:val="0"/>
        <w:rPr>
          <w:rFonts w:hint="default"/>
          <w:lang w:val="en-US" w:eastAsia="zh-CN"/>
        </w:rPr>
      </w:pPr>
      <w:r>
        <w:rPr>
          <w:rFonts w:hint="default"/>
          <w:lang w:val="en-US" w:eastAsia="zh-CN"/>
        </w:rPr>
        <w:t>3.中标人应有相应的网络安全保障能力及管控措施，并有应对突发网络安全事件的能力。</w:t>
      </w:r>
    </w:p>
    <w:p>
      <w:pPr>
        <w:bidi w:val="0"/>
        <w:rPr>
          <w:rFonts w:hint="default"/>
          <w:lang w:val="en-US" w:eastAsia="zh-CN"/>
        </w:rPr>
      </w:pPr>
      <w:r>
        <w:rPr>
          <w:rFonts w:hint="default"/>
          <w:lang w:val="en-US" w:eastAsia="zh-CN"/>
        </w:rPr>
        <w:t>4.中标人不得在项目期间利用招标人网络资源或相关业务平台从事危害国家安全等违法犯罪活动，不得利用招标人网络资源或相关业务平台制作、查阅、复制和传播违反宪法和法律、妨碍社会治安、破坏国家统一、破坏民族团结、色情、暴力等信息。</w:t>
      </w:r>
    </w:p>
    <w:p>
      <w:pPr>
        <w:bidi w:val="0"/>
        <w:rPr>
          <w:rFonts w:hint="default"/>
          <w:lang w:val="en-US" w:eastAsia="zh-CN"/>
        </w:rPr>
      </w:pPr>
      <w:r>
        <w:rPr>
          <w:rFonts w:hint="default"/>
          <w:lang w:val="en-US" w:eastAsia="zh-CN"/>
        </w:rPr>
        <w:t>5.招标人与中标人签订保密承诺书，要求其自查敏感信息，不得向第三方提供与系统有关的源代码、系统架构、配置、项目过程中的相关数据等信息，不得在互联网各类共享平台（GITHUB等）上发布与系统有关的源代码、系统架构、配置、项目过程中的相关数据等相关信息，做好个人终端上的敏感信息清查。未经招标人书面同意，不得将项目过程中的相关数据用于任何学术交流、教育培训、技术交流等活动。</w:t>
      </w:r>
    </w:p>
    <w:p>
      <w:pPr>
        <w:bidi w:val="0"/>
        <w:rPr>
          <w:rFonts w:hint="default"/>
          <w:lang w:val="en-US" w:eastAsia="zh-CN"/>
        </w:rPr>
      </w:pPr>
      <w:r>
        <w:rPr>
          <w:rFonts w:hint="default"/>
          <w:lang w:val="en-US" w:eastAsia="zh-CN"/>
        </w:rPr>
        <w:t>6.中标人不得在互联网上私搭乱建未经授权的包含招标人信息数据（包括但不限于南方电网及云南电网名称和LOGO等）的测试环境，不得擅自将未经测试通过的系统放在互联网测试环境中。</w:t>
      </w:r>
    </w:p>
    <w:p>
      <w:pPr>
        <w:bidi w:val="0"/>
        <w:rPr>
          <w:rFonts w:hint="default"/>
          <w:lang w:val="en-US" w:eastAsia="zh-CN"/>
        </w:rPr>
      </w:pPr>
      <w:r>
        <w:rPr>
          <w:rFonts w:hint="default"/>
          <w:lang w:val="en-US" w:eastAsia="zh-CN"/>
        </w:rPr>
        <w:t>7.若由于中标人的离职人员导致招标人的敏感信息泄露和发生网络安全事件的，由中标人全责承担。</w:t>
      </w:r>
    </w:p>
    <w:p>
      <w:pPr>
        <w:pStyle w:val="4"/>
        <w:tabs>
          <w:tab w:val="left" w:pos="432"/>
          <w:tab w:val="clear" w:pos="576"/>
        </w:tabs>
        <w:bidi w:val="0"/>
        <w:rPr>
          <w:rFonts w:hint="default"/>
          <w:lang w:val="en-US" w:eastAsia="zh-CN"/>
        </w:rPr>
      </w:pPr>
      <w:bookmarkStart w:id="48" w:name="_Toc4514"/>
      <w:bookmarkStart w:id="49" w:name="_Toc1865"/>
      <w:r>
        <w:rPr>
          <w:rFonts w:hint="default"/>
          <w:lang w:val="en-US" w:eastAsia="zh-CN"/>
        </w:rPr>
        <w:t>保密及敏感信息管理要求</w:t>
      </w:r>
      <w:bookmarkEnd w:id="48"/>
      <w:bookmarkEnd w:id="49"/>
    </w:p>
    <w:p>
      <w:pPr>
        <w:bidi w:val="0"/>
        <w:rPr>
          <w:rFonts w:hint="default"/>
          <w:lang w:val="en-US" w:eastAsia="zh-CN"/>
        </w:rPr>
      </w:pPr>
      <w:r>
        <w:rPr>
          <w:rFonts w:hint="default"/>
          <w:lang w:val="en-US" w:eastAsia="zh-CN"/>
        </w:rPr>
        <w:t>鉴于中标人在提供服务期间，需要开放信息系统的访问权限，为加强信息系统的信息安全管理，提出以下要求：</w:t>
      </w:r>
    </w:p>
    <w:p>
      <w:pPr>
        <w:bidi w:val="0"/>
        <w:rPr>
          <w:rFonts w:hint="default"/>
          <w:lang w:val="en-US" w:eastAsia="zh-CN"/>
        </w:rPr>
      </w:pPr>
      <w:r>
        <w:rPr>
          <w:rFonts w:hint="default"/>
          <w:lang w:val="en-US" w:eastAsia="zh-CN"/>
        </w:rPr>
        <w:t>1.投标人一旦中标，须与招标人签署保密协议。中标人承担永久性保密义务，保密义务在双方合作期间以及合作结束后均为有效。</w:t>
      </w:r>
    </w:p>
    <w:p>
      <w:pPr>
        <w:bidi w:val="0"/>
        <w:rPr>
          <w:rFonts w:hint="default"/>
          <w:lang w:val="en-US" w:eastAsia="zh-CN"/>
        </w:rPr>
      </w:pPr>
      <w:r>
        <w:rPr>
          <w:rFonts w:hint="default"/>
          <w:lang w:val="en-US" w:eastAsia="zh-CN"/>
        </w:rPr>
        <w:t>2.中标人技术人员在项目结束后，应归还并删除在项目期间接触所涉的招标人信息资料。</w:t>
      </w:r>
    </w:p>
    <w:p>
      <w:pPr>
        <w:bidi w:val="0"/>
        <w:rPr>
          <w:rFonts w:hint="default"/>
          <w:lang w:val="en-US" w:eastAsia="zh-CN"/>
        </w:rPr>
      </w:pPr>
      <w:r>
        <w:rPr>
          <w:rFonts w:hint="default"/>
          <w:lang w:val="en-US" w:eastAsia="zh-CN"/>
        </w:rPr>
        <w:t>3.中标人提供的技术服务，不得侵犯任何第三方的合法权益，由此而引起的纠纷或者给第三方以及招标人造成的损失，应由中标人承担全部责任。</w:t>
      </w:r>
    </w:p>
    <w:p>
      <w:pPr>
        <w:bidi w:val="0"/>
        <w:rPr>
          <w:rFonts w:hint="default"/>
          <w:lang w:val="en-US" w:eastAsia="zh-CN"/>
        </w:rPr>
      </w:pPr>
      <w:r>
        <w:rPr>
          <w:rFonts w:hint="default"/>
          <w:lang w:val="en-US" w:eastAsia="zh-CN"/>
        </w:rPr>
        <w:t>4.中标人在访问信息系统期间，负有保护企业的网络安全、信息安全和系统数据的义务和责任，负有保护所持有、接触的属于或涉及企业商业秘密的信息安全的义务和责任。</w:t>
      </w:r>
    </w:p>
    <w:p>
      <w:pPr>
        <w:bidi w:val="0"/>
        <w:rPr>
          <w:rFonts w:hint="default"/>
          <w:lang w:val="en-US" w:eastAsia="zh-CN"/>
        </w:rPr>
      </w:pPr>
      <w:r>
        <w:rPr>
          <w:rFonts w:hint="default"/>
          <w:lang w:val="en-US" w:eastAsia="zh-CN"/>
        </w:rPr>
        <w:t>5.若由于中标人原因导致招标人的敏感信息泄露和发生网络安全事件，由中标人全责承担</w:t>
      </w:r>
      <w:r>
        <w:rPr>
          <w:rFonts w:hint="eastAsia"/>
          <w:lang w:val="en-US" w:eastAsia="zh-CN"/>
        </w:rPr>
        <w:t>。</w:t>
      </w:r>
    </w:p>
    <w:p>
      <w:pPr>
        <w:pStyle w:val="31"/>
        <w:bidi w:val="0"/>
        <w:rPr>
          <w:rFonts w:hint="default"/>
          <w:lang w:val="en-US" w:eastAsia="zh-CN"/>
        </w:rPr>
      </w:pPr>
    </w:p>
    <w:sectPr>
      <w:footerReference r:id="rId13" w:type="default"/>
      <w:pgSz w:w="11906" w:h="16838"/>
      <w:pgMar w:top="1440" w:right="1486"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rPr>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jc w:val="center"/>
    </w:pPr>
    <w:r>
      <w:fldChar w:fldCharType="begin"/>
    </w:r>
    <w:r>
      <w:instrText xml:space="preserve"> PAGE   \* MERGEFORMAT </w:instrText>
    </w:r>
    <w:r>
      <w:fldChar w:fldCharType="separate"/>
    </w:r>
    <w:r>
      <w:rPr>
        <w:lang w:val="zh-CN"/>
      </w:rPr>
      <w:t>-</w:t>
    </w:r>
    <w:r>
      <w:t xml:space="preserve"> 1 -</w:t>
    </w:r>
    <w:r>
      <w:fldChar w:fldCharType="end"/>
    </w:r>
  </w:p>
  <w:p>
    <w:pPr>
      <w:pStyle w:val="21"/>
      <w:ind w:firstLine="360"/>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single" w:color="auto" w:sz="4" w:space="1"/>
      </w:pBdr>
      <w:wordWrap/>
      <w:spacing w:line="320" w:lineRule="atLeast"/>
      <w:ind w:left="0" w:leftChars="0" w:firstLine="0" w:firstLineChars="0"/>
      <w:jc w:val="left"/>
    </w:pPr>
    <w:r>
      <w:rPr>
        <w:rFonts w:hint="eastAsia"/>
      </w:rPr>
      <w:drawing>
        <wp:inline distT="0" distB="0" distL="114300" distR="114300">
          <wp:extent cx="1490980" cy="264795"/>
          <wp:effectExtent l="0" t="0" r="1397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1490980" cy="264795"/>
                  </a:xfrm>
                  <a:prstGeom prst="rect">
                    <a:avLst/>
                  </a:prstGeom>
                  <a:noFill/>
                  <a:ln>
                    <a:noFill/>
                  </a:ln>
                </pic:spPr>
              </pic:pic>
            </a:graphicData>
          </a:graphic>
        </wp:inline>
      </w:drawing>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A2461"/>
    <w:multiLevelType w:val="multilevel"/>
    <w:tmpl w:val="295A2461"/>
    <w:lvl w:ilvl="0" w:tentative="0">
      <w:start w:val="1"/>
      <w:numFmt w:val="decimal"/>
      <w:lvlText w:val="%1)"/>
      <w:lvlJc w:val="left"/>
      <w:pPr>
        <w:tabs>
          <w:tab w:val="left" w:pos="845"/>
        </w:tabs>
        <w:ind w:left="845" w:hanging="420"/>
      </w:pPr>
      <w:rPr>
        <w:rFonts w:hint="eastAsia"/>
      </w:rPr>
    </w:lvl>
    <w:lvl w:ilvl="1" w:tentative="0">
      <w:start w:val="1"/>
      <w:numFmt w:val="decimal"/>
      <w:pStyle w:val="66"/>
      <w:lvlText w:val="%2)"/>
      <w:lvlJc w:val="left"/>
      <w:pPr>
        <w:tabs>
          <w:tab w:val="left" w:pos="845"/>
        </w:tabs>
        <w:ind w:left="845" w:hanging="420"/>
      </w:pPr>
      <w:rPr>
        <w:rFonts w:hint="eastAsia"/>
      </w:rPr>
    </w:lvl>
    <w:lvl w:ilvl="2" w:tentative="0">
      <w:start w:val="1"/>
      <w:numFmt w:val="lowerRoman"/>
      <w:lvlText w:val="%3."/>
      <w:lvlJc w:val="right"/>
      <w:pPr>
        <w:tabs>
          <w:tab w:val="left" w:pos="1265"/>
        </w:tabs>
        <w:ind w:left="1265" w:hanging="420"/>
      </w:pPr>
    </w:lvl>
    <w:lvl w:ilvl="3" w:tentative="0">
      <w:start w:val="1"/>
      <w:numFmt w:val="decimal"/>
      <w:lvlText w:val="%4."/>
      <w:lvlJc w:val="left"/>
      <w:pPr>
        <w:tabs>
          <w:tab w:val="left" w:pos="1685"/>
        </w:tabs>
        <w:ind w:left="1685" w:hanging="420"/>
      </w:pPr>
    </w:lvl>
    <w:lvl w:ilvl="4" w:tentative="0">
      <w:start w:val="1"/>
      <w:numFmt w:val="lowerLetter"/>
      <w:lvlText w:val="%5)"/>
      <w:lvlJc w:val="left"/>
      <w:pPr>
        <w:tabs>
          <w:tab w:val="left" w:pos="2105"/>
        </w:tabs>
        <w:ind w:left="2105" w:hanging="420"/>
      </w:pPr>
    </w:lvl>
    <w:lvl w:ilvl="5" w:tentative="0">
      <w:start w:val="1"/>
      <w:numFmt w:val="lowerRoman"/>
      <w:lvlText w:val="%6."/>
      <w:lvlJc w:val="right"/>
      <w:pPr>
        <w:tabs>
          <w:tab w:val="left" w:pos="2525"/>
        </w:tabs>
        <w:ind w:left="2525" w:hanging="420"/>
      </w:pPr>
    </w:lvl>
    <w:lvl w:ilvl="6" w:tentative="0">
      <w:start w:val="1"/>
      <w:numFmt w:val="decimal"/>
      <w:lvlText w:val="%7."/>
      <w:lvlJc w:val="left"/>
      <w:pPr>
        <w:tabs>
          <w:tab w:val="left" w:pos="2945"/>
        </w:tabs>
        <w:ind w:left="2945" w:hanging="420"/>
      </w:pPr>
    </w:lvl>
    <w:lvl w:ilvl="7" w:tentative="0">
      <w:start w:val="1"/>
      <w:numFmt w:val="lowerLetter"/>
      <w:lvlText w:val="%8)"/>
      <w:lvlJc w:val="left"/>
      <w:pPr>
        <w:tabs>
          <w:tab w:val="left" w:pos="3365"/>
        </w:tabs>
        <w:ind w:left="3365" w:hanging="420"/>
      </w:pPr>
    </w:lvl>
    <w:lvl w:ilvl="8" w:tentative="0">
      <w:start w:val="1"/>
      <w:numFmt w:val="lowerRoman"/>
      <w:lvlText w:val="%9."/>
      <w:lvlJc w:val="right"/>
      <w:pPr>
        <w:tabs>
          <w:tab w:val="left" w:pos="3785"/>
        </w:tabs>
        <w:ind w:left="3785" w:hanging="420"/>
      </w:pPr>
    </w:lvl>
  </w:abstractNum>
  <w:abstractNum w:abstractNumId="1">
    <w:nsid w:val="47F27565"/>
    <w:multiLevelType w:val="multilevel"/>
    <w:tmpl w:val="47F27565"/>
    <w:lvl w:ilvl="0" w:tentative="0">
      <w:start w:val="1"/>
      <w:numFmt w:val="decimal"/>
      <w:pStyle w:val="3"/>
      <w:suff w:val="nothing"/>
      <w:lvlText w:val="%1."/>
      <w:lvlJc w:val="left"/>
      <w:pPr>
        <w:tabs>
          <w:tab w:val="left" w:pos="420"/>
        </w:tabs>
        <w:ind w:left="432" w:hanging="432"/>
      </w:pPr>
      <w:rPr>
        <w:rFonts w:hint="default" w:ascii="宋体" w:hAnsi="宋体" w:eastAsia="宋体" w:cs="宋体"/>
        <w:b/>
        <w:bCs/>
        <w:sz w:val="24"/>
        <w:szCs w:val="24"/>
      </w:rPr>
    </w:lvl>
    <w:lvl w:ilvl="1" w:tentative="0">
      <w:start w:val="1"/>
      <w:numFmt w:val="decimal"/>
      <w:pStyle w:val="4"/>
      <w:suff w:val="space"/>
      <w:lvlText w:val="%1.%2."/>
      <w:lvlJc w:val="left"/>
      <w:pPr>
        <w:tabs>
          <w:tab w:val="left" w:pos="420"/>
        </w:tabs>
        <w:ind w:left="576" w:hanging="576"/>
      </w:pPr>
      <w:rPr>
        <w:rFonts w:hint="default" w:ascii="仿宋" w:hAnsi="仿宋" w:eastAsia="仿宋" w:cs="仿宋"/>
        <w:b/>
        <w:bCs/>
        <w:sz w:val="24"/>
        <w:szCs w:val="24"/>
      </w:rPr>
    </w:lvl>
    <w:lvl w:ilvl="2" w:tentative="0">
      <w:start w:val="1"/>
      <w:numFmt w:val="decimal"/>
      <w:pStyle w:val="5"/>
      <w:suff w:val="space"/>
      <w:lvlText w:val="%1.%2.%3."/>
      <w:lvlJc w:val="left"/>
      <w:pPr>
        <w:tabs>
          <w:tab w:val="left" w:pos="420"/>
        </w:tabs>
        <w:ind w:left="720" w:hanging="720"/>
      </w:pPr>
      <w:rPr>
        <w:rFonts w:hint="default" w:ascii="仿宋" w:hAnsi="仿宋" w:eastAsia="仿宋" w:cs="仿宋"/>
        <w:b/>
        <w:bCs/>
        <w:sz w:val="24"/>
        <w:szCs w:val="24"/>
      </w:rPr>
    </w:lvl>
    <w:lvl w:ilvl="3" w:tentative="0">
      <w:start w:val="1"/>
      <w:numFmt w:val="decimal"/>
      <w:pStyle w:val="6"/>
      <w:lvlText w:val="%1.%2.%3.%4"/>
      <w:lvlJc w:val="left"/>
      <w:pPr>
        <w:tabs>
          <w:tab w:val="left" w:pos="864"/>
        </w:tabs>
        <w:ind w:left="864" w:hanging="864"/>
      </w:pPr>
      <w:rPr>
        <w:rFonts w:hint="default" w:ascii="仿宋" w:hAnsi="仿宋" w:eastAsia="仿宋" w:cs="仿宋"/>
        <w:color w:val="auto"/>
        <w:sz w:val="24"/>
        <w:szCs w:val="24"/>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5B621A86"/>
    <w:multiLevelType w:val="multilevel"/>
    <w:tmpl w:val="5B621A86"/>
    <w:lvl w:ilvl="0" w:tentative="0">
      <w:start w:val="1"/>
      <w:numFmt w:val="bullet"/>
      <w:pStyle w:val="71"/>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3">
    <w:nsid w:val="5CA91C7E"/>
    <w:multiLevelType w:val="multilevel"/>
    <w:tmpl w:val="5CA91C7E"/>
    <w:lvl w:ilvl="0" w:tentative="0">
      <w:start w:val="1"/>
      <w:numFmt w:val="bullet"/>
      <w:pStyle w:val="7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6883480C"/>
    <w:multiLevelType w:val="multilevel"/>
    <w:tmpl w:val="6883480C"/>
    <w:lvl w:ilvl="0" w:tentative="0">
      <w:start w:val="1"/>
      <w:numFmt w:val="decimal"/>
      <w:pStyle w:val="69"/>
      <w:lvlText w:val="%1)"/>
      <w:lvlJc w:val="left"/>
      <w:pPr>
        <w:tabs>
          <w:tab w:val="left" w:pos="839"/>
        </w:tabs>
        <w:ind w:left="0" w:firstLine="420"/>
      </w:pPr>
      <w:rPr>
        <w:rFonts w:hint="eastAsia"/>
      </w:rPr>
    </w:lvl>
    <w:lvl w:ilvl="1" w:tentative="0">
      <w:start w:val="1"/>
      <w:numFmt w:val="lowerLetter"/>
      <w:pStyle w:val="68"/>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val="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ZmMxNTM1MmNkYzNlZGY4MTEyMzNiYzYzNGE4NzgifQ=="/>
  </w:docVars>
  <w:rsids>
    <w:rsidRoot w:val="0081169A"/>
    <w:rsid w:val="000033FD"/>
    <w:rsid w:val="000038C6"/>
    <w:rsid w:val="00005086"/>
    <w:rsid w:val="00006DA7"/>
    <w:rsid w:val="0000729B"/>
    <w:rsid w:val="00007819"/>
    <w:rsid w:val="00007DEA"/>
    <w:rsid w:val="0001084B"/>
    <w:rsid w:val="00010A3E"/>
    <w:rsid w:val="00010CEE"/>
    <w:rsid w:val="00011B21"/>
    <w:rsid w:val="000123E0"/>
    <w:rsid w:val="0001310C"/>
    <w:rsid w:val="00015BD9"/>
    <w:rsid w:val="00015D43"/>
    <w:rsid w:val="00016FCD"/>
    <w:rsid w:val="000174DD"/>
    <w:rsid w:val="00017685"/>
    <w:rsid w:val="0002036E"/>
    <w:rsid w:val="00023794"/>
    <w:rsid w:val="00023C25"/>
    <w:rsid w:val="0002456C"/>
    <w:rsid w:val="00024794"/>
    <w:rsid w:val="00027350"/>
    <w:rsid w:val="00034B6B"/>
    <w:rsid w:val="00036600"/>
    <w:rsid w:val="00036637"/>
    <w:rsid w:val="00037102"/>
    <w:rsid w:val="00037562"/>
    <w:rsid w:val="0004105A"/>
    <w:rsid w:val="0004108B"/>
    <w:rsid w:val="00043147"/>
    <w:rsid w:val="00044075"/>
    <w:rsid w:val="000532E7"/>
    <w:rsid w:val="00055997"/>
    <w:rsid w:val="000561B1"/>
    <w:rsid w:val="00056B94"/>
    <w:rsid w:val="00057AD5"/>
    <w:rsid w:val="00061BAB"/>
    <w:rsid w:val="00063AD8"/>
    <w:rsid w:val="00063CF8"/>
    <w:rsid w:val="0006575C"/>
    <w:rsid w:val="000721F5"/>
    <w:rsid w:val="00072B39"/>
    <w:rsid w:val="00072C7D"/>
    <w:rsid w:val="00073AAC"/>
    <w:rsid w:val="000741C2"/>
    <w:rsid w:val="00074865"/>
    <w:rsid w:val="0007499D"/>
    <w:rsid w:val="00076456"/>
    <w:rsid w:val="00076EA6"/>
    <w:rsid w:val="000815A3"/>
    <w:rsid w:val="00081809"/>
    <w:rsid w:val="000819ED"/>
    <w:rsid w:val="00083645"/>
    <w:rsid w:val="00083C46"/>
    <w:rsid w:val="000848D1"/>
    <w:rsid w:val="0008547E"/>
    <w:rsid w:val="00090B9A"/>
    <w:rsid w:val="00090E58"/>
    <w:rsid w:val="00091370"/>
    <w:rsid w:val="000916A0"/>
    <w:rsid w:val="00091D06"/>
    <w:rsid w:val="00092AE4"/>
    <w:rsid w:val="00093B19"/>
    <w:rsid w:val="00095220"/>
    <w:rsid w:val="00095418"/>
    <w:rsid w:val="00095488"/>
    <w:rsid w:val="00095634"/>
    <w:rsid w:val="000A4C72"/>
    <w:rsid w:val="000A58D3"/>
    <w:rsid w:val="000A610D"/>
    <w:rsid w:val="000A6995"/>
    <w:rsid w:val="000A6D48"/>
    <w:rsid w:val="000B0981"/>
    <w:rsid w:val="000B0E8F"/>
    <w:rsid w:val="000B2097"/>
    <w:rsid w:val="000B357F"/>
    <w:rsid w:val="000C0382"/>
    <w:rsid w:val="000C05E4"/>
    <w:rsid w:val="000C05E7"/>
    <w:rsid w:val="000C21D0"/>
    <w:rsid w:val="000C3B83"/>
    <w:rsid w:val="000C3D22"/>
    <w:rsid w:val="000C4146"/>
    <w:rsid w:val="000C5752"/>
    <w:rsid w:val="000C6583"/>
    <w:rsid w:val="000C6A76"/>
    <w:rsid w:val="000C7E63"/>
    <w:rsid w:val="000D2633"/>
    <w:rsid w:val="000D2E71"/>
    <w:rsid w:val="000D3B03"/>
    <w:rsid w:val="000D47E1"/>
    <w:rsid w:val="000D5049"/>
    <w:rsid w:val="000D582D"/>
    <w:rsid w:val="000D717C"/>
    <w:rsid w:val="000E1196"/>
    <w:rsid w:val="000E1460"/>
    <w:rsid w:val="000E5C15"/>
    <w:rsid w:val="000E69FE"/>
    <w:rsid w:val="000F01BF"/>
    <w:rsid w:val="000F0DB8"/>
    <w:rsid w:val="000F2FD6"/>
    <w:rsid w:val="000F429B"/>
    <w:rsid w:val="000F4A0C"/>
    <w:rsid w:val="000F572C"/>
    <w:rsid w:val="000F6011"/>
    <w:rsid w:val="00100A50"/>
    <w:rsid w:val="00101B86"/>
    <w:rsid w:val="00102BDB"/>
    <w:rsid w:val="00105219"/>
    <w:rsid w:val="001054D7"/>
    <w:rsid w:val="001061E9"/>
    <w:rsid w:val="00110F4B"/>
    <w:rsid w:val="00114CD3"/>
    <w:rsid w:val="00115B8B"/>
    <w:rsid w:val="001166C9"/>
    <w:rsid w:val="001200BB"/>
    <w:rsid w:val="001214FD"/>
    <w:rsid w:val="001218AC"/>
    <w:rsid w:val="001232DB"/>
    <w:rsid w:val="00123895"/>
    <w:rsid w:val="001253DF"/>
    <w:rsid w:val="0013236C"/>
    <w:rsid w:val="00132524"/>
    <w:rsid w:val="00134F6C"/>
    <w:rsid w:val="00136F5B"/>
    <w:rsid w:val="00137236"/>
    <w:rsid w:val="00137F3F"/>
    <w:rsid w:val="00140915"/>
    <w:rsid w:val="0014208E"/>
    <w:rsid w:val="00145E28"/>
    <w:rsid w:val="001469D9"/>
    <w:rsid w:val="0014743C"/>
    <w:rsid w:val="001508C1"/>
    <w:rsid w:val="00150DFC"/>
    <w:rsid w:val="00154AF4"/>
    <w:rsid w:val="00154F19"/>
    <w:rsid w:val="00155615"/>
    <w:rsid w:val="001564B4"/>
    <w:rsid w:val="001564CD"/>
    <w:rsid w:val="001602B5"/>
    <w:rsid w:val="00161E58"/>
    <w:rsid w:val="001624B0"/>
    <w:rsid w:val="00162BC4"/>
    <w:rsid w:val="0016328E"/>
    <w:rsid w:val="00163646"/>
    <w:rsid w:val="00164E7A"/>
    <w:rsid w:val="0016544F"/>
    <w:rsid w:val="0016561B"/>
    <w:rsid w:val="0016653F"/>
    <w:rsid w:val="00166682"/>
    <w:rsid w:val="00170149"/>
    <w:rsid w:val="00170C21"/>
    <w:rsid w:val="001711F7"/>
    <w:rsid w:val="00171A4F"/>
    <w:rsid w:val="00171B4D"/>
    <w:rsid w:val="00172823"/>
    <w:rsid w:val="001737FF"/>
    <w:rsid w:val="00173EB5"/>
    <w:rsid w:val="00177402"/>
    <w:rsid w:val="00180158"/>
    <w:rsid w:val="001819A7"/>
    <w:rsid w:val="001833A6"/>
    <w:rsid w:val="001836B6"/>
    <w:rsid w:val="0018691C"/>
    <w:rsid w:val="001879DD"/>
    <w:rsid w:val="001907A8"/>
    <w:rsid w:val="00193D57"/>
    <w:rsid w:val="00195E54"/>
    <w:rsid w:val="00195FE9"/>
    <w:rsid w:val="0019722F"/>
    <w:rsid w:val="001A040D"/>
    <w:rsid w:val="001A1567"/>
    <w:rsid w:val="001A1B62"/>
    <w:rsid w:val="001A2581"/>
    <w:rsid w:val="001A48B8"/>
    <w:rsid w:val="001A4A54"/>
    <w:rsid w:val="001A5EA7"/>
    <w:rsid w:val="001A79EE"/>
    <w:rsid w:val="001A7BE9"/>
    <w:rsid w:val="001B01DF"/>
    <w:rsid w:val="001B035B"/>
    <w:rsid w:val="001B09EE"/>
    <w:rsid w:val="001B28DA"/>
    <w:rsid w:val="001B42FC"/>
    <w:rsid w:val="001B6098"/>
    <w:rsid w:val="001B6311"/>
    <w:rsid w:val="001B6B81"/>
    <w:rsid w:val="001C0A95"/>
    <w:rsid w:val="001C0C3F"/>
    <w:rsid w:val="001C14BF"/>
    <w:rsid w:val="001C2DDC"/>
    <w:rsid w:val="001C3136"/>
    <w:rsid w:val="001C4063"/>
    <w:rsid w:val="001C5417"/>
    <w:rsid w:val="001C689E"/>
    <w:rsid w:val="001D00AE"/>
    <w:rsid w:val="001D09C2"/>
    <w:rsid w:val="001D0F3F"/>
    <w:rsid w:val="001D1667"/>
    <w:rsid w:val="001D16A2"/>
    <w:rsid w:val="001D1EC0"/>
    <w:rsid w:val="001D2389"/>
    <w:rsid w:val="001D23CB"/>
    <w:rsid w:val="001D53F8"/>
    <w:rsid w:val="001D65B6"/>
    <w:rsid w:val="001D6E69"/>
    <w:rsid w:val="001E0F26"/>
    <w:rsid w:val="001E2C73"/>
    <w:rsid w:val="001E348A"/>
    <w:rsid w:val="001E45BA"/>
    <w:rsid w:val="001E51EC"/>
    <w:rsid w:val="001E67F6"/>
    <w:rsid w:val="001F051C"/>
    <w:rsid w:val="001F132B"/>
    <w:rsid w:val="001F2F37"/>
    <w:rsid w:val="001F45F6"/>
    <w:rsid w:val="001F6DAD"/>
    <w:rsid w:val="002007F6"/>
    <w:rsid w:val="0020142D"/>
    <w:rsid w:val="002026FC"/>
    <w:rsid w:val="002042C9"/>
    <w:rsid w:val="00205B9D"/>
    <w:rsid w:val="00211185"/>
    <w:rsid w:val="00211254"/>
    <w:rsid w:val="00212916"/>
    <w:rsid w:val="00212D63"/>
    <w:rsid w:val="00215AA9"/>
    <w:rsid w:val="00216F56"/>
    <w:rsid w:val="0021777B"/>
    <w:rsid w:val="00220552"/>
    <w:rsid w:val="00222EE4"/>
    <w:rsid w:val="00226DF5"/>
    <w:rsid w:val="00226E02"/>
    <w:rsid w:val="00227463"/>
    <w:rsid w:val="00227881"/>
    <w:rsid w:val="00230557"/>
    <w:rsid w:val="002309AC"/>
    <w:rsid w:val="00230F4E"/>
    <w:rsid w:val="002314F0"/>
    <w:rsid w:val="00233E14"/>
    <w:rsid w:val="00234EFF"/>
    <w:rsid w:val="00235042"/>
    <w:rsid w:val="00236BD2"/>
    <w:rsid w:val="00237E4B"/>
    <w:rsid w:val="002405D3"/>
    <w:rsid w:val="00241884"/>
    <w:rsid w:val="00244CAF"/>
    <w:rsid w:val="0024582C"/>
    <w:rsid w:val="00246AA4"/>
    <w:rsid w:val="00251615"/>
    <w:rsid w:val="00251734"/>
    <w:rsid w:val="0025226A"/>
    <w:rsid w:val="002524D3"/>
    <w:rsid w:val="002529B6"/>
    <w:rsid w:val="00254610"/>
    <w:rsid w:val="00254693"/>
    <w:rsid w:val="00254A1F"/>
    <w:rsid w:val="002554BE"/>
    <w:rsid w:val="0025702A"/>
    <w:rsid w:val="0025764E"/>
    <w:rsid w:val="00260C3F"/>
    <w:rsid w:val="00261EAB"/>
    <w:rsid w:val="002637C5"/>
    <w:rsid w:val="00264204"/>
    <w:rsid w:val="00265E2B"/>
    <w:rsid w:val="0026660F"/>
    <w:rsid w:val="00270F36"/>
    <w:rsid w:val="0027169E"/>
    <w:rsid w:val="002717E4"/>
    <w:rsid w:val="002723A4"/>
    <w:rsid w:val="002749DA"/>
    <w:rsid w:val="00281178"/>
    <w:rsid w:val="002822C6"/>
    <w:rsid w:val="002828C6"/>
    <w:rsid w:val="00282F7B"/>
    <w:rsid w:val="002845BE"/>
    <w:rsid w:val="0028646E"/>
    <w:rsid w:val="00290344"/>
    <w:rsid w:val="0029042A"/>
    <w:rsid w:val="00290B14"/>
    <w:rsid w:val="00290E74"/>
    <w:rsid w:val="0029157C"/>
    <w:rsid w:val="00292FCA"/>
    <w:rsid w:val="002936AD"/>
    <w:rsid w:val="00293B33"/>
    <w:rsid w:val="002945D2"/>
    <w:rsid w:val="00295B9D"/>
    <w:rsid w:val="00296062"/>
    <w:rsid w:val="00297AA9"/>
    <w:rsid w:val="002A01B5"/>
    <w:rsid w:val="002A08F2"/>
    <w:rsid w:val="002A145E"/>
    <w:rsid w:val="002A2277"/>
    <w:rsid w:val="002A277D"/>
    <w:rsid w:val="002A2965"/>
    <w:rsid w:val="002A2B11"/>
    <w:rsid w:val="002A31A0"/>
    <w:rsid w:val="002A31ED"/>
    <w:rsid w:val="002A4BC8"/>
    <w:rsid w:val="002A4BE3"/>
    <w:rsid w:val="002A6D77"/>
    <w:rsid w:val="002A6E3C"/>
    <w:rsid w:val="002A7D90"/>
    <w:rsid w:val="002B005B"/>
    <w:rsid w:val="002B006F"/>
    <w:rsid w:val="002B14A2"/>
    <w:rsid w:val="002B34E8"/>
    <w:rsid w:val="002B4DFE"/>
    <w:rsid w:val="002B50BD"/>
    <w:rsid w:val="002C0009"/>
    <w:rsid w:val="002C081E"/>
    <w:rsid w:val="002C1228"/>
    <w:rsid w:val="002C206F"/>
    <w:rsid w:val="002C372B"/>
    <w:rsid w:val="002C5584"/>
    <w:rsid w:val="002C68CC"/>
    <w:rsid w:val="002C6F97"/>
    <w:rsid w:val="002C7D60"/>
    <w:rsid w:val="002D3084"/>
    <w:rsid w:val="002D54DF"/>
    <w:rsid w:val="002D6C17"/>
    <w:rsid w:val="002E014A"/>
    <w:rsid w:val="002E0374"/>
    <w:rsid w:val="002E1831"/>
    <w:rsid w:val="002E22B7"/>
    <w:rsid w:val="002E287A"/>
    <w:rsid w:val="002E3AB3"/>
    <w:rsid w:val="002E3D6F"/>
    <w:rsid w:val="002E6002"/>
    <w:rsid w:val="002E78D2"/>
    <w:rsid w:val="002E7AD4"/>
    <w:rsid w:val="002F1213"/>
    <w:rsid w:val="002F2BA2"/>
    <w:rsid w:val="002F38A5"/>
    <w:rsid w:val="002F3EC3"/>
    <w:rsid w:val="002F3FE6"/>
    <w:rsid w:val="002F429E"/>
    <w:rsid w:val="002F61EE"/>
    <w:rsid w:val="002F69E3"/>
    <w:rsid w:val="002F6ACF"/>
    <w:rsid w:val="002F6F4E"/>
    <w:rsid w:val="002F7347"/>
    <w:rsid w:val="002F7506"/>
    <w:rsid w:val="002F7C86"/>
    <w:rsid w:val="0030107A"/>
    <w:rsid w:val="00305917"/>
    <w:rsid w:val="00305F42"/>
    <w:rsid w:val="00306329"/>
    <w:rsid w:val="00306E27"/>
    <w:rsid w:val="00310AE7"/>
    <w:rsid w:val="00312074"/>
    <w:rsid w:val="003126BF"/>
    <w:rsid w:val="003137E9"/>
    <w:rsid w:val="00313DE8"/>
    <w:rsid w:val="00313FB9"/>
    <w:rsid w:val="0031505D"/>
    <w:rsid w:val="00316032"/>
    <w:rsid w:val="003164E6"/>
    <w:rsid w:val="0031714B"/>
    <w:rsid w:val="0031731E"/>
    <w:rsid w:val="00317837"/>
    <w:rsid w:val="003208CA"/>
    <w:rsid w:val="003220D6"/>
    <w:rsid w:val="0032220F"/>
    <w:rsid w:val="00325394"/>
    <w:rsid w:val="00325DC6"/>
    <w:rsid w:val="00330BC4"/>
    <w:rsid w:val="00330BD8"/>
    <w:rsid w:val="00330C4F"/>
    <w:rsid w:val="003310EE"/>
    <w:rsid w:val="00331DB1"/>
    <w:rsid w:val="0033262C"/>
    <w:rsid w:val="0033317A"/>
    <w:rsid w:val="003338A3"/>
    <w:rsid w:val="00333A1D"/>
    <w:rsid w:val="00335F5D"/>
    <w:rsid w:val="003447DF"/>
    <w:rsid w:val="003451C5"/>
    <w:rsid w:val="00345410"/>
    <w:rsid w:val="003472B8"/>
    <w:rsid w:val="00350593"/>
    <w:rsid w:val="00351F7B"/>
    <w:rsid w:val="003547A6"/>
    <w:rsid w:val="00354E21"/>
    <w:rsid w:val="0035592B"/>
    <w:rsid w:val="003577AA"/>
    <w:rsid w:val="00366AE0"/>
    <w:rsid w:val="003709A7"/>
    <w:rsid w:val="00372B50"/>
    <w:rsid w:val="00372EEF"/>
    <w:rsid w:val="00373615"/>
    <w:rsid w:val="00373F1A"/>
    <w:rsid w:val="003744C2"/>
    <w:rsid w:val="003769D4"/>
    <w:rsid w:val="00377AD2"/>
    <w:rsid w:val="0038339C"/>
    <w:rsid w:val="00384433"/>
    <w:rsid w:val="00387587"/>
    <w:rsid w:val="00390FC5"/>
    <w:rsid w:val="00391A90"/>
    <w:rsid w:val="00392F85"/>
    <w:rsid w:val="00393466"/>
    <w:rsid w:val="00393807"/>
    <w:rsid w:val="00395005"/>
    <w:rsid w:val="0039527B"/>
    <w:rsid w:val="00395A8A"/>
    <w:rsid w:val="00395EF4"/>
    <w:rsid w:val="00395F22"/>
    <w:rsid w:val="003967B1"/>
    <w:rsid w:val="00396BB1"/>
    <w:rsid w:val="00396FB8"/>
    <w:rsid w:val="00397B37"/>
    <w:rsid w:val="003A103F"/>
    <w:rsid w:val="003A1371"/>
    <w:rsid w:val="003A2AF1"/>
    <w:rsid w:val="003A2DB0"/>
    <w:rsid w:val="003A384E"/>
    <w:rsid w:val="003A4A13"/>
    <w:rsid w:val="003A4B33"/>
    <w:rsid w:val="003A560E"/>
    <w:rsid w:val="003A5795"/>
    <w:rsid w:val="003A6278"/>
    <w:rsid w:val="003A6C61"/>
    <w:rsid w:val="003B01F0"/>
    <w:rsid w:val="003B044F"/>
    <w:rsid w:val="003B092B"/>
    <w:rsid w:val="003B1081"/>
    <w:rsid w:val="003B5C7A"/>
    <w:rsid w:val="003C0B7F"/>
    <w:rsid w:val="003C0F77"/>
    <w:rsid w:val="003C12FC"/>
    <w:rsid w:val="003C1852"/>
    <w:rsid w:val="003C229F"/>
    <w:rsid w:val="003C4AB2"/>
    <w:rsid w:val="003C630B"/>
    <w:rsid w:val="003C6A6E"/>
    <w:rsid w:val="003C7BBF"/>
    <w:rsid w:val="003C7C01"/>
    <w:rsid w:val="003C7CFF"/>
    <w:rsid w:val="003D11D6"/>
    <w:rsid w:val="003D1A8A"/>
    <w:rsid w:val="003D2AB3"/>
    <w:rsid w:val="003D3E13"/>
    <w:rsid w:val="003D409A"/>
    <w:rsid w:val="003D4460"/>
    <w:rsid w:val="003D4604"/>
    <w:rsid w:val="003D5565"/>
    <w:rsid w:val="003D736E"/>
    <w:rsid w:val="003D7824"/>
    <w:rsid w:val="003E0359"/>
    <w:rsid w:val="003E155C"/>
    <w:rsid w:val="003E197F"/>
    <w:rsid w:val="003E2F7E"/>
    <w:rsid w:val="003E3DFD"/>
    <w:rsid w:val="003E4BF8"/>
    <w:rsid w:val="003E5395"/>
    <w:rsid w:val="003E5D5B"/>
    <w:rsid w:val="003E6229"/>
    <w:rsid w:val="003E6ABD"/>
    <w:rsid w:val="003F0DA5"/>
    <w:rsid w:val="003F1339"/>
    <w:rsid w:val="003F2BBF"/>
    <w:rsid w:val="003F2DF7"/>
    <w:rsid w:val="003F55F6"/>
    <w:rsid w:val="003F608D"/>
    <w:rsid w:val="003F6C90"/>
    <w:rsid w:val="003F6F45"/>
    <w:rsid w:val="00406FDA"/>
    <w:rsid w:val="0041086E"/>
    <w:rsid w:val="00410F4D"/>
    <w:rsid w:val="004117E8"/>
    <w:rsid w:val="00411B28"/>
    <w:rsid w:val="00414F8E"/>
    <w:rsid w:val="00415BFD"/>
    <w:rsid w:val="00415E95"/>
    <w:rsid w:val="00417026"/>
    <w:rsid w:val="0041761E"/>
    <w:rsid w:val="0042034B"/>
    <w:rsid w:val="004212C9"/>
    <w:rsid w:val="004214A6"/>
    <w:rsid w:val="00421609"/>
    <w:rsid w:val="0042165A"/>
    <w:rsid w:val="004225BE"/>
    <w:rsid w:val="00422618"/>
    <w:rsid w:val="0042503D"/>
    <w:rsid w:val="004265DC"/>
    <w:rsid w:val="00426AE7"/>
    <w:rsid w:val="00426F78"/>
    <w:rsid w:val="00427AC5"/>
    <w:rsid w:val="00431284"/>
    <w:rsid w:val="004333DA"/>
    <w:rsid w:val="00433997"/>
    <w:rsid w:val="00433D74"/>
    <w:rsid w:val="0043427E"/>
    <w:rsid w:val="00434A67"/>
    <w:rsid w:val="00435D3F"/>
    <w:rsid w:val="0043765B"/>
    <w:rsid w:val="004421D2"/>
    <w:rsid w:val="00442DC9"/>
    <w:rsid w:val="00442E1E"/>
    <w:rsid w:val="00443116"/>
    <w:rsid w:val="0044362A"/>
    <w:rsid w:val="00444CED"/>
    <w:rsid w:val="00445AA2"/>
    <w:rsid w:val="004460DC"/>
    <w:rsid w:val="00446890"/>
    <w:rsid w:val="004477EA"/>
    <w:rsid w:val="0045149C"/>
    <w:rsid w:val="004525D9"/>
    <w:rsid w:val="00456F50"/>
    <w:rsid w:val="0046106B"/>
    <w:rsid w:val="004619A7"/>
    <w:rsid w:val="0046210F"/>
    <w:rsid w:val="00462CD9"/>
    <w:rsid w:val="004646A1"/>
    <w:rsid w:val="004734A6"/>
    <w:rsid w:val="0047350C"/>
    <w:rsid w:val="004746F3"/>
    <w:rsid w:val="00475529"/>
    <w:rsid w:val="004763B3"/>
    <w:rsid w:val="00480E95"/>
    <w:rsid w:val="00480EE6"/>
    <w:rsid w:val="00482026"/>
    <w:rsid w:val="00482D8F"/>
    <w:rsid w:val="00483A28"/>
    <w:rsid w:val="004845E5"/>
    <w:rsid w:val="00484820"/>
    <w:rsid w:val="00485965"/>
    <w:rsid w:val="0049022D"/>
    <w:rsid w:val="0049045C"/>
    <w:rsid w:val="00491648"/>
    <w:rsid w:val="00491750"/>
    <w:rsid w:val="00491AAA"/>
    <w:rsid w:val="00492286"/>
    <w:rsid w:val="00493992"/>
    <w:rsid w:val="004951A6"/>
    <w:rsid w:val="00495967"/>
    <w:rsid w:val="00495C26"/>
    <w:rsid w:val="0049694A"/>
    <w:rsid w:val="004A03D9"/>
    <w:rsid w:val="004A1980"/>
    <w:rsid w:val="004A1C21"/>
    <w:rsid w:val="004A29C3"/>
    <w:rsid w:val="004A2BFE"/>
    <w:rsid w:val="004A31FD"/>
    <w:rsid w:val="004A54CE"/>
    <w:rsid w:val="004A7322"/>
    <w:rsid w:val="004A7E92"/>
    <w:rsid w:val="004B0E46"/>
    <w:rsid w:val="004B19B9"/>
    <w:rsid w:val="004B1CC8"/>
    <w:rsid w:val="004B3883"/>
    <w:rsid w:val="004B4447"/>
    <w:rsid w:val="004B5731"/>
    <w:rsid w:val="004B5BD1"/>
    <w:rsid w:val="004B603B"/>
    <w:rsid w:val="004B6476"/>
    <w:rsid w:val="004C191D"/>
    <w:rsid w:val="004C403A"/>
    <w:rsid w:val="004C4595"/>
    <w:rsid w:val="004C6033"/>
    <w:rsid w:val="004D0356"/>
    <w:rsid w:val="004D2267"/>
    <w:rsid w:val="004D2532"/>
    <w:rsid w:val="004D48A2"/>
    <w:rsid w:val="004E219F"/>
    <w:rsid w:val="004E36ED"/>
    <w:rsid w:val="004E57F7"/>
    <w:rsid w:val="004E626C"/>
    <w:rsid w:val="004E6DA5"/>
    <w:rsid w:val="004F1A4C"/>
    <w:rsid w:val="004F2CBE"/>
    <w:rsid w:val="004F6852"/>
    <w:rsid w:val="004F74B1"/>
    <w:rsid w:val="00500B1D"/>
    <w:rsid w:val="0050115E"/>
    <w:rsid w:val="005014D0"/>
    <w:rsid w:val="00501CEC"/>
    <w:rsid w:val="00502AF9"/>
    <w:rsid w:val="005032D9"/>
    <w:rsid w:val="00504AAA"/>
    <w:rsid w:val="0050724C"/>
    <w:rsid w:val="0051000F"/>
    <w:rsid w:val="00511388"/>
    <w:rsid w:val="00512411"/>
    <w:rsid w:val="00513D35"/>
    <w:rsid w:val="005140BF"/>
    <w:rsid w:val="0051494F"/>
    <w:rsid w:val="005149CF"/>
    <w:rsid w:val="00517769"/>
    <w:rsid w:val="00517F53"/>
    <w:rsid w:val="005204E5"/>
    <w:rsid w:val="00522BAA"/>
    <w:rsid w:val="00523292"/>
    <w:rsid w:val="005232D6"/>
    <w:rsid w:val="00524B4B"/>
    <w:rsid w:val="00526181"/>
    <w:rsid w:val="00526B09"/>
    <w:rsid w:val="00526E69"/>
    <w:rsid w:val="0053016D"/>
    <w:rsid w:val="0053020D"/>
    <w:rsid w:val="005311E0"/>
    <w:rsid w:val="00531366"/>
    <w:rsid w:val="00532A4C"/>
    <w:rsid w:val="00533EFC"/>
    <w:rsid w:val="00534963"/>
    <w:rsid w:val="00534A02"/>
    <w:rsid w:val="00534F94"/>
    <w:rsid w:val="005371C8"/>
    <w:rsid w:val="00537509"/>
    <w:rsid w:val="005409F3"/>
    <w:rsid w:val="00545497"/>
    <w:rsid w:val="0054599A"/>
    <w:rsid w:val="005459B0"/>
    <w:rsid w:val="00547B2C"/>
    <w:rsid w:val="00550E87"/>
    <w:rsid w:val="00552384"/>
    <w:rsid w:val="005523FD"/>
    <w:rsid w:val="005525FA"/>
    <w:rsid w:val="005526F6"/>
    <w:rsid w:val="00552ED5"/>
    <w:rsid w:val="005532CD"/>
    <w:rsid w:val="00553777"/>
    <w:rsid w:val="00554367"/>
    <w:rsid w:val="00560544"/>
    <w:rsid w:val="00560B94"/>
    <w:rsid w:val="00560C56"/>
    <w:rsid w:val="00563596"/>
    <w:rsid w:val="005637C3"/>
    <w:rsid w:val="0056400F"/>
    <w:rsid w:val="005659A6"/>
    <w:rsid w:val="00566618"/>
    <w:rsid w:val="0056687E"/>
    <w:rsid w:val="00566F0B"/>
    <w:rsid w:val="00570CBF"/>
    <w:rsid w:val="005734B5"/>
    <w:rsid w:val="0057462D"/>
    <w:rsid w:val="0057478E"/>
    <w:rsid w:val="00574F64"/>
    <w:rsid w:val="00576873"/>
    <w:rsid w:val="00577C29"/>
    <w:rsid w:val="0058070A"/>
    <w:rsid w:val="00582CC0"/>
    <w:rsid w:val="00582F19"/>
    <w:rsid w:val="00584E04"/>
    <w:rsid w:val="00585196"/>
    <w:rsid w:val="00585D1C"/>
    <w:rsid w:val="00586C06"/>
    <w:rsid w:val="00590611"/>
    <w:rsid w:val="005929C1"/>
    <w:rsid w:val="00593442"/>
    <w:rsid w:val="00593A3C"/>
    <w:rsid w:val="005944CB"/>
    <w:rsid w:val="0059518C"/>
    <w:rsid w:val="00595D8E"/>
    <w:rsid w:val="00596D83"/>
    <w:rsid w:val="005971BB"/>
    <w:rsid w:val="005975AE"/>
    <w:rsid w:val="005979B8"/>
    <w:rsid w:val="00597F9E"/>
    <w:rsid w:val="005A0368"/>
    <w:rsid w:val="005A1599"/>
    <w:rsid w:val="005A3934"/>
    <w:rsid w:val="005A6FEC"/>
    <w:rsid w:val="005A7EE2"/>
    <w:rsid w:val="005B0C0D"/>
    <w:rsid w:val="005B205F"/>
    <w:rsid w:val="005B20E7"/>
    <w:rsid w:val="005B2705"/>
    <w:rsid w:val="005B2DB3"/>
    <w:rsid w:val="005B318B"/>
    <w:rsid w:val="005B3A1A"/>
    <w:rsid w:val="005B3FED"/>
    <w:rsid w:val="005B4B88"/>
    <w:rsid w:val="005B549C"/>
    <w:rsid w:val="005B58E8"/>
    <w:rsid w:val="005B5A31"/>
    <w:rsid w:val="005B5BA0"/>
    <w:rsid w:val="005C169F"/>
    <w:rsid w:val="005C2756"/>
    <w:rsid w:val="005C2B10"/>
    <w:rsid w:val="005C2BB0"/>
    <w:rsid w:val="005C2E88"/>
    <w:rsid w:val="005C4A85"/>
    <w:rsid w:val="005C5E81"/>
    <w:rsid w:val="005C76F6"/>
    <w:rsid w:val="005D0DA9"/>
    <w:rsid w:val="005D321E"/>
    <w:rsid w:val="005D3BC5"/>
    <w:rsid w:val="005D5E13"/>
    <w:rsid w:val="005D619F"/>
    <w:rsid w:val="005E133B"/>
    <w:rsid w:val="005E16DD"/>
    <w:rsid w:val="005E24B7"/>
    <w:rsid w:val="005E2849"/>
    <w:rsid w:val="005E30D3"/>
    <w:rsid w:val="005E64CA"/>
    <w:rsid w:val="005E68AC"/>
    <w:rsid w:val="005F0445"/>
    <w:rsid w:val="005F0C9F"/>
    <w:rsid w:val="005F4A17"/>
    <w:rsid w:val="005F4ABD"/>
    <w:rsid w:val="005F65DA"/>
    <w:rsid w:val="005F7CAB"/>
    <w:rsid w:val="006005FE"/>
    <w:rsid w:val="0060076F"/>
    <w:rsid w:val="006007B7"/>
    <w:rsid w:val="00601D0A"/>
    <w:rsid w:val="00603213"/>
    <w:rsid w:val="00606BFE"/>
    <w:rsid w:val="00607F7A"/>
    <w:rsid w:val="006113DA"/>
    <w:rsid w:val="0061495D"/>
    <w:rsid w:val="006157AB"/>
    <w:rsid w:val="00615BD0"/>
    <w:rsid w:val="0061706B"/>
    <w:rsid w:val="006211A2"/>
    <w:rsid w:val="006221A8"/>
    <w:rsid w:val="00625F84"/>
    <w:rsid w:val="00631A32"/>
    <w:rsid w:val="00632EAC"/>
    <w:rsid w:val="006331ED"/>
    <w:rsid w:val="006377DA"/>
    <w:rsid w:val="00637B9B"/>
    <w:rsid w:val="00640F7B"/>
    <w:rsid w:val="00642BDE"/>
    <w:rsid w:val="00644086"/>
    <w:rsid w:val="00645A81"/>
    <w:rsid w:val="00645B6E"/>
    <w:rsid w:val="00647E2D"/>
    <w:rsid w:val="00651E35"/>
    <w:rsid w:val="006523BF"/>
    <w:rsid w:val="00657A28"/>
    <w:rsid w:val="00657CC3"/>
    <w:rsid w:val="00657FB4"/>
    <w:rsid w:val="006640ED"/>
    <w:rsid w:val="006654D2"/>
    <w:rsid w:val="00665B02"/>
    <w:rsid w:val="0066649A"/>
    <w:rsid w:val="0066662D"/>
    <w:rsid w:val="00667E54"/>
    <w:rsid w:val="00667FF8"/>
    <w:rsid w:val="00670027"/>
    <w:rsid w:val="00671385"/>
    <w:rsid w:val="00673E75"/>
    <w:rsid w:val="006742AC"/>
    <w:rsid w:val="006758C2"/>
    <w:rsid w:val="0067618F"/>
    <w:rsid w:val="00676658"/>
    <w:rsid w:val="006778A9"/>
    <w:rsid w:val="00677B0F"/>
    <w:rsid w:val="00677E1E"/>
    <w:rsid w:val="006807C5"/>
    <w:rsid w:val="00681FDF"/>
    <w:rsid w:val="00683F82"/>
    <w:rsid w:val="00684A5E"/>
    <w:rsid w:val="00687721"/>
    <w:rsid w:val="00691C6E"/>
    <w:rsid w:val="00692C4E"/>
    <w:rsid w:val="006933DC"/>
    <w:rsid w:val="00693B07"/>
    <w:rsid w:val="00693CAF"/>
    <w:rsid w:val="00694048"/>
    <w:rsid w:val="00694B9D"/>
    <w:rsid w:val="006955F9"/>
    <w:rsid w:val="00695D36"/>
    <w:rsid w:val="006A20C2"/>
    <w:rsid w:val="006A27DF"/>
    <w:rsid w:val="006A43D9"/>
    <w:rsid w:val="006A4826"/>
    <w:rsid w:val="006A48C2"/>
    <w:rsid w:val="006A4EF1"/>
    <w:rsid w:val="006A7249"/>
    <w:rsid w:val="006B0B29"/>
    <w:rsid w:val="006B11F2"/>
    <w:rsid w:val="006B1586"/>
    <w:rsid w:val="006B269F"/>
    <w:rsid w:val="006B3BFF"/>
    <w:rsid w:val="006B493C"/>
    <w:rsid w:val="006B4BF7"/>
    <w:rsid w:val="006B61BD"/>
    <w:rsid w:val="006B7073"/>
    <w:rsid w:val="006C2291"/>
    <w:rsid w:val="006C68D8"/>
    <w:rsid w:val="006C7E9C"/>
    <w:rsid w:val="006D12E5"/>
    <w:rsid w:val="006D1800"/>
    <w:rsid w:val="006D36EA"/>
    <w:rsid w:val="006D69C5"/>
    <w:rsid w:val="006D7E90"/>
    <w:rsid w:val="006E28C5"/>
    <w:rsid w:val="006E2B07"/>
    <w:rsid w:val="006E2CCC"/>
    <w:rsid w:val="006E2FA7"/>
    <w:rsid w:val="006E318C"/>
    <w:rsid w:val="006E320D"/>
    <w:rsid w:val="006E3721"/>
    <w:rsid w:val="006E526D"/>
    <w:rsid w:val="006E53DE"/>
    <w:rsid w:val="006E5477"/>
    <w:rsid w:val="006E5699"/>
    <w:rsid w:val="006E5796"/>
    <w:rsid w:val="006E5CAB"/>
    <w:rsid w:val="006F0B1B"/>
    <w:rsid w:val="006F20EB"/>
    <w:rsid w:val="006F24DF"/>
    <w:rsid w:val="006F29F6"/>
    <w:rsid w:val="006F2CA1"/>
    <w:rsid w:val="006F342B"/>
    <w:rsid w:val="006F5560"/>
    <w:rsid w:val="006F67BC"/>
    <w:rsid w:val="006F6DC5"/>
    <w:rsid w:val="007003D4"/>
    <w:rsid w:val="007012AE"/>
    <w:rsid w:val="00701AED"/>
    <w:rsid w:val="00702FA9"/>
    <w:rsid w:val="00707AED"/>
    <w:rsid w:val="007119F4"/>
    <w:rsid w:val="0071212A"/>
    <w:rsid w:val="00713FE2"/>
    <w:rsid w:val="0071646D"/>
    <w:rsid w:val="007166C1"/>
    <w:rsid w:val="0071727D"/>
    <w:rsid w:val="00720F67"/>
    <w:rsid w:val="00720F8E"/>
    <w:rsid w:val="00722478"/>
    <w:rsid w:val="007233A0"/>
    <w:rsid w:val="00725BBF"/>
    <w:rsid w:val="00727896"/>
    <w:rsid w:val="00730F32"/>
    <w:rsid w:val="00732AFC"/>
    <w:rsid w:val="00733274"/>
    <w:rsid w:val="007339AD"/>
    <w:rsid w:val="00733A5A"/>
    <w:rsid w:val="00733B2A"/>
    <w:rsid w:val="007349BC"/>
    <w:rsid w:val="007351DB"/>
    <w:rsid w:val="007353E1"/>
    <w:rsid w:val="00741015"/>
    <w:rsid w:val="007412EE"/>
    <w:rsid w:val="00742341"/>
    <w:rsid w:val="00743A1A"/>
    <w:rsid w:val="00743B2F"/>
    <w:rsid w:val="00744E2E"/>
    <w:rsid w:val="007456F6"/>
    <w:rsid w:val="0074587A"/>
    <w:rsid w:val="007459BA"/>
    <w:rsid w:val="007479B5"/>
    <w:rsid w:val="007479DE"/>
    <w:rsid w:val="00753DA1"/>
    <w:rsid w:val="00753F18"/>
    <w:rsid w:val="0075420B"/>
    <w:rsid w:val="007551AF"/>
    <w:rsid w:val="007570EF"/>
    <w:rsid w:val="00757B62"/>
    <w:rsid w:val="00760358"/>
    <w:rsid w:val="00761251"/>
    <w:rsid w:val="007612E6"/>
    <w:rsid w:val="00764228"/>
    <w:rsid w:val="007655E5"/>
    <w:rsid w:val="007667CF"/>
    <w:rsid w:val="00766C3C"/>
    <w:rsid w:val="0077252A"/>
    <w:rsid w:val="007738E6"/>
    <w:rsid w:val="00774287"/>
    <w:rsid w:val="00774F89"/>
    <w:rsid w:val="007752F2"/>
    <w:rsid w:val="00775A7F"/>
    <w:rsid w:val="00775BA9"/>
    <w:rsid w:val="00777127"/>
    <w:rsid w:val="00777916"/>
    <w:rsid w:val="007807DF"/>
    <w:rsid w:val="007851EA"/>
    <w:rsid w:val="007868D1"/>
    <w:rsid w:val="00786CDB"/>
    <w:rsid w:val="00792DC8"/>
    <w:rsid w:val="00793401"/>
    <w:rsid w:val="007940C0"/>
    <w:rsid w:val="0079470F"/>
    <w:rsid w:val="0079473A"/>
    <w:rsid w:val="00794F4C"/>
    <w:rsid w:val="007970FD"/>
    <w:rsid w:val="007A17FE"/>
    <w:rsid w:val="007A230E"/>
    <w:rsid w:val="007A23E1"/>
    <w:rsid w:val="007A2829"/>
    <w:rsid w:val="007A447E"/>
    <w:rsid w:val="007A492E"/>
    <w:rsid w:val="007A5EC7"/>
    <w:rsid w:val="007A621C"/>
    <w:rsid w:val="007A6411"/>
    <w:rsid w:val="007A6587"/>
    <w:rsid w:val="007A6728"/>
    <w:rsid w:val="007A6ADB"/>
    <w:rsid w:val="007B0BD0"/>
    <w:rsid w:val="007B0DF9"/>
    <w:rsid w:val="007B0FC3"/>
    <w:rsid w:val="007B1E5C"/>
    <w:rsid w:val="007B4191"/>
    <w:rsid w:val="007B4D87"/>
    <w:rsid w:val="007B74EE"/>
    <w:rsid w:val="007B79A6"/>
    <w:rsid w:val="007C03FC"/>
    <w:rsid w:val="007C2929"/>
    <w:rsid w:val="007C5A21"/>
    <w:rsid w:val="007C65F1"/>
    <w:rsid w:val="007D013D"/>
    <w:rsid w:val="007D16FA"/>
    <w:rsid w:val="007D2286"/>
    <w:rsid w:val="007D28E2"/>
    <w:rsid w:val="007D2D5B"/>
    <w:rsid w:val="007D31E8"/>
    <w:rsid w:val="007D41DB"/>
    <w:rsid w:val="007D4413"/>
    <w:rsid w:val="007D6095"/>
    <w:rsid w:val="007E038B"/>
    <w:rsid w:val="007E0928"/>
    <w:rsid w:val="007E177E"/>
    <w:rsid w:val="007E2322"/>
    <w:rsid w:val="007E2794"/>
    <w:rsid w:val="007E2796"/>
    <w:rsid w:val="007E55FF"/>
    <w:rsid w:val="007E5799"/>
    <w:rsid w:val="007E5D75"/>
    <w:rsid w:val="007E6160"/>
    <w:rsid w:val="007E7131"/>
    <w:rsid w:val="007E735A"/>
    <w:rsid w:val="007E742A"/>
    <w:rsid w:val="007F3851"/>
    <w:rsid w:val="007F39FE"/>
    <w:rsid w:val="007F3A7D"/>
    <w:rsid w:val="007F774A"/>
    <w:rsid w:val="008019EE"/>
    <w:rsid w:val="00801CBD"/>
    <w:rsid w:val="00802D28"/>
    <w:rsid w:val="008043FB"/>
    <w:rsid w:val="008047FE"/>
    <w:rsid w:val="00805D9F"/>
    <w:rsid w:val="0080679E"/>
    <w:rsid w:val="00807ADB"/>
    <w:rsid w:val="00807BEC"/>
    <w:rsid w:val="00807C7E"/>
    <w:rsid w:val="00807DE6"/>
    <w:rsid w:val="00807E15"/>
    <w:rsid w:val="00807ED5"/>
    <w:rsid w:val="00810A97"/>
    <w:rsid w:val="0081169A"/>
    <w:rsid w:val="00814692"/>
    <w:rsid w:val="00815A11"/>
    <w:rsid w:val="00816836"/>
    <w:rsid w:val="0081730D"/>
    <w:rsid w:val="00821FB6"/>
    <w:rsid w:val="00822CB9"/>
    <w:rsid w:val="008239BC"/>
    <w:rsid w:val="00823CEB"/>
    <w:rsid w:val="0082442F"/>
    <w:rsid w:val="0082483E"/>
    <w:rsid w:val="00826C74"/>
    <w:rsid w:val="0082782A"/>
    <w:rsid w:val="00827D85"/>
    <w:rsid w:val="008303BA"/>
    <w:rsid w:val="008320F9"/>
    <w:rsid w:val="0083585D"/>
    <w:rsid w:val="008360E2"/>
    <w:rsid w:val="008411F9"/>
    <w:rsid w:val="00841265"/>
    <w:rsid w:val="008438A9"/>
    <w:rsid w:val="008441E9"/>
    <w:rsid w:val="0084437B"/>
    <w:rsid w:val="00844A79"/>
    <w:rsid w:val="00844D35"/>
    <w:rsid w:val="0084565E"/>
    <w:rsid w:val="00845DB0"/>
    <w:rsid w:val="00846739"/>
    <w:rsid w:val="00854878"/>
    <w:rsid w:val="00856B2B"/>
    <w:rsid w:val="00861640"/>
    <w:rsid w:val="00862AC1"/>
    <w:rsid w:val="00862BFC"/>
    <w:rsid w:val="0086428B"/>
    <w:rsid w:val="008710C4"/>
    <w:rsid w:val="00871A9E"/>
    <w:rsid w:val="00872FAF"/>
    <w:rsid w:val="00873218"/>
    <w:rsid w:val="00873B9D"/>
    <w:rsid w:val="0087414A"/>
    <w:rsid w:val="008756C3"/>
    <w:rsid w:val="0087598A"/>
    <w:rsid w:val="00875E88"/>
    <w:rsid w:val="00881992"/>
    <w:rsid w:val="00883823"/>
    <w:rsid w:val="00884AC8"/>
    <w:rsid w:val="00885E34"/>
    <w:rsid w:val="00885F19"/>
    <w:rsid w:val="008861EF"/>
    <w:rsid w:val="008869ED"/>
    <w:rsid w:val="00887664"/>
    <w:rsid w:val="00891582"/>
    <w:rsid w:val="0089280B"/>
    <w:rsid w:val="008953B6"/>
    <w:rsid w:val="008960A8"/>
    <w:rsid w:val="00896EFC"/>
    <w:rsid w:val="008A18B7"/>
    <w:rsid w:val="008A208E"/>
    <w:rsid w:val="008A3283"/>
    <w:rsid w:val="008A45D6"/>
    <w:rsid w:val="008A53E9"/>
    <w:rsid w:val="008A5D55"/>
    <w:rsid w:val="008A60F2"/>
    <w:rsid w:val="008A664D"/>
    <w:rsid w:val="008A75FE"/>
    <w:rsid w:val="008A78CD"/>
    <w:rsid w:val="008A7BF9"/>
    <w:rsid w:val="008B029E"/>
    <w:rsid w:val="008B0A9A"/>
    <w:rsid w:val="008B2896"/>
    <w:rsid w:val="008B5FA1"/>
    <w:rsid w:val="008B634F"/>
    <w:rsid w:val="008B680E"/>
    <w:rsid w:val="008C065E"/>
    <w:rsid w:val="008C26F5"/>
    <w:rsid w:val="008C35C1"/>
    <w:rsid w:val="008C3949"/>
    <w:rsid w:val="008C5016"/>
    <w:rsid w:val="008C637F"/>
    <w:rsid w:val="008C6DC8"/>
    <w:rsid w:val="008D2713"/>
    <w:rsid w:val="008D52AF"/>
    <w:rsid w:val="008D567C"/>
    <w:rsid w:val="008D6292"/>
    <w:rsid w:val="008E35EE"/>
    <w:rsid w:val="008E36E5"/>
    <w:rsid w:val="008E3A37"/>
    <w:rsid w:val="008E3F72"/>
    <w:rsid w:val="008E600C"/>
    <w:rsid w:val="008E60A4"/>
    <w:rsid w:val="008E6F51"/>
    <w:rsid w:val="008F3051"/>
    <w:rsid w:val="008F4A3E"/>
    <w:rsid w:val="008F4B27"/>
    <w:rsid w:val="008F77C2"/>
    <w:rsid w:val="008F7FB1"/>
    <w:rsid w:val="009045F2"/>
    <w:rsid w:val="009052D8"/>
    <w:rsid w:val="009061A8"/>
    <w:rsid w:val="0090657D"/>
    <w:rsid w:val="009069D8"/>
    <w:rsid w:val="0091210E"/>
    <w:rsid w:val="009126DD"/>
    <w:rsid w:val="009127C4"/>
    <w:rsid w:val="0091394B"/>
    <w:rsid w:val="00916896"/>
    <w:rsid w:val="00917529"/>
    <w:rsid w:val="00921177"/>
    <w:rsid w:val="00921E9C"/>
    <w:rsid w:val="00924D6E"/>
    <w:rsid w:val="009272EB"/>
    <w:rsid w:val="009279CA"/>
    <w:rsid w:val="00930D23"/>
    <w:rsid w:val="00933429"/>
    <w:rsid w:val="00933AFF"/>
    <w:rsid w:val="009343C2"/>
    <w:rsid w:val="00934F51"/>
    <w:rsid w:val="0094097B"/>
    <w:rsid w:val="00943501"/>
    <w:rsid w:val="009453FA"/>
    <w:rsid w:val="009454F1"/>
    <w:rsid w:val="00945984"/>
    <w:rsid w:val="009463CC"/>
    <w:rsid w:val="00946D67"/>
    <w:rsid w:val="009473FE"/>
    <w:rsid w:val="00952E0D"/>
    <w:rsid w:val="00953087"/>
    <w:rsid w:val="009540A6"/>
    <w:rsid w:val="00954C39"/>
    <w:rsid w:val="00955882"/>
    <w:rsid w:val="0095670C"/>
    <w:rsid w:val="0096069F"/>
    <w:rsid w:val="00960D2A"/>
    <w:rsid w:val="00962939"/>
    <w:rsid w:val="00964571"/>
    <w:rsid w:val="009649B3"/>
    <w:rsid w:val="0096588E"/>
    <w:rsid w:val="00965D71"/>
    <w:rsid w:val="00966291"/>
    <w:rsid w:val="00967607"/>
    <w:rsid w:val="009677D8"/>
    <w:rsid w:val="009700DB"/>
    <w:rsid w:val="0097117B"/>
    <w:rsid w:val="009717BD"/>
    <w:rsid w:val="009719C0"/>
    <w:rsid w:val="00971A0C"/>
    <w:rsid w:val="0097299A"/>
    <w:rsid w:val="009734AA"/>
    <w:rsid w:val="00974FFA"/>
    <w:rsid w:val="00975192"/>
    <w:rsid w:val="00975F80"/>
    <w:rsid w:val="009809BC"/>
    <w:rsid w:val="00980DEC"/>
    <w:rsid w:val="00980E46"/>
    <w:rsid w:val="00981727"/>
    <w:rsid w:val="00983320"/>
    <w:rsid w:val="00983EBF"/>
    <w:rsid w:val="0098724A"/>
    <w:rsid w:val="009911A4"/>
    <w:rsid w:val="00993A37"/>
    <w:rsid w:val="00993A42"/>
    <w:rsid w:val="009960F5"/>
    <w:rsid w:val="009975A6"/>
    <w:rsid w:val="009A3065"/>
    <w:rsid w:val="009A4DE5"/>
    <w:rsid w:val="009A52F0"/>
    <w:rsid w:val="009A5D3D"/>
    <w:rsid w:val="009A6C12"/>
    <w:rsid w:val="009A75F5"/>
    <w:rsid w:val="009B1CE7"/>
    <w:rsid w:val="009B289C"/>
    <w:rsid w:val="009B2D41"/>
    <w:rsid w:val="009B35CA"/>
    <w:rsid w:val="009B7971"/>
    <w:rsid w:val="009B7AC8"/>
    <w:rsid w:val="009C1687"/>
    <w:rsid w:val="009C3A1E"/>
    <w:rsid w:val="009C3B45"/>
    <w:rsid w:val="009C425E"/>
    <w:rsid w:val="009C4E9D"/>
    <w:rsid w:val="009C592D"/>
    <w:rsid w:val="009C7822"/>
    <w:rsid w:val="009C7A84"/>
    <w:rsid w:val="009D2208"/>
    <w:rsid w:val="009D4111"/>
    <w:rsid w:val="009D6E6B"/>
    <w:rsid w:val="009D7198"/>
    <w:rsid w:val="009D7C22"/>
    <w:rsid w:val="009E1CFF"/>
    <w:rsid w:val="009E3031"/>
    <w:rsid w:val="009E4CA3"/>
    <w:rsid w:val="009E570C"/>
    <w:rsid w:val="009F0322"/>
    <w:rsid w:val="009F17FA"/>
    <w:rsid w:val="009F2516"/>
    <w:rsid w:val="009F3A38"/>
    <w:rsid w:val="009F436C"/>
    <w:rsid w:val="009F4F24"/>
    <w:rsid w:val="00A02157"/>
    <w:rsid w:val="00A0284B"/>
    <w:rsid w:val="00A03D7F"/>
    <w:rsid w:val="00A03D9C"/>
    <w:rsid w:val="00A047D6"/>
    <w:rsid w:val="00A04C40"/>
    <w:rsid w:val="00A04D02"/>
    <w:rsid w:val="00A072E4"/>
    <w:rsid w:val="00A1281C"/>
    <w:rsid w:val="00A1325F"/>
    <w:rsid w:val="00A13D32"/>
    <w:rsid w:val="00A14297"/>
    <w:rsid w:val="00A16AF3"/>
    <w:rsid w:val="00A17A27"/>
    <w:rsid w:val="00A20018"/>
    <w:rsid w:val="00A219AC"/>
    <w:rsid w:val="00A233D0"/>
    <w:rsid w:val="00A23B81"/>
    <w:rsid w:val="00A26209"/>
    <w:rsid w:val="00A30C5D"/>
    <w:rsid w:val="00A30DA2"/>
    <w:rsid w:val="00A33303"/>
    <w:rsid w:val="00A33900"/>
    <w:rsid w:val="00A33B30"/>
    <w:rsid w:val="00A33F93"/>
    <w:rsid w:val="00A35357"/>
    <w:rsid w:val="00A35AB5"/>
    <w:rsid w:val="00A374E5"/>
    <w:rsid w:val="00A37E51"/>
    <w:rsid w:val="00A41537"/>
    <w:rsid w:val="00A4174F"/>
    <w:rsid w:val="00A43301"/>
    <w:rsid w:val="00A4340D"/>
    <w:rsid w:val="00A46C02"/>
    <w:rsid w:val="00A535E3"/>
    <w:rsid w:val="00A55CD0"/>
    <w:rsid w:val="00A56DC0"/>
    <w:rsid w:val="00A61250"/>
    <w:rsid w:val="00A621DB"/>
    <w:rsid w:val="00A63549"/>
    <w:rsid w:val="00A6494D"/>
    <w:rsid w:val="00A64C5B"/>
    <w:rsid w:val="00A659FC"/>
    <w:rsid w:val="00A65D34"/>
    <w:rsid w:val="00A703C7"/>
    <w:rsid w:val="00A73E6F"/>
    <w:rsid w:val="00A754F3"/>
    <w:rsid w:val="00A773C9"/>
    <w:rsid w:val="00A776CE"/>
    <w:rsid w:val="00A81DB7"/>
    <w:rsid w:val="00A83CC6"/>
    <w:rsid w:val="00A85FA4"/>
    <w:rsid w:val="00A862E3"/>
    <w:rsid w:val="00A9135D"/>
    <w:rsid w:val="00A92260"/>
    <w:rsid w:val="00A926F7"/>
    <w:rsid w:val="00A92EE5"/>
    <w:rsid w:val="00A92FDC"/>
    <w:rsid w:val="00A93A64"/>
    <w:rsid w:val="00A94D44"/>
    <w:rsid w:val="00A9524E"/>
    <w:rsid w:val="00A95C3E"/>
    <w:rsid w:val="00A9689C"/>
    <w:rsid w:val="00A97E48"/>
    <w:rsid w:val="00AA228B"/>
    <w:rsid w:val="00AA29D0"/>
    <w:rsid w:val="00AA2CFC"/>
    <w:rsid w:val="00AA4ED6"/>
    <w:rsid w:val="00AA5E48"/>
    <w:rsid w:val="00AA6EC6"/>
    <w:rsid w:val="00AB1F1C"/>
    <w:rsid w:val="00AB2325"/>
    <w:rsid w:val="00AB3755"/>
    <w:rsid w:val="00AB4FD9"/>
    <w:rsid w:val="00AB596D"/>
    <w:rsid w:val="00AC1D89"/>
    <w:rsid w:val="00AC2E97"/>
    <w:rsid w:val="00AC40E3"/>
    <w:rsid w:val="00AC5667"/>
    <w:rsid w:val="00AC58AE"/>
    <w:rsid w:val="00AC6284"/>
    <w:rsid w:val="00AC6485"/>
    <w:rsid w:val="00AD1C9E"/>
    <w:rsid w:val="00AD4DA4"/>
    <w:rsid w:val="00AD516D"/>
    <w:rsid w:val="00AD5575"/>
    <w:rsid w:val="00AD6921"/>
    <w:rsid w:val="00AE2942"/>
    <w:rsid w:val="00AE472B"/>
    <w:rsid w:val="00AE5E5A"/>
    <w:rsid w:val="00AE5EA3"/>
    <w:rsid w:val="00AE6551"/>
    <w:rsid w:val="00AE67AB"/>
    <w:rsid w:val="00AE7325"/>
    <w:rsid w:val="00AF1755"/>
    <w:rsid w:val="00AF1AD1"/>
    <w:rsid w:val="00AF1C55"/>
    <w:rsid w:val="00AF3188"/>
    <w:rsid w:val="00AF3224"/>
    <w:rsid w:val="00AF3CE7"/>
    <w:rsid w:val="00AF66A4"/>
    <w:rsid w:val="00AF6805"/>
    <w:rsid w:val="00AF6903"/>
    <w:rsid w:val="00B01415"/>
    <w:rsid w:val="00B01894"/>
    <w:rsid w:val="00B01C85"/>
    <w:rsid w:val="00B030C1"/>
    <w:rsid w:val="00B031D3"/>
    <w:rsid w:val="00B052ED"/>
    <w:rsid w:val="00B073BA"/>
    <w:rsid w:val="00B07DCB"/>
    <w:rsid w:val="00B11336"/>
    <w:rsid w:val="00B12873"/>
    <w:rsid w:val="00B12FF7"/>
    <w:rsid w:val="00B13249"/>
    <w:rsid w:val="00B13336"/>
    <w:rsid w:val="00B142AC"/>
    <w:rsid w:val="00B146CC"/>
    <w:rsid w:val="00B15683"/>
    <w:rsid w:val="00B167D6"/>
    <w:rsid w:val="00B16A93"/>
    <w:rsid w:val="00B16FE9"/>
    <w:rsid w:val="00B2052D"/>
    <w:rsid w:val="00B2088E"/>
    <w:rsid w:val="00B2338C"/>
    <w:rsid w:val="00B250D5"/>
    <w:rsid w:val="00B25F5E"/>
    <w:rsid w:val="00B2602D"/>
    <w:rsid w:val="00B30A8F"/>
    <w:rsid w:val="00B32CD7"/>
    <w:rsid w:val="00B333BA"/>
    <w:rsid w:val="00B40E64"/>
    <w:rsid w:val="00B41AC0"/>
    <w:rsid w:val="00B42CC1"/>
    <w:rsid w:val="00B42EC8"/>
    <w:rsid w:val="00B449E8"/>
    <w:rsid w:val="00B458FD"/>
    <w:rsid w:val="00B47665"/>
    <w:rsid w:val="00B512A8"/>
    <w:rsid w:val="00B513BE"/>
    <w:rsid w:val="00B517E3"/>
    <w:rsid w:val="00B51D4A"/>
    <w:rsid w:val="00B51F3C"/>
    <w:rsid w:val="00B53048"/>
    <w:rsid w:val="00B54A58"/>
    <w:rsid w:val="00B55FFC"/>
    <w:rsid w:val="00B56400"/>
    <w:rsid w:val="00B57EF6"/>
    <w:rsid w:val="00B628EB"/>
    <w:rsid w:val="00B62A07"/>
    <w:rsid w:val="00B66962"/>
    <w:rsid w:val="00B67EA4"/>
    <w:rsid w:val="00B73539"/>
    <w:rsid w:val="00B735B5"/>
    <w:rsid w:val="00B73860"/>
    <w:rsid w:val="00B759F5"/>
    <w:rsid w:val="00B778AF"/>
    <w:rsid w:val="00B77ACC"/>
    <w:rsid w:val="00B80713"/>
    <w:rsid w:val="00B8108C"/>
    <w:rsid w:val="00B81CE5"/>
    <w:rsid w:val="00B828A6"/>
    <w:rsid w:val="00B83F24"/>
    <w:rsid w:val="00B84509"/>
    <w:rsid w:val="00B85210"/>
    <w:rsid w:val="00B85E54"/>
    <w:rsid w:val="00B866D1"/>
    <w:rsid w:val="00B868AA"/>
    <w:rsid w:val="00B91F67"/>
    <w:rsid w:val="00B91FF7"/>
    <w:rsid w:val="00B926EC"/>
    <w:rsid w:val="00B92A1E"/>
    <w:rsid w:val="00B92BDF"/>
    <w:rsid w:val="00B934A7"/>
    <w:rsid w:val="00B94B75"/>
    <w:rsid w:val="00B9661D"/>
    <w:rsid w:val="00B96CBB"/>
    <w:rsid w:val="00B97130"/>
    <w:rsid w:val="00BA1C93"/>
    <w:rsid w:val="00BA1DBA"/>
    <w:rsid w:val="00BA1ED1"/>
    <w:rsid w:val="00BA2A54"/>
    <w:rsid w:val="00BA5C62"/>
    <w:rsid w:val="00BA64E5"/>
    <w:rsid w:val="00BA7996"/>
    <w:rsid w:val="00BB090A"/>
    <w:rsid w:val="00BB2595"/>
    <w:rsid w:val="00BB2D22"/>
    <w:rsid w:val="00BB46D9"/>
    <w:rsid w:val="00BB7087"/>
    <w:rsid w:val="00BB7437"/>
    <w:rsid w:val="00BC1BA4"/>
    <w:rsid w:val="00BC20CD"/>
    <w:rsid w:val="00BC2936"/>
    <w:rsid w:val="00BC7652"/>
    <w:rsid w:val="00BD09A6"/>
    <w:rsid w:val="00BD13BD"/>
    <w:rsid w:val="00BD17D3"/>
    <w:rsid w:val="00BD2660"/>
    <w:rsid w:val="00BD4A01"/>
    <w:rsid w:val="00BD6758"/>
    <w:rsid w:val="00BD7937"/>
    <w:rsid w:val="00BE03F2"/>
    <w:rsid w:val="00BE0F47"/>
    <w:rsid w:val="00BE2E65"/>
    <w:rsid w:val="00BE3C5F"/>
    <w:rsid w:val="00BE3EAA"/>
    <w:rsid w:val="00BE4DE2"/>
    <w:rsid w:val="00BE533B"/>
    <w:rsid w:val="00BE5C3F"/>
    <w:rsid w:val="00BE6150"/>
    <w:rsid w:val="00BF0D77"/>
    <w:rsid w:val="00BF23C8"/>
    <w:rsid w:val="00BF2520"/>
    <w:rsid w:val="00BF4C82"/>
    <w:rsid w:val="00BF582D"/>
    <w:rsid w:val="00BF5901"/>
    <w:rsid w:val="00BF62A0"/>
    <w:rsid w:val="00C01B55"/>
    <w:rsid w:val="00C0265A"/>
    <w:rsid w:val="00C03FED"/>
    <w:rsid w:val="00C0473C"/>
    <w:rsid w:val="00C04D12"/>
    <w:rsid w:val="00C05607"/>
    <w:rsid w:val="00C06D1E"/>
    <w:rsid w:val="00C11A48"/>
    <w:rsid w:val="00C12FD3"/>
    <w:rsid w:val="00C1329F"/>
    <w:rsid w:val="00C21DB1"/>
    <w:rsid w:val="00C227CB"/>
    <w:rsid w:val="00C22AD1"/>
    <w:rsid w:val="00C24BED"/>
    <w:rsid w:val="00C27E69"/>
    <w:rsid w:val="00C3202B"/>
    <w:rsid w:val="00C3218C"/>
    <w:rsid w:val="00C33527"/>
    <w:rsid w:val="00C3608D"/>
    <w:rsid w:val="00C37A40"/>
    <w:rsid w:val="00C40BD5"/>
    <w:rsid w:val="00C429FE"/>
    <w:rsid w:val="00C42B49"/>
    <w:rsid w:val="00C43340"/>
    <w:rsid w:val="00C44C3E"/>
    <w:rsid w:val="00C45AAD"/>
    <w:rsid w:val="00C5093F"/>
    <w:rsid w:val="00C5147A"/>
    <w:rsid w:val="00C51E0E"/>
    <w:rsid w:val="00C5205C"/>
    <w:rsid w:val="00C5351A"/>
    <w:rsid w:val="00C53CE9"/>
    <w:rsid w:val="00C54335"/>
    <w:rsid w:val="00C544F5"/>
    <w:rsid w:val="00C548EB"/>
    <w:rsid w:val="00C55E9E"/>
    <w:rsid w:val="00C56F5E"/>
    <w:rsid w:val="00C57EE7"/>
    <w:rsid w:val="00C60F4F"/>
    <w:rsid w:val="00C61024"/>
    <w:rsid w:val="00C6239E"/>
    <w:rsid w:val="00C62B9A"/>
    <w:rsid w:val="00C6427C"/>
    <w:rsid w:val="00C65A92"/>
    <w:rsid w:val="00C66755"/>
    <w:rsid w:val="00C701F4"/>
    <w:rsid w:val="00C7169A"/>
    <w:rsid w:val="00C71B2B"/>
    <w:rsid w:val="00C71FC1"/>
    <w:rsid w:val="00C72C67"/>
    <w:rsid w:val="00C73AF0"/>
    <w:rsid w:val="00C740B5"/>
    <w:rsid w:val="00C743B1"/>
    <w:rsid w:val="00C75B89"/>
    <w:rsid w:val="00C760A1"/>
    <w:rsid w:val="00C76335"/>
    <w:rsid w:val="00C76E65"/>
    <w:rsid w:val="00C76F71"/>
    <w:rsid w:val="00C815DD"/>
    <w:rsid w:val="00C83384"/>
    <w:rsid w:val="00C85DCA"/>
    <w:rsid w:val="00C86316"/>
    <w:rsid w:val="00C86F18"/>
    <w:rsid w:val="00C871F9"/>
    <w:rsid w:val="00C90009"/>
    <w:rsid w:val="00C900EF"/>
    <w:rsid w:val="00C902AD"/>
    <w:rsid w:val="00C9195F"/>
    <w:rsid w:val="00C91C83"/>
    <w:rsid w:val="00C91CF2"/>
    <w:rsid w:val="00C92120"/>
    <w:rsid w:val="00C93C3F"/>
    <w:rsid w:val="00C94CD6"/>
    <w:rsid w:val="00C96EE2"/>
    <w:rsid w:val="00CA0F3F"/>
    <w:rsid w:val="00CA2116"/>
    <w:rsid w:val="00CA3362"/>
    <w:rsid w:val="00CA40E2"/>
    <w:rsid w:val="00CA5B7F"/>
    <w:rsid w:val="00CA6BC5"/>
    <w:rsid w:val="00CA730F"/>
    <w:rsid w:val="00CA7E3B"/>
    <w:rsid w:val="00CB038F"/>
    <w:rsid w:val="00CB3096"/>
    <w:rsid w:val="00CB40D5"/>
    <w:rsid w:val="00CB52AC"/>
    <w:rsid w:val="00CB6134"/>
    <w:rsid w:val="00CB7561"/>
    <w:rsid w:val="00CB7D19"/>
    <w:rsid w:val="00CC0ACD"/>
    <w:rsid w:val="00CC2BE4"/>
    <w:rsid w:val="00CC3A39"/>
    <w:rsid w:val="00CC5422"/>
    <w:rsid w:val="00CC57ED"/>
    <w:rsid w:val="00CC6053"/>
    <w:rsid w:val="00CC75F2"/>
    <w:rsid w:val="00CC788F"/>
    <w:rsid w:val="00CC7C65"/>
    <w:rsid w:val="00CD2345"/>
    <w:rsid w:val="00CD3168"/>
    <w:rsid w:val="00CD4134"/>
    <w:rsid w:val="00CD6061"/>
    <w:rsid w:val="00CD7857"/>
    <w:rsid w:val="00CE1E88"/>
    <w:rsid w:val="00CE2B3D"/>
    <w:rsid w:val="00CE2CD0"/>
    <w:rsid w:val="00CE516D"/>
    <w:rsid w:val="00CE5223"/>
    <w:rsid w:val="00CE5998"/>
    <w:rsid w:val="00CE6A91"/>
    <w:rsid w:val="00CE7616"/>
    <w:rsid w:val="00CF0AAB"/>
    <w:rsid w:val="00CF5EF8"/>
    <w:rsid w:val="00D00877"/>
    <w:rsid w:val="00D00C7A"/>
    <w:rsid w:val="00D02E7B"/>
    <w:rsid w:val="00D07897"/>
    <w:rsid w:val="00D07E2F"/>
    <w:rsid w:val="00D10936"/>
    <w:rsid w:val="00D13126"/>
    <w:rsid w:val="00D146FB"/>
    <w:rsid w:val="00D14BE1"/>
    <w:rsid w:val="00D17742"/>
    <w:rsid w:val="00D17821"/>
    <w:rsid w:val="00D17A08"/>
    <w:rsid w:val="00D17BDE"/>
    <w:rsid w:val="00D17E8D"/>
    <w:rsid w:val="00D224D5"/>
    <w:rsid w:val="00D22656"/>
    <w:rsid w:val="00D23A52"/>
    <w:rsid w:val="00D2525C"/>
    <w:rsid w:val="00D25334"/>
    <w:rsid w:val="00D260C9"/>
    <w:rsid w:val="00D2612C"/>
    <w:rsid w:val="00D26224"/>
    <w:rsid w:val="00D26711"/>
    <w:rsid w:val="00D271F7"/>
    <w:rsid w:val="00D27A39"/>
    <w:rsid w:val="00D27F61"/>
    <w:rsid w:val="00D32532"/>
    <w:rsid w:val="00D33141"/>
    <w:rsid w:val="00D33808"/>
    <w:rsid w:val="00D34885"/>
    <w:rsid w:val="00D35512"/>
    <w:rsid w:val="00D35F46"/>
    <w:rsid w:val="00D3609A"/>
    <w:rsid w:val="00D364AD"/>
    <w:rsid w:val="00D377DC"/>
    <w:rsid w:val="00D378D5"/>
    <w:rsid w:val="00D412E1"/>
    <w:rsid w:val="00D42C53"/>
    <w:rsid w:val="00D47130"/>
    <w:rsid w:val="00D511CB"/>
    <w:rsid w:val="00D51926"/>
    <w:rsid w:val="00D534C2"/>
    <w:rsid w:val="00D53AAC"/>
    <w:rsid w:val="00D5577C"/>
    <w:rsid w:val="00D5621B"/>
    <w:rsid w:val="00D5738F"/>
    <w:rsid w:val="00D5744B"/>
    <w:rsid w:val="00D57B67"/>
    <w:rsid w:val="00D6111F"/>
    <w:rsid w:val="00D61E5E"/>
    <w:rsid w:val="00D62219"/>
    <w:rsid w:val="00D659CA"/>
    <w:rsid w:val="00D66707"/>
    <w:rsid w:val="00D714FB"/>
    <w:rsid w:val="00D71613"/>
    <w:rsid w:val="00D717C6"/>
    <w:rsid w:val="00D724DD"/>
    <w:rsid w:val="00D75B6F"/>
    <w:rsid w:val="00D76461"/>
    <w:rsid w:val="00D76C80"/>
    <w:rsid w:val="00D77959"/>
    <w:rsid w:val="00D77BDB"/>
    <w:rsid w:val="00D8236B"/>
    <w:rsid w:val="00D82C28"/>
    <w:rsid w:val="00D82F07"/>
    <w:rsid w:val="00D8397C"/>
    <w:rsid w:val="00D8420B"/>
    <w:rsid w:val="00D92A6B"/>
    <w:rsid w:val="00D92B19"/>
    <w:rsid w:val="00D932EF"/>
    <w:rsid w:val="00D94054"/>
    <w:rsid w:val="00D94647"/>
    <w:rsid w:val="00D94A34"/>
    <w:rsid w:val="00D94DA7"/>
    <w:rsid w:val="00D970ED"/>
    <w:rsid w:val="00D973D6"/>
    <w:rsid w:val="00D97598"/>
    <w:rsid w:val="00D97B2E"/>
    <w:rsid w:val="00DA01A3"/>
    <w:rsid w:val="00DA4B42"/>
    <w:rsid w:val="00DA5DD1"/>
    <w:rsid w:val="00DB078F"/>
    <w:rsid w:val="00DB0842"/>
    <w:rsid w:val="00DB1A14"/>
    <w:rsid w:val="00DB1DF8"/>
    <w:rsid w:val="00DB4D17"/>
    <w:rsid w:val="00DB567A"/>
    <w:rsid w:val="00DB56A5"/>
    <w:rsid w:val="00DB73D3"/>
    <w:rsid w:val="00DB77EC"/>
    <w:rsid w:val="00DB7AAD"/>
    <w:rsid w:val="00DC10F6"/>
    <w:rsid w:val="00DC12F0"/>
    <w:rsid w:val="00DC18AF"/>
    <w:rsid w:val="00DC39A3"/>
    <w:rsid w:val="00DC3D28"/>
    <w:rsid w:val="00DD0213"/>
    <w:rsid w:val="00DD152F"/>
    <w:rsid w:val="00DD3142"/>
    <w:rsid w:val="00DD3325"/>
    <w:rsid w:val="00DD3B45"/>
    <w:rsid w:val="00DD4102"/>
    <w:rsid w:val="00DD4493"/>
    <w:rsid w:val="00DD7B9E"/>
    <w:rsid w:val="00DE11F3"/>
    <w:rsid w:val="00DE1C55"/>
    <w:rsid w:val="00DE23E9"/>
    <w:rsid w:val="00DE3DAA"/>
    <w:rsid w:val="00DE4ACF"/>
    <w:rsid w:val="00DE5826"/>
    <w:rsid w:val="00DE6CCA"/>
    <w:rsid w:val="00DE77B0"/>
    <w:rsid w:val="00DE789B"/>
    <w:rsid w:val="00DE7FE4"/>
    <w:rsid w:val="00DF4DFC"/>
    <w:rsid w:val="00DF528D"/>
    <w:rsid w:val="00DF5832"/>
    <w:rsid w:val="00DF6CCE"/>
    <w:rsid w:val="00DF7051"/>
    <w:rsid w:val="00DF7097"/>
    <w:rsid w:val="00E00EF1"/>
    <w:rsid w:val="00E0588A"/>
    <w:rsid w:val="00E0625C"/>
    <w:rsid w:val="00E062A3"/>
    <w:rsid w:val="00E0679A"/>
    <w:rsid w:val="00E10F89"/>
    <w:rsid w:val="00E12B63"/>
    <w:rsid w:val="00E13C32"/>
    <w:rsid w:val="00E206B7"/>
    <w:rsid w:val="00E21997"/>
    <w:rsid w:val="00E21AA2"/>
    <w:rsid w:val="00E247FC"/>
    <w:rsid w:val="00E2596B"/>
    <w:rsid w:val="00E25DF2"/>
    <w:rsid w:val="00E2791C"/>
    <w:rsid w:val="00E27C79"/>
    <w:rsid w:val="00E30592"/>
    <w:rsid w:val="00E30F4A"/>
    <w:rsid w:val="00E31457"/>
    <w:rsid w:val="00E327B1"/>
    <w:rsid w:val="00E33357"/>
    <w:rsid w:val="00E35190"/>
    <w:rsid w:val="00E35E6C"/>
    <w:rsid w:val="00E3614B"/>
    <w:rsid w:val="00E3720F"/>
    <w:rsid w:val="00E40CC9"/>
    <w:rsid w:val="00E4265D"/>
    <w:rsid w:val="00E43776"/>
    <w:rsid w:val="00E447E6"/>
    <w:rsid w:val="00E46CBB"/>
    <w:rsid w:val="00E46EEB"/>
    <w:rsid w:val="00E514A7"/>
    <w:rsid w:val="00E51FCE"/>
    <w:rsid w:val="00E521F6"/>
    <w:rsid w:val="00E52281"/>
    <w:rsid w:val="00E524CC"/>
    <w:rsid w:val="00E54541"/>
    <w:rsid w:val="00E576D1"/>
    <w:rsid w:val="00E60EFD"/>
    <w:rsid w:val="00E6183F"/>
    <w:rsid w:val="00E62BED"/>
    <w:rsid w:val="00E63366"/>
    <w:rsid w:val="00E63667"/>
    <w:rsid w:val="00E637F2"/>
    <w:rsid w:val="00E63F19"/>
    <w:rsid w:val="00E6456D"/>
    <w:rsid w:val="00E65051"/>
    <w:rsid w:val="00E6529A"/>
    <w:rsid w:val="00E659BA"/>
    <w:rsid w:val="00E66B54"/>
    <w:rsid w:val="00E67446"/>
    <w:rsid w:val="00E6787D"/>
    <w:rsid w:val="00E70049"/>
    <w:rsid w:val="00E71766"/>
    <w:rsid w:val="00E727D7"/>
    <w:rsid w:val="00E72BEE"/>
    <w:rsid w:val="00E7369A"/>
    <w:rsid w:val="00E76D14"/>
    <w:rsid w:val="00E77526"/>
    <w:rsid w:val="00E83A6D"/>
    <w:rsid w:val="00E85834"/>
    <w:rsid w:val="00E8602A"/>
    <w:rsid w:val="00E87C08"/>
    <w:rsid w:val="00E87F54"/>
    <w:rsid w:val="00E917F9"/>
    <w:rsid w:val="00E92BF9"/>
    <w:rsid w:val="00E957BE"/>
    <w:rsid w:val="00E9641C"/>
    <w:rsid w:val="00E96D48"/>
    <w:rsid w:val="00EA1A27"/>
    <w:rsid w:val="00EA2D5C"/>
    <w:rsid w:val="00EA4737"/>
    <w:rsid w:val="00EB0C68"/>
    <w:rsid w:val="00EB322B"/>
    <w:rsid w:val="00EB331F"/>
    <w:rsid w:val="00EB5008"/>
    <w:rsid w:val="00EC067A"/>
    <w:rsid w:val="00EC1819"/>
    <w:rsid w:val="00EC43DF"/>
    <w:rsid w:val="00EC4FC2"/>
    <w:rsid w:val="00EC5548"/>
    <w:rsid w:val="00EC663E"/>
    <w:rsid w:val="00ED114F"/>
    <w:rsid w:val="00ED33D5"/>
    <w:rsid w:val="00ED5923"/>
    <w:rsid w:val="00ED6B8C"/>
    <w:rsid w:val="00ED794D"/>
    <w:rsid w:val="00ED7F15"/>
    <w:rsid w:val="00EE0C2C"/>
    <w:rsid w:val="00EE0EB1"/>
    <w:rsid w:val="00EE17B1"/>
    <w:rsid w:val="00EE30E1"/>
    <w:rsid w:val="00EE495C"/>
    <w:rsid w:val="00EE56AD"/>
    <w:rsid w:val="00EE5EAE"/>
    <w:rsid w:val="00EE6917"/>
    <w:rsid w:val="00EF0129"/>
    <w:rsid w:val="00EF0198"/>
    <w:rsid w:val="00EF1D2F"/>
    <w:rsid w:val="00EF260A"/>
    <w:rsid w:val="00EF27FC"/>
    <w:rsid w:val="00EF3487"/>
    <w:rsid w:val="00EF42AF"/>
    <w:rsid w:val="00EF55AD"/>
    <w:rsid w:val="00F011F6"/>
    <w:rsid w:val="00F0131F"/>
    <w:rsid w:val="00F0179D"/>
    <w:rsid w:val="00F03287"/>
    <w:rsid w:val="00F0411F"/>
    <w:rsid w:val="00F04217"/>
    <w:rsid w:val="00F05A94"/>
    <w:rsid w:val="00F06275"/>
    <w:rsid w:val="00F06F12"/>
    <w:rsid w:val="00F10439"/>
    <w:rsid w:val="00F10744"/>
    <w:rsid w:val="00F15926"/>
    <w:rsid w:val="00F16BCD"/>
    <w:rsid w:val="00F1722B"/>
    <w:rsid w:val="00F175B0"/>
    <w:rsid w:val="00F17941"/>
    <w:rsid w:val="00F205B6"/>
    <w:rsid w:val="00F2357A"/>
    <w:rsid w:val="00F26512"/>
    <w:rsid w:val="00F273EC"/>
    <w:rsid w:val="00F30D07"/>
    <w:rsid w:val="00F319B5"/>
    <w:rsid w:val="00F33678"/>
    <w:rsid w:val="00F34CDC"/>
    <w:rsid w:val="00F35A3D"/>
    <w:rsid w:val="00F360A3"/>
    <w:rsid w:val="00F36515"/>
    <w:rsid w:val="00F405FB"/>
    <w:rsid w:val="00F40AF7"/>
    <w:rsid w:val="00F41711"/>
    <w:rsid w:val="00F4198E"/>
    <w:rsid w:val="00F43424"/>
    <w:rsid w:val="00F435F6"/>
    <w:rsid w:val="00F4422C"/>
    <w:rsid w:val="00F44872"/>
    <w:rsid w:val="00F46408"/>
    <w:rsid w:val="00F474AE"/>
    <w:rsid w:val="00F515D4"/>
    <w:rsid w:val="00F577DE"/>
    <w:rsid w:val="00F579F5"/>
    <w:rsid w:val="00F57A3A"/>
    <w:rsid w:val="00F61220"/>
    <w:rsid w:val="00F62954"/>
    <w:rsid w:val="00F62B0D"/>
    <w:rsid w:val="00F63AEC"/>
    <w:rsid w:val="00F64DD0"/>
    <w:rsid w:val="00F708DC"/>
    <w:rsid w:val="00F711BB"/>
    <w:rsid w:val="00F71AD0"/>
    <w:rsid w:val="00F71DEC"/>
    <w:rsid w:val="00F7348B"/>
    <w:rsid w:val="00F73A2E"/>
    <w:rsid w:val="00F742A6"/>
    <w:rsid w:val="00F74835"/>
    <w:rsid w:val="00F749AC"/>
    <w:rsid w:val="00F74B8B"/>
    <w:rsid w:val="00F77BF8"/>
    <w:rsid w:val="00F77EB4"/>
    <w:rsid w:val="00F8098A"/>
    <w:rsid w:val="00F814B7"/>
    <w:rsid w:val="00F82363"/>
    <w:rsid w:val="00F8381C"/>
    <w:rsid w:val="00F83A7E"/>
    <w:rsid w:val="00F841F4"/>
    <w:rsid w:val="00F856E9"/>
    <w:rsid w:val="00F85911"/>
    <w:rsid w:val="00F85C8B"/>
    <w:rsid w:val="00F85DF9"/>
    <w:rsid w:val="00F860E4"/>
    <w:rsid w:val="00F86F11"/>
    <w:rsid w:val="00F91C5C"/>
    <w:rsid w:val="00F91ECF"/>
    <w:rsid w:val="00F92397"/>
    <w:rsid w:val="00F92D33"/>
    <w:rsid w:val="00F93505"/>
    <w:rsid w:val="00F935FE"/>
    <w:rsid w:val="00F93F64"/>
    <w:rsid w:val="00F941CC"/>
    <w:rsid w:val="00F95056"/>
    <w:rsid w:val="00F97336"/>
    <w:rsid w:val="00F97A95"/>
    <w:rsid w:val="00FA00A7"/>
    <w:rsid w:val="00FA1E8C"/>
    <w:rsid w:val="00FA28D3"/>
    <w:rsid w:val="00FA352C"/>
    <w:rsid w:val="00FA3670"/>
    <w:rsid w:val="00FA3F59"/>
    <w:rsid w:val="00FA4EE3"/>
    <w:rsid w:val="00FA559C"/>
    <w:rsid w:val="00FA6ACB"/>
    <w:rsid w:val="00FB00AF"/>
    <w:rsid w:val="00FB023F"/>
    <w:rsid w:val="00FB054B"/>
    <w:rsid w:val="00FB3340"/>
    <w:rsid w:val="00FB3ACA"/>
    <w:rsid w:val="00FB4BC6"/>
    <w:rsid w:val="00FB5A48"/>
    <w:rsid w:val="00FB5A9E"/>
    <w:rsid w:val="00FB5EF7"/>
    <w:rsid w:val="00FB665A"/>
    <w:rsid w:val="00FB75AD"/>
    <w:rsid w:val="00FC0D75"/>
    <w:rsid w:val="00FC1246"/>
    <w:rsid w:val="00FC21A9"/>
    <w:rsid w:val="00FC39FE"/>
    <w:rsid w:val="00FC5620"/>
    <w:rsid w:val="00FC6C50"/>
    <w:rsid w:val="00FC712E"/>
    <w:rsid w:val="00FD0506"/>
    <w:rsid w:val="00FD06D4"/>
    <w:rsid w:val="00FD092F"/>
    <w:rsid w:val="00FD2FF7"/>
    <w:rsid w:val="00FD3AAA"/>
    <w:rsid w:val="00FD4D77"/>
    <w:rsid w:val="00FD504E"/>
    <w:rsid w:val="00FD51B8"/>
    <w:rsid w:val="00FD64D3"/>
    <w:rsid w:val="00FE215B"/>
    <w:rsid w:val="00FE40C5"/>
    <w:rsid w:val="00FE4DA2"/>
    <w:rsid w:val="00FE584D"/>
    <w:rsid w:val="00FE6BED"/>
    <w:rsid w:val="00FE7FCE"/>
    <w:rsid w:val="00FF30C0"/>
    <w:rsid w:val="00FF3D44"/>
    <w:rsid w:val="00FF43AF"/>
    <w:rsid w:val="00FF4765"/>
    <w:rsid w:val="00FF59E6"/>
    <w:rsid w:val="00FF6F2E"/>
    <w:rsid w:val="00FF73C9"/>
    <w:rsid w:val="01E90675"/>
    <w:rsid w:val="02462C62"/>
    <w:rsid w:val="02CB1CF7"/>
    <w:rsid w:val="030F0E37"/>
    <w:rsid w:val="031802D1"/>
    <w:rsid w:val="03915A1E"/>
    <w:rsid w:val="03D50016"/>
    <w:rsid w:val="04354274"/>
    <w:rsid w:val="046D39C4"/>
    <w:rsid w:val="04BE72E7"/>
    <w:rsid w:val="05C35CC7"/>
    <w:rsid w:val="060600DF"/>
    <w:rsid w:val="069914E0"/>
    <w:rsid w:val="07812A3C"/>
    <w:rsid w:val="088F3691"/>
    <w:rsid w:val="08AC0866"/>
    <w:rsid w:val="096915D0"/>
    <w:rsid w:val="09B949B8"/>
    <w:rsid w:val="0BD63D1B"/>
    <w:rsid w:val="0BDB2263"/>
    <w:rsid w:val="0BF215E5"/>
    <w:rsid w:val="0C497B66"/>
    <w:rsid w:val="0CB90827"/>
    <w:rsid w:val="0CDB18C1"/>
    <w:rsid w:val="0DC45C7F"/>
    <w:rsid w:val="0DF7364A"/>
    <w:rsid w:val="0E232C94"/>
    <w:rsid w:val="0E257470"/>
    <w:rsid w:val="0E675CD8"/>
    <w:rsid w:val="0F1113DA"/>
    <w:rsid w:val="0F1431A4"/>
    <w:rsid w:val="107F0312"/>
    <w:rsid w:val="10F529F9"/>
    <w:rsid w:val="10F66CDF"/>
    <w:rsid w:val="110E05EB"/>
    <w:rsid w:val="11447B82"/>
    <w:rsid w:val="126D6E57"/>
    <w:rsid w:val="129A69FC"/>
    <w:rsid w:val="12ED6598"/>
    <w:rsid w:val="12F64D28"/>
    <w:rsid w:val="134428A9"/>
    <w:rsid w:val="139D45C1"/>
    <w:rsid w:val="1424321C"/>
    <w:rsid w:val="142B35FA"/>
    <w:rsid w:val="144D2736"/>
    <w:rsid w:val="14C10B1B"/>
    <w:rsid w:val="15C577F7"/>
    <w:rsid w:val="164E5D24"/>
    <w:rsid w:val="1660267E"/>
    <w:rsid w:val="17016B89"/>
    <w:rsid w:val="17A740BC"/>
    <w:rsid w:val="18633985"/>
    <w:rsid w:val="18C3687B"/>
    <w:rsid w:val="1A197DE9"/>
    <w:rsid w:val="1A9D4621"/>
    <w:rsid w:val="1AAF2DD5"/>
    <w:rsid w:val="1B51797C"/>
    <w:rsid w:val="1C330BCB"/>
    <w:rsid w:val="1CD034C4"/>
    <w:rsid w:val="1E0972D4"/>
    <w:rsid w:val="1E734785"/>
    <w:rsid w:val="1E780C0D"/>
    <w:rsid w:val="1F7B76C7"/>
    <w:rsid w:val="1FAF4A23"/>
    <w:rsid w:val="1FEE048D"/>
    <w:rsid w:val="2003061B"/>
    <w:rsid w:val="21524A59"/>
    <w:rsid w:val="22454506"/>
    <w:rsid w:val="22CD37B1"/>
    <w:rsid w:val="23200C0D"/>
    <w:rsid w:val="23425027"/>
    <w:rsid w:val="235E31D0"/>
    <w:rsid w:val="23CC4733"/>
    <w:rsid w:val="23F13B8A"/>
    <w:rsid w:val="24192BAC"/>
    <w:rsid w:val="24284DA4"/>
    <w:rsid w:val="24717D04"/>
    <w:rsid w:val="253357AE"/>
    <w:rsid w:val="253E2858"/>
    <w:rsid w:val="25D6079F"/>
    <w:rsid w:val="25DD794C"/>
    <w:rsid w:val="27B226ED"/>
    <w:rsid w:val="27DC6945"/>
    <w:rsid w:val="28A6600A"/>
    <w:rsid w:val="28FE4C00"/>
    <w:rsid w:val="292D2C85"/>
    <w:rsid w:val="29606AF4"/>
    <w:rsid w:val="2C6432DA"/>
    <w:rsid w:val="2D031EF1"/>
    <w:rsid w:val="2D195A31"/>
    <w:rsid w:val="2D410F2E"/>
    <w:rsid w:val="2DD54CCF"/>
    <w:rsid w:val="2E4F6EF6"/>
    <w:rsid w:val="2EE40554"/>
    <w:rsid w:val="303548B7"/>
    <w:rsid w:val="30D14FE9"/>
    <w:rsid w:val="3111358D"/>
    <w:rsid w:val="31396F42"/>
    <w:rsid w:val="313E1763"/>
    <w:rsid w:val="32452F2C"/>
    <w:rsid w:val="32CC611D"/>
    <w:rsid w:val="331F3816"/>
    <w:rsid w:val="33975284"/>
    <w:rsid w:val="33B018BD"/>
    <w:rsid w:val="33C40EFA"/>
    <w:rsid w:val="3438568B"/>
    <w:rsid w:val="348D63C4"/>
    <w:rsid w:val="34D04C04"/>
    <w:rsid w:val="350D1EFE"/>
    <w:rsid w:val="3628322E"/>
    <w:rsid w:val="37C52464"/>
    <w:rsid w:val="37E67924"/>
    <w:rsid w:val="382C3278"/>
    <w:rsid w:val="389926E7"/>
    <w:rsid w:val="38BE674C"/>
    <w:rsid w:val="3A3571B4"/>
    <w:rsid w:val="3AD06868"/>
    <w:rsid w:val="3BB94CB3"/>
    <w:rsid w:val="3C1F4049"/>
    <w:rsid w:val="3CAF5EA3"/>
    <w:rsid w:val="3CCB3E1C"/>
    <w:rsid w:val="3CF33D49"/>
    <w:rsid w:val="3D1C0BED"/>
    <w:rsid w:val="3FD34063"/>
    <w:rsid w:val="3FF62227"/>
    <w:rsid w:val="404473EB"/>
    <w:rsid w:val="41091CFF"/>
    <w:rsid w:val="412874F2"/>
    <w:rsid w:val="41B830B4"/>
    <w:rsid w:val="41E105A8"/>
    <w:rsid w:val="41FF0702"/>
    <w:rsid w:val="4269060A"/>
    <w:rsid w:val="42C01727"/>
    <w:rsid w:val="43162868"/>
    <w:rsid w:val="43C26E36"/>
    <w:rsid w:val="43E24461"/>
    <w:rsid w:val="43F66C59"/>
    <w:rsid w:val="444A2B8C"/>
    <w:rsid w:val="449F20A4"/>
    <w:rsid w:val="45587E40"/>
    <w:rsid w:val="461C73FA"/>
    <w:rsid w:val="47725EBB"/>
    <w:rsid w:val="47A0687C"/>
    <w:rsid w:val="47C10393"/>
    <w:rsid w:val="47E12540"/>
    <w:rsid w:val="49067070"/>
    <w:rsid w:val="490D7296"/>
    <w:rsid w:val="49255DFC"/>
    <w:rsid w:val="492F4134"/>
    <w:rsid w:val="49673AA1"/>
    <w:rsid w:val="496A249E"/>
    <w:rsid w:val="4A4431E9"/>
    <w:rsid w:val="4B1F21AD"/>
    <w:rsid w:val="4B275057"/>
    <w:rsid w:val="4C0477DB"/>
    <w:rsid w:val="4CBD5249"/>
    <w:rsid w:val="4D645CE9"/>
    <w:rsid w:val="4D6F1CDF"/>
    <w:rsid w:val="4DF1434C"/>
    <w:rsid w:val="4F297952"/>
    <w:rsid w:val="50C90919"/>
    <w:rsid w:val="50D83132"/>
    <w:rsid w:val="51721A9E"/>
    <w:rsid w:val="51B67438"/>
    <w:rsid w:val="523744EF"/>
    <w:rsid w:val="529B480F"/>
    <w:rsid w:val="52C1119C"/>
    <w:rsid w:val="53467C50"/>
    <w:rsid w:val="538D2A82"/>
    <w:rsid w:val="53954932"/>
    <w:rsid w:val="53A20FB6"/>
    <w:rsid w:val="546E1A41"/>
    <w:rsid w:val="548A13A6"/>
    <w:rsid w:val="55226F39"/>
    <w:rsid w:val="55FF0534"/>
    <w:rsid w:val="56692AD3"/>
    <w:rsid w:val="57194478"/>
    <w:rsid w:val="578876A8"/>
    <w:rsid w:val="57901D53"/>
    <w:rsid w:val="57FA649D"/>
    <w:rsid w:val="580E1CFA"/>
    <w:rsid w:val="585F1909"/>
    <w:rsid w:val="59A72F25"/>
    <w:rsid w:val="59C53F20"/>
    <w:rsid w:val="59E72334"/>
    <w:rsid w:val="5A666E64"/>
    <w:rsid w:val="5AB368DA"/>
    <w:rsid w:val="5B780C22"/>
    <w:rsid w:val="5D6217C7"/>
    <w:rsid w:val="5E023994"/>
    <w:rsid w:val="5F895B49"/>
    <w:rsid w:val="60426E98"/>
    <w:rsid w:val="62035169"/>
    <w:rsid w:val="62482434"/>
    <w:rsid w:val="625472E1"/>
    <w:rsid w:val="63AB2F21"/>
    <w:rsid w:val="64575777"/>
    <w:rsid w:val="6533227E"/>
    <w:rsid w:val="65DE04C0"/>
    <w:rsid w:val="66171B8A"/>
    <w:rsid w:val="666B465D"/>
    <w:rsid w:val="66AE3383"/>
    <w:rsid w:val="68B150D2"/>
    <w:rsid w:val="68D11D83"/>
    <w:rsid w:val="69482472"/>
    <w:rsid w:val="69C21C85"/>
    <w:rsid w:val="6A886E20"/>
    <w:rsid w:val="6AC10335"/>
    <w:rsid w:val="6CAF3595"/>
    <w:rsid w:val="6CDA79FA"/>
    <w:rsid w:val="6CE04BE2"/>
    <w:rsid w:val="6DCE2773"/>
    <w:rsid w:val="6F557428"/>
    <w:rsid w:val="6F7A7103"/>
    <w:rsid w:val="702C0672"/>
    <w:rsid w:val="71427DA0"/>
    <w:rsid w:val="71684537"/>
    <w:rsid w:val="71F37E77"/>
    <w:rsid w:val="72FA0013"/>
    <w:rsid w:val="74112337"/>
    <w:rsid w:val="744F02C8"/>
    <w:rsid w:val="75AF45AE"/>
    <w:rsid w:val="761A37E4"/>
    <w:rsid w:val="76CC3D72"/>
    <w:rsid w:val="77406424"/>
    <w:rsid w:val="776E6B01"/>
    <w:rsid w:val="77BC29AE"/>
    <w:rsid w:val="78225125"/>
    <w:rsid w:val="78967CE1"/>
    <w:rsid w:val="79D42231"/>
    <w:rsid w:val="7A522A01"/>
    <w:rsid w:val="7A8F139B"/>
    <w:rsid w:val="7ACA0D7F"/>
    <w:rsid w:val="7B3525D0"/>
    <w:rsid w:val="7BFD7986"/>
    <w:rsid w:val="7C2C2F45"/>
    <w:rsid w:val="7C6C5F2D"/>
    <w:rsid w:val="7CCC5A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qFormat="1" w:unhideWhenUsed="0" w:uiPriority="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仿宋" w:hAnsi="仿宋" w:eastAsia="仿宋" w:cs="Times New Roman"/>
      <w:kern w:val="2"/>
      <w:sz w:val="24"/>
      <w:szCs w:val="24"/>
      <w:lang w:val="en-US" w:eastAsia="zh-CN" w:bidi="ar-SA"/>
    </w:rPr>
  </w:style>
  <w:style w:type="paragraph" w:styleId="3">
    <w:name w:val="heading 1"/>
    <w:basedOn w:val="1"/>
    <w:next w:val="1"/>
    <w:qFormat/>
    <w:uiPriority w:val="0"/>
    <w:pPr>
      <w:keepNext/>
      <w:keepLines/>
      <w:numPr>
        <w:ilvl w:val="0"/>
        <w:numId w:val="1"/>
      </w:numPr>
      <w:tabs>
        <w:tab w:val="left" w:pos="432"/>
        <w:tab w:val="clear" w:pos="420"/>
      </w:tabs>
      <w:topLinePunct/>
      <w:adjustRightInd w:val="0"/>
      <w:snapToGrid w:val="0"/>
      <w:spacing w:before="160" w:after="100" w:line="240" w:lineRule="auto"/>
      <w:ind w:left="0" w:firstLine="0" w:firstLineChars="0"/>
      <w:jc w:val="left"/>
      <w:textAlignment w:val="center"/>
      <w:outlineLvl w:val="0"/>
    </w:pPr>
    <w:rPr>
      <w:rFonts w:ascii="黑体" w:hAnsi="黑体" w:eastAsia="黑体"/>
      <w:b/>
      <w:bCs/>
      <w:snapToGrid w:val="0"/>
      <w:kern w:val="0"/>
      <w:szCs w:val="32"/>
    </w:rPr>
  </w:style>
  <w:style w:type="paragraph" w:styleId="4">
    <w:name w:val="heading 2"/>
    <w:basedOn w:val="1"/>
    <w:next w:val="1"/>
    <w:qFormat/>
    <w:uiPriority w:val="0"/>
    <w:pPr>
      <w:keepNext/>
      <w:keepLines/>
      <w:numPr>
        <w:ilvl w:val="1"/>
        <w:numId w:val="1"/>
      </w:numPr>
      <w:tabs>
        <w:tab w:val="left" w:pos="576"/>
        <w:tab w:val="clear" w:pos="420"/>
      </w:tabs>
      <w:topLinePunct/>
      <w:adjustRightInd w:val="0"/>
      <w:snapToGrid w:val="0"/>
      <w:spacing w:before="80" w:after="80" w:line="240" w:lineRule="auto"/>
      <w:ind w:left="0" w:firstLine="0" w:firstLineChars="0"/>
      <w:jc w:val="left"/>
      <w:textAlignment w:val="center"/>
      <w:outlineLvl w:val="1"/>
    </w:pPr>
    <w:rPr>
      <w:rFonts w:cs="宋体"/>
      <w:b/>
      <w:bCs/>
      <w:color w:val="000000"/>
      <w:kern w:val="0"/>
      <w:szCs w:val="32"/>
    </w:rPr>
  </w:style>
  <w:style w:type="paragraph" w:styleId="5">
    <w:name w:val="heading 3"/>
    <w:basedOn w:val="4"/>
    <w:next w:val="1"/>
    <w:qFormat/>
    <w:uiPriority w:val="0"/>
    <w:pPr>
      <w:keepNext/>
      <w:keepLines/>
      <w:numPr>
        <w:ilvl w:val="2"/>
        <w:numId w:val="1"/>
      </w:numPr>
      <w:tabs>
        <w:tab w:val="left" w:pos="720"/>
        <w:tab w:val="clear" w:pos="420"/>
        <w:tab w:val="clear" w:pos="576"/>
      </w:tabs>
      <w:topLinePunct/>
      <w:adjustRightInd w:val="0"/>
      <w:snapToGrid w:val="0"/>
      <w:spacing w:before="50" w:beforeLines="50" w:after="50" w:afterLines="50"/>
      <w:ind w:left="0" w:firstLine="0" w:firstLineChars="0"/>
      <w:jc w:val="left"/>
      <w:textAlignment w:val="center"/>
      <w:outlineLvl w:val="2"/>
    </w:pPr>
    <w:rPr>
      <w:bCs w:val="0"/>
      <w:szCs w:val="28"/>
      <w:lang w:val="sv-SE"/>
    </w:rPr>
  </w:style>
  <w:style w:type="paragraph" w:styleId="6">
    <w:name w:val="heading 4"/>
    <w:basedOn w:val="1"/>
    <w:next w:val="1"/>
    <w:link w:val="39"/>
    <w:qFormat/>
    <w:uiPriority w:val="0"/>
    <w:pPr>
      <w:keepNext/>
      <w:keepLines/>
      <w:numPr>
        <w:ilvl w:val="3"/>
        <w:numId w:val="1"/>
      </w:numPr>
      <w:topLinePunct/>
      <w:adjustRightInd w:val="0"/>
      <w:snapToGrid w:val="0"/>
      <w:ind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opLinePunct/>
      <w:adjustRightInd w:val="0"/>
      <w:snapToGrid w:val="0"/>
      <w:ind w:left="1008" w:hanging="1008" w:firstLineChars="0"/>
      <w:textAlignment w:val="center"/>
      <w:outlineLvl w:val="4"/>
    </w:pPr>
    <w:rPr>
      <w:b/>
      <w:bCs/>
      <w:szCs w:val="28"/>
    </w:rPr>
  </w:style>
  <w:style w:type="paragraph" w:styleId="8">
    <w:name w:val="heading 6"/>
    <w:basedOn w:val="1"/>
    <w:next w:val="1"/>
    <w:link w:val="40"/>
    <w:qFormat/>
    <w:uiPriority w:val="0"/>
    <w:pPr>
      <w:spacing w:before="60" w:after="60" w:line="360" w:lineRule="auto"/>
      <w:ind w:firstLine="0" w:firstLineChars="0"/>
      <w:outlineLvl w:val="5"/>
    </w:pPr>
    <w:rPr>
      <w:b/>
      <w:bCs/>
    </w:rPr>
  </w:style>
  <w:style w:type="paragraph" w:styleId="9">
    <w:name w:val="heading 7"/>
    <w:basedOn w:val="1"/>
    <w:next w:val="1"/>
    <w:link w:val="41"/>
    <w:qFormat/>
    <w:uiPriority w:val="0"/>
    <w:pPr>
      <w:keepNext/>
      <w:keepLines/>
      <w:spacing w:before="240" w:after="64" w:line="320" w:lineRule="auto"/>
      <w:ind w:firstLine="0" w:firstLineChars="0"/>
      <w:outlineLvl w:val="6"/>
    </w:pPr>
    <w:rPr>
      <w:b/>
      <w:bCs/>
    </w:rPr>
  </w:style>
  <w:style w:type="paragraph" w:styleId="10">
    <w:name w:val="heading 8"/>
    <w:basedOn w:val="1"/>
    <w:next w:val="1"/>
    <w:link w:val="42"/>
    <w:qFormat/>
    <w:uiPriority w:val="0"/>
    <w:pPr>
      <w:keepNext/>
      <w:keepLines/>
      <w:spacing w:before="240" w:after="64" w:line="320" w:lineRule="auto"/>
      <w:ind w:firstLine="0" w:firstLineChars="0"/>
      <w:outlineLvl w:val="7"/>
    </w:pPr>
    <w:rPr>
      <w:rFonts w:ascii="Arial" w:hAnsi="Arial" w:eastAsia="黑体"/>
    </w:rPr>
  </w:style>
  <w:style w:type="paragraph" w:styleId="11">
    <w:name w:val="heading 9"/>
    <w:basedOn w:val="1"/>
    <w:next w:val="1"/>
    <w:link w:val="43"/>
    <w:qFormat/>
    <w:uiPriority w:val="0"/>
    <w:pPr>
      <w:keepNext/>
      <w:keepLines/>
      <w:spacing w:before="240" w:after="64" w:line="320" w:lineRule="auto"/>
      <w:ind w:firstLine="0" w:firstLineChars="0"/>
      <w:outlineLvl w:val="8"/>
    </w:pPr>
    <w:rPr>
      <w:rFonts w:ascii="Arial" w:hAnsi="Arial" w:eastAsia="黑体"/>
      <w:sz w:val="21"/>
      <w:szCs w:val="21"/>
    </w:rPr>
  </w:style>
  <w:style w:type="character" w:default="1" w:styleId="35">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80" w:firstLineChars="200"/>
    </w:pPr>
    <w:rPr>
      <w:rFonts w:eastAsia="宋体" w:asciiTheme="minorAscii" w:hAnsiTheme="minorAscii"/>
      <w:szCs w:val="21"/>
    </w:rPr>
  </w:style>
  <w:style w:type="paragraph" w:styleId="12">
    <w:name w:val="toc 7"/>
    <w:basedOn w:val="1"/>
    <w:next w:val="1"/>
    <w:unhideWhenUsed/>
    <w:qFormat/>
    <w:uiPriority w:val="39"/>
    <w:pPr>
      <w:spacing w:line="240" w:lineRule="auto"/>
      <w:ind w:left="2520" w:leftChars="1200" w:firstLine="0" w:firstLineChars="0"/>
    </w:pPr>
    <w:rPr>
      <w:rFonts w:ascii="Calibri" w:hAnsi="Calibri" w:eastAsia="宋体" w:cs="Times New Roman"/>
      <w:sz w:val="21"/>
      <w:szCs w:val="22"/>
    </w:rPr>
  </w:style>
  <w:style w:type="paragraph" w:styleId="13">
    <w:name w:val="caption"/>
    <w:basedOn w:val="1"/>
    <w:next w:val="1"/>
    <w:qFormat/>
    <w:uiPriority w:val="0"/>
    <w:pPr>
      <w:spacing w:before="152" w:after="160" w:line="240" w:lineRule="auto"/>
      <w:ind w:firstLine="0" w:firstLineChars="0"/>
    </w:pPr>
    <w:rPr>
      <w:rFonts w:ascii="Arial" w:hAnsi="Arial" w:eastAsia="黑体" w:cs="Arial"/>
      <w:sz w:val="20"/>
      <w:szCs w:val="20"/>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pPr>
      <w:jc w:val="left"/>
    </w:pPr>
  </w:style>
  <w:style w:type="paragraph" w:styleId="16">
    <w:name w:val="toc 5"/>
    <w:basedOn w:val="1"/>
    <w:next w:val="1"/>
    <w:unhideWhenUsed/>
    <w:qFormat/>
    <w:uiPriority w:val="39"/>
    <w:pPr>
      <w:spacing w:line="240" w:lineRule="auto"/>
      <w:ind w:left="1680" w:leftChars="800" w:firstLine="0" w:firstLineChars="0"/>
    </w:pPr>
    <w:rPr>
      <w:rFonts w:ascii="Calibri" w:hAnsi="Calibri" w:eastAsia="宋体" w:cs="Times New Roman"/>
      <w:sz w:val="21"/>
      <w:szCs w:val="22"/>
    </w:rPr>
  </w:style>
  <w:style w:type="paragraph" w:styleId="17">
    <w:name w:val="toc 3"/>
    <w:basedOn w:val="1"/>
    <w:next w:val="1"/>
    <w:qFormat/>
    <w:uiPriority w:val="39"/>
    <w:pPr>
      <w:tabs>
        <w:tab w:val="left" w:pos="1260"/>
        <w:tab w:val="right" w:leader="dot" w:pos="9288"/>
      </w:tabs>
      <w:ind w:firstLine="100" w:firstLineChars="100"/>
      <w:jc w:val="left"/>
    </w:pPr>
    <w:rPr>
      <w:iCs/>
      <w:sz w:val="21"/>
      <w:szCs w:val="20"/>
    </w:rPr>
  </w:style>
  <w:style w:type="paragraph" w:styleId="18">
    <w:name w:val="toc 8"/>
    <w:basedOn w:val="1"/>
    <w:next w:val="1"/>
    <w:unhideWhenUsed/>
    <w:qFormat/>
    <w:uiPriority w:val="39"/>
    <w:pPr>
      <w:spacing w:line="240" w:lineRule="auto"/>
      <w:ind w:left="2940" w:leftChars="1400" w:firstLine="0" w:firstLineChars="0"/>
    </w:pPr>
    <w:rPr>
      <w:rFonts w:ascii="Calibri" w:hAnsi="Calibri" w:eastAsia="宋体" w:cs="Times New Roman"/>
      <w:sz w:val="21"/>
      <w:szCs w:val="22"/>
    </w:rPr>
  </w:style>
  <w:style w:type="paragraph" w:styleId="19">
    <w:name w:val="Date"/>
    <w:basedOn w:val="1"/>
    <w:next w:val="1"/>
    <w:link w:val="44"/>
    <w:qFormat/>
    <w:uiPriority w:val="0"/>
    <w:pPr>
      <w:ind w:left="100" w:leftChars="2500"/>
    </w:pPr>
  </w:style>
  <w:style w:type="paragraph" w:styleId="20">
    <w:name w:val="Balloon Text"/>
    <w:basedOn w:val="1"/>
    <w:link w:val="45"/>
    <w:qFormat/>
    <w:uiPriority w:val="0"/>
    <w:pPr>
      <w:spacing w:line="240" w:lineRule="auto"/>
    </w:pPr>
    <w:rPr>
      <w:sz w:val="18"/>
      <w:szCs w:val="18"/>
    </w:rPr>
  </w:style>
  <w:style w:type="paragraph" w:styleId="21">
    <w:name w:val="footer"/>
    <w:basedOn w:val="1"/>
    <w:link w:val="46"/>
    <w:qFormat/>
    <w:uiPriority w:val="99"/>
    <w:pPr>
      <w:tabs>
        <w:tab w:val="center" w:pos="4153"/>
        <w:tab w:val="right" w:pos="8306"/>
      </w:tabs>
      <w:snapToGrid w:val="0"/>
      <w:spacing w:line="240" w:lineRule="atLeast"/>
      <w:jc w:val="left"/>
    </w:pPr>
    <w:rPr>
      <w:sz w:val="18"/>
      <w:szCs w:val="18"/>
    </w:rPr>
  </w:style>
  <w:style w:type="paragraph" w:styleId="22">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3">
    <w:name w:val="toc 1"/>
    <w:basedOn w:val="1"/>
    <w:next w:val="1"/>
    <w:qFormat/>
    <w:uiPriority w:val="39"/>
    <w:pPr>
      <w:tabs>
        <w:tab w:val="left" w:pos="630"/>
        <w:tab w:val="right" w:leader="dot" w:pos="9288"/>
      </w:tabs>
      <w:spacing w:line="240" w:lineRule="auto"/>
      <w:ind w:firstLine="0" w:firstLineChars="0"/>
      <w:jc w:val="left"/>
    </w:pPr>
    <w:rPr>
      <w:rFonts w:ascii="Times New Roman" w:hAnsi="Times New Roman" w:eastAsia="宋体"/>
      <w:b/>
      <w:bCs/>
      <w:caps/>
      <w:sz w:val="21"/>
      <w:szCs w:val="20"/>
    </w:rPr>
  </w:style>
  <w:style w:type="paragraph" w:styleId="24">
    <w:name w:val="toc 4"/>
    <w:basedOn w:val="1"/>
    <w:next w:val="1"/>
    <w:unhideWhenUsed/>
    <w:qFormat/>
    <w:uiPriority w:val="39"/>
    <w:pPr>
      <w:spacing w:line="240" w:lineRule="auto"/>
      <w:ind w:left="1260" w:leftChars="600" w:firstLine="0" w:firstLineChars="0"/>
    </w:pPr>
    <w:rPr>
      <w:rFonts w:ascii="Calibri" w:hAnsi="Calibri" w:eastAsia="宋体" w:cs="Times New Roman"/>
      <w:sz w:val="21"/>
      <w:szCs w:val="22"/>
    </w:rPr>
  </w:style>
  <w:style w:type="paragraph" w:styleId="25">
    <w:name w:val="toc 6"/>
    <w:basedOn w:val="1"/>
    <w:next w:val="1"/>
    <w:unhideWhenUsed/>
    <w:qFormat/>
    <w:uiPriority w:val="39"/>
    <w:pPr>
      <w:spacing w:line="240" w:lineRule="auto"/>
      <w:ind w:left="2100" w:leftChars="1000" w:firstLine="0" w:firstLineChars="0"/>
    </w:pPr>
    <w:rPr>
      <w:rFonts w:ascii="Calibri" w:hAnsi="Calibri" w:eastAsia="宋体" w:cs="Times New Roman"/>
      <w:sz w:val="21"/>
      <w:szCs w:val="22"/>
    </w:rPr>
  </w:style>
  <w:style w:type="paragraph" w:styleId="26">
    <w:name w:val="toc 2"/>
    <w:basedOn w:val="1"/>
    <w:next w:val="1"/>
    <w:qFormat/>
    <w:uiPriority w:val="39"/>
    <w:pPr>
      <w:tabs>
        <w:tab w:val="left" w:pos="1050"/>
        <w:tab w:val="right" w:leader="dot" w:pos="9288"/>
      </w:tabs>
      <w:spacing w:line="240" w:lineRule="auto"/>
      <w:ind w:firstLine="100" w:firstLineChars="100"/>
      <w:jc w:val="left"/>
    </w:pPr>
    <w:rPr>
      <w:rFonts w:ascii="Times New Roman" w:hAnsi="Times New Roman" w:eastAsia="宋体"/>
      <w:smallCaps/>
      <w:sz w:val="21"/>
      <w:szCs w:val="20"/>
    </w:rPr>
  </w:style>
  <w:style w:type="paragraph" w:styleId="27">
    <w:name w:val="toc 9"/>
    <w:basedOn w:val="1"/>
    <w:next w:val="1"/>
    <w:unhideWhenUsed/>
    <w:qFormat/>
    <w:uiPriority w:val="39"/>
    <w:pPr>
      <w:spacing w:line="240" w:lineRule="auto"/>
      <w:ind w:left="3360" w:leftChars="1600" w:firstLine="0" w:firstLineChars="0"/>
    </w:pPr>
    <w:rPr>
      <w:rFonts w:ascii="Calibri" w:hAnsi="Calibri" w:eastAsia="宋体" w:cs="Times New Roman"/>
      <w:sz w:val="21"/>
      <w:szCs w:val="22"/>
    </w:rPr>
  </w:style>
  <w:style w:type="paragraph" w:styleId="2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9">
    <w:name w:val="Title"/>
    <w:basedOn w:val="1"/>
    <w:next w:val="1"/>
    <w:qFormat/>
    <w:uiPriority w:val="0"/>
    <w:pPr>
      <w:spacing w:before="240" w:after="60"/>
      <w:jc w:val="center"/>
      <w:outlineLvl w:val="0"/>
    </w:pPr>
    <w:rPr>
      <w:rFonts w:ascii="Arial" w:hAnsi="Arial"/>
      <w:b/>
      <w:sz w:val="32"/>
    </w:rPr>
  </w:style>
  <w:style w:type="paragraph" w:styleId="30">
    <w:name w:val="annotation subject"/>
    <w:basedOn w:val="15"/>
    <w:next w:val="15"/>
    <w:semiHidden/>
    <w:qFormat/>
    <w:uiPriority w:val="0"/>
    <w:rPr>
      <w:b/>
      <w:bCs/>
    </w:rPr>
  </w:style>
  <w:style w:type="paragraph" w:styleId="31">
    <w:name w:val="Body Text First Indent"/>
    <w:basedOn w:val="1"/>
    <w:link w:val="47"/>
    <w:qFormat/>
    <w:uiPriority w:val="0"/>
    <w:pPr>
      <w:widowControl/>
      <w:snapToGrid/>
      <w:spacing w:line="360" w:lineRule="auto"/>
      <w:ind w:left="0" w:leftChars="0" w:firstLine="480" w:firstLineChars="200"/>
    </w:pPr>
  </w:style>
  <w:style w:type="table" w:styleId="33">
    <w:name w:val="Table Grid"/>
    <w:basedOn w:val="32"/>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List 1"/>
    <w:basedOn w:val="32"/>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6">
    <w:name w:val="page number"/>
    <w:basedOn w:val="35"/>
    <w:semiHidden/>
    <w:qFormat/>
    <w:uiPriority w:val="0"/>
  </w:style>
  <w:style w:type="character" w:styleId="37">
    <w:name w:val="Hyperlink"/>
    <w:semiHidden/>
    <w:qFormat/>
    <w:uiPriority w:val="0"/>
    <w:rPr>
      <w:color w:val="0000FF"/>
      <w:u w:val="single"/>
    </w:rPr>
  </w:style>
  <w:style w:type="character" w:styleId="38">
    <w:name w:val="annotation reference"/>
    <w:semiHidden/>
    <w:qFormat/>
    <w:uiPriority w:val="0"/>
    <w:rPr>
      <w:sz w:val="21"/>
      <w:szCs w:val="21"/>
    </w:rPr>
  </w:style>
  <w:style w:type="character" w:customStyle="1" w:styleId="39">
    <w:name w:val="标题 4 Char"/>
    <w:link w:val="6"/>
    <w:qFormat/>
    <w:uiPriority w:val="0"/>
    <w:rPr>
      <w:rFonts w:eastAsia="仿宋"/>
      <w:b/>
      <w:bCs/>
      <w:kern w:val="2"/>
      <w:sz w:val="24"/>
      <w:szCs w:val="24"/>
      <w:lang w:val="sv-SE"/>
    </w:rPr>
  </w:style>
  <w:style w:type="character" w:customStyle="1" w:styleId="40">
    <w:name w:val="标题 6 Char"/>
    <w:link w:val="8"/>
    <w:qFormat/>
    <w:uiPriority w:val="0"/>
    <w:rPr>
      <w:b/>
      <w:bCs/>
      <w:kern w:val="2"/>
      <w:sz w:val="24"/>
      <w:szCs w:val="24"/>
    </w:rPr>
  </w:style>
  <w:style w:type="character" w:customStyle="1" w:styleId="41">
    <w:name w:val="标题 7 Char"/>
    <w:link w:val="9"/>
    <w:qFormat/>
    <w:uiPriority w:val="0"/>
    <w:rPr>
      <w:b/>
      <w:bCs/>
      <w:kern w:val="2"/>
      <w:sz w:val="24"/>
      <w:szCs w:val="24"/>
    </w:rPr>
  </w:style>
  <w:style w:type="character" w:customStyle="1" w:styleId="42">
    <w:name w:val="标题 8 Char"/>
    <w:link w:val="10"/>
    <w:qFormat/>
    <w:uiPriority w:val="0"/>
    <w:rPr>
      <w:rFonts w:ascii="Arial" w:hAnsi="Arial" w:eastAsia="黑体"/>
      <w:kern w:val="2"/>
      <w:sz w:val="24"/>
      <w:szCs w:val="24"/>
    </w:rPr>
  </w:style>
  <w:style w:type="character" w:customStyle="1" w:styleId="43">
    <w:name w:val="标题 9 Char"/>
    <w:link w:val="11"/>
    <w:qFormat/>
    <w:uiPriority w:val="0"/>
    <w:rPr>
      <w:rFonts w:ascii="Arial" w:hAnsi="Arial" w:eastAsia="黑体"/>
      <w:kern w:val="2"/>
      <w:sz w:val="21"/>
      <w:szCs w:val="21"/>
    </w:rPr>
  </w:style>
  <w:style w:type="character" w:customStyle="1" w:styleId="44">
    <w:name w:val="日期 Char"/>
    <w:link w:val="19"/>
    <w:qFormat/>
    <w:uiPriority w:val="0"/>
    <w:rPr>
      <w:kern w:val="2"/>
      <w:sz w:val="24"/>
      <w:szCs w:val="24"/>
    </w:rPr>
  </w:style>
  <w:style w:type="character" w:customStyle="1" w:styleId="45">
    <w:name w:val="批注框文本 Char"/>
    <w:link w:val="20"/>
    <w:qFormat/>
    <w:uiPriority w:val="0"/>
    <w:rPr>
      <w:kern w:val="2"/>
      <w:sz w:val="18"/>
      <w:szCs w:val="18"/>
    </w:rPr>
  </w:style>
  <w:style w:type="character" w:customStyle="1" w:styleId="46">
    <w:name w:val="页脚 Char"/>
    <w:link w:val="21"/>
    <w:qFormat/>
    <w:uiPriority w:val="99"/>
    <w:rPr>
      <w:kern w:val="2"/>
      <w:sz w:val="18"/>
      <w:szCs w:val="18"/>
    </w:rPr>
  </w:style>
  <w:style w:type="character" w:customStyle="1" w:styleId="47">
    <w:name w:val="正文首行缩进 Char1"/>
    <w:link w:val="31"/>
    <w:qFormat/>
    <w:uiPriority w:val="0"/>
    <w:rPr>
      <w:rFonts w:ascii="仿宋" w:hAnsi="仿宋" w:eastAsia="仿宋"/>
      <w:kern w:val="2"/>
      <w:sz w:val="24"/>
      <w:szCs w:val="24"/>
    </w:rPr>
  </w:style>
  <w:style w:type="character" w:customStyle="1" w:styleId="48">
    <w:name w:val="“下标”样式"/>
    <w:qFormat/>
    <w:uiPriority w:val="0"/>
    <w:rPr>
      <w:vertAlign w:val="subscript"/>
    </w:rPr>
  </w:style>
  <w:style w:type="character" w:customStyle="1" w:styleId="49">
    <w:name w:val="普通正文 Char"/>
    <w:link w:val="50"/>
    <w:qFormat/>
    <w:uiPriority w:val="0"/>
    <w:rPr>
      <w:rFonts w:cs="宋体"/>
      <w:kern w:val="2"/>
      <w:sz w:val="21"/>
    </w:rPr>
  </w:style>
  <w:style w:type="paragraph" w:customStyle="1" w:styleId="50">
    <w:name w:val="普通正文"/>
    <w:basedOn w:val="1"/>
    <w:link w:val="49"/>
    <w:qFormat/>
    <w:uiPriority w:val="0"/>
    <w:pPr>
      <w:spacing w:line="360" w:lineRule="auto"/>
      <w:ind w:firstLine="480"/>
    </w:pPr>
    <w:rPr>
      <w:sz w:val="21"/>
      <w:szCs w:val="20"/>
    </w:rPr>
  </w:style>
  <w:style w:type="character" w:customStyle="1" w:styleId="51">
    <w:name w:val="articlebody3"/>
    <w:qFormat/>
    <w:uiPriority w:val="0"/>
    <w:rPr>
      <w:sz w:val="21"/>
      <w:szCs w:val="21"/>
    </w:rPr>
  </w:style>
  <w:style w:type="character" w:customStyle="1" w:styleId="52">
    <w:name w:val="Body Indent 1st Char"/>
    <w:link w:val="53"/>
    <w:qFormat/>
    <w:uiPriority w:val="0"/>
    <w:rPr>
      <w:rFonts w:ascii="Book Antiqua" w:hAnsi="Book Antiqua"/>
      <w:sz w:val="24"/>
    </w:rPr>
  </w:style>
  <w:style w:type="paragraph" w:customStyle="1" w:styleId="53">
    <w:name w:val="Body Indent 1st"/>
    <w:basedOn w:val="1"/>
    <w:link w:val="52"/>
    <w:qFormat/>
    <w:uiPriority w:val="0"/>
    <w:pPr>
      <w:widowControl/>
      <w:spacing w:before="180" w:after="60" w:line="240" w:lineRule="auto"/>
      <w:ind w:firstLine="476" w:firstLineChars="0"/>
    </w:pPr>
    <w:rPr>
      <w:rFonts w:ascii="Book Antiqua" w:hAnsi="Book Antiqua"/>
      <w:kern w:val="0"/>
      <w:szCs w:val="20"/>
    </w:rPr>
  </w:style>
  <w:style w:type="character" w:customStyle="1" w:styleId="54">
    <w:name w:val="封面“EPC联合体”中文文字 Char Char"/>
    <w:link w:val="55"/>
    <w:qFormat/>
    <w:uiPriority w:val="0"/>
    <w:rPr>
      <w:rFonts w:hAnsi="宋体" w:eastAsia="宋体"/>
      <w:b/>
      <w:kern w:val="2"/>
      <w:sz w:val="32"/>
      <w:szCs w:val="32"/>
      <w:lang w:val="en-US" w:eastAsia="zh-CN" w:bidi="ar-SA"/>
    </w:rPr>
  </w:style>
  <w:style w:type="paragraph" w:customStyle="1" w:styleId="55">
    <w:name w:val="封面“EPC联合体”中文文字"/>
    <w:basedOn w:val="1"/>
    <w:link w:val="54"/>
    <w:semiHidden/>
    <w:qFormat/>
    <w:uiPriority w:val="0"/>
    <w:pPr>
      <w:ind w:firstLine="0" w:firstLineChars="0"/>
      <w:jc w:val="center"/>
    </w:pPr>
    <w:rPr>
      <w:rFonts w:hAnsi="宋体"/>
      <w:b/>
      <w:sz w:val="32"/>
      <w:szCs w:val="32"/>
    </w:rPr>
  </w:style>
  <w:style w:type="character" w:customStyle="1" w:styleId="56">
    <w:name w:val="封面“EPC联合体”西文文字 Char Char"/>
    <w:basedOn w:val="54"/>
    <w:link w:val="57"/>
    <w:qFormat/>
    <w:uiPriority w:val="0"/>
  </w:style>
  <w:style w:type="paragraph" w:customStyle="1" w:styleId="57">
    <w:name w:val="封面“EPC联合体”西文文字"/>
    <w:basedOn w:val="55"/>
    <w:link w:val="56"/>
    <w:semiHidden/>
    <w:qFormat/>
    <w:uiPriority w:val="0"/>
    <w:rPr>
      <w:rFonts w:hAnsi="Times New Roman"/>
    </w:rPr>
  </w:style>
  <w:style w:type="character" w:customStyle="1" w:styleId="58">
    <w:name w:val="“上标”样式"/>
    <w:qFormat/>
    <w:uiPriority w:val="0"/>
    <w:rPr>
      <w:rFonts w:ascii="Times New Roman" w:hAnsi="Times New Roman" w:eastAsia="宋体"/>
      <w:sz w:val="24"/>
      <w:vertAlign w:val="superscript"/>
    </w:rPr>
  </w:style>
  <w:style w:type="paragraph" w:customStyle="1" w:styleId="59">
    <w:name w:val="封面一级标题文字"/>
    <w:basedOn w:val="1"/>
    <w:semiHidden/>
    <w:qFormat/>
    <w:uiPriority w:val="0"/>
    <w:pPr>
      <w:spacing w:line="640" w:lineRule="exact"/>
      <w:ind w:firstLine="0" w:firstLineChars="0"/>
      <w:jc w:val="center"/>
    </w:pPr>
    <w:rPr>
      <w:rFonts w:ascii="黑体" w:hAnsi="黑体" w:eastAsia="黑体"/>
      <w:b/>
      <w:bCs/>
      <w:sz w:val="52"/>
    </w:rPr>
  </w:style>
  <w:style w:type="paragraph" w:customStyle="1" w:styleId="60">
    <w:name w:val=" Char Char Char Char Char Char Char Char Char Char Char Char Char Char Char Char"/>
    <w:basedOn w:val="1"/>
    <w:qFormat/>
    <w:uiPriority w:val="0"/>
    <w:pPr>
      <w:tabs>
        <w:tab w:val="left" w:pos="360"/>
      </w:tabs>
      <w:adjustRightInd w:val="0"/>
      <w:spacing w:line="360" w:lineRule="auto"/>
      <w:ind w:left="482"/>
      <w:textAlignment w:val="baseline"/>
    </w:pPr>
    <w:rPr>
      <w:rFonts w:ascii="宋体"/>
      <w:kern w:val="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签名页文字"/>
    <w:basedOn w:val="1"/>
    <w:semiHidden/>
    <w:qFormat/>
    <w:uiPriority w:val="0"/>
    <w:pPr>
      <w:spacing w:line="600" w:lineRule="exact"/>
      <w:ind w:left="1100" w:leftChars="1100" w:firstLine="0" w:firstLineChars="0"/>
    </w:pPr>
    <w:rPr>
      <w:sz w:val="32"/>
      <w:szCs w:val="32"/>
    </w:rPr>
  </w:style>
  <w:style w:type="paragraph" w:styleId="63">
    <w:name w:val="List Paragraph"/>
    <w:basedOn w:val="1"/>
    <w:qFormat/>
    <w:uiPriority w:val="0"/>
    <w:pPr>
      <w:spacing w:line="240" w:lineRule="auto"/>
      <w:ind w:firstLine="420"/>
    </w:pPr>
    <w:rPr>
      <w:rFonts w:ascii="Calibri" w:hAnsi="Calibri"/>
      <w:sz w:val="21"/>
      <w:szCs w:val="22"/>
    </w:rPr>
  </w:style>
  <w:style w:type="paragraph" w:customStyle="1" w:styleId="64">
    <w:name w:val="封面文档编号"/>
    <w:basedOn w:val="1"/>
    <w:semiHidden/>
    <w:qFormat/>
    <w:uiPriority w:val="0"/>
    <w:pPr>
      <w:spacing w:line="640" w:lineRule="exact"/>
      <w:ind w:firstLine="0" w:firstLineChars="0"/>
      <w:jc w:val="center"/>
    </w:pPr>
    <w:rPr>
      <w:rFonts w:ascii="黑体" w:eastAsia="黑体"/>
      <w:b/>
      <w:sz w:val="32"/>
      <w:szCs w:val="32"/>
    </w:rPr>
  </w:style>
  <w:style w:type="paragraph" w:customStyle="1" w:styleId="65">
    <w:name w:val="“目录”"/>
    <w:basedOn w:val="1"/>
    <w:semiHidden/>
    <w:qFormat/>
    <w:uiPriority w:val="0"/>
    <w:pPr>
      <w:spacing w:line="240" w:lineRule="auto"/>
      <w:ind w:firstLine="0" w:firstLineChars="0"/>
      <w:jc w:val="center"/>
    </w:pPr>
    <w:rPr>
      <w:rFonts w:eastAsia="宋体"/>
      <w:b/>
      <w:sz w:val="21"/>
    </w:rPr>
  </w:style>
  <w:style w:type="paragraph" w:customStyle="1" w:styleId="66">
    <w:name w:val="附图标题"/>
    <w:basedOn w:val="1"/>
    <w:next w:val="1"/>
    <w:qFormat/>
    <w:uiPriority w:val="0"/>
    <w:pPr>
      <w:numPr>
        <w:ilvl w:val="1"/>
        <w:numId w:val="2"/>
      </w:numPr>
      <w:tabs>
        <w:tab w:val="left" w:pos="900"/>
        <w:tab w:val="clear" w:pos="845"/>
      </w:tabs>
      <w:spacing w:after="100" w:afterLines="100" w:line="240" w:lineRule="auto"/>
      <w:ind w:left="900" w:firstLineChars="0"/>
      <w:jc w:val="center"/>
    </w:pPr>
    <w:rPr>
      <w:rFonts w:ascii="Arial" w:hAnsi="Arial" w:eastAsia="黑体"/>
      <w:b/>
      <w:sz w:val="18"/>
    </w:rPr>
  </w:style>
  <w:style w:type="paragraph" w:customStyle="1" w:styleId="67">
    <w:name w:val="GEDI正文(无编号)"/>
    <w:basedOn w:val="1"/>
    <w:qFormat/>
    <w:uiPriority w:val="0"/>
    <w:pPr>
      <w:adjustRightInd w:val="0"/>
      <w:snapToGrid w:val="0"/>
      <w:spacing w:line="480" w:lineRule="exact"/>
      <w:ind w:left="420"/>
    </w:pPr>
    <w:rPr>
      <w:rFonts w:hAnsi="宋体"/>
      <w:lang w:val="zh-CN" w:eastAsia="zh-CN"/>
    </w:rPr>
  </w:style>
  <w:style w:type="paragraph" w:customStyle="1" w:styleId="68">
    <w:name w:val="2级列项"/>
    <w:basedOn w:val="69"/>
    <w:qFormat/>
    <w:uiPriority w:val="0"/>
    <w:pPr>
      <w:numPr>
        <w:ilvl w:val="1"/>
        <w:numId w:val="3"/>
      </w:numPr>
    </w:pPr>
  </w:style>
  <w:style w:type="paragraph" w:customStyle="1" w:styleId="69">
    <w:name w:val="1级列项"/>
    <w:basedOn w:val="1"/>
    <w:qFormat/>
    <w:uiPriority w:val="0"/>
    <w:pPr>
      <w:numPr>
        <w:ilvl w:val="0"/>
        <w:numId w:val="3"/>
      </w:numPr>
      <w:ind w:firstLineChars="0"/>
    </w:pPr>
  </w:style>
  <w:style w:type="paragraph" w:customStyle="1" w:styleId="70">
    <w:name w:val=" Char Char Char Char Char Char Char Char Char Char Char Char"/>
    <w:basedOn w:val="1"/>
    <w:qFormat/>
    <w:uiPriority w:val="0"/>
    <w:pPr>
      <w:spacing w:line="360" w:lineRule="auto"/>
      <w:ind w:firstLine="0" w:firstLineChars="0"/>
    </w:pPr>
    <w:rPr>
      <w:rFonts w:ascii="Tahoma" w:hAnsi="Tahoma"/>
      <w:szCs w:val="20"/>
    </w:rPr>
  </w:style>
  <w:style w:type="paragraph" w:customStyle="1" w:styleId="71">
    <w:name w:val="项目符号"/>
    <w:basedOn w:val="1"/>
    <w:qFormat/>
    <w:uiPriority w:val="0"/>
    <w:pPr>
      <w:numPr>
        <w:ilvl w:val="0"/>
        <w:numId w:val="4"/>
      </w:numPr>
      <w:ind w:firstLineChars="0"/>
    </w:pPr>
  </w:style>
  <w:style w:type="paragraph" w:customStyle="1" w:styleId="72">
    <w:name w:val="表格文字样式"/>
    <w:basedOn w:val="1"/>
    <w:qFormat/>
    <w:uiPriority w:val="0"/>
    <w:pPr>
      <w:ind w:firstLine="0" w:firstLineChars="0"/>
    </w:pPr>
    <w:rPr>
      <w:sz w:val="21"/>
      <w:szCs w:val="21"/>
    </w:rPr>
  </w:style>
  <w:style w:type="paragraph" w:customStyle="1" w:styleId="73">
    <w:name w:val="目录标题"/>
    <w:next w:val="23"/>
    <w:semiHidden/>
    <w:qFormat/>
    <w:uiPriority w:val="0"/>
    <w:pPr>
      <w:jc w:val="center"/>
    </w:pPr>
    <w:rPr>
      <w:rFonts w:ascii="Times New Roman" w:hAnsi="Times New Roman" w:eastAsia="宋体" w:cs="Times New Roman"/>
      <w:b/>
      <w:spacing w:val="60"/>
      <w:sz w:val="28"/>
      <w:lang w:val="en-US" w:eastAsia="zh-CN" w:bidi="ar-SA"/>
    </w:rPr>
  </w:style>
  <w:style w:type="paragraph" w:customStyle="1" w:styleId="74">
    <w:name w:val="封面"/>
    <w:basedOn w:val="1"/>
    <w:semiHidden/>
    <w:qFormat/>
    <w:uiPriority w:val="0"/>
    <w:pPr>
      <w:widowControl/>
      <w:spacing w:line="240" w:lineRule="auto"/>
      <w:ind w:firstLine="0" w:firstLineChars="0"/>
      <w:jc w:val="center"/>
    </w:pPr>
    <w:rPr>
      <w:rFonts w:ascii="华文中宋" w:hAnsi="华文中宋" w:eastAsia="华文中宋"/>
      <w:b/>
      <w:bCs/>
      <w:kern w:val="0"/>
      <w:sz w:val="44"/>
      <w:szCs w:val="20"/>
    </w:rPr>
  </w:style>
  <w:style w:type="paragraph" w:customStyle="1" w:styleId="75">
    <w:name w:val="图名/表名/表头样式"/>
    <w:basedOn w:val="1"/>
    <w:qFormat/>
    <w:uiPriority w:val="0"/>
    <w:pPr>
      <w:ind w:firstLine="0" w:firstLineChars="0"/>
      <w:jc w:val="center"/>
    </w:pPr>
    <w:rPr>
      <w:b/>
      <w:sz w:val="21"/>
      <w:szCs w:val="21"/>
    </w:rPr>
  </w:style>
  <w:style w:type="paragraph" w:customStyle="1" w:styleId="76">
    <w:name w:val="封面日期地点文字"/>
    <w:basedOn w:val="1"/>
    <w:semiHidden/>
    <w:qFormat/>
    <w:uiPriority w:val="0"/>
    <w:pPr>
      <w:spacing w:line="360" w:lineRule="exact"/>
      <w:ind w:firstLine="0" w:firstLineChars="0"/>
      <w:jc w:val="center"/>
    </w:pPr>
    <w:rPr>
      <w:sz w:val="32"/>
      <w:szCs w:val="32"/>
    </w:rPr>
  </w:style>
  <w:style w:type="paragraph" w:customStyle="1" w:styleId="77">
    <w:name w:val="版本记录标题文字"/>
    <w:basedOn w:val="1"/>
    <w:semiHidden/>
    <w:qFormat/>
    <w:uiPriority w:val="0"/>
    <w:pPr>
      <w:ind w:firstLine="0" w:firstLineChars="0"/>
    </w:pPr>
  </w:style>
  <w:style w:type="paragraph" w:customStyle="1" w:styleId="78">
    <w:name w:val="版本记录表格内文字"/>
    <w:basedOn w:val="1"/>
    <w:semiHidden/>
    <w:qFormat/>
    <w:uiPriority w:val="0"/>
    <w:pPr>
      <w:spacing w:line="360" w:lineRule="auto"/>
      <w:ind w:firstLine="0" w:firstLineChars="0"/>
      <w:jc w:val="center"/>
    </w:pPr>
  </w:style>
  <w:style w:type="paragraph" w:customStyle="1" w:styleId="79">
    <w:name w:val="封面副标题"/>
    <w:qFormat/>
    <w:uiPriority w:val="0"/>
    <w:pPr>
      <w:numPr>
        <w:ilvl w:val="0"/>
        <w:numId w:val="5"/>
      </w:numPr>
      <w:tabs>
        <w:tab w:val="clear" w:pos="420"/>
      </w:tabs>
      <w:spacing w:line="360" w:lineRule="auto"/>
      <w:ind w:left="0" w:firstLine="0"/>
      <w:jc w:val="center"/>
    </w:pPr>
    <w:rPr>
      <w:rFonts w:ascii="Arial" w:hAnsi="Arial" w:eastAsia="黑体" w:cs="Times New Roman"/>
      <w:sz w:val="32"/>
      <w:szCs w:val="24"/>
      <w:lang w:val="en-US" w:eastAsia="zh-CN" w:bidi="ar-SA"/>
    </w:rPr>
  </w:style>
  <w:style w:type="paragraph" w:customStyle="1" w:styleId="80">
    <w:name w:val="标准正文"/>
    <w:qFormat/>
    <w:uiPriority w:val="0"/>
    <w:pPr>
      <w:spacing w:before="60" w:after="60" w:line="360" w:lineRule="auto"/>
      <w:ind w:left="0" w:leftChars="0" w:firstLine="482" w:firstLineChars="0"/>
    </w:pPr>
    <w:rPr>
      <w:rFonts w:ascii="Arial" w:hAnsi="Arial" w:eastAsia="宋体" w:cs="Times New Roman"/>
      <w:szCs w:val="20"/>
    </w:rPr>
  </w:style>
  <w:style w:type="paragraph" w:customStyle="1" w:styleId="81">
    <w:name w:val="A正文"/>
    <w:basedOn w:val="1"/>
    <w:qFormat/>
    <w:uiPriority w:val="0"/>
    <w:pPr>
      <w:widowControl/>
      <w:spacing w:beforeLines="50" w:afterLines="50" w:line="300" w:lineRule="auto"/>
      <w:ind w:firstLine="200" w:firstLineChars="200"/>
    </w:pPr>
    <w:rPr>
      <w:rFonts w:ascii="宋体" w:hAnsi="宋体" w:eastAsia="宋体" w:cs="Times New Roman"/>
      <w:kern w:val="0"/>
      <w:sz w:val="24"/>
      <w:szCs w:val="24"/>
    </w:rPr>
  </w:style>
  <w:style w:type="paragraph" w:customStyle="1" w:styleId="82">
    <w:name w:val="封面二级标题文字"/>
    <w:basedOn w:val="1"/>
    <w:semiHidden/>
    <w:qFormat/>
    <w:uiPriority w:val="0"/>
    <w:pPr>
      <w:ind w:firstLine="0" w:firstLineChars="0"/>
      <w:jc w:val="center"/>
    </w:pPr>
    <w:rPr>
      <w:rFonts w:ascii="黑体" w:eastAsia="黑体"/>
      <w:b/>
      <w:sz w:val="44"/>
      <w:szCs w:val="44"/>
    </w:rPr>
  </w:style>
  <w:style w:type="paragraph" w:customStyle="1" w:styleId="83">
    <w:name w:val="概述"/>
    <w:basedOn w:val="1"/>
    <w:qFormat/>
    <w:uiPriority w:val="0"/>
    <w:pPr>
      <w:widowControl/>
      <w:spacing w:line="360" w:lineRule="auto"/>
      <w:ind w:firstLine="420"/>
      <w:jc w:val="left"/>
    </w:pPr>
    <w:rPr>
      <w:rFonts w:ascii="Arial" w:hAnsi="Arial"/>
      <w:kern w:val="0"/>
      <w:sz w:val="21"/>
      <w:szCs w:val="20"/>
    </w:rPr>
  </w:style>
  <w:style w:type="paragraph" w:customStyle="1" w:styleId="84">
    <w:name w:val="p15"/>
    <w:basedOn w:val="1"/>
    <w:qFormat/>
    <w:uiPriority w:val="0"/>
    <w:pPr>
      <w:widowControl/>
      <w:snapToGrid w:val="0"/>
      <w:spacing w:line="400" w:lineRule="atLeast"/>
      <w:ind w:firstLine="0" w:firstLineChars="0"/>
      <w:textAlignment w:val="baseline"/>
    </w:pPr>
    <w:rPr>
      <w:kern w:val="0"/>
    </w:rPr>
  </w:style>
  <w:style w:type="paragraph" w:customStyle="1" w:styleId="8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GEDI</Company>
  <Pages>8</Pages>
  <Words>2899</Words>
  <Characters>2946</Characters>
  <Lines>79</Lines>
  <Paragraphs>22</Paragraphs>
  <TotalTime>6</TotalTime>
  <ScaleCrop>false</ScaleCrop>
  <LinksUpToDate>false</LinksUpToDate>
  <CharactersWithSpaces>2982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2011-01-24T03:41:00Z</dcterms:created>
  <dc:creator>xiewenyan</dc:creator>
  <cp:lastModifiedBy>史文博</cp:lastModifiedBy>
  <cp:lastPrinted>2008-02-04T07:41:00Z</cp:lastPrinted>
  <dcterms:modified xsi:type="dcterms:W3CDTF">2025-08-19T09:24:17Z</dcterms:modified>
  <dc:title>网络信息部文档模板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ICV">
    <vt:lpwstr>AEC4E235A03544189574855F7916465A</vt:lpwstr>
  </property>
  <property fmtid="{D5CDD505-2E9C-101B-9397-08002B2CF9AE}" pid="5" name="CWM3c73a8ddb0894006a9a9ef2cb508f85a">
    <vt:lpwstr>CWMaHBvnWdhP3mIDSWMbydDDEK9Ll2B97m1mOk7hIfWAvq7qhBJKHE6garWtHBkw5qw3eTdWshaKPE4Cgz1cW5niiusqZEnMNuEQHjd+Cdsumg=</vt:lpwstr>
  </property>
</Properties>
</file>