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3" w:firstLineChars="200"/>
        <w:jc w:val="center"/>
        <w:rPr>
          <w:rFonts w:ascii="宋体" w:hAnsi="宋体" w:cs="宋体"/>
          <w:b w:val="0"/>
          <w:color w:val="auto"/>
          <w:sz w:val="36"/>
          <w:szCs w:val="36"/>
          <w:highlight w:val="none"/>
        </w:rPr>
      </w:pPr>
      <w:r>
        <w:rPr>
          <w:bCs/>
          <w:sz w:val="36"/>
          <w:szCs w:val="36"/>
        </w:rPr>
        <w:drawing>
          <wp:anchor distT="0" distB="0" distL="114300" distR="114300" simplePos="0" relativeHeight="251662336" behindDoc="1" locked="0" layoutInCell="1" allowOverlap="1">
            <wp:simplePos x="0" y="0"/>
            <wp:positionH relativeFrom="page">
              <wp:posOffset>-224790</wp:posOffset>
            </wp:positionH>
            <wp:positionV relativeFrom="page">
              <wp:posOffset>-491490</wp:posOffset>
            </wp:positionV>
            <wp:extent cx="6998335" cy="6486525"/>
            <wp:effectExtent l="0" t="0" r="12065" b="9525"/>
            <wp:wrapNone/>
            <wp:docPr id="5" name="图片 1119" descr="D02-L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19" descr="D02-L [Converted]"/>
                    <pic:cNvPicPr>
                      <a:picLocks noChangeAspect="1" noChangeArrowheads="1"/>
                    </pic:cNvPicPr>
                  </pic:nvPicPr>
                  <pic:blipFill>
                    <a:blip r:embed="rId9" cstate="print"/>
                    <a:stretch>
                      <a:fillRect/>
                    </a:stretch>
                  </pic:blipFill>
                  <pic:spPr>
                    <a:xfrm>
                      <a:off x="0" y="0"/>
                      <a:ext cx="6998335" cy="6486525"/>
                    </a:xfrm>
                    <a:prstGeom prst="rect">
                      <a:avLst/>
                    </a:prstGeom>
                    <a:noFill/>
                    <a:ln w="9525">
                      <a:noFill/>
                      <a:miter lim="800000"/>
                      <a:headEnd/>
                      <a:tailEnd/>
                    </a:ln>
                  </pic:spPr>
                </pic:pic>
              </a:graphicData>
            </a:graphic>
          </wp:anchor>
        </w:drawing>
      </w: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rPr>
          <w:rFonts w:ascii="宋体" w:hAnsi="宋体" w:cs="宋体"/>
          <w:b w:val="0"/>
          <w:color w:val="auto"/>
          <w:sz w:val="36"/>
          <w:szCs w:val="36"/>
          <w:highlight w:val="none"/>
        </w:rPr>
      </w:pPr>
    </w:p>
    <w:p>
      <w:pPr>
        <w:pStyle w:val="2"/>
      </w:pP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jc w:val="both"/>
        <w:rPr>
          <w:rFonts w:ascii="宋体" w:hAnsi="宋体" w:cs="宋体"/>
          <w:b w:val="0"/>
          <w:color w:val="auto"/>
          <w:sz w:val="36"/>
          <w:szCs w:val="36"/>
          <w:highlight w:val="none"/>
        </w:rPr>
      </w:pPr>
    </w:p>
    <w:p>
      <w:pPr>
        <w:pStyle w:val="11"/>
        <w:keepNext w:val="0"/>
        <w:keepLines w:val="0"/>
        <w:widowControl/>
        <w:suppressLineNumbers w:val="0"/>
        <w:spacing w:before="0" w:beforeAutospacing="0" w:after="0" w:afterAutospacing="0"/>
        <w:ind w:left="0" w:right="0" w:firstLine="0"/>
        <w:jc w:val="center"/>
        <w:rPr>
          <w:rFonts w:hint="eastAsia" w:ascii="Times New Roman" w:hAnsi="Times New Roman" w:cs="Times New Roman"/>
          <w:b/>
          <w:bCs w:val="0"/>
          <w:sz w:val="40"/>
          <w:szCs w:val="22"/>
          <w:lang w:val="en-US" w:eastAsia="zh-CN"/>
        </w:rPr>
      </w:pPr>
      <w:r>
        <w:rPr>
          <w:rFonts w:hint="eastAsia" w:ascii="Times New Roman" w:hAnsi="Times New Roman" w:cs="Times New Roman"/>
          <w:b/>
          <w:bCs w:val="0"/>
          <w:sz w:val="40"/>
          <w:szCs w:val="22"/>
          <w:lang w:val="en-US" w:eastAsia="zh-CN"/>
        </w:rPr>
        <w:t>云南电力调度控制中心</w:t>
      </w:r>
    </w:p>
    <w:p>
      <w:pPr>
        <w:pStyle w:val="11"/>
        <w:keepNext w:val="0"/>
        <w:keepLines w:val="0"/>
        <w:widowControl/>
        <w:suppressLineNumbers w:val="0"/>
        <w:spacing w:before="0" w:beforeAutospacing="0" w:after="0" w:afterAutospacing="0"/>
        <w:ind w:left="0" w:right="0" w:firstLine="0"/>
        <w:jc w:val="center"/>
      </w:pPr>
      <w:r>
        <w:rPr>
          <w:rFonts w:hint="eastAsia" w:ascii="Times New Roman" w:hAnsi="Times New Roman" w:cs="Times New Roman"/>
          <w:b/>
          <w:bCs w:val="0"/>
          <w:sz w:val="40"/>
          <w:szCs w:val="22"/>
          <w:lang w:val="en-US" w:eastAsia="zh-CN"/>
        </w:rPr>
        <w:t>2025年小电管理技术支持系统软件平台功能维保技术服务</w:t>
      </w:r>
    </w:p>
    <w:p>
      <w:pPr>
        <w:pStyle w:val="6"/>
        <w:ind w:left="0" w:leftChars="0" w:firstLine="0" w:firstLineChars="0"/>
        <w:jc w:val="both"/>
        <w:rPr>
          <w:rFonts w:hint="eastAsia" w:ascii="黑体" w:hAnsi="黑体" w:eastAsia="黑体"/>
          <w:b/>
          <w:bCs/>
          <w:sz w:val="32"/>
          <w:szCs w:val="32"/>
        </w:rPr>
      </w:pPr>
    </w:p>
    <w:p>
      <w:pPr>
        <w:pStyle w:val="6"/>
        <w:ind w:firstLine="3213" w:firstLineChars="800"/>
        <w:jc w:val="both"/>
        <w:rPr>
          <w:rFonts w:hint="eastAsia" w:ascii="Times New Roman" w:hAnsi="Times New Roman" w:cs="Times New Roman"/>
          <w:b/>
          <w:bCs w:val="0"/>
          <w:sz w:val="40"/>
          <w:szCs w:val="22"/>
          <w:lang w:val="en-US" w:eastAsia="zh-CN"/>
        </w:rPr>
      </w:pPr>
    </w:p>
    <w:p>
      <w:pPr>
        <w:pStyle w:val="6"/>
        <w:ind w:firstLine="3213" w:firstLineChars="800"/>
        <w:jc w:val="both"/>
        <w:rPr>
          <w:rFonts w:hint="default" w:ascii="Times New Roman" w:hAnsi="Times New Roman" w:cs="Times New Roman"/>
          <w:b/>
          <w:bCs w:val="0"/>
          <w:sz w:val="40"/>
          <w:szCs w:val="22"/>
          <w:lang w:val="en-US" w:eastAsia="zh-CN"/>
        </w:rPr>
      </w:pPr>
      <w:r>
        <w:rPr>
          <w:rFonts w:hint="eastAsia" w:ascii="Times New Roman" w:hAnsi="Times New Roman" w:cs="Times New Roman"/>
          <w:b/>
          <w:bCs w:val="0"/>
          <w:sz w:val="40"/>
          <w:szCs w:val="22"/>
          <w:lang w:val="en-US" w:eastAsia="zh-CN"/>
        </w:rPr>
        <w:t>技术规范书</w:t>
      </w:r>
    </w:p>
    <w:p>
      <w:pPr>
        <w:pStyle w:val="10"/>
        <w:pageBreakBefore w:val="0"/>
        <w:tabs>
          <w:tab w:val="right" w:leader="dot" w:pos="8296"/>
        </w:tabs>
        <w:kinsoku/>
        <w:wordWrap/>
        <w:overflowPunct/>
        <w:topLinePunct w:val="0"/>
        <w:autoSpaceDE/>
        <w:autoSpaceDN/>
        <w:bidi w:val="0"/>
        <w:adjustRightInd w:val="0"/>
        <w:snapToGrid w:val="0"/>
        <w:spacing w:before="0" w:after="0" w:line="360" w:lineRule="auto"/>
        <w:ind w:left="0" w:leftChars="0" w:firstLine="720" w:firstLineChars="200"/>
        <w:jc w:val="center"/>
        <w:rPr>
          <w:rFonts w:ascii="宋体" w:hAnsi="宋体" w:cs="宋体"/>
          <w:b w:val="0"/>
          <w:color w:val="auto"/>
          <w:sz w:val="36"/>
          <w:szCs w:val="36"/>
          <w:highlight w:val="none"/>
        </w:rPr>
      </w:pPr>
    </w:p>
    <w:p>
      <w:pPr>
        <w:pageBreakBefore w:val="0"/>
        <w:kinsoku/>
        <w:wordWrap/>
        <w:overflowPunct/>
        <w:topLinePunct w:val="0"/>
        <w:autoSpaceDE/>
        <w:autoSpaceDN/>
        <w:bidi w:val="0"/>
        <w:adjustRightInd w:val="0"/>
        <w:snapToGrid w:val="0"/>
        <w:spacing w:line="360" w:lineRule="auto"/>
        <w:jc w:val="both"/>
        <w:rPr>
          <w:rFonts w:hint="eastAsia" w:ascii="宋体" w:hAnsi="宋体" w:cs="宋体"/>
          <w:b/>
          <w:color w:val="auto"/>
          <w:sz w:val="32"/>
          <w:highlight w:val="none"/>
        </w:rPr>
      </w:pPr>
    </w:p>
    <w:p>
      <w:pPr>
        <w:pStyle w:val="3"/>
        <w:numPr>
          <w:ilvl w:val="0"/>
          <w:numId w:val="0"/>
        </w:numPr>
        <w:ind w:leftChars="0"/>
        <w:rPr>
          <w:rFonts w:hint="eastAsia"/>
        </w:rPr>
      </w:pPr>
    </w:p>
    <w:p>
      <w:pPr>
        <w:pStyle w:val="3"/>
        <w:numPr>
          <w:ilvl w:val="0"/>
          <w:numId w:val="0"/>
        </w:numPr>
        <w:ind w:leftChars="0"/>
        <w:rPr>
          <w:rFonts w:hint="eastAsia"/>
        </w:rPr>
      </w:pPr>
    </w:p>
    <w:p>
      <w:pPr>
        <w:ind w:left="0" w:leftChars="0" w:firstLine="0" w:firstLineChars="0"/>
        <w:jc w:val="center"/>
        <w:rPr>
          <w:rFonts w:ascii="Times New Roman" w:hAnsi="Times New Roman" w:eastAsia="宋体"/>
          <w:b/>
          <w:color w:val="auto"/>
          <w:sz w:val="32"/>
          <w:highlight w:val="none"/>
        </w:rPr>
      </w:pPr>
      <w:r>
        <w:rPr>
          <w:rFonts w:hint="eastAsia" w:ascii="Times New Roman" w:hAnsi="Times New Roman" w:eastAsia="宋体"/>
          <w:b/>
          <w:color w:val="auto"/>
          <w:sz w:val="32"/>
          <w:highlight w:val="none"/>
        </w:rPr>
        <w:t>云南电网有限责任公司</w:t>
      </w:r>
    </w:p>
    <w:p>
      <w:pPr>
        <w:pStyle w:val="8"/>
        <w:spacing w:line="360" w:lineRule="auto"/>
        <w:ind w:left="0" w:leftChars="0" w:firstLine="0" w:firstLineChars="0"/>
        <w:jc w:val="center"/>
        <w:rPr>
          <w:rFonts w:ascii="Times New Roman" w:hAnsi="Times New Roman" w:eastAsia="宋体"/>
          <w:b/>
          <w:bCs/>
          <w:color w:val="000000" w:themeColor="text1"/>
          <w:sz w:val="28"/>
          <w:szCs w:val="28"/>
          <w:highlight w:val="none"/>
          <w14:textFill>
            <w14:solidFill>
              <w14:schemeClr w14:val="tx1"/>
            </w14:solidFill>
          </w14:textFill>
        </w:rPr>
      </w:pPr>
      <w:r>
        <w:rPr>
          <w:rFonts w:hint="eastAsia" w:ascii="Times New Roman" w:hAnsi="Times New Roman" w:eastAsia="宋体"/>
          <w:b/>
          <w:bCs/>
          <w:color w:val="000000" w:themeColor="text1"/>
          <w:sz w:val="28"/>
          <w:szCs w:val="28"/>
          <w:highlight w:val="none"/>
          <w14:textFill>
            <w14:solidFill>
              <w14:schemeClr w14:val="tx1"/>
            </w14:solidFill>
          </w14:textFill>
        </w:rPr>
        <w:t>二○</w:t>
      </w:r>
      <w:r>
        <w:rPr>
          <w:rFonts w:hint="eastAsia"/>
          <w:b/>
          <w:bCs/>
          <w:color w:val="000000" w:themeColor="text1"/>
          <w:sz w:val="28"/>
          <w:szCs w:val="28"/>
          <w:highlight w:val="none"/>
          <w:lang w:val="en-US" w:eastAsia="zh-CN"/>
          <w14:textFill>
            <w14:solidFill>
              <w14:schemeClr w14:val="tx1"/>
            </w14:solidFill>
          </w14:textFill>
        </w:rPr>
        <w:t>二五</w:t>
      </w:r>
      <w:r>
        <w:rPr>
          <w:rFonts w:hint="eastAsia" w:ascii="Times New Roman" w:hAnsi="Times New Roman" w:eastAsia="宋体"/>
          <w:b/>
          <w:bCs/>
          <w:color w:val="000000" w:themeColor="text1"/>
          <w:sz w:val="28"/>
          <w:szCs w:val="28"/>
          <w:highlight w:val="none"/>
          <w14:textFill>
            <w14:solidFill>
              <w14:schemeClr w14:val="tx1"/>
            </w14:solidFill>
          </w14:textFill>
        </w:rPr>
        <w:t>年</w:t>
      </w:r>
      <w:r>
        <w:rPr>
          <w:rFonts w:hint="eastAsia"/>
          <w:b/>
          <w:bCs/>
          <w:color w:val="000000" w:themeColor="text1"/>
          <w:sz w:val="28"/>
          <w:szCs w:val="28"/>
          <w:highlight w:val="none"/>
          <w:lang w:val="en-US" w:eastAsia="zh-CN"/>
          <w14:textFill>
            <w14:solidFill>
              <w14:schemeClr w14:val="tx1"/>
            </w14:solidFill>
          </w14:textFill>
        </w:rPr>
        <w:t>五</w:t>
      </w:r>
      <w:r>
        <w:rPr>
          <w:rFonts w:hint="eastAsia" w:ascii="Times New Roman" w:hAnsi="Times New Roman" w:eastAsia="宋体"/>
          <w:b/>
          <w:bCs/>
          <w:color w:val="000000" w:themeColor="text1"/>
          <w:sz w:val="28"/>
          <w:szCs w:val="28"/>
          <w:highlight w:val="none"/>
          <w14:textFill>
            <w14:solidFill>
              <w14:schemeClr w14:val="tx1"/>
            </w14:solidFill>
          </w14:textFill>
        </w:rPr>
        <w:t>月</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ascii="宋体" w:hAnsi="宋体" w:cs="宋体"/>
          <w:b/>
          <w:color w:val="auto"/>
          <w:sz w:val="32"/>
          <w:highlight w:val="none"/>
        </w:rPr>
      </w:pPr>
      <w:r>
        <w:rPr>
          <w:rFonts w:ascii="宋体" w:hAnsi="宋体" w:cs="宋体"/>
          <w:b/>
          <w:color w:val="auto"/>
          <w:sz w:val="32"/>
          <w:highlight w:val="none"/>
        </w:rPr>
        <w:br w:type="page"/>
      </w:r>
    </w:p>
    <w:p>
      <w:pPr>
        <w:pStyle w:val="3"/>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jc w:val="center"/>
        <w:rPr>
          <w:rFonts w:hint="eastAsia" w:ascii="宋体" w:hAnsi="宋体" w:eastAsia="宋体" w:cs="宋体"/>
          <w:color w:val="auto"/>
          <w:sz w:val="24"/>
          <w:szCs w:val="24"/>
          <w:highlight w:val="none"/>
        </w:rPr>
      </w:pPr>
      <w:bookmarkStart w:id="0" w:name="_Toc1754"/>
      <w:r>
        <w:rPr>
          <w:rFonts w:hint="eastAsia" w:ascii="宋体" w:hAnsi="宋体" w:eastAsia="宋体" w:cs="宋体"/>
          <w:color w:val="auto"/>
          <w:sz w:val="24"/>
          <w:szCs w:val="24"/>
          <w:highlight w:val="none"/>
        </w:rPr>
        <w:t>第一部分 总则部分</w:t>
      </w:r>
      <w:bookmarkEnd w:id="0"/>
    </w:p>
    <w:p>
      <w:pPr>
        <w:pageBreakBefore w:val="0"/>
        <w:kinsoku/>
        <w:wordWrap/>
        <w:overflowPunct/>
        <w:topLinePunct w:val="0"/>
        <w:autoSpaceDE/>
        <w:autoSpaceDN/>
        <w:bidi w:val="0"/>
        <w:spacing w:line="360" w:lineRule="auto"/>
        <w:ind w:left="0" w:leftChars="0" w:firstLine="480" w:firstLineChars="200"/>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olor w:val="auto"/>
          <w:highlight w:val="none"/>
        </w:rPr>
        <w:t>本技术规范书适用于云南电网有限责任公司（以下简称“</w:t>
      </w:r>
      <w:r>
        <w:rPr>
          <w:rFonts w:hint="eastAsia" w:ascii="宋体" w:hAnsi="宋体"/>
          <w:color w:val="auto"/>
          <w:highlight w:val="none"/>
          <w:lang w:eastAsia="zh-CN"/>
        </w:rPr>
        <w:t>采购</w:t>
      </w:r>
      <w:r>
        <w:rPr>
          <w:rFonts w:hint="eastAsia" w:ascii="宋体" w:hAnsi="宋体"/>
          <w:color w:val="auto"/>
          <w:highlight w:val="none"/>
        </w:rPr>
        <w:t>方”）云南电力调度控制中心</w:t>
      </w:r>
      <w:r>
        <w:rPr>
          <w:rFonts w:hint="eastAsia" w:ascii="宋体" w:hAnsi="宋体"/>
          <w:color w:val="auto"/>
          <w:highlight w:val="none"/>
          <w:lang w:val="en-US" w:eastAsia="zh-CN"/>
        </w:rPr>
        <w:t>小电管理技术支持系统软件平台功能维保项目</w:t>
      </w:r>
      <w:r>
        <w:rPr>
          <w:rFonts w:hint="eastAsia" w:ascii="宋体" w:hAnsi="宋体"/>
          <w:color w:val="auto"/>
          <w:highlight w:val="none"/>
          <w:lang w:eastAsia="zh-CN"/>
        </w:rPr>
        <w:t>，</w:t>
      </w:r>
      <w:r>
        <w:rPr>
          <w:rFonts w:hint="eastAsia" w:ascii="宋体" w:hAnsi="宋体"/>
          <w:color w:val="auto"/>
          <w:highlight w:val="none"/>
        </w:rPr>
        <w:t>本技术规范书的最终解释权归云南电网有限责任公司</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方</w:t>
      </w:r>
      <w:r>
        <w:rPr>
          <w:rFonts w:hint="eastAsia" w:ascii="宋体" w:hAnsi="宋体" w:eastAsia="宋体" w:cs="宋体"/>
          <w:color w:val="auto"/>
          <w:sz w:val="24"/>
          <w:szCs w:val="24"/>
          <w:highlight w:val="none"/>
        </w:rPr>
        <w:t>未经招标方同意，不得以任何形式向第三方公开本技术规范书。</w:t>
      </w:r>
    </w:p>
    <w:p>
      <w:pPr>
        <w:pStyle w:val="15"/>
        <w:pageBreakBefore w:val="0"/>
        <w:tabs>
          <w:tab w:val="left" w:pos="1134"/>
        </w:tabs>
        <w:kinsoku/>
        <w:wordWrap/>
        <w:overflowPunct/>
        <w:topLinePunct w:val="0"/>
        <w:autoSpaceDE/>
        <w:autoSpaceDN/>
        <w:bidi w:val="0"/>
        <w:adjustRightInd w:val="0"/>
        <w:snapToGrid w:val="0"/>
        <w:spacing w:beforeLines="0" w:afterLines="0" w:line="360" w:lineRule="auto"/>
        <w:ind w:left="0" w:leftChars="0" w:firstLine="480" w:firstLineChars="200"/>
        <w:jc w:val="left"/>
        <w:rPr>
          <w:rFonts w:hint="eastAsia" w:ascii="宋体" w:hAnsi="宋体" w:eastAsia="宋体" w:cs="宋体"/>
          <w:color w:val="auto"/>
          <w:sz w:val="24"/>
          <w:szCs w:val="24"/>
          <w:highlight w:val="none"/>
        </w:rPr>
      </w:pPr>
    </w:p>
    <w:p>
      <w:pPr>
        <w:pageBreakBefore w:val="0"/>
        <w:kinsoku/>
        <w:wordWrap/>
        <w:overflowPunct/>
        <w:topLinePunct w:val="0"/>
        <w:autoSpaceDE/>
        <w:autoSpaceDN/>
        <w:bidi w:val="0"/>
        <w:adjustRightInd w:val="0"/>
        <w:snapToGrid w:val="0"/>
        <w:spacing w:line="360" w:lineRule="auto"/>
        <w:ind w:left="0" w:leftChars="0" w:firstLine="482" w:firstLineChars="200"/>
        <w:jc w:val="center"/>
        <w:outlineLvl w:val="0"/>
        <w:rPr>
          <w:rFonts w:hint="eastAsia" w:ascii="宋体" w:hAnsi="宋体" w:eastAsia="宋体" w:cs="宋体"/>
          <w:b/>
          <w:bCs/>
          <w:color w:val="auto"/>
          <w:sz w:val="24"/>
          <w:szCs w:val="24"/>
          <w:highlight w:val="none"/>
        </w:rPr>
      </w:pPr>
      <w:bookmarkStart w:id="1" w:name="_Toc30990"/>
      <w:r>
        <w:rPr>
          <w:rFonts w:hint="eastAsia" w:ascii="宋体" w:hAnsi="宋体" w:eastAsia="宋体" w:cs="宋体"/>
          <w:b/>
          <w:bCs/>
          <w:color w:val="auto"/>
          <w:sz w:val="24"/>
          <w:szCs w:val="24"/>
          <w:highlight w:val="none"/>
        </w:rPr>
        <w:t>第二部分 技术规范</w:t>
      </w:r>
      <w:bookmarkEnd w:id="1"/>
    </w:p>
    <w:p>
      <w:pPr>
        <w:pStyle w:val="3"/>
        <w:pageBreakBefore w:val="0"/>
        <w:numPr>
          <w:ilvl w:val="0"/>
          <w:numId w:val="2"/>
        </w:numPr>
        <w:tabs>
          <w:tab w:val="left" w:pos="709"/>
        </w:tabs>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rPr>
      </w:pPr>
      <w:bookmarkStart w:id="2" w:name="_Toc25386"/>
      <w:r>
        <w:rPr>
          <w:rFonts w:hint="eastAsia" w:ascii="宋体" w:hAnsi="宋体" w:eastAsia="宋体" w:cs="宋体"/>
          <w:color w:val="auto"/>
          <w:sz w:val="24"/>
          <w:szCs w:val="24"/>
          <w:highlight w:val="none"/>
          <w:lang w:val="en-US" w:eastAsia="zh-CN"/>
        </w:rPr>
        <w:t>技术服务范围</w:t>
      </w:r>
      <w:bookmarkEnd w:id="2"/>
    </w:p>
    <w:p>
      <w:pPr>
        <w:pageBreakBefore w:val="0"/>
        <w:kinsoku/>
        <w:wordWrap/>
        <w:overflowPunct/>
        <w:topLinePunct w:val="0"/>
        <w:autoSpaceDE/>
        <w:autoSpaceDN/>
        <w:bidi w:val="0"/>
        <w:spacing w:line="360" w:lineRule="auto"/>
        <w:ind w:left="0" w:leftChars="0" w:firstLine="482" w:firstLineChars="200"/>
        <w:rPr>
          <w:rFonts w:hint="eastAsia" w:ascii="宋体" w:hAnsi="宋体" w:eastAsia="宋体" w:cs="宋体"/>
          <w:b/>
          <w:bCs/>
          <w:color w:val="auto"/>
          <w:sz w:val="24"/>
          <w:szCs w:val="24"/>
          <w:highlight w:val="none"/>
        </w:rPr>
      </w:pPr>
    </w:p>
    <w:p>
      <w:pPr>
        <w:pageBreakBefore w:val="0"/>
        <w:kinsoku/>
        <w:wordWrap/>
        <w:overflowPunct/>
        <w:topLinePunct w:val="0"/>
        <w:autoSpaceDE/>
        <w:autoSpaceDN/>
        <w:bidi w:val="0"/>
        <w:spacing w:line="360" w:lineRule="auto"/>
        <w:ind w:left="0" w:leftChars="0" w:firstLine="482" w:firstLineChars="200"/>
        <w:rPr>
          <w:rFonts w:hint="eastAsia" w:ascii="宋体" w:hAnsi="宋体" w:eastAsia="宋体" w:cs="宋体"/>
          <w:color w:val="auto"/>
          <w:sz w:val="24"/>
          <w:szCs w:val="24"/>
          <w:highlight w:val="none"/>
        </w:rPr>
      </w:pPr>
      <w:r>
        <w:rPr>
          <w:rFonts w:hint="eastAsia" w:ascii="宋体" w:hAnsi="宋体" w:cs="宋体"/>
          <w:b/>
          <w:bCs/>
          <w:color w:val="auto"/>
          <w:sz w:val="24"/>
          <w:szCs w:val="24"/>
          <w:highlight w:val="none"/>
          <w:lang w:val="en-US" w:eastAsia="zh-CN"/>
        </w:rPr>
        <w:t>服务</w:t>
      </w:r>
      <w:r>
        <w:rPr>
          <w:rFonts w:hint="eastAsia" w:ascii="宋体" w:hAnsi="宋体" w:eastAsia="宋体" w:cs="宋体"/>
          <w:b/>
          <w:bCs/>
          <w:color w:val="auto"/>
          <w:sz w:val="24"/>
          <w:szCs w:val="24"/>
          <w:highlight w:val="none"/>
        </w:rPr>
        <w:t>范围</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云南电网公司</w:t>
      </w:r>
      <w:r>
        <w:rPr>
          <w:rFonts w:hint="eastAsia" w:ascii="宋体" w:hAnsi="宋体" w:eastAsia="宋体" w:cs="宋体"/>
          <w:color w:val="auto"/>
          <w:sz w:val="24"/>
          <w:szCs w:val="24"/>
          <w:highlight w:val="none"/>
        </w:rPr>
        <w:t>；</w:t>
      </w:r>
    </w:p>
    <w:p>
      <w:pPr>
        <w:pageBreakBefore w:val="0"/>
        <w:kinsoku/>
        <w:wordWrap/>
        <w:overflowPunct/>
        <w:topLinePunct w:val="0"/>
        <w:autoSpaceDE/>
        <w:autoSpaceDN/>
        <w:bidi w:val="0"/>
        <w:spacing w:line="360" w:lineRule="auto"/>
        <w:ind w:left="0" w:leftChars="0" w:firstLine="482" w:firstLineChars="200"/>
        <w:rPr>
          <w:rFonts w:hint="default"/>
          <w:b/>
          <w:bCs/>
          <w:lang w:val="en-US" w:eastAsia="zh-CN"/>
        </w:rPr>
      </w:pPr>
      <w:r>
        <w:rPr>
          <w:rFonts w:hint="eastAsia" w:ascii="宋体" w:hAnsi="宋体" w:eastAsia="宋体" w:cs="宋体"/>
          <w:b/>
          <w:bCs/>
          <w:color w:val="auto"/>
          <w:kern w:val="2"/>
          <w:sz w:val="24"/>
          <w:szCs w:val="24"/>
          <w:highlight w:val="none"/>
          <w:lang w:val="en-US" w:eastAsia="zh-CN" w:bidi="ar-SA"/>
        </w:rPr>
        <w:t>服务</w:t>
      </w:r>
      <w:r>
        <w:rPr>
          <w:rFonts w:hint="eastAsia" w:ascii="宋体" w:hAnsi="宋体" w:eastAsia="宋体" w:cs="宋体"/>
          <w:b/>
          <w:bCs/>
          <w:color w:val="auto"/>
          <w:sz w:val="24"/>
          <w:szCs w:val="24"/>
          <w:highlight w:val="none"/>
          <w:lang w:val="en-US" w:eastAsia="zh-CN"/>
        </w:rPr>
        <w:t>时间</w:t>
      </w:r>
      <w:r>
        <w:rPr>
          <w:rFonts w:hint="eastAsia" w:ascii="宋体" w:hAnsi="宋体" w:cs="宋体"/>
          <w:b/>
          <w:bCs/>
          <w:color w:val="auto"/>
          <w:kern w:val="2"/>
          <w:sz w:val="24"/>
          <w:szCs w:val="24"/>
          <w:highlight w:val="none"/>
          <w:lang w:val="en-US" w:eastAsia="zh-CN" w:bidi="ar-SA"/>
        </w:rPr>
        <w:t>：</w:t>
      </w:r>
      <w:r>
        <w:rPr>
          <w:rFonts w:hint="eastAsia" w:eastAsia="宋体" w:cs="Times New Roman"/>
          <w:lang w:eastAsia="zh-CN"/>
        </w:rPr>
        <w:t>自</w:t>
      </w:r>
      <w:r>
        <w:rPr>
          <w:rFonts w:hint="eastAsia" w:eastAsia="宋体" w:cs="Times New Roman"/>
          <w:lang w:val="en-US" w:eastAsia="zh-CN"/>
        </w:rPr>
        <w:t>合同签订之日起</w:t>
      </w:r>
      <w:r>
        <w:rPr>
          <w:rFonts w:hint="default" w:eastAsia="宋体" w:cs="Times New Roman"/>
          <w:lang w:val="en-US" w:eastAsia="zh-CN"/>
        </w:rPr>
        <w:t>至</w:t>
      </w:r>
      <w:r>
        <w:rPr>
          <w:rFonts w:hint="eastAsia" w:eastAsia="宋体" w:cs="Times New Roman"/>
          <w:lang w:val="en-US" w:eastAsia="zh-CN"/>
        </w:rPr>
        <w:t>2026年6月30日止</w:t>
      </w:r>
    </w:p>
    <w:p>
      <w:pPr>
        <w:pStyle w:val="3"/>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rPr>
      </w:pPr>
      <w:bookmarkStart w:id="3" w:name="_Toc7430"/>
    </w:p>
    <w:p>
      <w:pPr>
        <w:pStyle w:val="3"/>
        <w:keepNext/>
        <w:keepLines/>
        <w:pageBreakBefore w:val="0"/>
        <w:widowControl w:val="0"/>
        <w:numPr>
          <w:ilvl w:val="0"/>
          <w:numId w:val="2"/>
        </w:numPr>
        <w:kinsoku/>
        <w:wordWrap/>
        <w:overflowPunct/>
        <w:topLinePunct w:val="0"/>
        <w:autoSpaceDE/>
        <w:autoSpaceDN/>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技术服务内容及要求</w:t>
      </w:r>
      <w:bookmarkEnd w:id="3"/>
      <w:bookmarkStart w:id="18" w:name="_GoBack"/>
      <w:bookmarkEnd w:id="18"/>
    </w:p>
    <w:p>
      <w:pPr>
        <w:ind w:firstLine="560"/>
      </w:pPr>
      <w:r>
        <w:t>本项目的目标是通过</w:t>
      </w:r>
      <w:r>
        <w:rPr>
          <w:rFonts w:hint="eastAsia" w:ascii="宋体" w:hAnsi="宋体" w:cs="宋体"/>
          <w:sz w:val="24"/>
          <w:szCs w:val="32"/>
          <w:lang w:val="en-US" w:eastAsia="zh-CN"/>
        </w:rPr>
        <w:t>小电管理技术支持系统</w:t>
      </w:r>
      <w:r>
        <w:t>运行维护、检修，确保系统稳定运行。</w:t>
      </w:r>
    </w:p>
    <w:p>
      <w:pPr>
        <w:ind w:firstLine="560"/>
      </w:pPr>
      <w:r>
        <w:t>通过数据</w:t>
      </w:r>
      <w:r>
        <w:rPr>
          <w:rFonts w:hint="eastAsia"/>
          <w:lang w:val="en-US" w:eastAsia="zh-CN"/>
        </w:rPr>
        <w:t>维护</w:t>
      </w:r>
      <w:r>
        <w:t>、系统</w:t>
      </w:r>
      <w:r>
        <w:rPr>
          <w:rFonts w:hint="eastAsia"/>
          <w:lang w:val="en-US" w:eastAsia="zh-CN"/>
        </w:rPr>
        <w:t>维护</w:t>
      </w:r>
      <w:r>
        <w:t>确保</w:t>
      </w:r>
      <w:r>
        <w:rPr>
          <w:rFonts w:hint="eastAsia"/>
          <w:lang w:val="en-US" w:eastAsia="zh-CN"/>
        </w:rPr>
        <w:t>小电</w:t>
      </w:r>
      <w:r>
        <w:t>系统平稳运行，主要服务内容包括以下几点：</w:t>
      </w:r>
    </w:p>
    <w:p>
      <w:pPr>
        <w:numPr>
          <w:ilvl w:val="0"/>
          <w:numId w:val="3"/>
        </w:numPr>
        <w:ind w:firstLine="560"/>
      </w:pPr>
      <w:r>
        <w:t>数据检查。对各接入</w:t>
      </w:r>
      <w:r>
        <w:rPr>
          <w:rFonts w:hint="eastAsia"/>
          <w:lang w:val="en-US" w:eastAsia="zh-CN"/>
        </w:rPr>
        <w:t>小电</w:t>
      </w:r>
      <w:r>
        <w:t>电厂的数据进行</w:t>
      </w:r>
      <w:r>
        <w:rPr>
          <w:rFonts w:hint="eastAsia"/>
          <w:lang w:val="en-US" w:eastAsia="zh-CN"/>
        </w:rPr>
        <w:t>检查</w:t>
      </w:r>
      <w:r>
        <w:t>，当数据发生</w:t>
      </w:r>
      <w:r>
        <w:rPr>
          <w:rFonts w:hint="eastAsia"/>
          <w:lang w:val="en-US" w:eastAsia="zh-CN"/>
        </w:rPr>
        <w:t>漏报、错报</w:t>
      </w:r>
      <w:r>
        <w:t>时通知相关人员进行修订，确保系统数据</w:t>
      </w:r>
      <w:r>
        <w:rPr>
          <w:rFonts w:hint="eastAsia"/>
          <w:lang w:val="en-US" w:eastAsia="zh-CN"/>
        </w:rPr>
        <w:t>按时准确的上报只系统中</w:t>
      </w:r>
      <w:r>
        <w:t>。</w:t>
      </w:r>
    </w:p>
    <w:p>
      <w:pPr>
        <w:numPr>
          <w:ilvl w:val="0"/>
          <w:numId w:val="3"/>
        </w:numPr>
        <w:ind w:firstLine="560"/>
      </w:pPr>
      <w:r>
        <w:rPr>
          <w:rFonts w:hint="eastAsia"/>
          <w:lang w:val="en-US" w:eastAsia="zh-CN"/>
        </w:rPr>
        <w:t>考核统计</w:t>
      </w:r>
      <w:r>
        <w:t>。对各电厂</w:t>
      </w:r>
      <w:r>
        <w:rPr>
          <w:rFonts w:hint="eastAsia"/>
          <w:lang w:val="en-US" w:eastAsia="zh-CN"/>
        </w:rPr>
        <w:t>各地区</w:t>
      </w:r>
      <w:r>
        <w:t>的数据进行</w:t>
      </w:r>
      <w:r>
        <w:rPr>
          <w:rFonts w:hint="eastAsia"/>
          <w:lang w:val="en-US" w:eastAsia="zh-CN"/>
        </w:rPr>
        <w:t>统计</w:t>
      </w:r>
      <w:r>
        <w:t>，</w:t>
      </w:r>
      <w:r>
        <w:rPr>
          <w:rFonts w:hint="eastAsia"/>
          <w:lang w:val="en-US" w:eastAsia="zh-CN"/>
        </w:rPr>
        <w:t>对各地调调度工作进行考核统计</w:t>
      </w:r>
      <w:r>
        <w:t>，确保</w:t>
      </w:r>
      <w:r>
        <w:rPr>
          <w:rFonts w:hint="eastAsia"/>
          <w:lang w:val="en-US" w:eastAsia="zh-CN"/>
        </w:rPr>
        <w:t>电厂</w:t>
      </w:r>
      <w:r>
        <w:t>数据</w:t>
      </w:r>
      <w:r>
        <w:rPr>
          <w:rFonts w:hint="eastAsia"/>
          <w:lang w:val="en-US" w:eastAsia="zh-CN"/>
        </w:rPr>
        <w:t>和地调调度工作正确统计</w:t>
      </w:r>
      <w:r>
        <w:t>。</w:t>
      </w:r>
    </w:p>
    <w:p>
      <w:pPr>
        <w:numPr>
          <w:ilvl w:val="0"/>
          <w:numId w:val="3"/>
        </w:numPr>
        <w:ind w:firstLine="560"/>
      </w:pPr>
      <w:r>
        <w:t>系统维护。监视系统的运行状况，在发生故障后及时排除系统故障，确保系统平稳运行，业务正常流转。</w:t>
      </w:r>
    </w:p>
    <w:p>
      <w:pPr>
        <w:numPr>
          <w:ilvl w:val="0"/>
          <w:numId w:val="3"/>
        </w:numPr>
        <w:ind w:firstLine="560"/>
      </w:pPr>
      <w:r>
        <w:t>系统缺陷修复。由于软件测试不完善出现的影响系统运行的缺陷进行及时修复。</w:t>
      </w:r>
    </w:p>
    <w:p>
      <w:pPr>
        <w:numPr>
          <w:ilvl w:val="0"/>
          <w:numId w:val="3"/>
        </w:numPr>
        <w:ind w:firstLine="560"/>
      </w:pPr>
      <w:r>
        <w:t>配合业主</w:t>
      </w:r>
      <w:r>
        <w:rPr>
          <w:rFonts w:hint="eastAsia"/>
          <w:lang w:eastAsia="zh-CN"/>
        </w:rPr>
        <w:t>、</w:t>
      </w:r>
      <w:r>
        <w:rPr>
          <w:rFonts w:hint="eastAsia"/>
          <w:lang w:val="en-US" w:eastAsia="zh-CN"/>
        </w:rPr>
        <w:t>各供电局、电厂</w:t>
      </w:r>
      <w:r>
        <w:t>开展</w:t>
      </w:r>
      <w:r>
        <w:rPr>
          <w:rFonts w:hint="eastAsia"/>
          <w:lang w:val="en-US" w:eastAsia="zh-CN"/>
        </w:rPr>
        <w:t>新投电厂的接入和退役电厂的退役工作，</w:t>
      </w:r>
      <w:r>
        <w:t>已</w:t>
      </w:r>
      <w:r>
        <w:rPr>
          <w:rFonts w:hint="eastAsia"/>
          <w:lang w:val="en-US" w:eastAsia="zh-CN"/>
        </w:rPr>
        <w:t>接入电厂基础资料维护、完善及</w:t>
      </w:r>
      <w:r>
        <w:t>消缺工作，保证</w:t>
      </w:r>
      <w:r>
        <w:rPr>
          <w:rFonts w:hint="eastAsia"/>
          <w:lang w:val="en-US" w:eastAsia="zh-CN"/>
        </w:rPr>
        <w:t>各</w:t>
      </w:r>
      <w:r>
        <w:t>电厂各项数据被系统正常使用。</w:t>
      </w:r>
    </w:p>
    <w:p>
      <w:pPr>
        <w:numPr>
          <w:ilvl w:val="0"/>
          <w:numId w:val="3"/>
        </w:numPr>
        <w:ind w:firstLine="560"/>
      </w:pPr>
      <w:r>
        <w:t>系统功能完善，积极响应业主提出的系统软件完善需求，对用户提出功能进行设计和实现。</w:t>
      </w:r>
    </w:p>
    <w:p>
      <w:pPr>
        <w:numPr>
          <w:ilvl w:val="0"/>
          <w:numId w:val="3"/>
        </w:numPr>
        <w:ind w:firstLine="560"/>
      </w:pPr>
      <w:r>
        <w:t>数据库备份。使用数据库备份工具对主站数据库进行备份，内容包括所有数据，事件信息，系统日志。</w:t>
      </w:r>
    </w:p>
    <w:p>
      <w:pPr>
        <w:numPr>
          <w:ilvl w:val="0"/>
          <w:numId w:val="3"/>
        </w:numPr>
        <w:ind w:firstLine="560"/>
      </w:pPr>
      <w:r>
        <w:t>记录系统的维护内容，定期整理系统运行情况，协助开展</w:t>
      </w:r>
      <w:r>
        <w:rPr>
          <w:rFonts w:hint="eastAsia"/>
          <w:lang w:val="en-US" w:eastAsia="zh-CN"/>
        </w:rPr>
        <w:t>小电</w:t>
      </w:r>
      <w:r>
        <w:t>系统相关信息的收集、整理和分析工作。</w:t>
      </w:r>
    </w:p>
    <w:p>
      <w:pPr>
        <w:numPr>
          <w:ilvl w:val="0"/>
          <w:numId w:val="3"/>
        </w:numPr>
        <w:ind w:firstLine="560"/>
      </w:pPr>
      <w:r>
        <w:t>对于</w:t>
      </w:r>
      <w:r>
        <w:rPr>
          <w:rFonts w:hint="eastAsia"/>
          <w:lang w:val="en-US" w:eastAsia="zh-CN"/>
        </w:rPr>
        <w:t>小电系统</w:t>
      </w:r>
      <w:r>
        <w:t>运行过程中出现的问题，</w:t>
      </w:r>
      <w:r>
        <w:rPr>
          <w:rFonts w:hint="eastAsia"/>
        </w:rPr>
        <w:t>能够</w:t>
      </w:r>
      <w:r>
        <w:t>及时处理，必要时应进行软件升级；做好操作系统的安全防护，及时安装系统补丁。</w:t>
      </w:r>
    </w:p>
    <w:p>
      <w:pPr>
        <w:pStyle w:val="3"/>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Chars="200"/>
        <w:textAlignment w:val="auto"/>
        <w:rPr>
          <w:rFonts w:hint="eastAsia" w:ascii="宋体" w:hAnsi="宋体" w:eastAsia="宋体" w:cs="宋体"/>
          <w:b w:val="0"/>
          <w:color w:val="auto"/>
          <w:sz w:val="24"/>
          <w:szCs w:val="24"/>
          <w:highlight w:val="none"/>
          <w:lang w:val="en-US" w:eastAsia="zh-CN"/>
        </w:rPr>
      </w:pPr>
    </w:p>
    <w:p>
      <w:pPr>
        <w:pStyle w:val="3"/>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4" w:name="_Toc19728"/>
      <w:bookmarkStart w:id="5" w:name="_Toc15321"/>
      <w:bookmarkStart w:id="6" w:name="_Toc29377"/>
      <w:bookmarkStart w:id="7" w:name="_Toc9893"/>
      <w:r>
        <w:rPr>
          <w:rFonts w:hint="eastAsia" w:ascii="宋体" w:hAnsi="宋体" w:eastAsia="宋体" w:cs="宋体"/>
          <w:color w:val="auto"/>
          <w:sz w:val="24"/>
          <w:szCs w:val="24"/>
          <w:highlight w:val="none"/>
          <w:lang w:val="en-US" w:eastAsia="zh-CN"/>
        </w:rPr>
        <w:t>人员配置及服务能力要求</w:t>
      </w:r>
      <w:bookmarkEnd w:id="4"/>
      <w:bookmarkEnd w:id="5"/>
    </w:p>
    <w:p>
      <w:pPr>
        <w:pStyle w:val="16"/>
        <w:pageBreakBefore w:val="0"/>
        <w:numPr>
          <w:ilvl w:val="0"/>
          <w:numId w:val="0"/>
        </w:numPr>
        <w:kinsoku/>
        <w:wordWrap/>
        <w:topLinePunct w:val="0"/>
        <w:bidi w:val="0"/>
        <w:spacing w:line="360" w:lineRule="auto"/>
        <w:textAlignment w:val="auto"/>
        <w:rPr>
          <w:rFonts w:hint="default" w:ascii="宋体" w:hAnsi="宋体" w:cs="Times New Roman"/>
          <w:color w:val="auto"/>
          <w:sz w:val="24"/>
          <w:szCs w:val="24"/>
          <w:highlight w:val="none"/>
          <w:lang w:val="en-US" w:eastAsia="zh-CN"/>
        </w:rPr>
      </w:pPr>
      <w:r>
        <w:rPr>
          <w:rFonts w:hint="eastAsia"/>
          <w:lang w:val="en-US" w:eastAsia="zh-CN"/>
        </w:rPr>
        <w:t>3</w:t>
      </w:r>
      <w:r>
        <w:rPr>
          <w:rFonts w:hint="eastAsia" w:ascii="宋体" w:hAnsi="宋体" w:cs="Times New Roman"/>
          <w:b/>
          <w:bCs/>
          <w:color w:val="auto"/>
          <w:sz w:val="24"/>
          <w:szCs w:val="24"/>
          <w:highlight w:val="none"/>
          <w:lang w:val="en-US" w:eastAsia="zh-CN"/>
        </w:rPr>
        <w:t>.1</w:t>
      </w:r>
      <w:r>
        <w:rPr>
          <w:rFonts w:hint="eastAsia" w:ascii="Cambria" w:hAnsi="Cambria" w:eastAsia="宋体" w:cs="Times New Roman"/>
          <w:b/>
          <w:bCs/>
          <w:color w:val="auto"/>
          <w:kern w:val="2"/>
          <w:sz w:val="24"/>
          <w:szCs w:val="32"/>
          <w:highlight w:val="none"/>
          <w:lang w:val="en-US" w:eastAsia="zh-CN" w:bidi="ar-SA"/>
        </w:rPr>
        <w:t>人员配置</w:t>
      </w:r>
    </w:p>
    <w:p>
      <w:pPr>
        <w:pStyle w:val="17"/>
        <w:spacing w:beforeLines="0" w:afterLines="0"/>
        <w:ind w:firstLine="480"/>
        <w:rPr>
          <w:rFonts w:ascii="宋体" w:hAnsi="宋体" w:cs="宋体"/>
          <w:szCs w:val="24"/>
        </w:rPr>
      </w:pPr>
      <w:r>
        <w:rPr>
          <w:rFonts w:ascii="宋体" w:hAnsi="宋体" w:cs="宋体"/>
          <w:szCs w:val="24"/>
        </w:rPr>
        <w:t>项目团队至少承诺</w:t>
      </w:r>
      <w:r>
        <w:rPr>
          <w:rFonts w:hint="eastAsia" w:ascii="宋体" w:hAnsi="宋体" w:cs="宋体"/>
          <w:szCs w:val="24"/>
          <w:lang w:val="en-US" w:eastAsia="zh-CN"/>
        </w:rPr>
        <w:t>4</w:t>
      </w:r>
      <w:r>
        <w:rPr>
          <w:rFonts w:ascii="宋体" w:hAnsi="宋体" w:cs="宋体"/>
          <w:szCs w:val="24"/>
        </w:rPr>
        <w:t>人：项目经理</w:t>
      </w:r>
      <w:r>
        <w:rPr>
          <w:rFonts w:hint="eastAsia" w:ascii="宋体" w:hAnsi="宋体" w:cs="宋体"/>
          <w:szCs w:val="24"/>
          <w:lang w:val="en-US" w:eastAsia="zh-CN"/>
        </w:rPr>
        <w:t>1</w:t>
      </w:r>
      <w:r>
        <w:rPr>
          <w:rFonts w:ascii="宋体" w:hAnsi="宋体" w:cs="宋体"/>
          <w:szCs w:val="24"/>
        </w:rPr>
        <w:t>人、技术服务人员</w:t>
      </w:r>
      <w:r>
        <w:rPr>
          <w:rFonts w:hint="eastAsia" w:ascii="宋体" w:hAnsi="宋体" w:cs="宋体"/>
          <w:szCs w:val="24"/>
          <w:lang w:val="en-US" w:eastAsia="zh-CN"/>
        </w:rPr>
        <w:t>3</w:t>
      </w:r>
      <w:r>
        <w:rPr>
          <w:rFonts w:ascii="宋体" w:hAnsi="宋体" w:cs="宋体"/>
          <w:szCs w:val="24"/>
        </w:rPr>
        <w:t>人</w:t>
      </w:r>
      <w:r>
        <w:rPr>
          <w:rFonts w:hint="eastAsia" w:ascii="宋体" w:hAnsi="宋体" w:cs="宋体"/>
          <w:szCs w:val="24"/>
        </w:rPr>
        <w:t>，负责过调度自动化系统相关技术支持系统集成、开发、安装调试人员</w:t>
      </w:r>
      <w:r>
        <w:rPr>
          <w:rFonts w:ascii="宋体" w:hAnsi="宋体" w:cs="宋体"/>
          <w:szCs w:val="24"/>
        </w:rPr>
        <w:t>。</w:t>
      </w:r>
      <w:r>
        <w:rPr>
          <w:rFonts w:hint="eastAsia"/>
          <w:lang w:val="en-US" w:eastAsia="zh-CN"/>
        </w:rPr>
        <w:t>本</w:t>
      </w:r>
      <w:r>
        <w:t>运维项目组主要分为两大部分，项目组一</w:t>
      </w:r>
      <w:r>
        <w:rPr>
          <w:rFonts w:hint="eastAsia"/>
        </w:rPr>
        <w:t>主要</w:t>
      </w:r>
      <w:r>
        <w:t>负责基础平台系统</w:t>
      </w:r>
      <w:r>
        <w:rPr>
          <w:rFonts w:hint="eastAsia"/>
        </w:rPr>
        <w:t>消缺</w:t>
      </w:r>
      <w:r>
        <w:t>工作；</w:t>
      </w:r>
      <w:r>
        <w:rPr>
          <w:rFonts w:hint="eastAsia"/>
        </w:rPr>
        <w:t>项目组</w:t>
      </w:r>
      <w:r>
        <w:t>二主要负责现场系统日常运维工作</w:t>
      </w:r>
      <w:r>
        <w:rPr>
          <w:rFonts w:hint="eastAsia"/>
          <w:lang w:eastAsia="zh-CN"/>
        </w:rPr>
        <w:t>。</w:t>
      </w:r>
      <w:r>
        <w:rPr>
          <w:rFonts w:ascii="宋体" w:hAnsi="宋体" w:cs="宋体"/>
          <w:szCs w:val="24"/>
        </w:rPr>
        <w:t>并承诺项目经理未经甲方允许不可换人。</w:t>
      </w:r>
    </w:p>
    <w:p>
      <w:pPr>
        <w:pStyle w:val="17"/>
        <w:spacing w:beforeLines="0" w:afterLines="0"/>
        <w:ind w:firstLine="480" w:firstLineChars="200"/>
        <w:rPr>
          <w:rFonts w:hint="eastAsia" w:ascii="宋体" w:hAnsi="宋体" w:cs="宋体"/>
          <w:szCs w:val="24"/>
        </w:rPr>
      </w:pPr>
      <w:r>
        <w:rPr>
          <w:rFonts w:hint="eastAsia" w:ascii="宋体" w:hAnsi="宋体" w:cs="宋体"/>
          <w:szCs w:val="24"/>
        </w:rPr>
        <w:t>投标方提交项目负责人和技术服务人员名单以及上述人员的简历，包括相关工作年限、专业、在本项目承担的角色、相关资质证书、以往参与类似项目情况、其他说明等，并提供以上相关证件复印件或证明材料，按照以下表格填写（须提供团队服务人员名单、劳动合同、相关证书），并提供相关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47"/>
        <w:gridCol w:w="1104"/>
        <w:gridCol w:w="1029"/>
        <w:gridCol w:w="4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647" w:type="dxa"/>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序号</w:t>
            </w:r>
          </w:p>
        </w:tc>
        <w:tc>
          <w:tcPr>
            <w:tcW w:w="11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姓名</w:t>
            </w:r>
          </w:p>
        </w:tc>
        <w:tc>
          <w:tcPr>
            <w:tcW w:w="4605" w:type="dxa"/>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47" w:type="dxa"/>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相关工作年限</w:t>
            </w:r>
          </w:p>
        </w:tc>
        <w:tc>
          <w:tcPr>
            <w:tcW w:w="11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p>
        </w:tc>
        <w:tc>
          <w:tcPr>
            <w:tcW w:w="102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专业</w:t>
            </w:r>
          </w:p>
        </w:tc>
        <w:tc>
          <w:tcPr>
            <w:tcW w:w="4605" w:type="dxa"/>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在本项目承担的角色</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相关资质证书</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以往参与类似项目情况</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2751" w:type="dxa"/>
            <w:gridSpan w:val="2"/>
            <w:tcBorders>
              <w:top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cs="宋体"/>
                <w:sz w:val="21"/>
                <w:szCs w:val="21"/>
              </w:rPr>
            </w:pPr>
            <w:r>
              <w:rPr>
                <w:rFonts w:hint="eastAsia" w:ascii="宋体" w:hAnsi="宋体" w:cs="宋体"/>
                <w:sz w:val="21"/>
                <w:szCs w:val="21"/>
              </w:rPr>
              <w:t>其他说明</w:t>
            </w:r>
          </w:p>
        </w:tc>
        <w:tc>
          <w:tcPr>
            <w:tcW w:w="5634" w:type="dxa"/>
            <w:gridSpan w:val="2"/>
            <w:tcBorders>
              <w:top w:val="single" w:color="auto" w:sz="4" w:space="0"/>
              <w:left w:val="single" w:color="auto" w:sz="4" w:space="0"/>
              <w:bottom w:val="single" w:color="auto" w:sz="4" w:space="0"/>
            </w:tcBorders>
            <w:shd w:val="clear" w:color="auto" w:fill="FFFFFF"/>
            <w:noWrap w:val="0"/>
            <w:vAlign w:val="center"/>
          </w:tcPr>
          <w:p>
            <w:pPr>
              <w:widowControl/>
              <w:jc w:val="center"/>
              <w:rPr>
                <w:rFonts w:hint="eastAsia" w:ascii="宋体" w:hAnsi="宋体" w:cs="宋体"/>
                <w:sz w:val="21"/>
                <w:szCs w:val="21"/>
              </w:rPr>
            </w:pPr>
          </w:p>
        </w:tc>
      </w:tr>
    </w:tbl>
    <w:p>
      <w:pPr>
        <w:pStyle w:val="17"/>
        <w:spacing w:beforeLines="0" w:afterLines="0"/>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投标方</w:t>
      </w:r>
      <w:r>
        <w:rPr>
          <w:rFonts w:hint="eastAsia" w:ascii="宋体" w:hAnsi="宋体" w:cs="Times New Roman"/>
          <w:color w:val="auto"/>
          <w:sz w:val="24"/>
          <w:szCs w:val="24"/>
          <w:highlight w:val="none"/>
        </w:rPr>
        <w:t>须承诺</w:t>
      </w:r>
      <w:r>
        <w:rPr>
          <w:rFonts w:hint="eastAsia" w:ascii="宋体" w:hAnsi="宋体" w:cs="Times New Roman"/>
          <w:color w:val="auto"/>
          <w:sz w:val="24"/>
          <w:szCs w:val="24"/>
          <w:highlight w:val="none"/>
          <w:lang w:val="en-US" w:eastAsia="zh-CN"/>
        </w:rPr>
        <w:t>中标</w:t>
      </w:r>
      <w:r>
        <w:rPr>
          <w:rFonts w:hint="eastAsia" w:ascii="宋体" w:hAnsi="宋体" w:cs="Times New Roman"/>
          <w:color w:val="auto"/>
          <w:sz w:val="24"/>
          <w:szCs w:val="24"/>
          <w:highlight w:val="none"/>
        </w:rPr>
        <w:t>后实际投入人员和</w:t>
      </w:r>
      <w:r>
        <w:rPr>
          <w:rFonts w:hint="eastAsia" w:ascii="宋体" w:hAnsi="宋体" w:cs="Times New Roman"/>
          <w:color w:val="auto"/>
          <w:sz w:val="24"/>
          <w:szCs w:val="24"/>
          <w:highlight w:val="none"/>
          <w:lang w:val="en-US" w:eastAsia="zh-CN"/>
        </w:rPr>
        <w:t>投标</w:t>
      </w:r>
      <w:r>
        <w:rPr>
          <w:rFonts w:hint="eastAsia" w:ascii="宋体" w:hAnsi="宋体" w:cs="Times New Roman"/>
          <w:color w:val="auto"/>
          <w:sz w:val="24"/>
          <w:szCs w:val="24"/>
          <w:highlight w:val="none"/>
        </w:rPr>
        <w:t>时一致。</w:t>
      </w:r>
      <w:r>
        <w:rPr>
          <w:rFonts w:hint="eastAsia" w:ascii="宋体" w:hAnsi="宋体" w:cs="Times New Roman"/>
          <w:color w:val="auto"/>
          <w:sz w:val="24"/>
          <w:szCs w:val="24"/>
          <w:highlight w:val="none"/>
          <w:lang w:val="en-US" w:eastAsia="zh-CN"/>
        </w:rPr>
        <w:t>投标方</w:t>
      </w:r>
      <w:r>
        <w:rPr>
          <w:rFonts w:hint="eastAsia" w:ascii="宋体" w:hAnsi="宋体" w:cs="Times New Roman"/>
          <w:color w:val="auto"/>
          <w:sz w:val="24"/>
          <w:szCs w:val="24"/>
          <w:highlight w:val="none"/>
        </w:rPr>
        <w:t>参加本项目的人员如发生变动，需要经过</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书面同意，更换的人员不低于</w:t>
      </w:r>
      <w:r>
        <w:rPr>
          <w:rFonts w:hint="eastAsia" w:ascii="宋体" w:hAnsi="宋体" w:cs="Times New Roman"/>
          <w:color w:val="auto"/>
          <w:sz w:val="24"/>
          <w:szCs w:val="24"/>
          <w:highlight w:val="none"/>
          <w:lang w:val="en-US" w:eastAsia="zh-CN"/>
        </w:rPr>
        <w:t>投标</w:t>
      </w:r>
      <w:r>
        <w:rPr>
          <w:rFonts w:hint="eastAsia" w:ascii="宋体" w:hAnsi="宋体" w:cs="Times New Roman"/>
          <w:color w:val="auto"/>
          <w:sz w:val="24"/>
          <w:szCs w:val="24"/>
          <w:highlight w:val="none"/>
        </w:rPr>
        <w:t>时拟派人员的资格条件。</w:t>
      </w:r>
    </w:p>
    <w:p>
      <w:pPr>
        <w:pStyle w:val="17"/>
        <w:spacing w:beforeLines="0" w:afterLines="0"/>
        <w:ind w:firstLine="480" w:firstLineChars="200"/>
        <w:rPr>
          <w:rFonts w:hint="eastAsia" w:ascii="宋体" w:hAnsi="宋体" w:cs="Times New Roman"/>
          <w:color w:val="auto"/>
          <w:sz w:val="24"/>
          <w:szCs w:val="24"/>
          <w:highlight w:val="none"/>
        </w:rPr>
      </w:pPr>
      <w:r>
        <w:rPr>
          <w:rFonts w:hint="eastAsia" w:ascii="宋体" w:hAnsi="宋体" w:cs="Times New Roman"/>
          <w:color w:val="auto"/>
          <w:sz w:val="24"/>
          <w:szCs w:val="24"/>
          <w:highlight w:val="none"/>
        </w:rPr>
        <w:t>服务人员如</w:t>
      </w:r>
      <w:r>
        <w:rPr>
          <w:rFonts w:hint="eastAsia" w:ascii="宋体" w:hAnsi="宋体" w:eastAsia="宋体" w:cs="Times New Roman"/>
          <w:color w:val="auto"/>
          <w:sz w:val="24"/>
          <w:szCs w:val="24"/>
          <w:highlight w:val="none"/>
          <w:lang w:val="en-US" w:eastAsia="zh-CN"/>
        </w:rPr>
        <w:t>不能</w:t>
      </w:r>
      <w:r>
        <w:rPr>
          <w:rFonts w:hint="eastAsia" w:ascii="宋体" w:hAnsi="宋体" w:cs="Times New Roman"/>
          <w:color w:val="auto"/>
          <w:sz w:val="24"/>
          <w:szCs w:val="24"/>
          <w:highlight w:val="none"/>
        </w:rPr>
        <w:t>胜任该项目工作，</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有权要求</w:t>
      </w:r>
      <w:r>
        <w:rPr>
          <w:rFonts w:hint="eastAsia" w:ascii="宋体" w:hAnsi="宋体" w:cs="Times New Roman"/>
          <w:color w:val="auto"/>
          <w:sz w:val="24"/>
          <w:szCs w:val="24"/>
          <w:highlight w:val="none"/>
          <w:lang w:val="en-US" w:eastAsia="zh-CN"/>
        </w:rPr>
        <w:t>中标方</w:t>
      </w:r>
      <w:r>
        <w:rPr>
          <w:rFonts w:hint="eastAsia" w:ascii="宋体" w:hAnsi="宋体" w:cs="Times New Roman"/>
          <w:color w:val="auto"/>
          <w:sz w:val="24"/>
          <w:szCs w:val="24"/>
          <w:highlight w:val="none"/>
        </w:rPr>
        <w:t>立即替换能承担该工作项目人员，若二次更换人员在第二个月还不能胜任工作，</w:t>
      </w:r>
      <w:r>
        <w:rPr>
          <w:rFonts w:hint="eastAsia" w:ascii="宋体" w:hAnsi="宋体" w:cs="Times New Roman"/>
          <w:color w:val="auto"/>
          <w:sz w:val="24"/>
          <w:szCs w:val="24"/>
          <w:highlight w:val="none"/>
          <w:lang w:val="en-US" w:eastAsia="zh-CN"/>
        </w:rPr>
        <w:t>招标方</w:t>
      </w:r>
      <w:r>
        <w:rPr>
          <w:rFonts w:hint="eastAsia" w:ascii="宋体" w:hAnsi="宋体" w:cs="Times New Roman"/>
          <w:color w:val="auto"/>
          <w:sz w:val="24"/>
          <w:szCs w:val="24"/>
          <w:highlight w:val="none"/>
        </w:rPr>
        <w:t>有权终止合同。</w:t>
      </w:r>
    </w:p>
    <w:p>
      <w:pPr>
        <w:pageBreakBefore w:val="0"/>
        <w:kinsoku/>
        <w:wordWrap/>
        <w:topLinePunct w:val="0"/>
        <w:bidi w:val="0"/>
        <w:spacing w:line="360" w:lineRule="auto"/>
        <w:ind w:left="0" w:leftChars="0" w:firstLine="482" w:firstLineChars="200"/>
        <w:textAlignment w:val="auto"/>
        <w:rPr>
          <w:rFonts w:hint="eastAsia" w:ascii="宋体" w:hAnsi="宋体" w:cs="Times New Roman"/>
          <w:b/>
          <w:bCs/>
          <w:color w:val="auto"/>
          <w:sz w:val="24"/>
          <w:szCs w:val="24"/>
          <w:highlight w:val="none"/>
          <w:lang w:val="en-US" w:eastAsia="zh-CN"/>
        </w:rPr>
      </w:pPr>
      <w:r>
        <w:rPr>
          <w:rFonts w:hint="eastAsia" w:ascii="宋体" w:hAnsi="宋体" w:cs="Times New Roman"/>
          <w:b/>
          <w:bCs/>
          <w:color w:val="auto"/>
          <w:sz w:val="24"/>
          <w:szCs w:val="24"/>
          <w:highlight w:val="none"/>
          <w:lang w:val="en-US" w:eastAsia="zh-CN"/>
        </w:rPr>
        <w:t>3.2服务能力要求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w:t>
      </w:r>
      <w:r>
        <w:rPr>
          <w:rFonts w:hint="eastAsia" w:ascii="宋体" w:hAnsi="宋体" w:cs="Times New Roman"/>
          <w:color w:val="auto"/>
          <w:sz w:val="24"/>
          <w:szCs w:val="24"/>
          <w:highlight w:val="none"/>
          <w:lang w:val="en-GB" w:eastAsia="zh-CN"/>
        </w:rPr>
        <w:t>主站系统出现重大缺陷，需提供7*24小时的主站端现场服务；维护期内提供7*24小时的电话技术支持；节假日期间收到主站重大缺陷通知后，抵达现场时间不得超过8小时</w:t>
      </w:r>
      <w:r>
        <w:rPr>
          <w:rFonts w:hint="eastAsia" w:ascii="宋体" w:hAnsi="宋体" w:cs="Times New Roman"/>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（2）</w:t>
      </w:r>
      <w:r>
        <w:rPr>
          <w:rFonts w:hint="eastAsia" w:ascii="宋体" w:hAnsi="宋体" w:cs="Times New Roman"/>
          <w:color w:val="auto"/>
          <w:sz w:val="24"/>
          <w:szCs w:val="24"/>
          <w:highlight w:val="none"/>
          <w:lang w:eastAsia="zh-CN"/>
        </w:rPr>
        <w:t>投标方</w:t>
      </w:r>
      <w:r>
        <w:rPr>
          <w:rFonts w:hint="eastAsia" w:ascii="宋体" w:hAnsi="宋体" w:cs="Times New Roman"/>
          <w:color w:val="auto"/>
          <w:sz w:val="24"/>
          <w:szCs w:val="24"/>
          <w:highlight w:val="none"/>
        </w:rPr>
        <w:t>对于通过电话支持和远程支持都不能解决的系统故障，服务商应迅速提供现场支持服务，安排经验丰富的技术支持工程师赴现场分析故障原因，制定故障解决方案，并最终排除故障；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cs="Times New Roman"/>
          <w:color w:val="auto"/>
          <w:sz w:val="24"/>
          <w:szCs w:val="24"/>
          <w:highlight w:val="none"/>
        </w:rPr>
      </w:pPr>
      <w:r>
        <w:rPr>
          <w:rFonts w:hint="eastAsia" w:ascii="宋体" w:hAnsi="宋体" w:cs="Times New Roman"/>
          <w:color w:val="auto"/>
          <w:sz w:val="24"/>
          <w:szCs w:val="24"/>
          <w:highlight w:val="none"/>
          <w:lang w:val="en-US" w:eastAsia="zh-CN"/>
        </w:rPr>
        <w:t>（3）</w:t>
      </w:r>
      <w:r>
        <w:rPr>
          <w:rFonts w:hint="eastAsia" w:ascii="宋体" w:hAnsi="宋体" w:cs="Times New Roman"/>
          <w:color w:val="auto"/>
          <w:sz w:val="24"/>
          <w:szCs w:val="24"/>
          <w:highlight w:val="none"/>
          <w:lang w:eastAsia="zh-CN"/>
        </w:rPr>
        <w:t>投标方</w:t>
      </w:r>
      <w:r>
        <w:rPr>
          <w:rFonts w:hint="eastAsia" w:ascii="宋体" w:hAnsi="宋体" w:cs="Times New Roman"/>
          <w:color w:val="auto"/>
          <w:sz w:val="24"/>
          <w:szCs w:val="24"/>
          <w:highlight w:val="none"/>
        </w:rPr>
        <w:t>服务工程师在进行系统维护阶段，协助用户进行数据备份及迁移，保证系统用户数据的安全、完整和可用；</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（4）通过对小电系统运行维护、检修，确保系统正常稳定运行；</w:t>
      </w:r>
    </w:p>
    <w:bookmarkEnd w:id="6"/>
    <w:bookmarkEnd w:id="7"/>
    <w:p>
      <w:pPr>
        <w:pStyle w:val="3"/>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8" w:name="_Toc26516"/>
      <w:r>
        <w:rPr>
          <w:rFonts w:hint="eastAsia" w:ascii="宋体" w:hAnsi="宋体" w:eastAsia="宋体" w:cs="宋体"/>
          <w:color w:val="auto"/>
          <w:sz w:val="24"/>
          <w:szCs w:val="24"/>
          <w:highlight w:val="none"/>
          <w:lang w:val="en-US" w:eastAsia="zh-CN"/>
        </w:rPr>
        <w:t>验收要求</w:t>
      </w:r>
      <w:bookmarkEnd w:id="8"/>
    </w:p>
    <w:p>
      <w:pPr>
        <w:pStyle w:val="3"/>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4.1验收标准</w:t>
      </w:r>
    </w:p>
    <w:p>
      <w:pPr>
        <w:pStyle w:val="18"/>
        <w:numPr>
          <w:ilvl w:val="0"/>
          <w:numId w:val="4"/>
        </w:numPr>
        <w:spacing w:line="360" w:lineRule="auto"/>
        <w:ind w:firstLineChars="0"/>
        <w:rPr>
          <w:rFonts w:hint="eastAsia" w:ascii="宋体" w:hAnsi="宋体" w:cs="宋体"/>
          <w:color w:val="auto"/>
          <w:szCs w:val="24"/>
          <w:highlight w:val="none"/>
        </w:rPr>
      </w:pP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方按照双方签订的合同完成双方约定的工作内容；</w:t>
      </w:r>
      <w:r>
        <w:rPr>
          <w:rFonts w:hint="eastAsia"/>
          <w:color w:val="auto"/>
          <w:highlight w:val="none"/>
        </w:rPr>
        <w:t>按</w:t>
      </w:r>
      <w:r>
        <w:rPr>
          <w:rFonts w:hint="eastAsia"/>
          <w:color w:val="auto"/>
          <w:highlight w:val="none"/>
          <w:lang w:val="en-US" w:eastAsia="zh-CN"/>
        </w:rPr>
        <w:t>时、按量完成系统运维全部工作，保证小电系统的正常运行</w:t>
      </w:r>
      <w:r>
        <w:rPr>
          <w:rFonts w:hint="eastAsia" w:ascii="宋体"/>
          <w:color w:val="auto"/>
          <w:highlight w:val="none"/>
        </w:rPr>
        <w:t>。</w:t>
      </w:r>
    </w:p>
    <w:p>
      <w:pPr>
        <w:pStyle w:val="18"/>
        <w:numPr>
          <w:ilvl w:val="0"/>
          <w:numId w:val="4"/>
        </w:numPr>
        <w:spacing w:line="360" w:lineRule="auto"/>
        <w:ind w:firstLineChars="0"/>
        <w:rPr>
          <w:rFonts w:hint="eastAsia" w:ascii="宋体" w:hAnsi="宋体" w:cs="宋体"/>
          <w:color w:val="auto"/>
          <w:szCs w:val="24"/>
          <w:highlight w:val="none"/>
        </w:rPr>
      </w:pP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w:t>
      </w:r>
      <w:r>
        <w:rPr>
          <w:rFonts w:hint="eastAsia" w:ascii="宋体" w:hAnsi="宋体" w:cs="宋体"/>
          <w:color w:val="auto"/>
          <w:szCs w:val="24"/>
          <w:highlight w:val="none"/>
          <w:lang w:val="en-US" w:eastAsia="zh-CN"/>
        </w:rPr>
        <w:t>提供服务</w:t>
      </w:r>
      <w:r>
        <w:rPr>
          <w:rFonts w:hint="eastAsia" w:ascii="宋体" w:hAnsi="宋体" w:cs="宋体"/>
          <w:color w:val="auto"/>
          <w:szCs w:val="24"/>
          <w:highlight w:val="none"/>
        </w:rPr>
        <w:t>必须符合</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方系统运行维护相关标准和管理办法；提供项目</w:t>
      </w:r>
      <w:r>
        <w:rPr>
          <w:rFonts w:hint="eastAsia" w:ascii="宋体" w:hAnsi="宋体" w:cs="宋体"/>
          <w:color w:val="auto"/>
          <w:szCs w:val="24"/>
          <w:highlight w:val="none"/>
          <w:lang w:val="en-US" w:eastAsia="zh-CN"/>
        </w:rPr>
        <w:t>运维</w:t>
      </w:r>
      <w:r>
        <w:rPr>
          <w:rFonts w:hint="eastAsia" w:ascii="宋体" w:hAnsi="宋体" w:cs="宋体"/>
          <w:color w:val="auto"/>
          <w:szCs w:val="24"/>
          <w:highlight w:val="none"/>
        </w:rPr>
        <w:t>的完整文档，文档应</w:t>
      </w:r>
      <w:r>
        <w:rPr>
          <w:rFonts w:hint="eastAsia" w:ascii="宋体" w:hAnsi="宋体" w:cs="宋体"/>
          <w:color w:val="auto"/>
          <w:szCs w:val="24"/>
          <w:highlight w:val="none"/>
          <w:lang w:val="en-US" w:eastAsia="zh-CN"/>
        </w:rPr>
        <w:t>包括</w:t>
      </w:r>
      <w:r>
        <w:rPr>
          <w:rFonts w:hint="eastAsia" w:ascii="宋体" w:hAnsi="宋体" w:cs="宋体"/>
          <w:color w:val="auto"/>
          <w:szCs w:val="24"/>
          <w:highlight w:val="none"/>
          <w:lang w:eastAsia="zh-CN"/>
        </w:rPr>
        <w:t>：</w:t>
      </w:r>
      <w:r>
        <w:rPr>
          <w:rFonts w:hint="eastAsia" w:ascii="宋体" w:hAnsi="宋体" w:cs="宋体"/>
          <w:color w:val="auto"/>
          <w:szCs w:val="24"/>
          <w:highlight w:val="none"/>
          <w:lang w:val="en-US" w:eastAsia="zh-CN"/>
        </w:rPr>
        <w:t>运维技术报告、运维工作明细记录等</w:t>
      </w:r>
      <w:r>
        <w:rPr>
          <w:rFonts w:hint="eastAsia" w:ascii="宋体" w:hAnsi="宋体" w:cs="宋体"/>
          <w:color w:val="auto"/>
          <w:szCs w:val="24"/>
          <w:highlight w:val="none"/>
        </w:rPr>
        <w:t>。</w:t>
      </w:r>
    </w:p>
    <w:p>
      <w:pPr>
        <w:pStyle w:val="3"/>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9" w:name="_Toc5486"/>
      <w:bookmarkStart w:id="10" w:name="_Toc26868"/>
      <w:bookmarkStart w:id="11" w:name="_Toc525677596"/>
      <w:bookmarkStart w:id="12" w:name="_Toc447029242"/>
      <w:r>
        <w:rPr>
          <w:rFonts w:hint="eastAsia" w:ascii="宋体" w:hAnsi="宋体" w:eastAsia="宋体" w:cs="宋体"/>
          <w:color w:val="auto"/>
          <w:sz w:val="24"/>
          <w:szCs w:val="24"/>
          <w:highlight w:val="none"/>
          <w:lang w:val="en-US" w:eastAsia="zh-CN"/>
        </w:rPr>
        <w:t>4.2验收方法</w:t>
      </w:r>
      <w:bookmarkEnd w:id="9"/>
      <w:bookmarkEnd w:id="10"/>
      <w:bookmarkEnd w:id="11"/>
      <w:bookmarkEnd w:id="12"/>
    </w:p>
    <w:p>
      <w:pPr>
        <w:pageBreakBefore w:val="0"/>
        <w:kinsoku/>
        <w:wordWrap/>
        <w:overflowPunct/>
        <w:topLinePunct w:val="0"/>
        <w:autoSpaceDE/>
        <w:autoSpaceDN/>
        <w:bidi w:val="0"/>
        <w:adjustRightInd/>
        <w:snapToGrid/>
        <w:ind w:firstLine="484" w:firstLineChars="202"/>
        <w:textAlignment w:val="auto"/>
        <w:rPr>
          <w:rFonts w:hint="eastAsia" w:ascii="宋体" w:hAnsi="宋体" w:cs="宋体"/>
          <w:color w:val="auto"/>
          <w:szCs w:val="24"/>
          <w:highlight w:val="none"/>
        </w:rPr>
      </w:pPr>
      <w:r>
        <w:rPr>
          <w:rFonts w:hint="eastAsia" w:ascii="宋体" w:hAnsi="宋体" w:cs="宋体"/>
          <w:color w:val="auto"/>
          <w:szCs w:val="24"/>
          <w:highlight w:val="none"/>
        </w:rPr>
        <w:t>如双方认为项目已具备验收条件，</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方以书面方式向</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方提出验收申请，</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方在接到</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方验收申请后组织对</w:t>
      </w: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提交的资料进行审核，并组织相关人员对谈判</w:t>
      </w: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rPr>
        <w:t>工作提交的交付物进行评审。</w:t>
      </w:r>
    </w:p>
    <w:p>
      <w:pPr>
        <w:pStyle w:val="3"/>
        <w:pageBreakBefore w:val="0"/>
        <w:numPr>
          <w:ilvl w:val="0"/>
          <w:numId w:val="0"/>
        </w:numPr>
        <w:kinsoku/>
        <w:wordWrap/>
        <w:overflowPunct/>
        <w:topLinePunct w:val="0"/>
        <w:autoSpaceDE/>
        <w:autoSpaceDN/>
        <w:bidi w:val="0"/>
        <w:adjustRightInd w:val="0"/>
        <w:snapToGrid w:val="0"/>
        <w:spacing w:before="0" w:after="0" w:line="360" w:lineRule="auto"/>
        <w:ind w:left="0" w:leftChars="0" w:firstLine="482" w:firstLineChars="200"/>
        <w:rPr>
          <w:rFonts w:hint="eastAsia" w:ascii="宋体" w:hAnsi="宋体" w:eastAsia="宋体" w:cs="宋体"/>
          <w:color w:val="auto"/>
          <w:sz w:val="24"/>
          <w:szCs w:val="24"/>
          <w:highlight w:val="none"/>
          <w:lang w:val="en-US" w:eastAsia="zh-CN"/>
        </w:rPr>
      </w:pPr>
      <w:bookmarkStart w:id="13" w:name="_Toc15213"/>
      <w:bookmarkStart w:id="14" w:name="_Toc13538"/>
      <w:r>
        <w:rPr>
          <w:rFonts w:hint="eastAsia" w:ascii="宋体" w:hAnsi="宋体" w:eastAsia="宋体" w:cs="宋体"/>
          <w:color w:val="auto"/>
          <w:sz w:val="24"/>
          <w:szCs w:val="24"/>
          <w:highlight w:val="none"/>
          <w:lang w:val="en-US" w:eastAsia="zh-CN"/>
        </w:rPr>
        <w:t>4.3验收时间与地点</w:t>
      </w:r>
      <w:bookmarkEnd w:id="13"/>
      <w:bookmarkEnd w:id="14"/>
    </w:p>
    <w:p>
      <w:pPr>
        <w:pageBreakBefore w:val="0"/>
        <w:numPr>
          <w:ilvl w:val="0"/>
          <w:numId w:val="5"/>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验收时间：在完成项目合同约定内容后，</w:t>
      </w:r>
      <w:r>
        <w:rPr>
          <w:rFonts w:hint="eastAsia" w:ascii="宋体" w:hAnsi="宋体" w:cs="宋体"/>
          <w:color w:val="auto"/>
          <w:szCs w:val="24"/>
          <w:highlight w:val="none"/>
          <w:lang w:val="en-US" w:eastAsia="zh-CN"/>
        </w:rPr>
        <w:t>中标</w:t>
      </w:r>
      <w:r>
        <w:rPr>
          <w:rFonts w:hint="eastAsia" w:ascii="宋体" w:hAnsi="宋体" w:cs="宋体"/>
          <w:color w:val="auto"/>
          <w:szCs w:val="24"/>
          <w:highlight w:val="none"/>
        </w:rPr>
        <w:t>方提交验收申请，经</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方确认提交资料满足</w:t>
      </w:r>
      <w:r>
        <w:rPr>
          <w:rFonts w:hint="eastAsia" w:ascii="宋体" w:hAnsi="宋体" w:cs="宋体"/>
          <w:color w:val="auto"/>
          <w:szCs w:val="24"/>
          <w:highlight w:val="none"/>
          <w:lang w:val="en-US" w:eastAsia="zh-CN"/>
        </w:rPr>
        <w:t>招标</w:t>
      </w:r>
      <w:r>
        <w:rPr>
          <w:rFonts w:hint="eastAsia" w:ascii="宋体" w:hAnsi="宋体" w:cs="宋体"/>
          <w:color w:val="auto"/>
          <w:szCs w:val="24"/>
          <w:highlight w:val="none"/>
        </w:rPr>
        <w:t>方项目验收标准，可以开展验收。</w:t>
      </w:r>
    </w:p>
    <w:p>
      <w:pPr>
        <w:pageBreakBefore w:val="0"/>
        <w:numPr>
          <w:ilvl w:val="0"/>
          <w:numId w:val="5"/>
        </w:numPr>
        <w:kinsoku/>
        <w:wordWrap/>
        <w:overflowPunct/>
        <w:topLinePunct w:val="0"/>
        <w:autoSpaceDE/>
        <w:autoSpaceDN/>
        <w:bidi w:val="0"/>
        <w:adjustRightInd/>
        <w:snapToGrid/>
        <w:ind w:left="0" w:firstLine="480" w:firstLineChars="200"/>
        <w:textAlignment w:val="auto"/>
        <w:rPr>
          <w:rFonts w:hint="eastAsia" w:ascii="宋体" w:hAnsi="宋体" w:cs="宋体"/>
          <w:color w:val="auto"/>
          <w:szCs w:val="24"/>
          <w:highlight w:val="none"/>
        </w:rPr>
      </w:pPr>
      <w:r>
        <w:rPr>
          <w:rFonts w:hint="eastAsia" w:ascii="宋体" w:hAnsi="宋体" w:cs="宋体"/>
          <w:color w:val="auto"/>
          <w:szCs w:val="24"/>
          <w:highlight w:val="none"/>
        </w:rPr>
        <w:t>验收地点：双方具体约定。</w:t>
      </w:r>
    </w:p>
    <w:p>
      <w:pPr>
        <w:pStyle w:val="3"/>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5" w:name="_Toc7364"/>
      <w:r>
        <w:rPr>
          <w:rFonts w:hint="eastAsia" w:ascii="宋体" w:hAnsi="宋体" w:eastAsia="宋体" w:cs="宋体"/>
          <w:color w:val="auto"/>
          <w:sz w:val="24"/>
          <w:szCs w:val="24"/>
          <w:highlight w:val="none"/>
          <w:lang w:val="en-US" w:eastAsia="zh-CN"/>
        </w:rPr>
        <w:t>培训</w:t>
      </w:r>
      <w:bookmarkEnd w:id="15"/>
      <w:r>
        <w:rPr>
          <w:rFonts w:hint="eastAsia" w:ascii="宋体" w:hAnsi="宋体" w:cs="宋体"/>
          <w:color w:val="auto"/>
          <w:sz w:val="24"/>
          <w:szCs w:val="24"/>
          <w:highlight w:val="none"/>
          <w:lang w:val="en-US" w:eastAsia="zh-CN"/>
        </w:rPr>
        <w:t>要求</w:t>
      </w:r>
    </w:p>
    <w:p>
      <w:pPr>
        <w:ind w:firstLine="480" w:firstLineChars="200"/>
        <w:rPr>
          <w:rFonts w:hint="eastAsia" w:ascii="宋体" w:hAnsi="宋体" w:cs="宋体"/>
          <w:color w:val="auto"/>
          <w:szCs w:val="24"/>
          <w:highlight w:val="none"/>
          <w:lang w:val="en-GB" w:eastAsia="zh-CN"/>
        </w:rPr>
      </w:pPr>
      <w:r>
        <w:rPr>
          <w:rFonts w:hint="eastAsia" w:ascii="宋体" w:hAnsi="宋体" w:cs="宋体"/>
          <w:color w:val="auto"/>
          <w:szCs w:val="24"/>
          <w:highlight w:val="none"/>
          <w:lang w:val="en-US" w:eastAsia="zh-CN"/>
        </w:rPr>
        <w:t>中标方</w:t>
      </w:r>
      <w:r>
        <w:rPr>
          <w:rFonts w:hint="eastAsia" w:ascii="宋体" w:hAnsi="宋体" w:cs="宋体"/>
          <w:color w:val="auto"/>
          <w:szCs w:val="24"/>
          <w:highlight w:val="none"/>
          <w:lang w:val="en-GB" w:eastAsia="zh-CN"/>
        </w:rPr>
        <w:t>应负责买方技术人员的技术培训，培训应使买方技术人员获得足够的知识，诸如测试、维护、系统描述、故障诊断及检修等。</w:t>
      </w:r>
    </w:p>
    <w:p>
      <w:pPr>
        <w:pStyle w:val="3"/>
        <w:pageBreakBefore w:val="0"/>
        <w:numPr>
          <w:ilvl w:val="0"/>
          <w:numId w:val="2"/>
        </w:numPr>
        <w:kinsoku/>
        <w:wordWrap/>
        <w:topLinePunct w:val="0"/>
        <w:bidi w:val="0"/>
        <w:adjustRightInd w:val="0"/>
        <w:snapToGrid w:val="0"/>
        <w:spacing w:before="0" w:after="0" w:line="360" w:lineRule="auto"/>
        <w:ind w:left="0" w:leftChars="0" w:firstLine="482" w:firstLineChars="200"/>
        <w:textAlignment w:val="auto"/>
        <w:rPr>
          <w:rFonts w:hint="eastAsia" w:ascii="宋体" w:hAnsi="宋体" w:eastAsia="宋体" w:cs="宋体"/>
          <w:color w:val="auto"/>
          <w:sz w:val="24"/>
          <w:szCs w:val="24"/>
          <w:highlight w:val="none"/>
          <w:lang w:val="en-US" w:eastAsia="zh-CN"/>
        </w:rPr>
      </w:pPr>
      <w:bookmarkStart w:id="16" w:name="_Toc11216"/>
      <w:bookmarkStart w:id="17" w:name="_Toc6106"/>
      <w:r>
        <w:rPr>
          <w:rFonts w:hint="eastAsia" w:ascii="宋体" w:hAnsi="宋体" w:eastAsia="宋体" w:cs="宋体"/>
          <w:color w:val="auto"/>
          <w:sz w:val="24"/>
          <w:szCs w:val="24"/>
          <w:highlight w:val="none"/>
          <w:lang w:val="en-US" w:eastAsia="zh-CN"/>
        </w:rPr>
        <w:t>保密要求</w:t>
      </w:r>
      <w:bookmarkEnd w:id="16"/>
    </w:p>
    <w:bookmarkEnd w:id="17"/>
    <w:p>
      <w:pPr>
        <w:ind w:firstLine="480"/>
        <w:rPr>
          <w:rFonts w:hint="eastAsia" w:ascii="宋体" w:hAnsi="宋体"/>
          <w:color w:val="auto"/>
          <w:szCs w:val="24"/>
          <w:highlight w:val="none"/>
          <w:lang w:val="en-GB" w:eastAsia="zh-CN"/>
        </w:rPr>
      </w:pPr>
      <w:r>
        <w:rPr>
          <w:rFonts w:hint="eastAsia" w:ascii="宋体" w:hAnsi="宋体"/>
          <w:color w:val="auto"/>
          <w:szCs w:val="24"/>
          <w:highlight w:val="none"/>
          <w:lang w:val="en-US" w:eastAsia="zh-CN"/>
        </w:rPr>
        <w:t>6.1 中标</w:t>
      </w:r>
      <w:r>
        <w:rPr>
          <w:rFonts w:hint="eastAsia" w:ascii="宋体" w:hAnsi="宋体"/>
          <w:color w:val="auto"/>
          <w:szCs w:val="24"/>
          <w:highlight w:val="none"/>
          <w:lang w:eastAsia="zh-CN"/>
        </w:rPr>
        <w:t>方</w:t>
      </w:r>
      <w:r>
        <w:rPr>
          <w:rFonts w:hint="eastAsia" w:ascii="宋体" w:hAnsi="宋体"/>
          <w:color w:val="auto"/>
          <w:szCs w:val="24"/>
          <w:highlight w:val="none"/>
          <w:lang w:val="en-GB" w:eastAsia="zh-CN"/>
        </w:rPr>
        <w:t>应与招标方签订保密协议，对项目实施过程中的有关数据严格保密，未经授权不得泄露给任何第三方单位和个人，不得利用此数据侵害招标方的权益，否则招标方有权追究谈判方的责任。</w:t>
      </w:r>
    </w:p>
    <w:p>
      <w:pPr>
        <w:ind w:firstLine="480"/>
        <w:rPr>
          <w:rFonts w:hint="eastAsia" w:ascii="宋体" w:hAnsi="宋体"/>
          <w:color w:val="auto"/>
          <w:szCs w:val="24"/>
          <w:highlight w:val="none"/>
          <w:lang w:val="en-GB" w:eastAsia="zh-CN"/>
        </w:rPr>
      </w:pPr>
      <w:r>
        <w:rPr>
          <w:rFonts w:hint="eastAsia" w:ascii="宋体" w:hAnsi="宋体"/>
          <w:color w:val="auto"/>
          <w:szCs w:val="24"/>
          <w:highlight w:val="none"/>
          <w:lang w:val="en-US" w:eastAsia="zh-CN"/>
        </w:rPr>
        <w:t>6.2 中标</w:t>
      </w:r>
      <w:r>
        <w:rPr>
          <w:rFonts w:hint="eastAsia" w:ascii="宋体" w:hAnsi="宋体"/>
          <w:color w:val="auto"/>
          <w:szCs w:val="24"/>
          <w:highlight w:val="none"/>
          <w:lang w:eastAsia="zh-CN"/>
        </w:rPr>
        <w:t>方</w:t>
      </w:r>
      <w:r>
        <w:rPr>
          <w:rFonts w:hint="eastAsia" w:ascii="宋体" w:hAnsi="宋体"/>
          <w:color w:val="auto"/>
          <w:szCs w:val="24"/>
          <w:highlight w:val="none"/>
          <w:lang w:val="en-GB" w:eastAsia="zh-CN"/>
        </w:rPr>
        <w:t>应在质量保障承诺书中承诺不利用提供产品和服务的便利条件非法获取用户数据、非法控制和操纵用户设备，无正当理由不中断产品供应或必要的网络安全技术支持服务，否则招标方有权追究谈判方的责任。</w:t>
      </w:r>
    </w:p>
    <w:p>
      <w:pPr>
        <w:pStyle w:val="2"/>
      </w:pPr>
    </w:p>
    <w:p>
      <w:pPr>
        <w:pageBreakBefore w:val="0"/>
        <w:tabs>
          <w:tab w:val="left" w:pos="709"/>
        </w:tabs>
        <w:kinsoku/>
        <w:wordWrap/>
        <w:overflowPunct/>
        <w:topLinePunct w:val="0"/>
        <w:autoSpaceDE/>
        <w:autoSpaceDN/>
        <w:bidi w:val="0"/>
        <w:adjustRightInd w:val="0"/>
        <w:snapToGrid w:val="0"/>
        <w:spacing w:line="360" w:lineRule="auto"/>
        <w:ind w:left="0" w:leftChars="0" w:firstLine="480" w:firstLineChars="200"/>
        <w:rPr>
          <w:rFonts w:hint="eastAsia" w:ascii="宋体" w:hAnsi="宋体"/>
          <w:color w:val="auto"/>
          <w:sz w:val="24"/>
          <w:highlight w:val="none"/>
          <w:lang w:val="en-US" w:eastAsia="zh-CN"/>
        </w:rPr>
      </w:pPr>
    </w:p>
    <w:p/>
    <w:sectPr>
      <w:headerReference r:id="rId6" w:type="first"/>
      <w:footerReference r:id="rId7" w:type="default"/>
      <w:headerReference r:id="rId5"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9"/>
                      <w:rPr>
                        <w:rFonts w:eastAsia="宋体"/>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1" name="WordPictureWatermark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0009"/>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F9CB7C"/>
    <w:multiLevelType w:val="singleLevel"/>
    <w:tmpl w:val="D6F9CB7C"/>
    <w:lvl w:ilvl="0" w:tentative="0">
      <w:start w:val="1"/>
      <w:numFmt w:val="decimal"/>
      <w:lvlText w:val="%1."/>
      <w:lvlJc w:val="left"/>
      <w:pPr>
        <w:tabs>
          <w:tab w:val="left" w:pos="312"/>
        </w:tabs>
      </w:pPr>
    </w:lvl>
  </w:abstractNum>
  <w:abstractNum w:abstractNumId="1">
    <w:nsid w:val="E3DB38BC"/>
    <w:multiLevelType w:val="singleLevel"/>
    <w:tmpl w:val="E3DB38BC"/>
    <w:lvl w:ilvl="0" w:tentative="0">
      <w:start w:val="1"/>
      <w:numFmt w:val="decimal"/>
      <w:lvlText w:val="%1."/>
      <w:lvlJc w:val="left"/>
      <w:pPr>
        <w:ind w:left="425" w:hanging="425"/>
      </w:pPr>
      <w:rPr>
        <w:rFonts w:hint="default"/>
      </w:rPr>
    </w:lvl>
  </w:abstractNum>
  <w:abstractNum w:abstractNumId="2">
    <w:nsid w:val="01147F5D"/>
    <w:multiLevelType w:val="multilevel"/>
    <w:tmpl w:val="01147F5D"/>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B49E21"/>
    <w:multiLevelType w:val="multilevel"/>
    <w:tmpl w:val="4FB49E21"/>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A9E7DFA"/>
    <w:multiLevelType w:val="multilevel"/>
    <w:tmpl w:val="5A9E7DFA"/>
    <w:lvl w:ilvl="0" w:tentative="0">
      <w:start w:val="1"/>
      <w:numFmt w:val="decimal"/>
      <w:pStyle w:val="3"/>
      <w:lvlText w:val="%1"/>
      <w:lvlJc w:val="left"/>
      <w:pPr>
        <w:ind w:left="432" w:hanging="432"/>
      </w:pPr>
    </w:lvl>
    <w:lvl w:ilvl="1" w:tentative="0">
      <w:start w:val="1"/>
      <w:numFmt w:val="decimal"/>
      <w:lvlText w:val="%1.%2"/>
      <w:lvlJc w:val="left"/>
      <w:pPr>
        <w:ind w:left="576" w:hanging="576"/>
      </w:pPr>
    </w:lvl>
    <w:lvl w:ilvl="2" w:tentative="0">
      <w:start w:val="1"/>
      <w:numFmt w:val="decimal"/>
      <w:pStyle w:val="4"/>
      <w:lvlText w:val="%1.%2.%3"/>
      <w:lvlJc w:val="left"/>
      <w:pPr>
        <w:ind w:left="4123" w:hanging="720"/>
      </w:pPr>
      <w:rPr>
        <w:sz w:val="28"/>
      </w:rPr>
    </w:lvl>
    <w:lvl w:ilvl="3" w:tentative="0">
      <w:start w:val="1"/>
      <w:numFmt w:val="decimal"/>
      <w:lvlText w:val="%1.%2.%3.%4"/>
      <w:lvlJc w:val="left"/>
      <w:pPr>
        <w:ind w:left="864" w:hanging="864"/>
      </w:pPr>
      <w:rPr>
        <w:rFonts w:hint="default" w:ascii="黑体" w:hAnsi="黑体" w:eastAsia="黑体"/>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5ZmI3Y2RjMzIzNjI5Yzg3Y2FhMTkyN2I5ZmY1MTgifQ=="/>
  </w:docVars>
  <w:rsids>
    <w:rsidRoot w:val="00000000"/>
    <w:rsid w:val="00307731"/>
    <w:rsid w:val="00B41DF8"/>
    <w:rsid w:val="00D33392"/>
    <w:rsid w:val="036625B6"/>
    <w:rsid w:val="051B6360"/>
    <w:rsid w:val="069E14DC"/>
    <w:rsid w:val="0BA91575"/>
    <w:rsid w:val="0C40745B"/>
    <w:rsid w:val="0CCB54CD"/>
    <w:rsid w:val="0D4A2AD4"/>
    <w:rsid w:val="0D990FCC"/>
    <w:rsid w:val="0ED84D8E"/>
    <w:rsid w:val="10852382"/>
    <w:rsid w:val="10AD0E89"/>
    <w:rsid w:val="10FB7B55"/>
    <w:rsid w:val="12550138"/>
    <w:rsid w:val="13393988"/>
    <w:rsid w:val="14F83CE5"/>
    <w:rsid w:val="15185B4E"/>
    <w:rsid w:val="15A02796"/>
    <w:rsid w:val="15FB7AC0"/>
    <w:rsid w:val="16E54815"/>
    <w:rsid w:val="1741045D"/>
    <w:rsid w:val="189F27CA"/>
    <w:rsid w:val="191A472E"/>
    <w:rsid w:val="1A451B0A"/>
    <w:rsid w:val="1A67469C"/>
    <w:rsid w:val="1C2F0EBE"/>
    <w:rsid w:val="1CFF2F1F"/>
    <w:rsid w:val="1DC00E37"/>
    <w:rsid w:val="1DCC0AB0"/>
    <w:rsid w:val="1E1912BE"/>
    <w:rsid w:val="1E4D3CA1"/>
    <w:rsid w:val="1F0C2D4C"/>
    <w:rsid w:val="218E3750"/>
    <w:rsid w:val="219D6B76"/>
    <w:rsid w:val="22632BF3"/>
    <w:rsid w:val="22B6158C"/>
    <w:rsid w:val="24AB2563"/>
    <w:rsid w:val="251D30D1"/>
    <w:rsid w:val="25BE76D0"/>
    <w:rsid w:val="275321BC"/>
    <w:rsid w:val="275E3225"/>
    <w:rsid w:val="296B12F2"/>
    <w:rsid w:val="29ED2EBC"/>
    <w:rsid w:val="2A217E90"/>
    <w:rsid w:val="2BB73D17"/>
    <w:rsid w:val="2C192582"/>
    <w:rsid w:val="2CC154EF"/>
    <w:rsid w:val="2E185DF4"/>
    <w:rsid w:val="2E2352A5"/>
    <w:rsid w:val="30732757"/>
    <w:rsid w:val="3271060E"/>
    <w:rsid w:val="334703E9"/>
    <w:rsid w:val="34725825"/>
    <w:rsid w:val="34D76A2A"/>
    <w:rsid w:val="34E41FB8"/>
    <w:rsid w:val="35344040"/>
    <w:rsid w:val="35633E7E"/>
    <w:rsid w:val="360E316A"/>
    <w:rsid w:val="36223FAB"/>
    <w:rsid w:val="364577ED"/>
    <w:rsid w:val="37B16BDC"/>
    <w:rsid w:val="3B29663C"/>
    <w:rsid w:val="3B2E2ED9"/>
    <w:rsid w:val="3D85606A"/>
    <w:rsid w:val="3E4E2C09"/>
    <w:rsid w:val="3E52273F"/>
    <w:rsid w:val="3F271A08"/>
    <w:rsid w:val="3FBE1083"/>
    <w:rsid w:val="41116C77"/>
    <w:rsid w:val="41CF1BB9"/>
    <w:rsid w:val="421931F2"/>
    <w:rsid w:val="43CB74AB"/>
    <w:rsid w:val="443815EC"/>
    <w:rsid w:val="44610D1D"/>
    <w:rsid w:val="44A935A5"/>
    <w:rsid w:val="455126A8"/>
    <w:rsid w:val="463C50C4"/>
    <w:rsid w:val="46B37AA2"/>
    <w:rsid w:val="496A328F"/>
    <w:rsid w:val="4A4A0751"/>
    <w:rsid w:val="4A5A46C4"/>
    <w:rsid w:val="4BE1604B"/>
    <w:rsid w:val="4C585496"/>
    <w:rsid w:val="4C9E4AFA"/>
    <w:rsid w:val="4D9823B7"/>
    <w:rsid w:val="4DD43DBE"/>
    <w:rsid w:val="4E574E7C"/>
    <w:rsid w:val="533930F6"/>
    <w:rsid w:val="53760E07"/>
    <w:rsid w:val="558D17BE"/>
    <w:rsid w:val="56EF4616"/>
    <w:rsid w:val="57464A55"/>
    <w:rsid w:val="57B21CC8"/>
    <w:rsid w:val="59E2311E"/>
    <w:rsid w:val="5B372FCA"/>
    <w:rsid w:val="5C2A2C0B"/>
    <w:rsid w:val="5CCB658A"/>
    <w:rsid w:val="5DB25531"/>
    <w:rsid w:val="5F2D02BC"/>
    <w:rsid w:val="5F971C54"/>
    <w:rsid w:val="5FA317A8"/>
    <w:rsid w:val="5FC5349C"/>
    <w:rsid w:val="5FFF62A3"/>
    <w:rsid w:val="61CA3320"/>
    <w:rsid w:val="61D27A13"/>
    <w:rsid w:val="63FE2EBF"/>
    <w:rsid w:val="65C03BAE"/>
    <w:rsid w:val="678041CA"/>
    <w:rsid w:val="67D86468"/>
    <w:rsid w:val="68264723"/>
    <w:rsid w:val="6845018C"/>
    <w:rsid w:val="68694610"/>
    <w:rsid w:val="688E1663"/>
    <w:rsid w:val="6970011D"/>
    <w:rsid w:val="6ACD3089"/>
    <w:rsid w:val="6C320A24"/>
    <w:rsid w:val="6CBF39B1"/>
    <w:rsid w:val="6F514736"/>
    <w:rsid w:val="707B5A79"/>
    <w:rsid w:val="722565CB"/>
    <w:rsid w:val="73034D1C"/>
    <w:rsid w:val="743F413C"/>
    <w:rsid w:val="74C250B1"/>
    <w:rsid w:val="74D01BE7"/>
    <w:rsid w:val="74F75B56"/>
    <w:rsid w:val="75326DBE"/>
    <w:rsid w:val="762C6AE5"/>
    <w:rsid w:val="7634236B"/>
    <w:rsid w:val="76927512"/>
    <w:rsid w:val="77F6037C"/>
    <w:rsid w:val="795D74BD"/>
    <w:rsid w:val="79BD67EE"/>
    <w:rsid w:val="7B56632B"/>
    <w:rsid w:val="7B686F56"/>
    <w:rsid w:val="7B870285"/>
    <w:rsid w:val="7CFF1A00"/>
    <w:rsid w:val="7F4E67B2"/>
    <w:rsid w:val="7FE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Times New Roman"/>
      <w:kern w:val="2"/>
      <w:sz w:val="24"/>
      <w:szCs w:val="22"/>
      <w:lang w:val="en-US" w:eastAsia="zh-CN" w:bidi="ar-SA"/>
    </w:rPr>
  </w:style>
  <w:style w:type="paragraph" w:styleId="3">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4">
    <w:name w:val="heading 3"/>
    <w:basedOn w:val="1"/>
    <w:next w:val="1"/>
    <w:unhideWhenUsed/>
    <w:qFormat/>
    <w:uiPriority w:val="0"/>
    <w:pPr>
      <w:keepNext/>
      <w:keepLines/>
      <w:numPr>
        <w:ilvl w:val="2"/>
        <w:numId w:val="1"/>
      </w:numPr>
      <w:spacing w:before="260" w:after="260" w:line="416" w:lineRule="auto"/>
      <w:outlineLvl w:val="2"/>
    </w:pPr>
    <w:rPr>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60" w:lineRule="auto"/>
      <w:ind w:firstLine="200" w:firstLineChars="200"/>
    </w:pPr>
  </w:style>
  <w:style w:type="paragraph" w:styleId="5">
    <w:name w:val="annotation text"/>
    <w:basedOn w:val="1"/>
    <w:qFormat/>
    <w:uiPriority w:val="0"/>
    <w:pPr>
      <w:jc w:val="left"/>
    </w:pPr>
  </w:style>
  <w:style w:type="paragraph" w:styleId="6">
    <w:name w:val="Body Text"/>
    <w:basedOn w:val="1"/>
    <w:next w:val="7"/>
    <w:unhideWhenUsed/>
    <w:qFormat/>
    <w:uiPriority w:val="99"/>
    <w:pPr>
      <w:spacing w:after="120"/>
    </w:pPr>
  </w:style>
  <w:style w:type="paragraph" w:styleId="7">
    <w:name w:val="Title"/>
    <w:basedOn w:val="1"/>
    <w:next w:val="1"/>
    <w:qFormat/>
    <w:uiPriority w:val="0"/>
    <w:pPr>
      <w:spacing w:before="240" w:after="60"/>
      <w:jc w:val="center"/>
      <w:outlineLvl w:val="0"/>
    </w:pPr>
    <w:rPr>
      <w:rFonts w:ascii="Cambria" w:hAnsi="Cambria"/>
      <w:b/>
      <w:sz w:val="32"/>
    </w:rPr>
  </w:style>
  <w:style w:type="paragraph" w:styleId="8">
    <w:name w:val="Date"/>
    <w:basedOn w:val="1"/>
    <w:next w:val="1"/>
    <w:qFormat/>
    <w:uiPriority w:val="99"/>
    <w:pPr>
      <w:adjustRightInd w:val="0"/>
      <w:spacing w:line="360" w:lineRule="atLeast"/>
      <w:ind w:left="100" w:leftChars="2500" w:firstLine="0" w:firstLineChars="0"/>
      <w:jc w:val="left"/>
      <w:textAlignment w:val="baseline"/>
    </w:pPr>
    <w:rPr>
      <w:kern w:val="0"/>
      <w:sz w:val="24"/>
      <w:szCs w:val="20"/>
    </w:rPr>
  </w:style>
  <w:style w:type="paragraph" w:styleId="9">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toc 1"/>
    <w:basedOn w:val="1"/>
    <w:next w:val="1"/>
    <w:qFormat/>
    <w:uiPriority w:val="39"/>
    <w:pPr>
      <w:spacing w:before="120" w:after="120" w:line="240" w:lineRule="auto"/>
      <w:jc w:val="left"/>
    </w:pPr>
    <w:rPr>
      <w:rFonts w:ascii="Times New Roman" w:hAnsi="Times New Roman"/>
      <w:b/>
      <w:bCs/>
      <w:caps/>
      <w:sz w:val="20"/>
      <w:szCs w:val="20"/>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样式 正文首行缩进 + 段前: 0.5 行 段后: 0.5 行"/>
    <w:basedOn w:val="1"/>
    <w:qFormat/>
    <w:uiPriority w:val="0"/>
    <w:pPr>
      <w:spacing w:beforeLines="50" w:afterLines="50" w:line="480" w:lineRule="exact"/>
      <w:ind w:firstLine="420"/>
    </w:pPr>
    <w:rPr>
      <w:rFonts w:ascii="Times New Roman" w:hAnsi="Times New Roman" w:cs="宋体"/>
      <w:szCs w:val="20"/>
    </w:rPr>
  </w:style>
  <w:style w:type="paragraph" w:styleId="16">
    <w:name w:val="List Paragraph"/>
    <w:basedOn w:val="1"/>
    <w:qFormat/>
    <w:uiPriority w:val="99"/>
    <w:pPr>
      <w:ind w:firstLine="420" w:firstLineChars="200"/>
    </w:pPr>
  </w:style>
  <w:style w:type="paragraph" w:customStyle="1" w:styleId="17">
    <w:name w:val="内容正文"/>
    <w:basedOn w:val="1"/>
    <w:qFormat/>
    <w:uiPriority w:val="0"/>
    <w:pPr>
      <w:spacing w:beforeLines="50" w:afterLines="50"/>
    </w:pPr>
    <w:rPr>
      <w:rFonts w:ascii="Arial" w:hAnsi="Arial"/>
      <w:szCs w:val="21"/>
    </w:rPr>
  </w:style>
  <w:style w:type="paragraph" w:customStyle="1" w:styleId="1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2011</Words>
  <Characters>2039</Characters>
  <Lines>0</Lines>
  <Paragraphs>0</Paragraphs>
  <TotalTime>0</TotalTime>
  <ScaleCrop>false</ScaleCrop>
  <LinksUpToDate>false</LinksUpToDate>
  <CharactersWithSpaces>2043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2022-05-06T02:25:00Z</dcterms:created>
  <dc:creator>yndw</dc:creator>
  <cp:lastModifiedBy>黄照波</cp:lastModifiedBy>
  <dcterms:modified xsi:type="dcterms:W3CDTF">2025-08-15T06:48:26Z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04F69ECC20504424952CEB09E25D6BFA_13</vt:lpwstr>
  </property>
  <property fmtid="{D5CDD505-2E9C-101B-9397-08002B2CF9AE}" pid="4" name="CWM59bd362fa37646b4bb192b3dcf36b612">
    <vt:lpwstr>CWM5seqaCR+qicGwSm/WwhoiDNS/L42FG0cFS5hmA2Oqt2Jdma5nkwbhRXL0YNSWCRBZc45YbdV+pgt2vR6o7JJeyeynKXAKFJ3phra/XGRuWY=</vt:lpwstr>
  </property>
</Properties>
</file>