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tabs>
          <w:tab w:val="right" w:leader="dot" w:pos="8296"/>
        </w:tabs>
        <w:adjustRightInd w:val="0"/>
        <w:snapToGrid w:val="0"/>
        <w:spacing w:before="0" w:after="0" w:line="360" w:lineRule="auto"/>
        <w:ind w:firstLine="720" w:firstLineChars="200"/>
        <w:jc w:val="center"/>
        <w:rPr>
          <w:rFonts w:ascii="宋体" w:hAnsi="宋体" w:cs="宋体"/>
          <w:b w:val="0"/>
          <w:sz w:val="36"/>
          <w:szCs w:val="36"/>
        </w:rPr>
      </w:pPr>
    </w:p>
    <w:p>
      <w:pPr>
        <w:pStyle w:val="9"/>
        <w:tabs>
          <w:tab w:val="right" w:leader="dot" w:pos="8296"/>
        </w:tabs>
        <w:adjustRightInd w:val="0"/>
        <w:snapToGrid w:val="0"/>
        <w:spacing w:before="0" w:after="0" w:line="360" w:lineRule="auto"/>
        <w:ind w:firstLine="720" w:firstLineChars="200"/>
        <w:jc w:val="center"/>
        <w:rPr>
          <w:rFonts w:ascii="宋体" w:hAnsi="宋体" w:cs="宋体"/>
          <w:b w:val="0"/>
          <w:sz w:val="36"/>
          <w:szCs w:val="36"/>
        </w:rPr>
      </w:pPr>
    </w:p>
    <w:p>
      <w:pPr>
        <w:pStyle w:val="9"/>
        <w:tabs>
          <w:tab w:val="right" w:leader="dot" w:pos="8296"/>
        </w:tabs>
        <w:adjustRightInd w:val="0"/>
        <w:snapToGrid w:val="0"/>
        <w:spacing w:before="0" w:after="0" w:line="360" w:lineRule="auto"/>
        <w:ind w:firstLine="720" w:firstLineChars="200"/>
        <w:jc w:val="center"/>
        <w:rPr>
          <w:rFonts w:ascii="宋体" w:hAnsi="宋体" w:cs="宋体"/>
          <w:b w:val="0"/>
          <w:sz w:val="36"/>
          <w:szCs w:val="36"/>
        </w:rPr>
      </w:pPr>
    </w:p>
    <w:p>
      <w:pPr>
        <w:pStyle w:val="9"/>
        <w:tabs>
          <w:tab w:val="right" w:leader="dot" w:pos="8296"/>
        </w:tabs>
        <w:adjustRightInd w:val="0"/>
        <w:snapToGrid w:val="0"/>
        <w:spacing w:before="0" w:after="0" w:line="360" w:lineRule="auto"/>
        <w:ind w:firstLine="720" w:firstLineChars="200"/>
        <w:jc w:val="center"/>
        <w:rPr>
          <w:rFonts w:ascii="宋体" w:hAnsi="宋体" w:cs="宋体"/>
          <w:b w:val="0"/>
          <w:sz w:val="36"/>
          <w:szCs w:val="36"/>
        </w:rPr>
      </w:pPr>
    </w:p>
    <w:p>
      <w:pPr>
        <w:pStyle w:val="9"/>
        <w:tabs>
          <w:tab w:val="right" w:leader="dot" w:pos="8296"/>
        </w:tabs>
        <w:adjustRightInd w:val="0"/>
        <w:snapToGrid w:val="0"/>
        <w:spacing w:before="0" w:after="0" w:line="360" w:lineRule="auto"/>
        <w:jc w:val="both"/>
        <w:rPr>
          <w:rFonts w:ascii="宋体" w:hAnsi="宋体" w:cs="宋体"/>
          <w:b w:val="0"/>
          <w:sz w:val="36"/>
          <w:szCs w:val="36"/>
        </w:rPr>
      </w:pPr>
    </w:p>
    <w:p>
      <w:pPr>
        <w:pStyle w:val="9"/>
        <w:tabs>
          <w:tab w:val="right" w:leader="dot" w:pos="8296"/>
        </w:tabs>
        <w:adjustRightInd w:val="0"/>
        <w:snapToGrid w:val="0"/>
        <w:spacing w:before="0" w:after="0" w:line="360" w:lineRule="auto"/>
        <w:ind w:firstLine="720" w:firstLineChars="200"/>
        <w:jc w:val="center"/>
        <w:rPr>
          <w:rFonts w:ascii="宋体" w:hAnsi="宋体" w:cs="宋体"/>
          <w:b w:val="0"/>
          <w:sz w:val="36"/>
          <w:szCs w:val="36"/>
        </w:rPr>
      </w:pPr>
    </w:p>
    <w:p>
      <w:pPr>
        <w:pStyle w:val="9"/>
        <w:tabs>
          <w:tab w:val="right" w:leader="dot" w:pos="8296"/>
        </w:tabs>
        <w:adjustRightInd w:val="0"/>
        <w:snapToGrid w:val="0"/>
        <w:spacing w:before="0" w:after="0" w:line="360" w:lineRule="auto"/>
        <w:ind w:firstLine="720" w:firstLineChars="200"/>
        <w:jc w:val="center"/>
        <w:rPr>
          <w:rFonts w:ascii="宋体" w:hAnsi="宋体" w:cs="宋体"/>
          <w:b w:val="0"/>
          <w:sz w:val="36"/>
          <w:szCs w:val="36"/>
        </w:rPr>
      </w:pPr>
      <w:r>
        <w:rPr>
          <w:rFonts w:hint="eastAsia" w:ascii="宋体" w:hAnsi="宋体" w:cs="宋体"/>
          <w:b w:val="0"/>
          <w:sz w:val="36"/>
          <w:szCs w:val="36"/>
        </w:rPr>
        <w:t>昆明供电局2025年调度主站端AVC系统软件定检与维护（消缺）</w:t>
      </w:r>
      <w:r>
        <w:rPr>
          <w:rFonts w:hint="eastAsia" w:ascii="宋体" w:hAnsi="宋体" w:cs="宋体"/>
          <w:b w:val="0"/>
          <w:sz w:val="36"/>
          <w:szCs w:val="36"/>
          <w:highlight w:val="cyan"/>
        </w:rPr>
        <w:t>公开谈判采购</w:t>
      </w:r>
      <w:r>
        <w:rPr>
          <w:rFonts w:hint="eastAsia" w:ascii="宋体" w:hAnsi="宋体" w:cs="宋体"/>
          <w:b w:val="0"/>
          <w:sz w:val="36"/>
          <w:szCs w:val="36"/>
        </w:rPr>
        <w:t>技术规范书</w:t>
      </w:r>
    </w:p>
    <w:p>
      <w:pPr>
        <w:pStyle w:val="9"/>
        <w:tabs>
          <w:tab w:val="right" w:leader="dot" w:pos="8296"/>
        </w:tabs>
        <w:adjustRightInd w:val="0"/>
        <w:snapToGrid w:val="0"/>
        <w:spacing w:before="0" w:after="0" w:line="360" w:lineRule="auto"/>
        <w:ind w:firstLine="720" w:firstLineChars="200"/>
        <w:jc w:val="center"/>
        <w:rPr>
          <w:rFonts w:ascii="宋体" w:hAnsi="宋体" w:cs="宋体"/>
          <w:b w:val="0"/>
          <w:sz w:val="36"/>
          <w:szCs w:val="36"/>
        </w:rPr>
      </w:pPr>
    </w:p>
    <w:p>
      <w:pPr>
        <w:adjustRightInd w:val="0"/>
        <w:snapToGrid w:val="0"/>
        <w:rPr>
          <w:rFonts w:ascii="宋体" w:hAnsi="宋体" w:cs="宋体"/>
          <w:b/>
          <w:sz w:val="32"/>
        </w:rPr>
      </w:pPr>
    </w:p>
    <w:p>
      <w:pPr>
        <w:pStyle w:val="4"/>
        <w:numPr>
          <w:ilvl w:val="0"/>
          <w:numId w:val="0"/>
        </w:numPr>
      </w:pPr>
    </w:p>
    <w:p/>
    <w:p>
      <w:pPr>
        <w:pStyle w:val="4"/>
        <w:numPr>
          <w:ilvl w:val="0"/>
          <w:numId w:val="0"/>
        </w:numPr>
      </w:pPr>
    </w:p>
    <w:p>
      <w:pPr>
        <w:pStyle w:val="4"/>
        <w:numPr>
          <w:ilvl w:val="0"/>
          <w:numId w:val="0"/>
        </w:numPr>
      </w:pPr>
    </w:p>
    <w:p>
      <w:pPr>
        <w:jc w:val="center"/>
        <w:rPr>
          <w:rFonts w:ascii="Times New Roman" w:hAnsi="Times New Roman"/>
          <w:b/>
          <w:sz w:val="32"/>
        </w:rPr>
      </w:pPr>
      <w:r>
        <w:rPr>
          <w:rFonts w:hint="eastAsia" w:ascii="Times New Roman" w:hAnsi="Times New Roman"/>
          <w:b/>
          <w:sz w:val="32"/>
        </w:rPr>
        <w:t>云南电网有限责任公司</w:t>
      </w:r>
    </w:p>
    <w:p>
      <w:pPr>
        <w:adjustRightInd w:val="0"/>
        <w:snapToGrid w:val="0"/>
        <w:jc w:val="center"/>
        <w:rPr>
          <w:rFonts w:ascii="宋体" w:hAnsi="宋体" w:cs="宋体"/>
          <w:b/>
          <w:sz w:val="32"/>
        </w:rPr>
      </w:pPr>
      <w:r>
        <w:rPr>
          <w:rFonts w:hint="eastAsia" w:ascii="宋体" w:hAnsi="宋体" w:cs="宋体"/>
          <w:bCs/>
          <w:sz w:val="32"/>
          <w:highlight w:val="none"/>
        </w:rPr>
        <w:t>2025年</w:t>
      </w:r>
      <w:r>
        <w:rPr>
          <w:rFonts w:hint="eastAsia" w:ascii="宋体" w:hAnsi="宋体" w:cs="宋体"/>
          <w:bCs/>
          <w:sz w:val="32"/>
          <w:highlight w:val="cyan"/>
          <w:lang w:val="en-US" w:eastAsia="zh-CN"/>
        </w:rPr>
        <w:t>7</w:t>
      </w:r>
      <w:r>
        <w:rPr>
          <w:rFonts w:hint="eastAsia" w:ascii="宋体" w:hAnsi="宋体" w:cs="宋体"/>
          <w:bCs/>
          <w:sz w:val="32"/>
          <w:highlight w:val="cyan"/>
        </w:rPr>
        <w:t>月</w:t>
      </w:r>
      <w:r>
        <w:rPr>
          <w:rFonts w:ascii="宋体" w:hAnsi="宋体" w:cs="宋体"/>
          <w:b/>
          <w:sz w:val="32"/>
        </w:rPr>
        <w:br w:type="page"/>
      </w:r>
    </w:p>
    <w:p>
      <w:pPr>
        <w:pStyle w:val="4"/>
        <w:numPr>
          <w:ilvl w:val="0"/>
          <w:numId w:val="0"/>
        </w:numPr>
        <w:adjustRightInd w:val="0"/>
        <w:snapToGrid w:val="0"/>
        <w:spacing w:before="0" w:after="0" w:line="360" w:lineRule="auto"/>
        <w:ind w:firstLine="482" w:firstLineChars="200"/>
        <w:jc w:val="center"/>
        <w:rPr>
          <w:rFonts w:ascii="宋体" w:hAnsi="宋体" w:cs="宋体"/>
          <w:sz w:val="24"/>
          <w:szCs w:val="24"/>
        </w:rPr>
      </w:pPr>
      <w:bookmarkStart w:id="0" w:name="_Toc1754"/>
      <w:r>
        <w:rPr>
          <w:rFonts w:hint="eastAsia" w:ascii="宋体" w:hAnsi="宋体" w:cs="宋体"/>
          <w:sz w:val="24"/>
          <w:szCs w:val="24"/>
        </w:rPr>
        <w:t>第一部分 总则部分</w:t>
      </w:r>
      <w:bookmarkEnd w:id="0"/>
    </w:p>
    <w:p>
      <w:pPr>
        <w:ind w:firstLine="480" w:firstLineChars="200"/>
        <w:rPr>
          <w:rFonts w:ascii="宋体" w:hAnsi="宋体" w:cs="宋体"/>
          <w:szCs w:val="24"/>
        </w:rPr>
      </w:pPr>
    </w:p>
    <w:p>
      <w:pPr>
        <w:ind w:firstLine="480" w:firstLineChars="200"/>
        <w:rPr>
          <w:rFonts w:ascii="宋体" w:hAnsi="宋体" w:cs="宋体"/>
          <w:szCs w:val="24"/>
        </w:rPr>
      </w:pPr>
      <w:r>
        <w:rPr>
          <w:rFonts w:hint="eastAsia" w:ascii="宋体" w:hAnsi="宋体" w:cs="宋体"/>
          <w:szCs w:val="24"/>
        </w:rPr>
        <w:t>1、本技术规范书适用于昆明供电局2025年调度主站端AVC系统软件定检与维护（消缺）项目采购，本技术规范书的最终解释权归云南电网有限责任公司系统运行部。</w:t>
      </w:r>
    </w:p>
    <w:p>
      <w:pPr>
        <w:ind w:firstLine="480" w:firstLineChars="200"/>
        <w:rPr>
          <w:rFonts w:ascii="宋体" w:hAnsi="宋体" w:cs="宋体"/>
          <w:szCs w:val="24"/>
        </w:rPr>
      </w:pPr>
      <w:r>
        <w:rPr>
          <w:rFonts w:hint="eastAsia" w:ascii="宋体" w:hAnsi="宋体" w:cs="宋体"/>
          <w:szCs w:val="24"/>
        </w:rPr>
        <w:t>2、投标方未经招标方同意，不得以任何形式向第三方公开本技术规范书。</w:t>
      </w:r>
    </w:p>
    <w:p>
      <w:pPr>
        <w:pStyle w:val="14"/>
        <w:tabs>
          <w:tab w:val="left" w:pos="1134"/>
        </w:tabs>
        <w:adjustRightInd w:val="0"/>
        <w:snapToGrid w:val="0"/>
        <w:spacing w:beforeLines="0" w:afterLines="0" w:line="360" w:lineRule="auto"/>
        <w:ind w:firstLine="480" w:firstLineChars="200"/>
        <w:jc w:val="left"/>
        <w:rPr>
          <w:rFonts w:ascii="宋体" w:hAnsi="宋体"/>
          <w:szCs w:val="24"/>
        </w:rPr>
      </w:pPr>
    </w:p>
    <w:p>
      <w:pPr>
        <w:adjustRightInd w:val="0"/>
        <w:snapToGrid w:val="0"/>
        <w:ind w:firstLine="482" w:firstLineChars="200"/>
        <w:jc w:val="center"/>
        <w:outlineLvl w:val="0"/>
        <w:rPr>
          <w:rFonts w:ascii="宋体" w:hAnsi="宋体" w:cs="宋体"/>
          <w:b/>
          <w:bCs/>
          <w:szCs w:val="24"/>
        </w:rPr>
      </w:pPr>
      <w:bookmarkStart w:id="1" w:name="_Toc30990"/>
      <w:r>
        <w:rPr>
          <w:rFonts w:hint="eastAsia" w:ascii="宋体" w:hAnsi="宋体" w:cs="宋体"/>
          <w:b/>
          <w:bCs/>
          <w:szCs w:val="24"/>
        </w:rPr>
        <w:t>第二部分 技术规范</w:t>
      </w:r>
      <w:bookmarkEnd w:id="1"/>
    </w:p>
    <w:p>
      <w:pPr>
        <w:pStyle w:val="4"/>
        <w:numPr>
          <w:ilvl w:val="0"/>
          <w:numId w:val="2"/>
        </w:numPr>
        <w:tabs>
          <w:tab w:val="left" w:pos="709"/>
        </w:tabs>
        <w:adjustRightInd w:val="0"/>
        <w:snapToGrid w:val="0"/>
        <w:spacing w:before="0" w:after="0" w:line="360" w:lineRule="auto"/>
        <w:ind w:left="0" w:firstLine="482" w:firstLineChars="200"/>
        <w:rPr>
          <w:rFonts w:ascii="宋体" w:hAnsi="宋体" w:cs="宋体"/>
          <w:sz w:val="24"/>
          <w:szCs w:val="24"/>
        </w:rPr>
      </w:pPr>
      <w:bookmarkStart w:id="2" w:name="_Toc25386"/>
      <w:r>
        <w:rPr>
          <w:rFonts w:hint="eastAsia" w:ascii="宋体" w:hAnsi="宋体" w:cs="宋体"/>
          <w:sz w:val="24"/>
          <w:szCs w:val="24"/>
        </w:rPr>
        <w:t>技术服务范围</w:t>
      </w:r>
      <w:bookmarkEnd w:id="2"/>
    </w:p>
    <w:p>
      <w:pPr>
        <w:ind w:firstLine="480" w:firstLineChars="200"/>
        <w:rPr>
          <w:rFonts w:ascii="宋体" w:hAnsi="宋体" w:cs="宋体"/>
          <w:b/>
          <w:bCs/>
          <w:szCs w:val="24"/>
        </w:rPr>
      </w:pPr>
      <w:r>
        <w:rPr>
          <w:rFonts w:hint="eastAsia"/>
        </w:rPr>
        <w:t>昆明供电局2025年调度主站端AVC系统软件定检与维护（消缺）项目具体内容包括：1）昆明地调AVC应急响应及故障缺陷处理、日常维护及巡检、性能优化、软件升级、策略优化、故障应急及培训服务；2）提供一名技术人员现场提供日常维护及技术支持， 必要的应急情况下，应派遣具有资深技术背景和工作经验的系统平台开发人员到现场提供系统维护服务。</w:t>
      </w:r>
    </w:p>
    <w:p>
      <w:pPr>
        <w:ind w:firstLine="482" w:firstLineChars="200"/>
        <w:rPr>
          <w:rFonts w:ascii="宋体" w:hAnsi="宋体" w:cs="宋体"/>
          <w:szCs w:val="24"/>
        </w:rPr>
      </w:pPr>
      <w:r>
        <w:rPr>
          <w:rFonts w:hint="eastAsia" w:ascii="宋体" w:hAnsi="宋体" w:cs="宋体"/>
          <w:b/>
          <w:bCs/>
          <w:szCs w:val="24"/>
        </w:rPr>
        <w:t>服务范围</w:t>
      </w:r>
      <w:r>
        <w:rPr>
          <w:rFonts w:hint="eastAsia" w:ascii="宋体" w:hAnsi="宋体" w:cs="宋体"/>
          <w:szCs w:val="24"/>
        </w:rPr>
        <w:t>：昆明供电局；</w:t>
      </w:r>
    </w:p>
    <w:p>
      <w:pPr>
        <w:ind w:firstLine="482" w:firstLineChars="200"/>
        <w:rPr>
          <w:rFonts w:hint="eastAsia" w:eastAsia="宋体"/>
          <w:b/>
          <w:bCs/>
          <w:lang w:val="en-US" w:eastAsia="zh-CN"/>
        </w:rPr>
      </w:pPr>
      <w:r>
        <w:rPr>
          <w:rFonts w:hint="eastAsia" w:ascii="宋体" w:hAnsi="宋体" w:cs="宋体"/>
          <w:b/>
          <w:bCs/>
          <w:szCs w:val="24"/>
        </w:rPr>
        <w:t>服务时间：</w:t>
      </w:r>
      <w:r>
        <w:rPr>
          <w:rFonts w:hint="eastAsia" w:ascii="宋体" w:hAnsi="宋体" w:cs="宋体"/>
          <w:szCs w:val="24"/>
          <w:highlight w:val="cyan"/>
          <w:lang w:val="en-US" w:eastAsia="zh-CN"/>
        </w:rPr>
        <w:t>合同签订之日一年</w:t>
      </w:r>
    </w:p>
    <w:p>
      <w:pPr>
        <w:pStyle w:val="4"/>
        <w:numPr>
          <w:ilvl w:val="0"/>
          <w:numId w:val="0"/>
        </w:numPr>
        <w:adjustRightInd w:val="0"/>
        <w:snapToGrid w:val="0"/>
        <w:spacing w:before="0" w:after="0" w:line="360" w:lineRule="auto"/>
        <w:ind w:firstLine="482" w:firstLineChars="200"/>
        <w:rPr>
          <w:rFonts w:ascii="宋体" w:hAnsi="宋体" w:cs="宋体"/>
          <w:sz w:val="24"/>
          <w:szCs w:val="24"/>
        </w:rPr>
      </w:pPr>
      <w:bookmarkStart w:id="3" w:name="_Toc7430"/>
    </w:p>
    <w:p>
      <w:pPr>
        <w:pStyle w:val="4"/>
        <w:numPr>
          <w:ilvl w:val="0"/>
          <w:numId w:val="2"/>
        </w:numPr>
        <w:adjustRightInd w:val="0"/>
        <w:snapToGrid w:val="0"/>
        <w:spacing w:before="0" w:after="0" w:line="360" w:lineRule="auto"/>
        <w:ind w:left="0" w:firstLine="482" w:firstLineChars="200"/>
        <w:rPr>
          <w:rFonts w:ascii="宋体" w:hAnsi="宋体" w:cs="宋体"/>
          <w:sz w:val="24"/>
          <w:szCs w:val="24"/>
        </w:rPr>
      </w:pPr>
      <w:r>
        <w:rPr>
          <w:rFonts w:hint="eastAsia" w:ascii="宋体" w:hAnsi="宋体" w:cs="宋体"/>
          <w:sz w:val="24"/>
          <w:szCs w:val="24"/>
        </w:rPr>
        <w:t>技术服务内容及要求</w:t>
      </w:r>
      <w:bookmarkEnd w:id="3"/>
    </w:p>
    <w:p>
      <w:pPr>
        <w:outlineLvl w:val="1"/>
      </w:pPr>
      <w:r>
        <w:rPr>
          <w:rFonts w:hint="eastAsia"/>
        </w:rPr>
        <w:t xml:space="preserve"> 2.1</w:t>
      </w:r>
      <w:r>
        <w:rPr>
          <w:rFonts w:hint="eastAsia"/>
        </w:rPr>
        <w:tab/>
      </w:r>
      <w:r>
        <w:rPr>
          <w:rFonts w:hint="eastAsia"/>
        </w:rPr>
        <w:t>服务内容</w:t>
      </w:r>
    </w:p>
    <w:p>
      <w:pPr>
        <w:pStyle w:val="2"/>
        <w:numPr>
          <w:ilvl w:val="0"/>
          <w:numId w:val="3"/>
        </w:numPr>
        <w:tabs>
          <w:tab w:val="left" w:pos="960"/>
        </w:tabs>
        <w:ind w:left="5" w:firstLine="475"/>
        <w:rPr>
          <w:rFonts w:ascii="宋体" w:hAnsi="宋体" w:cs="宋体"/>
        </w:rPr>
      </w:pPr>
      <w:r>
        <w:rPr>
          <w:rFonts w:hint="eastAsia" w:ascii="宋体" w:hAnsi="宋体" w:cs="宋体"/>
        </w:rPr>
        <w:t>定检消缺</w:t>
      </w:r>
    </w:p>
    <w:p>
      <w:pPr>
        <w:ind w:firstLine="480" w:firstLineChars="200"/>
        <w:rPr>
          <w:rFonts w:ascii="宋体" w:hAnsi="宋体" w:cs="宋体"/>
          <w:color w:val="000000"/>
          <w:kern w:val="0"/>
          <w:szCs w:val="21"/>
          <w:lang w:bidi="ar"/>
        </w:rPr>
      </w:pPr>
      <w:r>
        <w:rPr>
          <w:rFonts w:hint="eastAsia"/>
        </w:rPr>
        <w:t>每3月开展一次AVC系统功能定期检测、性能检测、故障分析与处理，</w:t>
      </w:r>
      <w:r>
        <w:rPr>
          <w:rFonts w:hint="eastAsia" w:ascii="宋体" w:hAnsi="宋体" w:cs="宋体"/>
          <w:color w:val="000000"/>
          <w:kern w:val="0"/>
          <w:szCs w:val="21"/>
          <w:lang w:bidi="ar"/>
        </w:rPr>
        <w:t>确保系统运行正常。重大节假日、重大保供电期间提供系统检测和特维；配合采购方设备调整开展系统软件的重装、调整、恢复；对系统日常运行过程中发现的故障分析与处理。</w:t>
      </w:r>
    </w:p>
    <w:p>
      <w:pPr>
        <w:pStyle w:val="2"/>
        <w:numPr>
          <w:ilvl w:val="0"/>
          <w:numId w:val="3"/>
        </w:numPr>
        <w:tabs>
          <w:tab w:val="left" w:pos="960"/>
        </w:tabs>
        <w:ind w:left="5" w:firstLine="475"/>
        <w:rPr>
          <w:rFonts w:ascii="宋体" w:hAnsi="宋体" w:cs="宋体"/>
        </w:rPr>
      </w:pPr>
      <w:r>
        <w:rPr>
          <w:rFonts w:hint="eastAsia" w:ascii="宋体" w:hAnsi="宋体" w:cs="宋体"/>
        </w:rPr>
        <w:t>现场维护</w:t>
      </w:r>
    </w:p>
    <w:p>
      <w:pPr>
        <w:ind w:firstLine="480" w:firstLineChars="200"/>
        <w:rPr>
          <w:rFonts w:ascii="宋体" w:hAnsi="宋体" w:cs="宋体"/>
          <w:kern w:val="0"/>
          <w:szCs w:val="21"/>
          <w:lang w:bidi="ar"/>
        </w:rPr>
      </w:pPr>
      <w:r>
        <w:rPr>
          <w:rFonts w:hint="eastAsia" w:ascii="宋体" w:hAnsi="宋体" w:cs="宋体"/>
          <w:kern w:val="0"/>
          <w:szCs w:val="21"/>
          <w:lang w:bidi="ar"/>
        </w:rPr>
        <w:t>提供一名技术人员现场提供日常维护及技术支持。7×24小时电话顾问服务。</w:t>
      </w:r>
    </w:p>
    <w:p>
      <w:pPr>
        <w:pStyle w:val="2"/>
        <w:numPr>
          <w:ilvl w:val="0"/>
          <w:numId w:val="3"/>
        </w:numPr>
        <w:tabs>
          <w:tab w:val="left" w:pos="960"/>
        </w:tabs>
        <w:ind w:left="5" w:firstLine="475"/>
        <w:rPr>
          <w:rFonts w:ascii="宋体" w:hAnsi="宋体" w:cs="宋体"/>
        </w:rPr>
      </w:pPr>
      <w:r>
        <w:rPr>
          <w:rFonts w:hint="eastAsia" w:ascii="宋体" w:hAnsi="宋体" w:cs="宋体"/>
        </w:rPr>
        <w:t>系统调试和参数优化</w:t>
      </w:r>
    </w:p>
    <w:p>
      <w:pPr>
        <w:ind w:firstLine="480" w:firstLineChars="200"/>
      </w:pPr>
      <w:r>
        <w:rPr>
          <w:rFonts w:hint="eastAsia"/>
        </w:rPr>
        <w:t>对AVC系统程序进行日常调试及异常处置，提高稳定性；优化</w:t>
      </w:r>
      <w:r>
        <w:rPr>
          <w:rFonts w:hint="eastAsia"/>
        </w:rPr>
        <w:tab/>
      </w:r>
      <w:r>
        <w:rPr>
          <w:rFonts w:hint="eastAsia"/>
        </w:rPr>
        <w:t>AVC系统参数，保证控制效果最优。</w:t>
      </w:r>
    </w:p>
    <w:p>
      <w:pPr>
        <w:outlineLvl w:val="1"/>
      </w:pPr>
      <w:r>
        <w:rPr>
          <w:rFonts w:hint="eastAsia"/>
        </w:rPr>
        <w:t>2</w:t>
      </w:r>
      <w:r>
        <w:t>.2</w:t>
      </w:r>
      <w:r>
        <w:tab/>
      </w:r>
      <w:r>
        <w:rPr>
          <w:rFonts w:hint="eastAsia"/>
        </w:rPr>
        <w:t>服务要求</w:t>
      </w:r>
    </w:p>
    <w:p>
      <w:pPr>
        <w:pStyle w:val="2"/>
      </w:pPr>
      <w:bookmarkStart w:id="4" w:name="_Hlk156579062"/>
      <w:r>
        <w:t>2.2</w:t>
      </w:r>
      <w:r>
        <w:rPr>
          <w:rFonts w:hint="eastAsia"/>
        </w:rPr>
        <w:t>.1 总体要求</w:t>
      </w:r>
    </w:p>
    <w:p>
      <w:pPr>
        <w:pStyle w:val="2"/>
      </w:pPr>
      <w:r>
        <w:t>1</w:t>
      </w:r>
      <w:r>
        <w:rPr>
          <w:rFonts w:hint="eastAsia"/>
        </w:rPr>
        <w:t>） 投标方必须按照合同要求，提供包括但不限于合同规定但合理范围的服务，服务质量应满足但不限于合同中的质量要求。</w:t>
      </w:r>
    </w:p>
    <w:p>
      <w:pPr>
        <w:pStyle w:val="2"/>
      </w:pPr>
      <w:r>
        <w:rPr>
          <w:rFonts w:hint="eastAsia"/>
        </w:rPr>
        <w:t>2） 严格执行国家、南方电网公司、云南电网有限责任公司、昆明供电局颁发的规程、规定、规范和标准，开展系统的运行维护工作，并严格遵守《电业安全工作规程》的有关规定，不发生安全责任事故。</w:t>
      </w:r>
    </w:p>
    <w:p>
      <w:pPr>
        <w:pStyle w:val="2"/>
      </w:pPr>
      <w:r>
        <w:rPr>
          <w:rFonts w:hint="eastAsia"/>
        </w:rPr>
        <w:t>3） 不发生系统崩溃、业务数据丢失、系统数据泄密的安全事件，不发生五级或以上的安全事件。</w:t>
      </w:r>
    </w:p>
    <w:p>
      <w:pPr>
        <w:pStyle w:val="2"/>
      </w:pPr>
      <w:r>
        <w:t>2.2</w:t>
      </w:r>
      <w:r>
        <w:rPr>
          <w:rFonts w:hint="eastAsia"/>
        </w:rPr>
        <w:t>.2 服务具体要求</w:t>
      </w:r>
    </w:p>
    <w:p>
      <w:pPr>
        <w:pStyle w:val="2"/>
      </w:pPr>
      <w:r>
        <w:t>1</w:t>
      </w:r>
      <w:r>
        <w:rPr>
          <w:rFonts w:hint="eastAsia"/>
        </w:rPr>
        <w:t>） 定检与消缺，包括系统功能定期检测、性能检测、故障分析与处理等：</w:t>
      </w:r>
    </w:p>
    <w:p>
      <w:pPr>
        <w:pStyle w:val="2"/>
      </w:pPr>
      <w:r>
        <w:rPr>
          <w:rFonts w:hint="eastAsia"/>
        </w:rPr>
        <w:t>（a）每年两次进行专业定检，确保系统运行正常。</w:t>
      </w:r>
    </w:p>
    <w:p>
      <w:pPr>
        <w:pStyle w:val="2"/>
      </w:pPr>
      <w:r>
        <w:rPr>
          <w:rFonts w:hint="eastAsia"/>
        </w:rPr>
        <w:t>（</w:t>
      </w:r>
      <w:r>
        <w:t>b</w:t>
      </w:r>
      <w:r>
        <w:rPr>
          <w:rFonts w:hint="eastAsia"/>
        </w:rPr>
        <w:t>）重大节假日、重大保供电期间提供系统检测和特维。</w:t>
      </w:r>
    </w:p>
    <w:p>
      <w:pPr>
        <w:pStyle w:val="2"/>
      </w:pPr>
      <w:r>
        <w:rPr>
          <w:rFonts w:hint="eastAsia"/>
        </w:rPr>
        <w:t>（</w:t>
      </w:r>
      <w:r>
        <w:t>c</w:t>
      </w:r>
      <w:r>
        <w:rPr>
          <w:rFonts w:hint="eastAsia"/>
        </w:rPr>
        <w:t>）系统软件的重装、调整、恢复。</w:t>
      </w:r>
    </w:p>
    <w:p>
      <w:pPr>
        <w:pStyle w:val="2"/>
      </w:pPr>
      <w:r>
        <w:rPr>
          <w:rFonts w:hint="eastAsia"/>
        </w:rPr>
        <w:t>（</w:t>
      </w:r>
      <w:r>
        <w:t>d</w:t>
      </w:r>
      <w:r>
        <w:rPr>
          <w:rFonts w:hint="eastAsia"/>
        </w:rPr>
        <w:t>）对系统进行故障分析与处理.</w:t>
      </w:r>
    </w:p>
    <w:p>
      <w:pPr>
        <w:pStyle w:val="2"/>
      </w:pPr>
      <w:r>
        <w:rPr>
          <w:rFonts w:hint="eastAsia"/>
        </w:rPr>
        <w:t>（</w:t>
      </w:r>
      <w:r>
        <w:t>e</w:t>
      </w:r>
      <w:r>
        <w:rPr>
          <w:rFonts w:hint="eastAsia"/>
        </w:rPr>
        <w:t>）7×24小时电话顾问服务。</w:t>
      </w:r>
    </w:p>
    <w:p>
      <w:pPr>
        <w:pStyle w:val="2"/>
      </w:pPr>
      <w:r>
        <w:t>2</w:t>
      </w:r>
      <w:r>
        <w:rPr>
          <w:rFonts w:hint="eastAsia"/>
        </w:rPr>
        <w:t>） 系统调试和参数优化：</w:t>
      </w:r>
    </w:p>
    <w:p>
      <w:pPr>
        <w:pStyle w:val="2"/>
      </w:pPr>
      <w:r>
        <w:rPr>
          <w:rFonts w:hint="eastAsia"/>
        </w:rPr>
        <w:t>（</w:t>
      </w:r>
      <w:r>
        <w:t>a</w:t>
      </w:r>
      <w:r>
        <w:rPr>
          <w:rFonts w:hint="eastAsia"/>
        </w:rPr>
        <w:t>）对系统程序进行调试，提高稳定性。</w:t>
      </w:r>
    </w:p>
    <w:p>
      <w:pPr>
        <w:pStyle w:val="2"/>
      </w:pPr>
      <w:r>
        <w:rPr>
          <w:rFonts w:hint="eastAsia"/>
        </w:rPr>
        <w:t>（</w:t>
      </w:r>
      <w:r>
        <w:t>b</w:t>
      </w:r>
      <w:r>
        <w:rPr>
          <w:rFonts w:hint="eastAsia"/>
        </w:rPr>
        <w:t>）优化系统参数，保证计算结果正确性。</w:t>
      </w:r>
    </w:p>
    <w:p>
      <w:pPr>
        <w:pStyle w:val="2"/>
      </w:pPr>
      <w:r>
        <w:rPr>
          <w:rFonts w:hint="eastAsia"/>
        </w:rPr>
        <w:t>（</w:t>
      </w:r>
      <w:r>
        <w:t>c</w:t>
      </w:r>
      <w:r>
        <w:rPr>
          <w:rFonts w:hint="eastAsia"/>
        </w:rPr>
        <w:t>）根据使用需求优化系统展示画面。</w:t>
      </w:r>
    </w:p>
    <w:p>
      <w:pPr>
        <w:pStyle w:val="2"/>
      </w:pPr>
      <w:r>
        <w:rPr>
          <w:rFonts w:hint="eastAsia"/>
        </w:rPr>
        <w:t>（</w:t>
      </w:r>
      <w:r>
        <w:t>d</w:t>
      </w:r>
      <w:r>
        <w:rPr>
          <w:rFonts w:hint="eastAsia"/>
        </w:rPr>
        <w:t>）优化和提升该功能模块与现场主站系统平台的融合度。</w:t>
      </w:r>
    </w:p>
    <w:p>
      <w:pPr>
        <w:pStyle w:val="2"/>
      </w:pPr>
      <w:r>
        <w:t>2.2</w:t>
      </w:r>
      <w:r>
        <w:rPr>
          <w:rFonts w:hint="eastAsia"/>
        </w:rPr>
        <w:t>.</w:t>
      </w:r>
      <w:r>
        <w:t>3</w:t>
      </w:r>
      <w:r>
        <w:rPr>
          <w:rFonts w:hint="eastAsia"/>
        </w:rPr>
        <w:t xml:space="preserve"> 运行效果评估验证：</w:t>
      </w:r>
    </w:p>
    <w:p>
      <w:pPr>
        <w:pStyle w:val="2"/>
      </w:pPr>
      <w:r>
        <w:rPr>
          <w:rFonts w:hint="eastAsia"/>
        </w:rPr>
        <w:t>1）配合甲方对自动电压控制功能的运行效果进行验证，对错误结果进行校正。</w:t>
      </w:r>
    </w:p>
    <w:p>
      <w:pPr>
        <w:pStyle w:val="2"/>
      </w:pPr>
      <w:r>
        <w:t>2.2</w:t>
      </w:r>
      <w:r>
        <w:rPr>
          <w:rFonts w:hint="eastAsia"/>
        </w:rPr>
        <w:t>.</w:t>
      </w:r>
      <w:r>
        <w:t>4</w:t>
      </w:r>
      <w:r>
        <w:rPr>
          <w:rFonts w:hint="eastAsia"/>
        </w:rPr>
        <w:t xml:space="preserve"> 紧急故障处置：</w:t>
      </w:r>
    </w:p>
    <w:p>
      <w:pPr>
        <w:pStyle w:val="2"/>
      </w:pPr>
      <w:r>
        <w:rPr>
          <w:rFonts w:hint="eastAsia"/>
        </w:rPr>
        <w:t>1）提供7×24小时紧急服务响应，快速处置系统故障。</w:t>
      </w:r>
    </w:p>
    <w:p>
      <w:pPr>
        <w:pStyle w:val="2"/>
      </w:pPr>
      <w:r>
        <w:t>2</w:t>
      </w:r>
      <w:r>
        <w:rPr>
          <w:rFonts w:hint="eastAsia"/>
        </w:rPr>
        <w:t>）如果故障在检修8小时后仍无法排除，投标方应在48小时内提供解决方案，经招标方批准后负责实施，直至故障修复。</w:t>
      </w:r>
    </w:p>
    <w:bookmarkEnd w:id="4"/>
    <w:p>
      <w:pPr>
        <w:pStyle w:val="4"/>
        <w:numPr>
          <w:ilvl w:val="0"/>
          <w:numId w:val="2"/>
        </w:numPr>
        <w:adjustRightInd w:val="0"/>
        <w:snapToGrid w:val="0"/>
        <w:spacing w:before="0" w:after="0" w:line="360" w:lineRule="auto"/>
        <w:ind w:left="0" w:firstLine="482" w:firstLineChars="200"/>
        <w:rPr>
          <w:rFonts w:ascii="宋体" w:hAnsi="宋体" w:cs="宋体"/>
          <w:sz w:val="24"/>
          <w:szCs w:val="24"/>
        </w:rPr>
      </w:pPr>
      <w:bookmarkStart w:id="5" w:name="_Toc19728"/>
      <w:bookmarkStart w:id="6" w:name="_Toc15321"/>
      <w:bookmarkStart w:id="7" w:name="_Toc9893"/>
      <w:bookmarkStart w:id="8" w:name="_Toc29377"/>
      <w:r>
        <w:rPr>
          <w:rFonts w:hint="eastAsia" w:ascii="宋体" w:hAnsi="宋体" w:cs="宋体"/>
          <w:sz w:val="24"/>
          <w:szCs w:val="24"/>
        </w:rPr>
        <w:t>人员配置及服务能力要求</w:t>
      </w:r>
      <w:bookmarkEnd w:id="5"/>
      <w:bookmarkEnd w:id="6"/>
    </w:p>
    <w:p>
      <w:pPr>
        <w:pStyle w:val="15"/>
        <w:ind w:firstLine="0" w:firstLineChars="0"/>
        <w:rPr>
          <w:rFonts w:ascii="宋体" w:hAnsi="宋体"/>
          <w:szCs w:val="24"/>
        </w:rPr>
      </w:pPr>
      <w:r>
        <w:rPr>
          <w:rFonts w:hint="eastAsia"/>
        </w:rPr>
        <w:t>3</w:t>
      </w:r>
      <w:r>
        <w:rPr>
          <w:rFonts w:hint="eastAsia" w:ascii="宋体" w:hAnsi="宋体"/>
          <w:b/>
          <w:bCs/>
          <w:szCs w:val="24"/>
        </w:rPr>
        <w:t>.1</w:t>
      </w:r>
      <w:r>
        <w:rPr>
          <w:rFonts w:hint="eastAsia" w:ascii="Cambria" w:hAnsi="Cambria"/>
          <w:b/>
          <w:bCs/>
          <w:szCs w:val="32"/>
        </w:rPr>
        <w:t>人员配置</w:t>
      </w:r>
    </w:p>
    <w:p>
      <w:pPr>
        <w:pStyle w:val="16"/>
        <w:spacing w:beforeLines="0" w:afterLines="0"/>
        <w:ind w:firstLine="480"/>
        <w:rPr>
          <w:rFonts w:ascii="宋体" w:hAnsi="宋体" w:cs="宋体"/>
          <w:szCs w:val="24"/>
        </w:rPr>
      </w:pPr>
      <w:r>
        <w:rPr>
          <w:rFonts w:ascii="宋体" w:hAnsi="宋体" w:cs="宋体"/>
          <w:szCs w:val="24"/>
        </w:rPr>
        <w:t>项目团队至少承诺</w:t>
      </w:r>
      <w:r>
        <w:rPr>
          <w:rFonts w:hint="eastAsia" w:ascii="宋体" w:hAnsi="宋体" w:cs="宋体"/>
          <w:szCs w:val="24"/>
        </w:rPr>
        <w:t>3</w:t>
      </w:r>
      <w:r>
        <w:rPr>
          <w:rFonts w:ascii="宋体" w:hAnsi="宋体" w:cs="宋体"/>
          <w:szCs w:val="24"/>
        </w:rPr>
        <w:t>人：项目经理</w:t>
      </w:r>
      <w:r>
        <w:rPr>
          <w:rFonts w:hint="eastAsia" w:ascii="宋体" w:hAnsi="宋体" w:cs="宋体"/>
          <w:szCs w:val="24"/>
        </w:rPr>
        <w:t>1</w:t>
      </w:r>
      <w:r>
        <w:rPr>
          <w:rFonts w:ascii="宋体" w:hAnsi="宋体" w:cs="宋体"/>
          <w:szCs w:val="24"/>
        </w:rPr>
        <w:t>人、技术服务人员</w:t>
      </w:r>
      <w:r>
        <w:rPr>
          <w:rFonts w:hint="eastAsia" w:ascii="宋体" w:hAnsi="宋体" w:cs="宋体"/>
          <w:szCs w:val="24"/>
        </w:rPr>
        <w:t>2</w:t>
      </w:r>
      <w:r>
        <w:rPr>
          <w:rFonts w:ascii="宋体" w:hAnsi="宋体" w:cs="宋体"/>
          <w:szCs w:val="24"/>
        </w:rPr>
        <w:t>人</w:t>
      </w:r>
      <w:r>
        <w:rPr>
          <w:rFonts w:hint="eastAsia" w:ascii="宋体" w:hAnsi="宋体" w:cs="宋体"/>
          <w:szCs w:val="24"/>
        </w:rPr>
        <w:t>，负责过调度自动化系统相关技术支持系统集成、开发、安装调试人员</w:t>
      </w:r>
      <w:r>
        <w:rPr>
          <w:rFonts w:ascii="宋体" w:hAnsi="宋体" w:cs="宋体"/>
          <w:szCs w:val="24"/>
        </w:rPr>
        <w:t>。并承诺项目经理未经甲方允许不可换人。</w:t>
      </w:r>
    </w:p>
    <w:p>
      <w:pPr>
        <w:pStyle w:val="16"/>
        <w:spacing w:beforeLines="0" w:afterLines="0"/>
        <w:ind w:firstLine="480" w:firstLineChars="200"/>
        <w:rPr>
          <w:rFonts w:ascii="宋体" w:hAnsi="宋体" w:cs="宋体"/>
          <w:szCs w:val="24"/>
        </w:rPr>
      </w:pPr>
      <w:r>
        <w:rPr>
          <w:rFonts w:hint="eastAsia" w:ascii="宋体" w:hAnsi="宋体" w:cs="宋体"/>
          <w:szCs w:val="24"/>
        </w:rPr>
        <w:t>投标方提交项目负责人和技术服务人员名单以及上述人员的简历，包括相关工作年限、专业、在本项目承担的角色、相关资质证书、以往参与类似项目情况、其他说明等，并提供以上相关证件复印件或证明材料，按照以下表格填写（须提供团队服务人员名单、劳动合同、相关证书），并提供相关复印件：</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47"/>
        <w:gridCol w:w="1104"/>
        <w:gridCol w:w="1029"/>
        <w:gridCol w:w="4605"/>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647" w:type="dxa"/>
            <w:tcBorders>
              <w:top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sz w:val="21"/>
                <w:szCs w:val="21"/>
              </w:rPr>
            </w:pPr>
            <w:r>
              <w:rPr>
                <w:rFonts w:hint="eastAsia" w:ascii="宋体" w:hAnsi="宋体" w:cs="宋体"/>
                <w:sz w:val="21"/>
                <w:szCs w:val="21"/>
              </w:rPr>
              <w:t>序号</w:t>
            </w:r>
          </w:p>
        </w:tc>
        <w:tc>
          <w:tcPr>
            <w:tcW w:w="110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sz w:val="21"/>
                <w:szCs w:val="21"/>
              </w:rPr>
            </w:pPr>
          </w:p>
        </w:tc>
        <w:tc>
          <w:tcPr>
            <w:tcW w:w="1029"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sz w:val="21"/>
                <w:szCs w:val="21"/>
              </w:rPr>
            </w:pPr>
          </w:p>
        </w:tc>
        <w:tc>
          <w:tcPr>
            <w:tcW w:w="4605" w:type="dxa"/>
            <w:tcBorders>
              <w:top w:val="single" w:color="auto" w:sz="4" w:space="0"/>
              <w:left w:val="single" w:color="auto" w:sz="4" w:space="0"/>
              <w:bottom w:val="single" w:color="auto" w:sz="4" w:space="0"/>
            </w:tcBorders>
            <w:shd w:val="clear" w:color="auto" w:fill="FFFFFF"/>
            <w:vAlign w:val="center"/>
          </w:tcPr>
          <w:p>
            <w:pPr>
              <w:widowControl/>
              <w:jc w:val="center"/>
              <w:rPr>
                <w:rFonts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647" w:type="dxa"/>
            <w:tcBorders>
              <w:top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sz w:val="21"/>
                <w:szCs w:val="21"/>
              </w:rPr>
            </w:pPr>
            <w:r>
              <w:rPr>
                <w:rFonts w:hint="eastAsia" w:ascii="宋体" w:hAnsi="宋体" w:cs="宋体"/>
                <w:sz w:val="21"/>
                <w:szCs w:val="21"/>
              </w:rPr>
              <w:t>相关工作年限</w:t>
            </w:r>
          </w:p>
        </w:tc>
        <w:tc>
          <w:tcPr>
            <w:tcW w:w="110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sz w:val="21"/>
                <w:szCs w:val="21"/>
              </w:rPr>
            </w:pPr>
          </w:p>
        </w:tc>
        <w:tc>
          <w:tcPr>
            <w:tcW w:w="1029"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sz w:val="21"/>
                <w:szCs w:val="21"/>
              </w:rPr>
            </w:pPr>
          </w:p>
        </w:tc>
        <w:tc>
          <w:tcPr>
            <w:tcW w:w="4605" w:type="dxa"/>
            <w:tcBorders>
              <w:top w:val="single" w:color="auto" w:sz="4" w:space="0"/>
              <w:left w:val="single" w:color="auto" w:sz="4" w:space="0"/>
              <w:bottom w:val="single" w:color="auto" w:sz="4" w:space="0"/>
            </w:tcBorders>
            <w:shd w:val="clear" w:color="auto" w:fill="FFFFFF"/>
            <w:vAlign w:val="center"/>
          </w:tcPr>
          <w:p>
            <w:pPr>
              <w:widowControl/>
              <w:jc w:val="center"/>
              <w:rPr>
                <w:rFonts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2751" w:type="dxa"/>
            <w:gridSpan w:val="2"/>
            <w:tcBorders>
              <w:top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sz w:val="21"/>
                <w:szCs w:val="21"/>
              </w:rPr>
            </w:pPr>
            <w:r>
              <w:rPr>
                <w:rFonts w:hint="eastAsia" w:ascii="宋体" w:hAnsi="宋体" w:cs="宋体"/>
                <w:sz w:val="21"/>
                <w:szCs w:val="21"/>
              </w:rPr>
              <w:t>在本项目承担的角色</w:t>
            </w:r>
          </w:p>
        </w:tc>
        <w:tc>
          <w:tcPr>
            <w:tcW w:w="5634" w:type="dxa"/>
            <w:gridSpan w:val="2"/>
            <w:tcBorders>
              <w:top w:val="single" w:color="auto" w:sz="4" w:space="0"/>
              <w:left w:val="single" w:color="auto" w:sz="4" w:space="0"/>
              <w:bottom w:val="single" w:color="auto" w:sz="4" w:space="0"/>
            </w:tcBorders>
            <w:shd w:val="clear" w:color="auto" w:fill="FFFFFF"/>
            <w:vAlign w:val="center"/>
          </w:tcPr>
          <w:p>
            <w:pPr>
              <w:widowControl/>
              <w:jc w:val="center"/>
              <w:rPr>
                <w:rFonts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2751" w:type="dxa"/>
            <w:gridSpan w:val="2"/>
            <w:tcBorders>
              <w:top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sz w:val="21"/>
                <w:szCs w:val="21"/>
              </w:rPr>
            </w:pPr>
            <w:r>
              <w:rPr>
                <w:rFonts w:hint="eastAsia" w:ascii="宋体" w:hAnsi="宋体" w:cs="宋体"/>
                <w:sz w:val="21"/>
                <w:szCs w:val="21"/>
              </w:rPr>
              <w:t>相关资质证书</w:t>
            </w:r>
          </w:p>
        </w:tc>
        <w:tc>
          <w:tcPr>
            <w:tcW w:w="5634" w:type="dxa"/>
            <w:gridSpan w:val="2"/>
            <w:tcBorders>
              <w:top w:val="single" w:color="auto" w:sz="4" w:space="0"/>
              <w:left w:val="single" w:color="auto" w:sz="4" w:space="0"/>
              <w:bottom w:val="single" w:color="auto" w:sz="4" w:space="0"/>
            </w:tcBorders>
            <w:shd w:val="clear" w:color="auto" w:fill="FFFFFF"/>
            <w:vAlign w:val="center"/>
          </w:tcPr>
          <w:p>
            <w:pPr>
              <w:widowControl/>
              <w:jc w:val="center"/>
              <w:rPr>
                <w:rFonts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2751" w:type="dxa"/>
            <w:gridSpan w:val="2"/>
            <w:tcBorders>
              <w:top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sz w:val="21"/>
                <w:szCs w:val="21"/>
              </w:rPr>
            </w:pPr>
            <w:r>
              <w:rPr>
                <w:rFonts w:hint="eastAsia" w:ascii="宋体" w:hAnsi="宋体" w:cs="宋体"/>
                <w:sz w:val="21"/>
                <w:szCs w:val="21"/>
              </w:rPr>
              <w:t>以往参与类似项目情况</w:t>
            </w:r>
          </w:p>
          <w:p>
            <w:pPr>
              <w:rPr>
                <w:rFonts w:ascii="宋体" w:hAnsi="宋体" w:cs="宋体"/>
                <w:sz w:val="21"/>
                <w:szCs w:val="21"/>
              </w:rPr>
            </w:pPr>
          </w:p>
        </w:tc>
        <w:tc>
          <w:tcPr>
            <w:tcW w:w="5634" w:type="dxa"/>
            <w:gridSpan w:val="2"/>
            <w:tcBorders>
              <w:top w:val="single" w:color="auto" w:sz="4" w:space="0"/>
              <w:left w:val="single" w:color="auto" w:sz="4" w:space="0"/>
              <w:bottom w:val="single" w:color="auto" w:sz="4" w:space="0"/>
            </w:tcBorders>
            <w:shd w:val="clear" w:color="auto" w:fill="FFFFFF"/>
            <w:vAlign w:val="center"/>
          </w:tcPr>
          <w:p>
            <w:pPr>
              <w:widowControl/>
              <w:jc w:val="center"/>
              <w:rPr>
                <w:rFonts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2751" w:type="dxa"/>
            <w:gridSpan w:val="2"/>
            <w:tcBorders>
              <w:top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sz w:val="21"/>
                <w:szCs w:val="21"/>
              </w:rPr>
            </w:pPr>
            <w:r>
              <w:rPr>
                <w:rFonts w:hint="eastAsia" w:ascii="宋体" w:hAnsi="宋体" w:cs="宋体"/>
                <w:sz w:val="21"/>
                <w:szCs w:val="21"/>
              </w:rPr>
              <w:t>其他说明</w:t>
            </w:r>
          </w:p>
        </w:tc>
        <w:tc>
          <w:tcPr>
            <w:tcW w:w="5634" w:type="dxa"/>
            <w:gridSpan w:val="2"/>
            <w:tcBorders>
              <w:top w:val="single" w:color="auto" w:sz="4" w:space="0"/>
              <w:left w:val="single" w:color="auto" w:sz="4" w:space="0"/>
              <w:bottom w:val="single" w:color="auto" w:sz="4" w:space="0"/>
            </w:tcBorders>
            <w:shd w:val="clear" w:color="auto" w:fill="FFFFFF"/>
            <w:vAlign w:val="center"/>
          </w:tcPr>
          <w:p>
            <w:pPr>
              <w:widowControl/>
              <w:jc w:val="center"/>
              <w:rPr>
                <w:rFonts w:ascii="宋体" w:hAnsi="宋体" w:cs="宋体"/>
                <w:sz w:val="21"/>
                <w:szCs w:val="21"/>
              </w:rPr>
            </w:pPr>
          </w:p>
        </w:tc>
      </w:tr>
    </w:tbl>
    <w:p>
      <w:pPr>
        <w:pStyle w:val="16"/>
        <w:spacing w:beforeLines="0" w:afterLines="0"/>
        <w:ind w:firstLine="480" w:firstLineChars="200"/>
        <w:rPr>
          <w:rFonts w:ascii="宋体" w:hAnsi="宋体"/>
          <w:szCs w:val="24"/>
        </w:rPr>
      </w:pPr>
    </w:p>
    <w:p>
      <w:pPr>
        <w:pStyle w:val="16"/>
        <w:spacing w:beforeLines="0" w:afterLines="0"/>
        <w:ind w:firstLine="480" w:firstLineChars="200"/>
        <w:rPr>
          <w:rFonts w:ascii="宋体" w:hAnsi="宋体"/>
          <w:szCs w:val="24"/>
        </w:rPr>
      </w:pPr>
      <w:r>
        <w:rPr>
          <w:rFonts w:hint="eastAsia" w:ascii="宋体" w:hAnsi="宋体"/>
          <w:szCs w:val="24"/>
        </w:rPr>
        <w:t>投标方须承诺中标后实际投入人员和投标时一致。投标方参加本项目的人员如发生变动，需要经过招标方书面同意，更换的人员不低于投标时拟派人员的资格条件。</w:t>
      </w:r>
    </w:p>
    <w:p>
      <w:pPr>
        <w:pStyle w:val="16"/>
        <w:spacing w:beforeLines="0" w:afterLines="0"/>
        <w:ind w:firstLine="480" w:firstLineChars="200"/>
        <w:rPr>
          <w:rFonts w:ascii="宋体" w:hAnsi="宋体"/>
          <w:szCs w:val="24"/>
        </w:rPr>
      </w:pPr>
      <w:r>
        <w:rPr>
          <w:rFonts w:hint="eastAsia" w:ascii="宋体" w:hAnsi="宋体"/>
          <w:szCs w:val="24"/>
        </w:rPr>
        <w:t>服务人员如不能胜任该项目工作，招标方有权要求中标方立即替换能承担该工作项目人员，若二次更换人员在第二个月还不能胜任工作，招标方有权终止合同。</w:t>
      </w:r>
    </w:p>
    <w:p>
      <w:pPr>
        <w:ind w:firstLine="482" w:firstLineChars="200"/>
        <w:rPr>
          <w:rFonts w:ascii="宋体" w:hAnsi="宋体"/>
          <w:b/>
          <w:bCs/>
          <w:szCs w:val="24"/>
        </w:rPr>
      </w:pPr>
      <w:r>
        <w:rPr>
          <w:rFonts w:hint="eastAsia" w:ascii="宋体" w:hAnsi="宋体"/>
          <w:b/>
          <w:bCs/>
          <w:szCs w:val="24"/>
        </w:rPr>
        <w:t>3.2服务能力要求</w:t>
      </w:r>
    </w:p>
    <w:p>
      <w:pPr>
        <w:numPr>
          <w:ilvl w:val="0"/>
          <w:numId w:val="4"/>
        </w:numPr>
        <w:rPr>
          <w:rFonts w:hint="eastAsia" w:ascii="宋体" w:hAnsi="宋体" w:eastAsia="宋体" w:cs="Times New Roman"/>
          <w:szCs w:val="24"/>
          <w:lang w:eastAsia="zh-CN"/>
        </w:rPr>
      </w:pPr>
      <w:r>
        <w:rPr>
          <w:rFonts w:hint="eastAsia" w:ascii="宋体" w:hAnsi="宋体" w:eastAsia="宋体" w:cs="Times New Roman"/>
          <w:szCs w:val="24"/>
        </w:rPr>
        <w:t>响应时间要求</w:t>
      </w:r>
      <w:r>
        <w:rPr>
          <w:rFonts w:hint="eastAsia" w:ascii="宋体" w:hAnsi="宋体" w:eastAsia="宋体" w:cs="Times New Roman"/>
          <w:szCs w:val="24"/>
          <w:lang w:eastAsia="zh-CN"/>
        </w:rPr>
        <w:t>：</w:t>
      </w:r>
    </w:p>
    <w:p>
      <w:pPr>
        <w:keepNext w:val="0"/>
        <w:keepLines w:val="0"/>
        <w:pageBreakBefore w:val="0"/>
        <w:widowControl w:val="0"/>
        <w:numPr>
          <w:numId w:val="0"/>
        </w:numPr>
        <w:kinsoku/>
        <w:wordWrap/>
        <w:overflowPunct/>
        <w:topLinePunct w:val="0"/>
        <w:autoSpaceDE/>
        <w:autoSpaceDN/>
        <w:bidi w:val="0"/>
        <w:adjustRightInd/>
        <w:snapToGrid/>
        <w:ind w:firstLine="480" w:firstLineChars="200"/>
        <w:textAlignment w:val="auto"/>
        <w:rPr>
          <w:rFonts w:ascii="宋体" w:hAnsi="宋体"/>
          <w:szCs w:val="24"/>
        </w:rPr>
      </w:pPr>
      <w:r>
        <w:rPr>
          <w:rFonts w:hint="eastAsia" w:ascii="宋体" w:hAnsi="宋体"/>
          <w:szCs w:val="24"/>
        </w:rPr>
        <w:t>应设立7*24的值班响应电话，并安排有经验的工程师受理。当系统出现故障时，通过客服响应电话进行报障。对于一、二级故障确保在30分钟内回复，三级故障将在两小时内进行回复；</w:t>
      </w:r>
    </w:p>
    <w:p>
      <w:pPr>
        <w:rPr>
          <w:rFonts w:hint="eastAsia" w:ascii="宋体" w:hAnsi="宋体" w:eastAsia="宋体" w:cs="Times New Roman"/>
          <w:szCs w:val="24"/>
          <w:lang w:val="en-US" w:eastAsia="zh-CN"/>
        </w:rPr>
      </w:pPr>
      <w:r>
        <w:rPr>
          <w:rFonts w:hint="eastAsia" w:ascii="宋体" w:hAnsi="宋体"/>
          <w:szCs w:val="24"/>
        </w:rPr>
        <w:t>（2）</w:t>
      </w:r>
      <w:r>
        <w:rPr>
          <w:rFonts w:hint="eastAsia" w:ascii="宋体" w:hAnsi="宋体" w:eastAsia="宋体" w:cs="Times New Roman"/>
          <w:szCs w:val="24"/>
        </w:rPr>
        <w:t>软件故障修复时间要求</w:t>
      </w:r>
      <w:r>
        <w:rPr>
          <w:rFonts w:hint="eastAsia" w:ascii="宋体" w:hAnsi="宋体" w:eastAsia="宋体" w:cs="Times New Roman"/>
          <w:szCs w:val="24"/>
          <w:lang w:val="en-US" w:eastAsia="zh-CN"/>
        </w:rPr>
        <w:t>及</w:t>
      </w:r>
      <w:r>
        <w:rPr>
          <w:rFonts w:hint="eastAsia" w:ascii="宋体" w:hAnsi="宋体" w:eastAsia="宋体" w:cs="Times New Roman"/>
          <w:szCs w:val="24"/>
        </w:rPr>
        <w:t>故障处理率</w:t>
      </w:r>
      <w:r>
        <w:rPr>
          <w:rFonts w:hint="eastAsia" w:ascii="宋体" w:hAnsi="宋体" w:eastAsia="宋体" w:cs="Times New Roman"/>
          <w:szCs w:val="24"/>
          <w:lang w:val="en-US" w:eastAsia="zh-CN"/>
        </w:rPr>
        <w:t>要求：</w:t>
      </w:r>
    </w:p>
    <w:p>
      <w:pPr>
        <w:pStyle w:val="2"/>
        <w:keepNext w:val="0"/>
        <w:keepLines w:val="0"/>
        <w:pageBreakBefore w:val="0"/>
        <w:widowControl w:val="0"/>
        <w:kinsoku/>
        <w:wordWrap/>
        <w:overflowPunct/>
        <w:topLinePunct w:val="0"/>
        <w:autoSpaceDE/>
        <w:autoSpaceDN/>
        <w:bidi w:val="0"/>
        <w:adjustRightInd/>
        <w:snapToGrid/>
        <w:ind w:firstLine="480" w:firstLineChars="200"/>
        <w:textAlignment w:val="auto"/>
      </w:pPr>
      <w:r>
        <w:rPr>
          <w:rFonts w:hint="eastAsia" w:ascii="宋体" w:hAnsi="宋体"/>
          <w:szCs w:val="24"/>
        </w:rPr>
        <w:t>投标方对于通过电话支持和远程支持都不能解决的系统故障，服务商应迅速提供现场支持服务，安排经验丰富的技术支持工程师赴现场分析故障原因，</w:t>
      </w:r>
      <w:r>
        <w:rPr>
          <w:rFonts w:hint="eastAsia"/>
        </w:rPr>
        <w:t>在48小时内提供解决方案，经招标方批准后负责实施，直至故障修复</w:t>
      </w:r>
      <w:r>
        <w:rPr>
          <w:rFonts w:hint="eastAsia"/>
          <w:lang w:eastAsia="zh-CN"/>
        </w:rPr>
        <w:t>，</w:t>
      </w:r>
      <w:r>
        <w:rPr>
          <w:rFonts w:hint="eastAsia"/>
          <w:lang w:val="en-US" w:eastAsia="zh-CN"/>
        </w:rPr>
        <w:t>故障处理率100%</w:t>
      </w:r>
      <w:r>
        <w:rPr>
          <w:rFonts w:hint="eastAsia"/>
        </w:rPr>
        <w:t>。</w:t>
      </w:r>
      <w:bookmarkStart w:id="19" w:name="_GoBack"/>
      <w:bookmarkEnd w:id="19"/>
    </w:p>
    <w:p>
      <w:pPr>
        <w:rPr>
          <w:rFonts w:ascii="宋体" w:hAnsi="宋体"/>
          <w:szCs w:val="24"/>
        </w:rPr>
      </w:pPr>
      <w:r>
        <w:rPr>
          <w:rFonts w:hint="eastAsia" w:ascii="宋体" w:hAnsi="宋体"/>
          <w:szCs w:val="24"/>
        </w:rPr>
        <w:t>（3）投标方服务工程师在进行系统维护阶段，协助用户进行数据备份及迁移，保证系统用户数据的安全、完整和可用；</w:t>
      </w:r>
    </w:p>
    <w:p>
      <w:pPr>
        <w:rPr>
          <w:rFonts w:ascii="宋体" w:hAnsi="宋体"/>
          <w:szCs w:val="24"/>
        </w:rPr>
      </w:pPr>
      <w:r>
        <w:rPr>
          <w:rFonts w:hint="eastAsia" w:ascii="宋体" w:hAnsi="宋体"/>
          <w:szCs w:val="24"/>
        </w:rPr>
        <w:t>（4）应每月按要求向业主方作书面工作汇报，对项目实施过程中遇到的问题进行认真总结分析，并改进。</w:t>
      </w:r>
    </w:p>
    <w:p>
      <w:pPr>
        <w:pStyle w:val="4"/>
        <w:numPr>
          <w:ilvl w:val="0"/>
          <w:numId w:val="0"/>
        </w:numPr>
        <w:tabs>
          <w:tab w:val="left" w:pos="420"/>
        </w:tabs>
        <w:adjustRightInd w:val="0"/>
        <w:snapToGrid w:val="0"/>
        <w:spacing w:before="0" w:after="0" w:line="360" w:lineRule="auto"/>
        <w:ind w:firstLine="482" w:firstLineChars="200"/>
        <w:rPr>
          <w:rFonts w:ascii="宋体" w:hAnsi="宋体" w:cs="宋体"/>
          <w:sz w:val="24"/>
          <w:szCs w:val="24"/>
        </w:rPr>
      </w:pPr>
      <w:r>
        <w:rPr>
          <w:rFonts w:hint="eastAsia" w:ascii="宋体" w:hAnsi="宋体" w:cs="宋体"/>
          <w:sz w:val="24"/>
          <w:szCs w:val="24"/>
        </w:rPr>
        <w:t>2.4电力监控系统网络安全防护要求</w:t>
      </w:r>
    </w:p>
    <w:p>
      <w:pPr>
        <w:pStyle w:val="2"/>
        <w:numPr>
          <w:ilvl w:val="0"/>
          <w:numId w:val="5"/>
        </w:numPr>
        <w:ind w:firstLine="480" w:firstLineChars="200"/>
      </w:pPr>
      <w:r>
        <w:rPr>
          <w:rFonts w:hint="eastAsia"/>
        </w:rPr>
        <w:t>现场实施过程中不得将个人笔记本接入电力监控系统网络，不得造成跨区互联。</w:t>
      </w:r>
    </w:p>
    <w:p>
      <w:pPr>
        <w:pStyle w:val="2"/>
        <w:numPr>
          <w:ilvl w:val="0"/>
          <w:numId w:val="5"/>
        </w:numPr>
        <w:ind w:firstLine="480" w:firstLineChars="200"/>
      </w:pPr>
      <w:r>
        <w:rPr>
          <w:rFonts w:hint="eastAsia"/>
        </w:rPr>
        <w:t>本项目实施过程中不超范围采集数据，不以任何形式透露本项目实施过程中掌握的相关数据信息和项目产出的数据给第三方。未经采购方书面同意，不得将相关数据用于任何学术交流、教育培训、技术交流等活动。</w:t>
      </w:r>
    </w:p>
    <w:p>
      <w:pPr>
        <w:pStyle w:val="2"/>
        <w:numPr>
          <w:ilvl w:val="0"/>
          <w:numId w:val="5"/>
        </w:numPr>
        <w:ind w:firstLine="480" w:firstLineChars="200"/>
      </w:pPr>
      <w:r>
        <w:rPr>
          <w:rFonts w:hint="eastAsia"/>
        </w:rPr>
        <w:t>不在互联网共享平台中存放、传递与本项目相关的敏感信息（包括但不限于系统软件源码、系统架构、技术方案、网络拓扑图、各类账号及口令等敏感信息）。</w:t>
      </w:r>
    </w:p>
    <w:p>
      <w:pPr>
        <w:pStyle w:val="2"/>
        <w:numPr>
          <w:ilvl w:val="0"/>
          <w:numId w:val="5"/>
        </w:numPr>
        <w:ind w:firstLine="480" w:firstLineChars="200"/>
      </w:pPr>
      <w:r>
        <w:rPr>
          <w:rFonts w:hint="eastAsia"/>
        </w:rPr>
        <w:t>不得利用本项目实施过程中使用的内部网络便利随意下载、拷贝、复印、刻录或其他方式获取、传递与本项目修理工作内容无关的信息和数据。</w:t>
      </w:r>
    </w:p>
    <w:p>
      <w:pPr>
        <w:pStyle w:val="2"/>
        <w:numPr>
          <w:ilvl w:val="0"/>
          <w:numId w:val="5"/>
        </w:numPr>
        <w:ind w:firstLine="480" w:firstLineChars="200"/>
      </w:pPr>
      <w:r>
        <w:rPr>
          <w:rFonts w:hint="eastAsia"/>
        </w:rPr>
        <w:t>为保证源代码安全，维修工作实施过程中不设置恶意程序何后门，对交付的源代码进行安全检查，避免存在安全缺陷、漏洞；发现提供的源代码等产品和服务存在安全缺陷、漏洞等风险时，立即采取补救措施；不发布 、托管在外网，代码仅限于项目小组相关人员内使用，不得随意传播。</w:t>
      </w:r>
    </w:p>
    <w:bookmarkEnd w:id="7"/>
    <w:bookmarkEnd w:id="8"/>
    <w:p>
      <w:pPr>
        <w:pStyle w:val="4"/>
        <w:numPr>
          <w:ilvl w:val="0"/>
          <w:numId w:val="2"/>
        </w:numPr>
        <w:adjustRightInd w:val="0"/>
        <w:snapToGrid w:val="0"/>
        <w:spacing w:before="0" w:after="0" w:line="360" w:lineRule="auto"/>
        <w:ind w:left="0" w:firstLine="482" w:firstLineChars="200"/>
        <w:rPr>
          <w:rFonts w:ascii="宋体" w:hAnsi="宋体" w:cs="宋体"/>
          <w:sz w:val="24"/>
          <w:szCs w:val="24"/>
        </w:rPr>
      </w:pPr>
      <w:bookmarkStart w:id="9" w:name="_Toc26516"/>
      <w:r>
        <w:rPr>
          <w:rFonts w:hint="eastAsia" w:ascii="宋体" w:hAnsi="宋体" w:cs="宋体"/>
          <w:sz w:val="24"/>
          <w:szCs w:val="24"/>
        </w:rPr>
        <w:t>验收要求</w:t>
      </w:r>
      <w:bookmarkEnd w:id="9"/>
    </w:p>
    <w:p>
      <w:pPr>
        <w:pStyle w:val="4"/>
        <w:numPr>
          <w:ilvl w:val="0"/>
          <w:numId w:val="0"/>
        </w:numPr>
        <w:adjustRightInd w:val="0"/>
        <w:snapToGrid w:val="0"/>
        <w:spacing w:before="0" w:after="0" w:line="360" w:lineRule="auto"/>
        <w:ind w:firstLine="482" w:firstLineChars="200"/>
        <w:rPr>
          <w:rFonts w:ascii="宋体" w:hAnsi="宋体" w:cs="宋体"/>
          <w:sz w:val="24"/>
          <w:szCs w:val="24"/>
        </w:rPr>
      </w:pPr>
      <w:r>
        <w:rPr>
          <w:rFonts w:hint="eastAsia" w:ascii="宋体" w:hAnsi="宋体" w:cs="宋体"/>
          <w:sz w:val="24"/>
          <w:szCs w:val="24"/>
        </w:rPr>
        <w:t>4.1验收标准</w:t>
      </w:r>
    </w:p>
    <w:p>
      <w:pPr>
        <w:numPr>
          <w:ilvl w:val="0"/>
          <w:numId w:val="6"/>
        </w:numPr>
        <w:ind w:left="0" w:firstLine="480" w:firstLineChars="200"/>
        <w:rPr>
          <w:rFonts w:ascii="宋体" w:hAnsi="宋体" w:cs="宋体"/>
          <w:szCs w:val="24"/>
        </w:rPr>
      </w:pPr>
      <w:r>
        <w:rPr>
          <w:rFonts w:hint="eastAsia" w:ascii="宋体" w:hAnsi="宋体" w:cs="宋体"/>
          <w:szCs w:val="24"/>
        </w:rPr>
        <w:t>按照双方签订的合同完成双方约定的工作内容；</w:t>
      </w:r>
    </w:p>
    <w:p>
      <w:pPr>
        <w:numPr>
          <w:ilvl w:val="0"/>
          <w:numId w:val="6"/>
        </w:numPr>
        <w:ind w:left="0" w:firstLine="480" w:firstLineChars="200"/>
        <w:rPr>
          <w:rFonts w:ascii="宋体" w:hAnsi="宋体" w:cs="宋体"/>
          <w:szCs w:val="24"/>
        </w:rPr>
      </w:pPr>
      <w:r>
        <w:rPr>
          <w:rFonts w:hint="eastAsia" w:ascii="宋体" w:hAnsi="宋体" w:cs="宋体"/>
          <w:szCs w:val="24"/>
        </w:rPr>
        <w:t>中标方提供服务必须符合招标方系统运行维护相关标准和管理办法；</w:t>
      </w:r>
    </w:p>
    <w:p>
      <w:pPr>
        <w:numPr>
          <w:ilvl w:val="0"/>
          <w:numId w:val="6"/>
        </w:numPr>
        <w:ind w:left="0" w:firstLine="480" w:firstLineChars="200"/>
        <w:rPr>
          <w:rFonts w:ascii="宋体" w:hAnsi="宋体" w:cs="宋体"/>
          <w:b/>
          <w:bCs/>
          <w:szCs w:val="24"/>
        </w:rPr>
      </w:pPr>
      <w:r>
        <w:rPr>
          <w:rFonts w:hint="eastAsia" w:ascii="宋体" w:hAnsi="宋体" w:cs="宋体"/>
          <w:szCs w:val="24"/>
        </w:rPr>
        <w:t>中标方必须完成项目要求的所有工作内容，工作完成情况证明由招标方提供。</w:t>
      </w:r>
    </w:p>
    <w:p>
      <w:pPr>
        <w:pStyle w:val="4"/>
        <w:numPr>
          <w:ilvl w:val="0"/>
          <w:numId w:val="0"/>
        </w:numPr>
        <w:adjustRightInd w:val="0"/>
        <w:snapToGrid w:val="0"/>
        <w:spacing w:before="0" w:after="0" w:line="360" w:lineRule="auto"/>
        <w:ind w:firstLine="482" w:firstLineChars="200"/>
        <w:rPr>
          <w:rFonts w:ascii="宋体" w:hAnsi="宋体" w:cs="宋体"/>
          <w:sz w:val="24"/>
          <w:szCs w:val="24"/>
        </w:rPr>
      </w:pPr>
      <w:bookmarkStart w:id="10" w:name="_Toc447029242"/>
      <w:bookmarkStart w:id="11" w:name="_Toc26868"/>
      <w:bookmarkStart w:id="12" w:name="_Toc5486"/>
      <w:bookmarkStart w:id="13" w:name="_Toc525677596"/>
      <w:r>
        <w:rPr>
          <w:rFonts w:hint="eastAsia" w:ascii="宋体" w:hAnsi="宋体" w:cs="宋体"/>
          <w:sz w:val="24"/>
          <w:szCs w:val="24"/>
        </w:rPr>
        <w:t>4.2验收方法</w:t>
      </w:r>
      <w:bookmarkEnd w:id="10"/>
      <w:bookmarkEnd w:id="11"/>
      <w:bookmarkEnd w:id="12"/>
      <w:bookmarkEnd w:id="13"/>
    </w:p>
    <w:p>
      <w:pPr>
        <w:ind w:firstLine="484" w:firstLineChars="202"/>
        <w:rPr>
          <w:rFonts w:ascii="宋体" w:hAnsi="宋体" w:cs="宋体"/>
          <w:szCs w:val="24"/>
        </w:rPr>
      </w:pPr>
      <w:r>
        <w:rPr>
          <w:rFonts w:hint="eastAsia" w:ascii="宋体" w:hAnsi="宋体" w:cs="宋体"/>
          <w:szCs w:val="24"/>
        </w:rPr>
        <w:t>如双方认为项目已具备验收条件，中标方以书面方式向招标方提出验收申请，招标方在接到中标方验收申请后组织对中标方提交的资料进行审核，并组织相关人员对谈判中标方工作提交的交付物进行评审。</w:t>
      </w:r>
    </w:p>
    <w:p>
      <w:pPr>
        <w:pStyle w:val="4"/>
        <w:numPr>
          <w:ilvl w:val="0"/>
          <w:numId w:val="0"/>
        </w:numPr>
        <w:adjustRightInd w:val="0"/>
        <w:snapToGrid w:val="0"/>
        <w:spacing w:before="0" w:after="0" w:line="360" w:lineRule="auto"/>
        <w:ind w:firstLine="482" w:firstLineChars="200"/>
        <w:rPr>
          <w:rFonts w:ascii="宋体" w:hAnsi="宋体" w:cs="宋体"/>
          <w:sz w:val="24"/>
          <w:szCs w:val="24"/>
        </w:rPr>
      </w:pPr>
      <w:bookmarkStart w:id="14" w:name="_Toc13538"/>
      <w:bookmarkStart w:id="15" w:name="_Toc15213"/>
      <w:r>
        <w:rPr>
          <w:rFonts w:hint="eastAsia" w:ascii="宋体" w:hAnsi="宋体" w:cs="宋体"/>
          <w:sz w:val="24"/>
          <w:szCs w:val="24"/>
        </w:rPr>
        <w:t>4.3验收时间与地点</w:t>
      </w:r>
      <w:bookmarkEnd w:id="14"/>
      <w:bookmarkEnd w:id="15"/>
    </w:p>
    <w:p>
      <w:pPr>
        <w:numPr>
          <w:ilvl w:val="0"/>
          <w:numId w:val="7"/>
        </w:numPr>
        <w:ind w:left="0" w:firstLine="480" w:firstLineChars="200"/>
        <w:rPr>
          <w:rFonts w:ascii="宋体" w:hAnsi="宋体" w:cs="宋体"/>
          <w:szCs w:val="24"/>
        </w:rPr>
      </w:pPr>
      <w:r>
        <w:rPr>
          <w:rFonts w:hint="eastAsia" w:ascii="宋体" w:hAnsi="宋体" w:cs="宋体"/>
          <w:szCs w:val="24"/>
        </w:rPr>
        <w:t>验收时间：在完成项目合同约定内容后，中标方提交验收申请，经招标方确认提交资料满足招标方项目验收标准，可以开展验收。</w:t>
      </w:r>
    </w:p>
    <w:p>
      <w:pPr>
        <w:numPr>
          <w:ilvl w:val="0"/>
          <w:numId w:val="7"/>
        </w:numPr>
        <w:ind w:left="0" w:firstLine="480" w:firstLineChars="200"/>
        <w:rPr>
          <w:rFonts w:ascii="宋体" w:hAnsi="宋体" w:cs="宋体"/>
          <w:szCs w:val="24"/>
        </w:rPr>
      </w:pPr>
      <w:r>
        <w:rPr>
          <w:rFonts w:hint="eastAsia" w:ascii="宋体" w:hAnsi="宋体" w:cs="宋体"/>
          <w:szCs w:val="24"/>
        </w:rPr>
        <w:t>验收地点：双方具体约定。</w:t>
      </w:r>
    </w:p>
    <w:p>
      <w:pPr>
        <w:pStyle w:val="4"/>
        <w:numPr>
          <w:ilvl w:val="0"/>
          <w:numId w:val="2"/>
        </w:numPr>
        <w:adjustRightInd w:val="0"/>
        <w:snapToGrid w:val="0"/>
        <w:spacing w:before="0" w:after="0" w:line="360" w:lineRule="auto"/>
        <w:ind w:left="0" w:firstLine="482" w:firstLineChars="200"/>
        <w:rPr>
          <w:rFonts w:ascii="宋体" w:hAnsi="宋体" w:cs="宋体"/>
          <w:sz w:val="24"/>
          <w:szCs w:val="24"/>
        </w:rPr>
      </w:pPr>
      <w:bookmarkStart w:id="16" w:name="_Toc7364"/>
      <w:r>
        <w:rPr>
          <w:rFonts w:hint="eastAsia" w:ascii="宋体" w:hAnsi="宋体" w:cs="宋体"/>
          <w:sz w:val="24"/>
          <w:szCs w:val="24"/>
        </w:rPr>
        <w:t>培训</w:t>
      </w:r>
      <w:bookmarkEnd w:id="16"/>
      <w:r>
        <w:rPr>
          <w:rFonts w:hint="eastAsia" w:ascii="宋体" w:hAnsi="宋体" w:cs="宋体"/>
          <w:sz w:val="24"/>
          <w:szCs w:val="24"/>
        </w:rPr>
        <w:t>要求</w:t>
      </w:r>
    </w:p>
    <w:p>
      <w:pPr>
        <w:ind w:firstLine="480"/>
        <w:rPr>
          <w:rFonts w:ascii="宋体" w:hAnsi="宋体" w:cs="宋体"/>
          <w:szCs w:val="24"/>
        </w:rPr>
      </w:pPr>
      <w:r>
        <w:rPr>
          <w:rFonts w:hint="eastAsia" w:ascii="宋体" w:hAnsi="宋体" w:cs="宋体"/>
          <w:szCs w:val="24"/>
        </w:rPr>
        <w:t>中标方应向招标方提供培训服务，并根据安装工作进程合理制订培训计划。</w:t>
      </w:r>
    </w:p>
    <w:p>
      <w:pPr>
        <w:tabs>
          <w:tab w:val="left" w:pos="360"/>
        </w:tabs>
        <w:ind w:firstLine="480" w:firstLineChars="200"/>
        <w:rPr>
          <w:rFonts w:ascii="宋体" w:hAnsi="宋体" w:cs="宋体"/>
          <w:szCs w:val="24"/>
        </w:rPr>
      </w:pPr>
      <w:r>
        <w:rPr>
          <w:rFonts w:hint="eastAsia" w:ascii="宋体" w:hAnsi="宋体" w:cs="宋体"/>
          <w:szCs w:val="24"/>
        </w:rPr>
        <w:t>（1）在软件正式安装之前或之后，提供1天的现场培训，包括产品介绍、方案介绍、功能介绍、问题与咨询等。</w:t>
      </w:r>
    </w:p>
    <w:p>
      <w:pPr>
        <w:tabs>
          <w:tab w:val="left" w:pos="360"/>
        </w:tabs>
        <w:ind w:firstLine="480" w:firstLineChars="200"/>
        <w:rPr>
          <w:rFonts w:ascii="宋体" w:hAnsi="宋体" w:cs="宋体"/>
          <w:szCs w:val="24"/>
        </w:rPr>
      </w:pPr>
      <w:r>
        <w:rPr>
          <w:rFonts w:hint="eastAsia" w:ascii="宋体" w:hAnsi="宋体" w:cs="宋体"/>
          <w:szCs w:val="24"/>
        </w:rPr>
        <w:t>（2）在安装过程中，为招标方提供咨询等技术服务。</w:t>
      </w:r>
    </w:p>
    <w:p>
      <w:pPr>
        <w:tabs>
          <w:tab w:val="left" w:pos="360"/>
        </w:tabs>
        <w:ind w:firstLine="480" w:firstLineChars="200"/>
        <w:rPr>
          <w:rFonts w:ascii="宋体" w:hAnsi="宋体" w:cs="宋体"/>
          <w:szCs w:val="24"/>
        </w:rPr>
      </w:pPr>
      <w:r>
        <w:rPr>
          <w:rFonts w:hint="eastAsia" w:ascii="宋体" w:hAnsi="宋体" w:cs="宋体"/>
          <w:szCs w:val="24"/>
        </w:rPr>
        <w:t>（3）安装完毕后，提供完整的现场培训，包括系统安装、配置、维护管理、使用等方面。</w:t>
      </w:r>
    </w:p>
    <w:p>
      <w:pPr>
        <w:tabs>
          <w:tab w:val="left" w:pos="360"/>
        </w:tabs>
        <w:ind w:firstLine="480" w:firstLineChars="200"/>
        <w:rPr>
          <w:rFonts w:ascii="宋体" w:hAnsi="宋体" w:cs="宋体"/>
          <w:szCs w:val="24"/>
        </w:rPr>
      </w:pPr>
      <w:r>
        <w:rPr>
          <w:rFonts w:hint="eastAsia" w:ascii="宋体" w:hAnsi="宋体" w:cs="宋体"/>
          <w:szCs w:val="24"/>
        </w:rPr>
        <w:t>（4）提供相关培训资料。</w:t>
      </w:r>
    </w:p>
    <w:p>
      <w:pPr>
        <w:tabs>
          <w:tab w:val="left" w:pos="360"/>
        </w:tabs>
        <w:ind w:firstLine="480" w:firstLineChars="200"/>
      </w:pPr>
      <w:r>
        <w:rPr>
          <w:rFonts w:hint="eastAsia" w:ascii="宋体" w:hAnsi="宋体" w:cs="宋体"/>
          <w:szCs w:val="24"/>
        </w:rPr>
        <w:t>（5）培训师应熟悉投标产品的技术、使用方法、配置和维护管理等，能够为招标方提供咨询等技术服务。</w:t>
      </w:r>
    </w:p>
    <w:p>
      <w:pPr>
        <w:pStyle w:val="4"/>
        <w:numPr>
          <w:ilvl w:val="0"/>
          <w:numId w:val="2"/>
        </w:numPr>
        <w:adjustRightInd w:val="0"/>
        <w:snapToGrid w:val="0"/>
        <w:spacing w:before="0" w:after="0" w:line="360" w:lineRule="auto"/>
        <w:ind w:left="0" w:firstLine="482" w:firstLineChars="200"/>
        <w:rPr>
          <w:rFonts w:ascii="宋体" w:hAnsi="宋体" w:cs="宋体"/>
          <w:sz w:val="24"/>
          <w:szCs w:val="24"/>
        </w:rPr>
      </w:pPr>
      <w:bookmarkStart w:id="17" w:name="_Toc11216"/>
      <w:bookmarkStart w:id="18" w:name="_Toc6106"/>
      <w:r>
        <w:rPr>
          <w:rFonts w:hint="eastAsia" w:ascii="宋体" w:hAnsi="宋体" w:cs="宋体"/>
          <w:sz w:val="24"/>
          <w:szCs w:val="24"/>
        </w:rPr>
        <w:t>保密要求</w:t>
      </w:r>
      <w:bookmarkEnd w:id="17"/>
    </w:p>
    <w:bookmarkEnd w:id="18"/>
    <w:p>
      <w:pPr>
        <w:ind w:firstLine="480"/>
        <w:rPr>
          <w:rFonts w:hAnsi="宋体"/>
        </w:rPr>
      </w:pPr>
      <w:r>
        <w:rPr>
          <w:rFonts w:hint="eastAsia" w:ascii="宋体" w:hAnsi="宋体"/>
          <w:szCs w:val="24"/>
        </w:rPr>
        <w:t>中标方应承诺遵守项目建设方的保密规定，涉及项目的技术人员均应签订保密承诺书，确保不发生敏感信息泄露事件。</w:t>
      </w:r>
    </w:p>
    <w:p>
      <w:pPr>
        <w:tabs>
          <w:tab w:val="left" w:pos="709"/>
        </w:tabs>
        <w:adjustRightInd w:val="0"/>
        <w:snapToGrid w:val="0"/>
        <w:ind w:firstLine="480" w:firstLineChars="200"/>
        <w:rPr>
          <w:rFonts w:ascii="宋体" w:hAnsi="宋体"/>
        </w:rPr>
      </w:pPr>
    </w:p>
    <w:p/>
    <w:sectPr>
      <w:headerReference r:id="rId6" w:type="first"/>
      <w:footerReference r:id="rId7" w:type="default"/>
      <w:headerReference r:id="rId5" w:type="even"/>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eastAsia="宋体"/>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8"/>
                      <w:rPr>
                        <w:rFonts w:eastAsia="宋体"/>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61312" behindDoc="0" locked="0" layoutInCell="1" allowOverlap="1">
          <wp:simplePos x="0" y="0"/>
          <wp:positionH relativeFrom="margin">
            <wp:align>center</wp:align>
          </wp:positionH>
          <wp:positionV relativeFrom="margin">
            <wp:align>center</wp:align>
          </wp:positionV>
          <wp:extent cx="8973820" cy="6620510"/>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stretch>
                    <a:fillRect/>
                  </a:stretch>
                </pic:blipFill>
                <pic:spPr>
                  <a:xfrm>
                    <a:off x="0" y="0"/>
                    <a:ext cx="8973820" cy="662051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60288" behindDoc="0" locked="0" layoutInCell="1" allowOverlap="1">
          <wp:simplePos x="0" y="0"/>
          <wp:positionH relativeFrom="margin">
            <wp:align>center</wp:align>
          </wp:positionH>
          <wp:positionV relativeFrom="margin">
            <wp:align>center</wp:align>
          </wp:positionV>
          <wp:extent cx="8973820" cy="6620510"/>
          <wp:effectExtent l="0" t="0" r="0" b="0"/>
          <wp:wrapNone/>
          <wp:docPr id="1" name="WordPictureWatermark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00009"/>
                  <pic:cNvPicPr>
                    <a:picLocks noChangeAspect="1"/>
                  </pic:cNvPicPr>
                </pic:nvPicPr>
                <pic:blipFill>
                  <a:blip r:embed="rId1"/>
                  <a:stretch>
                    <a:fillRect/>
                  </a:stretch>
                </pic:blipFill>
                <pic:spPr>
                  <a:xfrm>
                    <a:off x="0" y="0"/>
                    <a:ext cx="8973820" cy="662051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84E85F"/>
    <w:multiLevelType w:val="singleLevel"/>
    <w:tmpl w:val="9A84E85F"/>
    <w:lvl w:ilvl="0" w:tentative="0">
      <w:start w:val="1"/>
      <w:numFmt w:val="decimal"/>
      <w:lvlText w:val="%1."/>
      <w:lvlJc w:val="left"/>
      <w:pPr>
        <w:ind w:left="425" w:hanging="425"/>
      </w:pPr>
      <w:rPr>
        <w:rFonts w:hint="default"/>
        <w:b w:val="0"/>
        <w:bCs w:val="0"/>
      </w:rPr>
    </w:lvl>
  </w:abstractNum>
  <w:abstractNum w:abstractNumId="1">
    <w:nsid w:val="A7231266"/>
    <w:multiLevelType w:val="singleLevel"/>
    <w:tmpl w:val="A7231266"/>
    <w:lvl w:ilvl="0" w:tentative="0">
      <w:start w:val="1"/>
      <w:numFmt w:val="decimal"/>
      <w:suff w:val="space"/>
      <w:lvlText w:val="（%1）"/>
      <w:lvlJc w:val="left"/>
    </w:lvl>
  </w:abstractNum>
  <w:abstractNum w:abstractNumId="2">
    <w:nsid w:val="E3DB38BC"/>
    <w:multiLevelType w:val="singleLevel"/>
    <w:tmpl w:val="E3DB38BC"/>
    <w:lvl w:ilvl="0" w:tentative="0">
      <w:start w:val="1"/>
      <w:numFmt w:val="decimal"/>
      <w:lvlText w:val="%1."/>
      <w:lvlJc w:val="left"/>
      <w:pPr>
        <w:ind w:left="425" w:hanging="425"/>
      </w:pPr>
      <w:rPr>
        <w:rFonts w:hint="default"/>
      </w:rPr>
    </w:lvl>
  </w:abstractNum>
  <w:abstractNum w:abstractNumId="3">
    <w:nsid w:val="01147F5D"/>
    <w:multiLevelType w:val="multilevel"/>
    <w:tmpl w:val="01147F5D"/>
    <w:lvl w:ilvl="0" w:tentative="0">
      <w:start w:val="1"/>
      <w:numFmt w:val="japaneseCounting"/>
      <w:lvlText w:val="%1、"/>
      <w:lvlJc w:val="left"/>
      <w:pPr>
        <w:ind w:left="504" w:hanging="504"/>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A9E7DFA"/>
    <w:multiLevelType w:val="multilevel"/>
    <w:tmpl w:val="5A9E7DFA"/>
    <w:lvl w:ilvl="0" w:tentative="0">
      <w:start w:val="1"/>
      <w:numFmt w:val="decimal"/>
      <w:pStyle w:val="4"/>
      <w:lvlText w:val="%1"/>
      <w:lvlJc w:val="left"/>
      <w:pPr>
        <w:ind w:left="432" w:hanging="432"/>
      </w:pPr>
    </w:lvl>
    <w:lvl w:ilvl="1" w:tentative="0">
      <w:start w:val="1"/>
      <w:numFmt w:val="decimal"/>
      <w:lvlText w:val="%1.%2"/>
      <w:lvlJc w:val="left"/>
      <w:pPr>
        <w:ind w:left="576" w:hanging="576"/>
      </w:pPr>
    </w:lvl>
    <w:lvl w:ilvl="2" w:tentative="0">
      <w:start w:val="1"/>
      <w:numFmt w:val="decimal"/>
      <w:pStyle w:val="6"/>
      <w:lvlText w:val="%1.%2.%3"/>
      <w:lvlJc w:val="left"/>
      <w:pPr>
        <w:ind w:left="4123" w:hanging="720"/>
      </w:pPr>
      <w:rPr>
        <w:sz w:val="28"/>
      </w:rPr>
    </w:lvl>
    <w:lvl w:ilvl="3" w:tentative="0">
      <w:start w:val="1"/>
      <w:numFmt w:val="decimal"/>
      <w:lvlText w:val="%1.%2.%3.%4"/>
      <w:lvlJc w:val="left"/>
      <w:pPr>
        <w:ind w:left="864" w:hanging="864"/>
      </w:pPr>
      <w:rPr>
        <w:rFonts w:hint="default" w:ascii="黑体" w:hAnsi="黑体" w:eastAsia="黑体"/>
      </w:r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5">
    <w:nsid w:val="5F992831"/>
    <w:multiLevelType w:val="singleLevel"/>
    <w:tmpl w:val="5F992831"/>
    <w:lvl w:ilvl="0" w:tentative="0">
      <w:start w:val="1"/>
      <w:numFmt w:val="decimal"/>
      <w:suff w:val="nothing"/>
      <w:lvlText w:val="（%1）"/>
      <w:lvlJc w:val="left"/>
    </w:lvl>
  </w:abstractNum>
  <w:abstractNum w:abstractNumId="6">
    <w:nsid w:val="6524E8F9"/>
    <w:multiLevelType w:val="singleLevel"/>
    <w:tmpl w:val="6524E8F9"/>
    <w:lvl w:ilvl="0" w:tentative="0">
      <w:start w:val="1"/>
      <w:numFmt w:val="decimal"/>
      <w:lvlText w:val="(%1)"/>
      <w:lvlJc w:val="left"/>
      <w:pPr>
        <w:ind w:left="425" w:hanging="425"/>
      </w:pPr>
      <w:rPr>
        <w:rFonts w:hint="default"/>
      </w:rPr>
    </w:lvl>
  </w:abstractNum>
  <w:num w:numId="1">
    <w:abstractNumId w:val="4"/>
  </w:num>
  <w:num w:numId="2">
    <w:abstractNumId w:val="3"/>
  </w:num>
  <w:num w:numId="3">
    <w:abstractNumId w:val="6"/>
  </w:num>
  <w:num w:numId="4">
    <w:abstractNumId w:val="5"/>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4909"/>
    <w:rsid w:val="001A3895"/>
    <w:rsid w:val="00216A17"/>
    <w:rsid w:val="002A08C5"/>
    <w:rsid w:val="00307731"/>
    <w:rsid w:val="003B641A"/>
    <w:rsid w:val="00570DF6"/>
    <w:rsid w:val="00655CDF"/>
    <w:rsid w:val="006A479E"/>
    <w:rsid w:val="00724909"/>
    <w:rsid w:val="00A66F45"/>
    <w:rsid w:val="00AF4435"/>
    <w:rsid w:val="00B41DF8"/>
    <w:rsid w:val="00BF1B2C"/>
    <w:rsid w:val="00D32A18"/>
    <w:rsid w:val="00D33392"/>
    <w:rsid w:val="00F1219F"/>
    <w:rsid w:val="0218777D"/>
    <w:rsid w:val="036625B6"/>
    <w:rsid w:val="051B6360"/>
    <w:rsid w:val="05DA455B"/>
    <w:rsid w:val="069E14DC"/>
    <w:rsid w:val="0BA91575"/>
    <w:rsid w:val="0C40745B"/>
    <w:rsid w:val="0CCB54CD"/>
    <w:rsid w:val="0D4A2AD4"/>
    <w:rsid w:val="0D990FCC"/>
    <w:rsid w:val="0ED84D8E"/>
    <w:rsid w:val="10852382"/>
    <w:rsid w:val="10AD0E89"/>
    <w:rsid w:val="10FB7B55"/>
    <w:rsid w:val="12550138"/>
    <w:rsid w:val="13393988"/>
    <w:rsid w:val="14F83CE5"/>
    <w:rsid w:val="15185B4E"/>
    <w:rsid w:val="15A02796"/>
    <w:rsid w:val="15FB7AC0"/>
    <w:rsid w:val="16E54815"/>
    <w:rsid w:val="1741045D"/>
    <w:rsid w:val="191A472E"/>
    <w:rsid w:val="1A451B0A"/>
    <w:rsid w:val="1A67469C"/>
    <w:rsid w:val="1C2F0EBE"/>
    <w:rsid w:val="1CFF2F1F"/>
    <w:rsid w:val="1DC00E37"/>
    <w:rsid w:val="1DCC0AB0"/>
    <w:rsid w:val="1E1912BE"/>
    <w:rsid w:val="1E4D3CA1"/>
    <w:rsid w:val="1F0C2D4C"/>
    <w:rsid w:val="218E3750"/>
    <w:rsid w:val="219D6B76"/>
    <w:rsid w:val="22B6158C"/>
    <w:rsid w:val="24AB2563"/>
    <w:rsid w:val="251D30D1"/>
    <w:rsid w:val="25BE76D0"/>
    <w:rsid w:val="275321BC"/>
    <w:rsid w:val="275E3225"/>
    <w:rsid w:val="296B12F2"/>
    <w:rsid w:val="29ED2EBC"/>
    <w:rsid w:val="2A217E90"/>
    <w:rsid w:val="2BB73D17"/>
    <w:rsid w:val="2C192582"/>
    <w:rsid w:val="2CC154EF"/>
    <w:rsid w:val="2DB0596C"/>
    <w:rsid w:val="2E185DF4"/>
    <w:rsid w:val="2E2352A5"/>
    <w:rsid w:val="30732757"/>
    <w:rsid w:val="3271060E"/>
    <w:rsid w:val="334703E9"/>
    <w:rsid w:val="34725825"/>
    <w:rsid w:val="34D76A2A"/>
    <w:rsid w:val="34E41FB8"/>
    <w:rsid w:val="35344040"/>
    <w:rsid w:val="35633E7E"/>
    <w:rsid w:val="360E316A"/>
    <w:rsid w:val="36223FAB"/>
    <w:rsid w:val="364577ED"/>
    <w:rsid w:val="36C86F65"/>
    <w:rsid w:val="37B16BDC"/>
    <w:rsid w:val="3B29663C"/>
    <w:rsid w:val="3B2E2ED9"/>
    <w:rsid w:val="3D85606A"/>
    <w:rsid w:val="3E4E2C09"/>
    <w:rsid w:val="3E52273F"/>
    <w:rsid w:val="3F271A08"/>
    <w:rsid w:val="3FBE1083"/>
    <w:rsid w:val="41116C77"/>
    <w:rsid w:val="41CF1BB9"/>
    <w:rsid w:val="421931F2"/>
    <w:rsid w:val="43CB74AB"/>
    <w:rsid w:val="443815EC"/>
    <w:rsid w:val="44610D1D"/>
    <w:rsid w:val="44A935A5"/>
    <w:rsid w:val="455126A8"/>
    <w:rsid w:val="463C50C4"/>
    <w:rsid w:val="46B37AA2"/>
    <w:rsid w:val="496A328F"/>
    <w:rsid w:val="4A4A0751"/>
    <w:rsid w:val="4A5A46C4"/>
    <w:rsid w:val="4BE1604B"/>
    <w:rsid w:val="4C585496"/>
    <w:rsid w:val="4C9E4AFA"/>
    <w:rsid w:val="4D9823B7"/>
    <w:rsid w:val="4DD43DBE"/>
    <w:rsid w:val="4E574E7C"/>
    <w:rsid w:val="533930F6"/>
    <w:rsid w:val="53760E07"/>
    <w:rsid w:val="54C46524"/>
    <w:rsid w:val="558D17BE"/>
    <w:rsid w:val="56EF4616"/>
    <w:rsid w:val="57464A55"/>
    <w:rsid w:val="57B21CC8"/>
    <w:rsid w:val="59E2311E"/>
    <w:rsid w:val="5C2A2C0B"/>
    <w:rsid w:val="5CCB658A"/>
    <w:rsid w:val="5DB25531"/>
    <w:rsid w:val="5F2D02BC"/>
    <w:rsid w:val="5F971C54"/>
    <w:rsid w:val="5FA317A8"/>
    <w:rsid w:val="5FC5349C"/>
    <w:rsid w:val="5FFF62A3"/>
    <w:rsid w:val="604912DB"/>
    <w:rsid w:val="61CA3320"/>
    <w:rsid w:val="61D27A13"/>
    <w:rsid w:val="63FE2EBF"/>
    <w:rsid w:val="65C03BAE"/>
    <w:rsid w:val="678041CA"/>
    <w:rsid w:val="67D86468"/>
    <w:rsid w:val="68264723"/>
    <w:rsid w:val="6845018C"/>
    <w:rsid w:val="68694610"/>
    <w:rsid w:val="688E1663"/>
    <w:rsid w:val="6970011D"/>
    <w:rsid w:val="6A510481"/>
    <w:rsid w:val="6ACD3089"/>
    <w:rsid w:val="6C320A24"/>
    <w:rsid w:val="6CBF39B1"/>
    <w:rsid w:val="6E94347C"/>
    <w:rsid w:val="6F514736"/>
    <w:rsid w:val="722565CB"/>
    <w:rsid w:val="73034D1C"/>
    <w:rsid w:val="743F413C"/>
    <w:rsid w:val="74D01BE7"/>
    <w:rsid w:val="74F75B56"/>
    <w:rsid w:val="762C6AE5"/>
    <w:rsid w:val="7634236B"/>
    <w:rsid w:val="76927512"/>
    <w:rsid w:val="77F6037C"/>
    <w:rsid w:val="795D74BD"/>
    <w:rsid w:val="79BD67EE"/>
    <w:rsid w:val="7B56632B"/>
    <w:rsid w:val="7B686F56"/>
    <w:rsid w:val="7B870285"/>
    <w:rsid w:val="7CFF1A00"/>
    <w:rsid w:val="7F3822EC"/>
    <w:rsid w:val="7F4E67B2"/>
    <w:rsid w:val="7FEF2E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Calibri" w:hAnsi="Calibri" w:eastAsia="宋体" w:cs="Times New Roman"/>
      <w:kern w:val="2"/>
      <w:sz w:val="24"/>
      <w:szCs w:val="22"/>
      <w:lang w:val="en-US" w:eastAsia="zh-CN" w:bidi="ar-SA"/>
    </w:rPr>
  </w:style>
  <w:style w:type="paragraph" w:styleId="4">
    <w:name w:val="heading 1"/>
    <w:basedOn w:val="1"/>
    <w:next w:val="1"/>
    <w:qFormat/>
    <w:uiPriority w:val="0"/>
    <w:pPr>
      <w:keepNext/>
      <w:keepLines/>
      <w:numPr>
        <w:ilvl w:val="0"/>
        <w:numId w:val="1"/>
      </w:numPr>
      <w:spacing w:before="340" w:after="330" w:line="578" w:lineRule="auto"/>
      <w:outlineLvl w:val="0"/>
    </w:pPr>
    <w:rPr>
      <w:b/>
      <w:bCs/>
      <w:kern w:val="44"/>
      <w:sz w:val="44"/>
      <w:szCs w:val="44"/>
    </w:rPr>
  </w:style>
  <w:style w:type="paragraph" w:styleId="5">
    <w:name w:val="heading 2"/>
    <w:basedOn w:val="1"/>
    <w:next w:val="1"/>
    <w:link w:val="18"/>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unhideWhenUsed/>
    <w:qFormat/>
    <w:uiPriority w:val="0"/>
    <w:pPr>
      <w:keepNext/>
      <w:keepLines/>
      <w:numPr>
        <w:ilvl w:val="2"/>
        <w:numId w:val="1"/>
      </w:numPr>
      <w:spacing w:before="260" w:after="260" w:line="416" w:lineRule="auto"/>
      <w:outlineLvl w:val="2"/>
    </w:pPr>
    <w:rPr>
      <w:b/>
      <w:bCs/>
      <w:sz w:val="32"/>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unhideWhenUsed/>
    <w:qFormat/>
    <w:uiPriority w:val="99"/>
    <w:pPr>
      <w:spacing w:after="120"/>
    </w:pPr>
  </w:style>
  <w:style w:type="paragraph" w:styleId="3">
    <w:name w:val="Title"/>
    <w:basedOn w:val="1"/>
    <w:next w:val="1"/>
    <w:qFormat/>
    <w:uiPriority w:val="0"/>
    <w:pPr>
      <w:spacing w:before="240" w:after="60"/>
      <w:jc w:val="center"/>
      <w:outlineLvl w:val="0"/>
    </w:pPr>
    <w:rPr>
      <w:rFonts w:ascii="Cambria" w:hAnsi="Cambria"/>
      <w:b/>
      <w:sz w:val="32"/>
    </w:rPr>
  </w:style>
  <w:style w:type="paragraph" w:styleId="7">
    <w:name w:val="annotation text"/>
    <w:basedOn w:val="1"/>
    <w:qFormat/>
    <w:uiPriority w:val="0"/>
    <w:pPr>
      <w:jc w:val="left"/>
    </w:pPr>
  </w:style>
  <w:style w:type="paragraph" w:styleId="8">
    <w:name w:val="footer"/>
    <w:basedOn w:val="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toc 1"/>
    <w:basedOn w:val="1"/>
    <w:next w:val="1"/>
    <w:qFormat/>
    <w:uiPriority w:val="39"/>
    <w:pPr>
      <w:spacing w:before="120" w:after="120" w:line="240" w:lineRule="auto"/>
      <w:jc w:val="left"/>
    </w:pPr>
    <w:rPr>
      <w:rFonts w:ascii="Times New Roman" w:hAnsi="Times New Roman"/>
      <w:b/>
      <w:bCs/>
      <w:caps/>
      <w:sz w:val="20"/>
      <w:szCs w:val="20"/>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basedOn w:val="12"/>
    <w:qFormat/>
    <w:uiPriority w:val="0"/>
    <w:rPr>
      <w:sz w:val="21"/>
      <w:szCs w:val="21"/>
    </w:rPr>
  </w:style>
  <w:style w:type="paragraph" w:customStyle="1" w:styleId="14">
    <w:name w:val="样式 正文首行缩进 + 段前: 0.5 行 段后: 0.5 行"/>
    <w:basedOn w:val="1"/>
    <w:qFormat/>
    <w:uiPriority w:val="0"/>
    <w:pPr>
      <w:spacing w:beforeLines="50" w:afterLines="50" w:line="480" w:lineRule="exact"/>
      <w:ind w:firstLine="420"/>
    </w:pPr>
    <w:rPr>
      <w:rFonts w:ascii="Times New Roman" w:hAnsi="Times New Roman" w:cs="宋体"/>
      <w:szCs w:val="20"/>
    </w:rPr>
  </w:style>
  <w:style w:type="paragraph" w:styleId="15">
    <w:name w:val="List Paragraph"/>
    <w:basedOn w:val="1"/>
    <w:qFormat/>
    <w:uiPriority w:val="99"/>
    <w:pPr>
      <w:ind w:firstLine="420" w:firstLineChars="200"/>
    </w:pPr>
  </w:style>
  <w:style w:type="paragraph" w:customStyle="1" w:styleId="16">
    <w:name w:val="内容正文"/>
    <w:basedOn w:val="1"/>
    <w:qFormat/>
    <w:uiPriority w:val="0"/>
    <w:pPr>
      <w:spacing w:beforeLines="50" w:afterLines="50"/>
    </w:pPr>
    <w:rPr>
      <w:rFonts w:ascii="Arial" w:hAnsi="Arial"/>
      <w:szCs w:val="21"/>
    </w:rPr>
  </w:style>
  <w:style w:type="character" w:customStyle="1" w:styleId="17">
    <w:name w:val="font21"/>
    <w:qFormat/>
    <w:uiPriority w:val="0"/>
    <w:rPr>
      <w:rFonts w:hint="eastAsia" w:ascii="宋体" w:hAnsi="宋体" w:eastAsia="宋体" w:cs="宋体"/>
      <w:b/>
      <w:color w:val="000000"/>
      <w:sz w:val="21"/>
      <w:szCs w:val="21"/>
      <w:u w:val="none"/>
    </w:rPr>
  </w:style>
  <w:style w:type="character" w:customStyle="1" w:styleId="18">
    <w:name w:val="标题 2 字符"/>
    <w:basedOn w:val="12"/>
    <w:link w:val="5"/>
    <w:semiHidden/>
    <w:qFormat/>
    <w:uiPriority w:val="0"/>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442</Words>
  <Characters>2525</Characters>
  <Lines>21</Lines>
  <Paragraphs>5</Paragraphs>
  <TotalTime>1</TotalTime>
  <ScaleCrop>false</ScaleCrop>
  <LinksUpToDate>false</LinksUpToDate>
  <CharactersWithSpaces>2962</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2024-01-19T09:52:00Z</dcterms:created>
  <dc:creator>yndw</dc:creator>
  <cp:lastModifiedBy>黄照波</cp:lastModifiedBy>
  <dcterms:modified xsi:type="dcterms:W3CDTF">2025-08-15T07:50:00Z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EC5ADE8586934BFAA8DF6E1E22D6E86D</vt:lpwstr>
  </property>
  <property fmtid="{D5CDD505-2E9C-101B-9397-08002B2CF9AE}" pid="4" name="CWM21be96ad085d42dbbfa434c1c2dc1bf0">
    <vt:lpwstr>CWM2S75x6sgiUFK1JK1MTWWsH8a12Yrqi9XAeM5g83IvE2k4Lk7iVNhnBFXRVzZuoylUCYS+VFvRqA4ll48IpIqCKDvowNPJQW7e0kVwM+VOWg=</vt:lpwstr>
  </property>
</Properties>
</file>