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p>
    <w:p>
      <w:pPr>
        <w:pStyle w:val="10"/>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p>
    <w:p>
      <w:pPr>
        <w:pStyle w:val="10"/>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p>
    <w:p>
      <w:pPr>
        <w:pStyle w:val="10"/>
        <w:tabs>
          <w:tab w:val="right" w:leader="dot" w:pos="8296"/>
        </w:tabs>
        <w:adjustRightInd w:val="0"/>
        <w:snapToGrid w:val="0"/>
        <w:spacing w:before="0" w:after="0" w:line="360" w:lineRule="auto"/>
        <w:jc w:val="center"/>
        <w:rPr>
          <w:rFonts w:hint="eastAsia" w:ascii="宋体" w:hAnsi="宋体" w:eastAsia="宋体" w:cs="宋体"/>
          <w:b w:val="0"/>
          <w:sz w:val="36"/>
          <w:szCs w:val="36"/>
          <w:lang w:val="en-US" w:eastAsia="zh-CN"/>
        </w:rPr>
      </w:pPr>
      <w:r>
        <w:rPr>
          <w:rFonts w:hint="eastAsia" w:ascii="宋体" w:hAnsi="宋体" w:cs="宋体"/>
          <w:b w:val="0"/>
          <w:sz w:val="36"/>
          <w:szCs w:val="36"/>
        </w:rPr>
        <w:t>昆明供电局电力调度控制中心2025年监控信息管理系统告警信号分析功能维修</w:t>
      </w:r>
      <w:r>
        <w:rPr>
          <w:rFonts w:hint="eastAsia" w:ascii="宋体" w:hAnsi="宋体" w:cs="宋体"/>
          <w:b w:val="0"/>
          <w:sz w:val="36"/>
          <w:szCs w:val="36"/>
          <w:lang w:eastAsia="zh-CN"/>
        </w:rPr>
        <w:t>（</w:t>
      </w:r>
      <w:r>
        <w:rPr>
          <w:rFonts w:hint="eastAsia" w:ascii="宋体" w:hAnsi="宋体" w:cs="宋体"/>
          <w:b w:val="0"/>
          <w:sz w:val="36"/>
          <w:szCs w:val="36"/>
          <w:lang w:val="en-US" w:eastAsia="zh-CN"/>
        </w:rPr>
        <w:t>公开谈判采购</w:t>
      </w:r>
      <w:r>
        <w:rPr>
          <w:rFonts w:hint="eastAsia" w:ascii="宋体" w:hAnsi="宋体" w:cs="宋体"/>
          <w:b w:val="0"/>
          <w:sz w:val="36"/>
          <w:szCs w:val="36"/>
          <w:lang w:eastAsia="zh-CN"/>
        </w:rPr>
        <w:t>）</w:t>
      </w:r>
    </w:p>
    <w:p/>
    <w:p>
      <w:pPr>
        <w:pStyle w:val="2"/>
      </w:pPr>
    </w:p>
    <w:p>
      <w:pPr>
        <w:pStyle w:val="10"/>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r>
        <w:rPr>
          <w:rFonts w:hint="eastAsia" w:ascii="宋体" w:hAnsi="宋体" w:cs="宋体"/>
          <w:b w:val="0"/>
          <w:sz w:val="36"/>
          <w:szCs w:val="36"/>
        </w:rPr>
        <w:t>技术规范书</w:t>
      </w:r>
    </w:p>
    <w:p>
      <w:pPr>
        <w:pStyle w:val="10"/>
        <w:tabs>
          <w:tab w:val="right" w:leader="dot" w:pos="8296"/>
        </w:tabs>
        <w:adjustRightInd w:val="0"/>
        <w:snapToGrid w:val="0"/>
        <w:spacing w:before="0" w:after="0" w:line="360" w:lineRule="auto"/>
        <w:ind w:firstLine="720" w:firstLineChars="200"/>
        <w:jc w:val="center"/>
        <w:rPr>
          <w:rFonts w:ascii="宋体" w:hAnsi="宋体" w:cs="宋体"/>
          <w:b w:val="0"/>
          <w:sz w:val="36"/>
          <w:szCs w:val="36"/>
        </w:rPr>
      </w:pPr>
    </w:p>
    <w:p>
      <w:pPr>
        <w:adjustRightInd w:val="0"/>
        <w:snapToGrid w:val="0"/>
        <w:rPr>
          <w:rFonts w:ascii="宋体" w:hAnsi="宋体" w:cs="宋体"/>
          <w:b/>
          <w:sz w:val="32"/>
        </w:rPr>
      </w:pPr>
    </w:p>
    <w:p/>
    <w:p/>
    <w:p/>
    <w:p/>
    <w:p>
      <w:pPr>
        <w:pStyle w:val="2"/>
      </w:pPr>
    </w:p>
    <w:p/>
    <w:p/>
    <w:p>
      <w:pPr>
        <w:jc w:val="center"/>
        <w:rPr>
          <w:rFonts w:ascii="Times New Roman" w:hAnsi="Times New Roman"/>
          <w:b/>
          <w:sz w:val="32"/>
        </w:rPr>
      </w:pPr>
      <w:r>
        <w:rPr>
          <w:rFonts w:hint="eastAsia" w:ascii="Times New Roman" w:hAnsi="Times New Roman"/>
          <w:b/>
          <w:sz w:val="32"/>
        </w:rPr>
        <w:t>云南电网有限责任公司</w:t>
      </w:r>
    </w:p>
    <w:p>
      <w:pPr>
        <w:adjustRightInd w:val="0"/>
        <w:snapToGrid w:val="0"/>
        <w:jc w:val="center"/>
        <w:rPr>
          <w:rFonts w:ascii="宋体" w:hAnsi="宋体" w:cs="宋体"/>
          <w:b/>
          <w:sz w:val="32"/>
        </w:rPr>
      </w:pPr>
      <w:r>
        <w:rPr>
          <w:rFonts w:hint="eastAsia" w:ascii="宋体" w:hAnsi="宋体" w:cs="宋体"/>
          <w:bCs/>
          <w:sz w:val="32"/>
        </w:rPr>
        <w:t>20</w:t>
      </w:r>
      <w:r>
        <w:rPr>
          <w:rFonts w:ascii="宋体" w:hAnsi="宋体" w:cs="宋体"/>
          <w:bCs/>
          <w:sz w:val="32"/>
        </w:rPr>
        <w:t>2</w:t>
      </w:r>
      <w:r>
        <w:rPr>
          <w:rFonts w:hint="eastAsia" w:ascii="宋体" w:hAnsi="宋体" w:cs="宋体"/>
          <w:bCs/>
          <w:sz w:val="32"/>
          <w:lang w:val="en-US" w:eastAsia="zh-CN"/>
        </w:rPr>
        <w:t>5</w:t>
      </w:r>
      <w:r>
        <w:rPr>
          <w:rFonts w:hint="eastAsia" w:ascii="宋体" w:hAnsi="宋体" w:cs="宋体"/>
          <w:bCs/>
          <w:sz w:val="32"/>
        </w:rPr>
        <w:t>年</w:t>
      </w:r>
      <w:r>
        <w:rPr>
          <w:rFonts w:hint="eastAsia" w:ascii="宋体" w:hAnsi="宋体" w:cs="宋体"/>
          <w:bCs/>
          <w:sz w:val="32"/>
          <w:lang w:val="en-US" w:eastAsia="zh-CN"/>
        </w:rPr>
        <w:t>7</w:t>
      </w:r>
      <w:r>
        <w:rPr>
          <w:rFonts w:hint="eastAsia" w:ascii="宋体" w:hAnsi="宋体" w:cs="宋体"/>
          <w:bCs/>
          <w:sz w:val="32"/>
        </w:rPr>
        <w:t>月</w:t>
      </w:r>
      <w:r>
        <w:rPr>
          <w:rFonts w:ascii="宋体" w:hAnsi="宋体" w:cs="宋体"/>
          <w:b/>
          <w:sz w:val="32"/>
        </w:rPr>
        <w:br w:type="page"/>
      </w:r>
    </w:p>
    <w:p>
      <w:pPr>
        <w:pStyle w:val="4"/>
        <w:numPr>
          <w:ilvl w:val="0"/>
          <w:numId w:val="0"/>
        </w:numPr>
        <w:adjustRightInd w:val="0"/>
        <w:snapToGrid w:val="0"/>
        <w:spacing w:before="0" w:after="0" w:line="360" w:lineRule="auto"/>
        <w:ind w:firstLine="482" w:firstLineChars="200"/>
        <w:jc w:val="center"/>
        <w:rPr>
          <w:rFonts w:ascii="宋体" w:hAnsi="宋体" w:cs="宋体"/>
          <w:sz w:val="24"/>
          <w:szCs w:val="24"/>
        </w:rPr>
      </w:pPr>
      <w:bookmarkStart w:id="0" w:name="_Toc1754"/>
      <w:r>
        <w:rPr>
          <w:rFonts w:hint="eastAsia" w:ascii="宋体" w:hAnsi="宋体" w:cs="宋体"/>
          <w:sz w:val="24"/>
          <w:szCs w:val="24"/>
        </w:rPr>
        <w:t>第一部分 总则部分</w:t>
      </w:r>
      <w:bookmarkEnd w:id="0"/>
    </w:p>
    <w:p>
      <w:pPr>
        <w:ind w:firstLine="480" w:firstLineChars="200"/>
        <w:rPr>
          <w:rFonts w:ascii="宋体" w:hAnsi="宋体" w:cs="宋体"/>
          <w:szCs w:val="24"/>
        </w:rPr>
      </w:pPr>
    </w:p>
    <w:p>
      <w:pPr>
        <w:ind w:firstLine="480" w:firstLineChars="200"/>
        <w:rPr>
          <w:rFonts w:ascii="宋体" w:hAnsi="宋体" w:cs="宋体"/>
          <w:szCs w:val="24"/>
        </w:rPr>
      </w:pPr>
      <w:r>
        <w:rPr>
          <w:rFonts w:hint="eastAsia" w:ascii="宋体" w:hAnsi="宋体" w:cs="宋体"/>
          <w:szCs w:val="24"/>
        </w:rPr>
        <w:t>1、本技术规范书适用于昆明供电局电力调度控制中心2025年监控信息管理系统告警信号分析功能维修项目采购，本技术规范书的最终解释权归云南电网有限责任公司系统运行部。</w:t>
      </w:r>
      <w:bookmarkStart w:id="16" w:name="_GoBack"/>
      <w:bookmarkEnd w:id="16"/>
    </w:p>
    <w:p>
      <w:pPr>
        <w:ind w:firstLine="480" w:firstLineChars="200"/>
        <w:rPr>
          <w:rFonts w:ascii="宋体" w:hAnsi="宋体" w:cs="宋体"/>
          <w:szCs w:val="24"/>
        </w:rPr>
      </w:pPr>
      <w:r>
        <w:rPr>
          <w:rFonts w:hint="eastAsia" w:ascii="宋体" w:hAnsi="宋体" w:cs="宋体"/>
          <w:szCs w:val="24"/>
        </w:rPr>
        <w:t>2、</w:t>
      </w:r>
      <w:r>
        <w:rPr>
          <w:rFonts w:hint="eastAsia" w:ascii="宋体" w:hAnsi="宋体" w:cs="宋体"/>
          <w:szCs w:val="24"/>
          <w:lang w:val="en-US" w:eastAsia="zh-CN"/>
        </w:rPr>
        <w:t>谈判方</w:t>
      </w:r>
      <w:r>
        <w:rPr>
          <w:rFonts w:hint="eastAsia" w:ascii="宋体" w:hAnsi="宋体" w:cs="宋体"/>
          <w:szCs w:val="24"/>
        </w:rPr>
        <w:t>未经</w:t>
      </w:r>
      <w:r>
        <w:rPr>
          <w:rFonts w:hint="eastAsia" w:ascii="宋体" w:hAnsi="宋体" w:cs="宋体"/>
          <w:szCs w:val="24"/>
          <w:lang w:eastAsia="zh-CN"/>
        </w:rPr>
        <w:t>采购方</w:t>
      </w:r>
      <w:r>
        <w:rPr>
          <w:rFonts w:hint="eastAsia" w:ascii="宋体" w:hAnsi="宋体" w:cs="宋体"/>
          <w:szCs w:val="24"/>
        </w:rPr>
        <w:t>同意，不得以任何形式向第三方公开本技术规范书。</w:t>
      </w:r>
    </w:p>
    <w:p>
      <w:pPr>
        <w:pStyle w:val="15"/>
        <w:tabs>
          <w:tab w:val="left" w:pos="1134"/>
        </w:tabs>
        <w:adjustRightInd w:val="0"/>
        <w:snapToGrid w:val="0"/>
        <w:spacing w:beforeLines="0" w:afterLines="0" w:line="360" w:lineRule="auto"/>
        <w:ind w:firstLine="480" w:firstLineChars="200"/>
        <w:jc w:val="left"/>
        <w:rPr>
          <w:rFonts w:ascii="宋体" w:hAnsi="宋体"/>
          <w:szCs w:val="24"/>
        </w:rPr>
      </w:pPr>
    </w:p>
    <w:p>
      <w:pPr>
        <w:adjustRightInd w:val="0"/>
        <w:snapToGrid w:val="0"/>
        <w:ind w:firstLine="482" w:firstLineChars="200"/>
        <w:jc w:val="center"/>
        <w:outlineLvl w:val="0"/>
        <w:rPr>
          <w:rFonts w:ascii="宋体" w:hAnsi="宋体" w:cs="宋体"/>
          <w:b/>
          <w:bCs/>
          <w:szCs w:val="24"/>
        </w:rPr>
      </w:pPr>
      <w:bookmarkStart w:id="1" w:name="_Toc30990"/>
      <w:r>
        <w:rPr>
          <w:rFonts w:hint="eastAsia" w:ascii="宋体" w:hAnsi="宋体" w:cs="宋体"/>
          <w:b/>
          <w:bCs/>
          <w:szCs w:val="24"/>
        </w:rPr>
        <w:t>第二部分 技术规范</w:t>
      </w:r>
      <w:bookmarkEnd w:id="1"/>
    </w:p>
    <w:p>
      <w:pPr>
        <w:pStyle w:val="4"/>
        <w:numPr>
          <w:ilvl w:val="0"/>
          <w:numId w:val="2"/>
        </w:numPr>
        <w:tabs>
          <w:tab w:val="left" w:pos="709"/>
        </w:tabs>
        <w:adjustRightInd w:val="0"/>
        <w:snapToGrid w:val="0"/>
        <w:spacing w:before="0" w:after="0" w:line="360" w:lineRule="auto"/>
        <w:ind w:left="0" w:firstLine="482" w:firstLineChars="200"/>
        <w:rPr>
          <w:rFonts w:ascii="宋体" w:hAnsi="宋体" w:cs="宋体"/>
          <w:sz w:val="24"/>
          <w:szCs w:val="24"/>
        </w:rPr>
      </w:pPr>
      <w:bookmarkStart w:id="2" w:name="_Toc25386"/>
      <w:r>
        <w:rPr>
          <w:rFonts w:hint="eastAsia" w:ascii="宋体" w:hAnsi="宋体" w:cs="宋体"/>
          <w:sz w:val="24"/>
          <w:szCs w:val="24"/>
        </w:rPr>
        <w:t>技术服务范围</w:t>
      </w:r>
      <w:bookmarkEnd w:id="2"/>
    </w:p>
    <w:p>
      <w:pPr>
        <w:ind w:firstLine="480" w:firstLineChars="200"/>
        <w:rPr>
          <w:rFonts w:ascii="宋体" w:hAnsi="宋体" w:cs="宋体"/>
          <w:b/>
          <w:bCs/>
          <w:szCs w:val="24"/>
        </w:rPr>
      </w:pPr>
      <w:r>
        <w:commentReference w:id="0"/>
      </w:r>
    </w:p>
    <w:p>
      <w:pPr>
        <w:ind w:firstLine="482" w:firstLineChars="200"/>
        <w:rPr>
          <w:rFonts w:ascii="宋体" w:hAnsi="宋体" w:cs="宋体"/>
          <w:szCs w:val="24"/>
        </w:rPr>
      </w:pPr>
      <w:r>
        <w:rPr>
          <w:rFonts w:hint="eastAsia" w:ascii="宋体" w:hAnsi="宋体" w:cs="宋体"/>
          <w:b/>
          <w:bCs/>
          <w:szCs w:val="24"/>
        </w:rPr>
        <w:t>服务范围</w:t>
      </w:r>
      <w:r>
        <w:rPr>
          <w:rFonts w:hint="eastAsia" w:ascii="宋体" w:hAnsi="宋体" w:cs="宋体"/>
          <w:szCs w:val="24"/>
        </w:rPr>
        <w:t>：昆明供电局；</w:t>
      </w:r>
    </w:p>
    <w:p>
      <w:pPr>
        <w:ind w:firstLine="482" w:firstLineChars="200"/>
        <w:rPr>
          <w:b/>
          <w:bCs/>
        </w:rPr>
      </w:pPr>
      <w:r>
        <w:rPr>
          <w:rFonts w:hint="eastAsia" w:ascii="宋体" w:hAnsi="宋体" w:cs="宋体"/>
          <w:b/>
          <w:bCs/>
          <w:szCs w:val="24"/>
        </w:rPr>
        <w:t>服务时间：</w:t>
      </w:r>
      <w:r>
        <w:rPr>
          <w:rFonts w:hint="eastAsia" w:ascii="宋体" w:hAnsi="宋体" w:cs="宋体"/>
          <w:szCs w:val="24"/>
        </w:rPr>
        <w:t>自合同签订之日起至2026年11月30日前</w:t>
      </w:r>
    </w:p>
    <w:p>
      <w:bookmarkStart w:id="3" w:name="_Toc7430"/>
    </w:p>
    <w:p>
      <w:pPr>
        <w:pStyle w:val="4"/>
        <w:numPr>
          <w:ilvl w:val="0"/>
          <w:numId w:val="2"/>
        </w:numPr>
        <w:adjustRightInd w:val="0"/>
        <w:snapToGrid w:val="0"/>
        <w:spacing w:before="0" w:after="0" w:line="360" w:lineRule="auto"/>
        <w:ind w:left="0" w:firstLine="482" w:firstLineChars="200"/>
        <w:rPr>
          <w:rFonts w:ascii="宋体" w:hAnsi="宋体" w:cs="宋体"/>
          <w:sz w:val="24"/>
          <w:szCs w:val="24"/>
        </w:rPr>
      </w:pPr>
      <w:r>
        <w:rPr>
          <w:rFonts w:hint="eastAsia" w:ascii="宋体" w:hAnsi="宋体" w:cs="宋体"/>
          <w:sz w:val="24"/>
          <w:szCs w:val="24"/>
        </w:rPr>
        <w:t>技术服务内容及要求</w:t>
      </w:r>
      <w:bookmarkEnd w:id="3"/>
    </w:p>
    <w:p>
      <w:pPr>
        <w:pStyle w:val="4"/>
        <w:numPr>
          <w:ilvl w:val="0"/>
          <w:numId w:val="0"/>
        </w:numPr>
        <w:adjustRightInd w:val="0"/>
        <w:snapToGrid w:val="0"/>
        <w:spacing w:before="0" w:after="0" w:line="360" w:lineRule="auto"/>
        <w:ind w:firstLine="482" w:firstLineChars="200"/>
        <w:rPr>
          <w:rFonts w:ascii="宋体" w:hAnsi="宋体" w:cs="宋体"/>
          <w:sz w:val="24"/>
          <w:szCs w:val="24"/>
        </w:rPr>
      </w:pPr>
      <w:r>
        <w:rPr>
          <w:rFonts w:hint="eastAsia" w:ascii="宋体" w:hAnsi="宋体" w:cs="宋体"/>
          <w:sz w:val="24"/>
          <w:szCs w:val="24"/>
        </w:rPr>
        <w:t>2</w:t>
      </w:r>
      <w:r>
        <w:rPr>
          <w:rFonts w:ascii="宋体" w:hAnsi="宋体" w:cs="宋体"/>
          <w:sz w:val="24"/>
          <w:szCs w:val="24"/>
        </w:rPr>
        <w:t>.1</w:t>
      </w:r>
      <w:r>
        <w:rPr>
          <w:rFonts w:hint="eastAsia" w:ascii="宋体" w:hAnsi="宋体" w:cs="宋体"/>
          <w:sz w:val="24"/>
          <w:szCs w:val="24"/>
        </w:rPr>
        <w:t>服务内容</w:t>
      </w:r>
    </w:p>
    <w:p>
      <w:pPr>
        <w:pStyle w:val="17"/>
        <w:spacing w:beforeLines="0" w:afterLines="0"/>
        <w:ind w:firstLine="480"/>
        <w:rPr>
          <w:rFonts w:ascii="宋体" w:hAnsi="宋体" w:cs="宋体"/>
          <w:szCs w:val="24"/>
        </w:rPr>
      </w:pPr>
      <w:r>
        <w:rPr>
          <w:rFonts w:ascii="宋体" w:hAnsi="宋体" w:cs="宋体"/>
          <w:szCs w:val="24"/>
        </w:rPr>
        <w:commentReference w:id="1"/>
      </w:r>
      <w:r>
        <w:rPr>
          <w:rFonts w:hint="eastAsia" w:ascii="宋体" w:hAnsi="宋体" w:cs="宋体"/>
          <w:szCs w:val="24"/>
        </w:rPr>
        <w:t>对昆明供电局监控信息管理系统告警信号分析功能进行维护与修理，实现告警信号和操作数据准确统计，</w:t>
      </w:r>
      <w:r>
        <w:rPr>
          <w:rFonts w:hint="eastAsia" w:ascii="宋体" w:hAnsi="宋体" w:cs="宋体"/>
          <w:szCs w:val="24"/>
          <w:lang w:val="en-US" w:eastAsia="zh-CN"/>
        </w:rPr>
        <w:t>包括</w:t>
      </w:r>
      <w:r>
        <w:rPr>
          <w:rFonts w:hint="eastAsia" w:ascii="宋体" w:hAnsi="宋体" w:cs="宋体"/>
          <w:szCs w:val="24"/>
        </w:rPr>
        <w:t>：在原监控信息自动统计分析功能基础上，完成周期内1到5级信号分类统计、原因分析，促进信号治理提升；修理调度操作统计功能，实现调度操作设备数量、新设备投产数量、刀闸电动化改造及调试数量的自动统计，支持周期内各电压等级、各设备类型、不同操作方式详情的快速查询，一键导出等功能。</w:t>
      </w:r>
    </w:p>
    <w:p>
      <w:pPr>
        <w:pStyle w:val="5"/>
        <w:numPr>
          <w:ilvl w:val="1"/>
          <w:numId w:val="0"/>
        </w:numPr>
        <w:spacing w:before="0" w:after="0" w:line="360" w:lineRule="auto"/>
        <w:ind w:firstLine="482" w:firstLineChars="200"/>
        <w:rPr>
          <w:rFonts w:hint="default" w:cs="仿宋" w:asciiTheme="minorEastAsia" w:hAnsiTheme="minorEastAsia" w:eastAsiaTheme="minorEastAsia"/>
          <w:sz w:val="24"/>
          <w:szCs w:val="24"/>
          <w:lang w:val="en-US" w:eastAsia="zh-CN"/>
        </w:rPr>
      </w:pPr>
      <w:r>
        <w:rPr>
          <w:rFonts w:hint="eastAsia" w:cs="仿宋" w:asciiTheme="minorEastAsia" w:hAnsiTheme="minorEastAsia" w:eastAsiaTheme="minorEastAsia"/>
          <w:sz w:val="24"/>
          <w:szCs w:val="24"/>
        </w:rPr>
        <w:t xml:space="preserve">2.1.1 </w:t>
      </w:r>
      <w:r>
        <w:rPr>
          <w:rFonts w:hint="eastAsia" w:cs="仿宋" w:asciiTheme="minorEastAsia" w:hAnsiTheme="minorEastAsia" w:eastAsiaTheme="minorEastAsia"/>
          <w:sz w:val="24"/>
          <w:szCs w:val="24"/>
          <w:lang w:val="en-US" w:eastAsia="zh-CN"/>
        </w:rPr>
        <w:t>系统修理目标</w:t>
      </w:r>
    </w:p>
    <w:p>
      <w:pPr>
        <w:pStyle w:val="17"/>
        <w:spacing w:before="163" w:after="163"/>
        <w:ind w:firstLine="480"/>
        <w:rPr>
          <w:rFonts w:hint="eastAsia" w:ascii="宋体" w:hAnsi="宋体" w:cs="宋体"/>
          <w:szCs w:val="24"/>
        </w:rPr>
      </w:pPr>
      <w:r>
        <w:rPr>
          <w:rFonts w:hint="eastAsia" w:ascii="宋体" w:hAnsi="宋体" w:cs="宋体"/>
          <w:szCs w:val="24"/>
        </w:rPr>
        <w:t>1）完善信号分类统计、原因分析：在对各类监控信息分类统计的基础上，结合信号发出时序、频次、信号间关联关系，对监控信号发出的原因、规律进行统计分析，输出系统分析结果，辅助调控员识别无效、伴生信号，制定信号治理方案。</w:t>
      </w:r>
    </w:p>
    <w:p>
      <w:pPr>
        <w:pStyle w:val="17"/>
        <w:spacing w:before="163" w:after="163"/>
        <w:ind w:firstLine="480"/>
        <w:rPr>
          <w:rFonts w:hint="eastAsia" w:ascii="宋体" w:hAnsi="宋体" w:cs="宋体"/>
          <w:szCs w:val="24"/>
        </w:rPr>
      </w:pPr>
      <w:r>
        <w:rPr>
          <w:rFonts w:hint="eastAsia" w:ascii="宋体" w:hAnsi="宋体" w:cs="宋体"/>
          <w:szCs w:val="24"/>
        </w:rPr>
        <w:t>2）调度操作统计：从调度自动化系统挖掘设备遥信、遥控信息，对设备遥控属性、双确认信息等进行读取，得出各电压等级、各类型设备的可控情况、双确认改造情况。通过识别开关、刀闸变位情况及操作方式，对统计周期内设备遥控操作情况、人工操作情况及程序化操作情况等进行统计。实现调度操作设备数量、新设备投产数量、刀闸电动化改造及调试数量的自动统计，支持周期内各电压等级、各设备类型、不同操作方式详情的快速查询，一键导出等功能。</w:t>
      </w:r>
    </w:p>
    <w:p>
      <w:pPr>
        <w:pStyle w:val="17"/>
        <w:spacing w:before="163" w:after="163"/>
        <w:ind w:firstLine="480"/>
        <w:rPr>
          <w:rFonts w:hint="eastAsia" w:ascii="宋体" w:hAnsi="宋体" w:eastAsia="宋体" w:cs="宋体"/>
          <w:szCs w:val="24"/>
          <w:lang w:val="en-US" w:eastAsia="zh-CN"/>
        </w:rPr>
      </w:pPr>
      <w:r>
        <w:rPr>
          <w:rFonts w:hint="eastAsia" w:ascii="宋体" w:hAnsi="宋体" w:cs="宋体"/>
          <w:szCs w:val="24"/>
          <w:lang w:val="en-US" w:eastAsia="zh-CN"/>
        </w:rPr>
        <w:t>3）技术平台升级及系统运行维护：对昆明供电局监控信息管理系统全面巡检维护和及时有效的技术支持服务，硬件、软件维保，保证系统硬件、软件巡检到位，故障能够得到及时处理。</w:t>
      </w:r>
    </w:p>
    <w:p>
      <w:pPr>
        <w:pStyle w:val="4"/>
        <w:numPr>
          <w:ilvl w:val="0"/>
          <w:numId w:val="2"/>
        </w:numPr>
        <w:adjustRightInd w:val="0"/>
        <w:snapToGrid w:val="0"/>
        <w:spacing w:before="0" w:after="0" w:line="360" w:lineRule="auto"/>
        <w:ind w:left="0" w:firstLine="482" w:firstLineChars="200"/>
        <w:rPr>
          <w:rFonts w:ascii="宋体" w:hAnsi="宋体" w:cs="宋体"/>
          <w:sz w:val="24"/>
          <w:szCs w:val="24"/>
        </w:rPr>
      </w:pPr>
      <w:bookmarkStart w:id="4" w:name="_Toc29377"/>
      <w:bookmarkStart w:id="5" w:name="_Toc9893"/>
      <w:r>
        <w:rPr>
          <w:rFonts w:hint="eastAsia" w:ascii="宋体" w:hAnsi="宋体" w:cs="宋体"/>
          <w:sz w:val="24"/>
          <w:szCs w:val="24"/>
        </w:rPr>
        <w:t>人员配置及服务能力要求</w:t>
      </w:r>
    </w:p>
    <w:p>
      <w:pPr>
        <w:pStyle w:val="4"/>
        <w:numPr>
          <w:ilvl w:val="0"/>
          <w:numId w:val="0"/>
        </w:numPr>
        <w:adjustRightInd w:val="0"/>
        <w:snapToGrid w:val="0"/>
        <w:spacing w:before="0" w:after="0" w:line="360" w:lineRule="auto"/>
        <w:ind w:firstLine="482" w:firstLineChars="200"/>
        <w:rPr>
          <w:rFonts w:cs="宋体" w:asciiTheme="minorEastAsia" w:hAnsiTheme="minorEastAsia" w:eastAsiaTheme="minorEastAsia"/>
          <w:sz w:val="24"/>
          <w:szCs w:val="24"/>
        </w:rPr>
      </w:pPr>
      <w:r>
        <w:rPr>
          <w:rFonts w:cs="宋体" w:asciiTheme="minorEastAsia" w:hAnsiTheme="minorEastAsia" w:eastAsiaTheme="minorEastAsia"/>
          <w:sz w:val="24"/>
          <w:szCs w:val="24"/>
        </w:rPr>
        <w:commentReference w:id="2"/>
      </w:r>
      <w:r>
        <w:rPr>
          <w:rFonts w:hint="eastAsia" w:cs="宋体" w:asciiTheme="minorEastAsia" w:hAnsiTheme="minorEastAsia" w:eastAsiaTheme="minorEastAsia"/>
          <w:sz w:val="24"/>
          <w:szCs w:val="24"/>
        </w:rPr>
        <w:t>3.</w:t>
      </w:r>
      <w:r>
        <w:rPr>
          <w:rFonts w:hint="eastAsia" w:cs="宋体" w:asciiTheme="minorEastAsia" w:hAnsiTheme="minorEastAsia" w:eastAsiaTheme="minorEastAsia"/>
          <w:sz w:val="24"/>
          <w:szCs w:val="24"/>
          <w:lang w:val="en-US" w:eastAsia="zh-CN"/>
        </w:rPr>
        <w:t>1</w:t>
      </w:r>
      <w:r>
        <w:rPr>
          <w:rFonts w:hint="eastAsia" w:cs="宋体" w:asciiTheme="minorEastAsia" w:hAnsiTheme="minorEastAsia" w:eastAsiaTheme="minorEastAsia"/>
          <w:sz w:val="24"/>
          <w:szCs w:val="24"/>
        </w:rPr>
        <w:t>人员配置</w:t>
      </w:r>
    </w:p>
    <w:p>
      <w:pPr>
        <w:pStyle w:val="17"/>
        <w:spacing w:beforeLines="0" w:afterLines="0"/>
        <w:ind w:firstLine="480"/>
        <w:rPr>
          <w:rFonts w:ascii="宋体" w:hAnsi="宋体" w:cs="宋体"/>
          <w:szCs w:val="24"/>
        </w:rPr>
      </w:pPr>
      <w:r>
        <w:rPr>
          <w:rFonts w:ascii="宋体" w:hAnsi="宋体" w:cs="宋体"/>
          <w:szCs w:val="24"/>
        </w:rPr>
        <w:t>项目团队至少承诺</w:t>
      </w:r>
      <w:r>
        <w:rPr>
          <w:rFonts w:hint="eastAsia" w:ascii="宋体" w:hAnsi="宋体" w:cs="宋体"/>
          <w:szCs w:val="24"/>
          <w:lang w:val="en-US" w:eastAsia="zh-CN"/>
        </w:rPr>
        <w:t>3</w:t>
      </w:r>
      <w:r>
        <w:rPr>
          <w:rFonts w:ascii="宋体" w:hAnsi="宋体" w:cs="宋体"/>
          <w:szCs w:val="24"/>
        </w:rPr>
        <w:t>人：项目经理1人</w:t>
      </w:r>
      <w:r>
        <w:rPr>
          <w:rFonts w:hint="eastAsia" w:ascii="宋体" w:hAnsi="宋体" w:cs="宋体"/>
          <w:szCs w:val="24"/>
        </w:rPr>
        <w:t>，技术服务人员</w:t>
      </w:r>
      <w:r>
        <w:rPr>
          <w:rFonts w:hint="eastAsia" w:ascii="宋体" w:hAnsi="宋体" w:cs="宋体"/>
          <w:szCs w:val="24"/>
          <w:lang w:val="en-US" w:eastAsia="zh-CN"/>
        </w:rPr>
        <w:t>2</w:t>
      </w:r>
      <w:r>
        <w:rPr>
          <w:rFonts w:ascii="宋体" w:hAnsi="宋体" w:cs="宋体"/>
          <w:szCs w:val="24"/>
        </w:rPr>
        <w:t>人</w:t>
      </w:r>
      <w:r>
        <w:rPr>
          <w:rFonts w:hint="eastAsia" w:ascii="宋体" w:hAnsi="宋体" w:cs="宋体"/>
          <w:szCs w:val="24"/>
        </w:rPr>
        <w:t>，</w:t>
      </w:r>
      <w:r>
        <w:rPr>
          <w:rFonts w:ascii="宋体" w:hAnsi="宋体" w:cs="宋体"/>
          <w:szCs w:val="24"/>
        </w:rPr>
        <w:t>并承诺项目经理未经甲方允许不可换人。</w:t>
      </w:r>
    </w:p>
    <w:p>
      <w:pPr>
        <w:pStyle w:val="17"/>
        <w:spacing w:beforeLines="0" w:afterLines="0"/>
        <w:ind w:firstLine="480"/>
        <w:rPr>
          <w:rFonts w:ascii="宋体" w:hAnsi="宋体" w:cs="宋体"/>
          <w:szCs w:val="24"/>
        </w:rPr>
      </w:pPr>
      <w:r>
        <w:rPr>
          <w:rFonts w:hint="eastAsia" w:ascii="宋体" w:hAnsi="宋体" w:cs="宋体"/>
          <w:szCs w:val="24"/>
        </w:rPr>
        <w:t>项目经理3年及以上调度辅助自动化系统类似项目开发和管理工作经验，技术服务人员均应具有1年及以上类似项目的系统安装、调试或维护经验</w:t>
      </w:r>
      <w:r>
        <w:rPr>
          <w:rFonts w:hint="eastAsia" w:ascii="宋体" w:hAnsi="宋体" w:cs="宋体"/>
          <w:szCs w:val="24"/>
          <w:lang w:eastAsia="zh-CN"/>
        </w:rPr>
        <w:t>，</w:t>
      </w:r>
      <w:r>
        <w:rPr>
          <w:rFonts w:hint="eastAsia" w:ascii="宋体" w:hAnsi="宋体" w:cs="宋体"/>
          <w:szCs w:val="24"/>
        </w:rPr>
        <w:t>并提供劳动合同及社保证明材料；</w:t>
      </w:r>
    </w:p>
    <w:p>
      <w:pPr>
        <w:pStyle w:val="17"/>
        <w:spacing w:beforeLines="0" w:afterLines="0"/>
        <w:ind w:firstLine="480" w:firstLineChars="200"/>
        <w:rPr>
          <w:rFonts w:ascii="宋体" w:hAnsi="宋体" w:cs="宋体"/>
          <w:szCs w:val="24"/>
        </w:rPr>
      </w:pPr>
      <w:r>
        <w:rPr>
          <w:rFonts w:hint="eastAsia" w:ascii="宋体" w:hAnsi="宋体" w:cs="宋体"/>
          <w:szCs w:val="24"/>
          <w:lang w:val="en-US" w:eastAsia="zh-CN"/>
        </w:rPr>
        <w:t>谈判</w:t>
      </w:r>
      <w:r>
        <w:rPr>
          <w:rFonts w:hint="eastAsia" w:ascii="宋体" w:hAnsi="宋体" w:cs="宋体"/>
          <w:szCs w:val="24"/>
        </w:rPr>
        <w:t>提交项目负责人和技术服务人员名单以及上述人员的简历，包括相关工作年限、专业、在本项目承担的角色、相关资质证书、以往参与类似项目情况、其他说明等，并提供以上相关证件复印件或证明材料，按照以下表格填写（须提供团队服务人员名单、劳动合同、相关证书），并提供相关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47"/>
        <w:gridCol w:w="1104"/>
        <w:gridCol w:w="1029"/>
        <w:gridCol w:w="460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647" w:type="dxa"/>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序号</w:t>
            </w:r>
          </w:p>
        </w:tc>
        <w:tc>
          <w:tcPr>
            <w:tcW w:w="110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p>
        </w:tc>
        <w:tc>
          <w:tcPr>
            <w:tcW w:w="102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姓名</w:t>
            </w:r>
          </w:p>
        </w:tc>
        <w:tc>
          <w:tcPr>
            <w:tcW w:w="4605" w:type="dxa"/>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47" w:type="dxa"/>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相关工作年限</w:t>
            </w:r>
          </w:p>
        </w:tc>
        <w:tc>
          <w:tcPr>
            <w:tcW w:w="110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p>
        </w:tc>
        <w:tc>
          <w:tcPr>
            <w:tcW w:w="102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专业</w:t>
            </w:r>
          </w:p>
        </w:tc>
        <w:tc>
          <w:tcPr>
            <w:tcW w:w="4605" w:type="dxa"/>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在本项目承担的角色</w:t>
            </w:r>
          </w:p>
        </w:tc>
        <w:tc>
          <w:tcPr>
            <w:tcW w:w="5634" w:type="dxa"/>
            <w:gridSpan w:val="2"/>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相关资质证书</w:t>
            </w:r>
          </w:p>
        </w:tc>
        <w:tc>
          <w:tcPr>
            <w:tcW w:w="5634" w:type="dxa"/>
            <w:gridSpan w:val="2"/>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以往参与类似项目情况</w:t>
            </w:r>
          </w:p>
        </w:tc>
        <w:tc>
          <w:tcPr>
            <w:tcW w:w="5634" w:type="dxa"/>
            <w:gridSpan w:val="2"/>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2751" w:type="dxa"/>
            <w:gridSpan w:val="2"/>
            <w:tcBorders>
              <w:top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sz w:val="21"/>
                <w:szCs w:val="21"/>
              </w:rPr>
            </w:pPr>
            <w:r>
              <w:rPr>
                <w:rFonts w:hint="eastAsia" w:ascii="宋体" w:hAnsi="宋体" w:cs="宋体"/>
                <w:sz w:val="21"/>
                <w:szCs w:val="21"/>
              </w:rPr>
              <w:t>其他说明</w:t>
            </w:r>
          </w:p>
        </w:tc>
        <w:tc>
          <w:tcPr>
            <w:tcW w:w="5634" w:type="dxa"/>
            <w:gridSpan w:val="2"/>
            <w:tcBorders>
              <w:top w:val="single" w:color="auto" w:sz="4" w:space="0"/>
              <w:left w:val="single" w:color="auto" w:sz="4" w:space="0"/>
              <w:bottom w:val="single" w:color="auto" w:sz="4" w:space="0"/>
            </w:tcBorders>
            <w:shd w:val="clear" w:color="auto" w:fill="FFFFFF"/>
            <w:vAlign w:val="center"/>
          </w:tcPr>
          <w:p>
            <w:pPr>
              <w:widowControl/>
              <w:jc w:val="center"/>
              <w:rPr>
                <w:rFonts w:ascii="宋体" w:hAnsi="宋体" w:cs="宋体"/>
                <w:sz w:val="21"/>
                <w:szCs w:val="21"/>
              </w:rPr>
            </w:pPr>
          </w:p>
        </w:tc>
      </w:tr>
    </w:tbl>
    <w:p>
      <w:pPr>
        <w:pStyle w:val="17"/>
        <w:spacing w:beforeLines="0" w:afterLines="0"/>
        <w:ind w:firstLine="480" w:firstLineChars="200"/>
        <w:rPr>
          <w:rFonts w:ascii="宋体" w:hAnsi="宋体"/>
          <w:szCs w:val="24"/>
        </w:rPr>
      </w:pPr>
      <w:r>
        <w:rPr>
          <w:rFonts w:hint="eastAsia" w:ascii="宋体" w:hAnsi="宋体"/>
          <w:szCs w:val="24"/>
          <w:lang w:val="en-US" w:eastAsia="zh-CN"/>
        </w:rPr>
        <w:t>谈判方</w:t>
      </w:r>
      <w:r>
        <w:rPr>
          <w:rFonts w:hint="eastAsia" w:ascii="宋体" w:hAnsi="宋体"/>
          <w:szCs w:val="24"/>
        </w:rPr>
        <w:t>须承诺中标后实际投入人员和投标时一致。</w:t>
      </w:r>
      <w:r>
        <w:rPr>
          <w:rFonts w:hint="eastAsia" w:ascii="宋体" w:hAnsi="宋体"/>
          <w:szCs w:val="24"/>
          <w:lang w:val="en-US" w:eastAsia="zh-CN"/>
        </w:rPr>
        <w:t>谈判方</w:t>
      </w:r>
      <w:r>
        <w:rPr>
          <w:rFonts w:hint="eastAsia" w:ascii="宋体" w:hAnsi="宋体"/>
          <w:szCs w:val="24"/>
        </w:rPr>
        <w:t>参加本项目的人员如发生变动，需要经过</w:t>
      </w:r>
      <w:r>
        <w:rPr>
          <w:rFonts w:hint="eastAsia" w:ascii="宋体" w:hAnsi="宋体"/>
          <w:szCs w:val="24"/>
          <w:lang w:eastAsia="zh-CN"/>
        </w:rPr>
        <w:t>采购方</w:t>
      </w:r>
      <w:r>
        <w:rPr>
          <w:rFonts w:hint="eastAsia" w:ascii="宋体" w:hAnsi="宋体"/>
          <w:szCs w:val="24"/>
        </w:rPr>
        <w:t>书面同意，更换的人员不低于投标时拟派人员的资格条件。</w:t>
      </w:r>
    </w:p>
    <w:p>
      <w:pPr>
        <w:pStyle w:val="17"/>
        <w:spacing w:beforeLines="0" w:afterLines="0"/>
        <w:ind w:firstLine="480" w:firstLineChars="200"/>
        <w:rPr>
          <w:rFonts w:ascii="宋体" w:hAnsi="宋体"/>
          <w:szCs w:val="24"/>
        </w:rPr>
      </w:pPr>
      <w:r>
        <w:rPr>
          <w:rFonts w:hint="eastAsia" w:ascii="宋体" w:hAnsi="宋体"/>
          <w:szCs w:val="24"/>
        </w:rPr>
        <w:t>服务人员如不能胜任该项目工作，</w:t>
      </w:r>
      <w:r>
        <w:rPr>
          <w:rFonts w:hint="eastAsia" w:ascii="宋体" w:hAnsi="宋体"/>
          <w:szCs w:val="24"/>
          <w:lang w:eastAsia="zh-CN"/>
        </w:rPr>
        <w:t>采购方</w:t>
      </w:r>
      <w:r>
        <w:rPr>
          <w:rFonts w:hint="eastAsia" w:ascii="宋体" w:hAnsi="宋体"/>
          <w:szCs w:val="24"/>
        </w:rPr>
        <w:t>有权要求中标方立即替换能承担该工作项目人员，若二次更换人员在第二个月还不能胜任工作，</w:t>
      </w:r>
      <w:r>
        <w:rPr>
          <w:rFonts w:hint="eastAsia" w:ascii="宋体" w:hAnsi="宋体"/>
          <w:szCs w:val="24"/>
          <w:lang w:eastAsia="zh-CN"/>
        </w:rPr>
        <w:t>采购方</w:t>
      </w:r>
      <w:r>
        <w:rPr>
          <w:rFonts w:hint="eastAsia" w:ascii="宋体" w:hAnsi="宋体"/>
          <w:szCs w:val="24"/>
        </w:rPr>
        <w:t>有权终止合同。</w:t>
      </w:r>
    </w:p>
    <w:p>
      <w:pPr>
        <w:pStyle w:val="4"/>
        <w:numPr>
          <w:ilvl w:val="0"/>
          <w:numId w:val="0"/>
        </w:numPr>
        <w:adjustRightInd w:val="0"/>
        <w:snapToGrid w:val="0"/>
        <w:spacing w:before="0" w:after="0" w:line="360" w:lineRule="auto"/>
        <w:ind w:firstLine="482"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w:t>
      </w:r>
      <w:r>
        <w:rPr>
          <w:rFonts w:hint="eastAsia" w:cs="宋体" w:asciiTheme="minorEastAsia" w:hAnsiTheme="minorEastAsia" w:eastAsiaTheme="minorEastAsia"/>
          <w:sz w:val="24"/>
          <w:szCs w:val="24"/>
          <w:lang w:val="en-US" w:eastAsia="zh-CN"/>
        </w:rPr>
        <w:t>2</w:t>
      </w:r>
      <w:r>
        <w:rPr>
          <w:rFonts w:hint="eastAsia" w:cs="宋体" w:asciiTheme="minorEastAsia" w:hAnsiTheme="minorEastAsia" w:eastAsiaTheme="minorEastAsia"/>
          <w:sz w:val="24"/>
          <w:szCs w:val="24"/>
        </w:rPr>
        <w:t>服务能力要求</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ascii="宋体" w:hAnsi="宋体" w:cs="Times New Roman"/>
          <w:color w:val="auto"/>
          <w:sz w:val="24"/>
          <w:szCs w:val="24"/>
          <w:highlight w:val="none"/>
        </w:rPr>
      </w:pPr>
      <w:r>
        <w:rPr>
          <w:rFonts w:hint="eastAsia" w:ascii="宋体" w:hAnsi="宋体" w:cs="Times New Roman"/>
          <w:color w:val="auto"/>
          <w:sz w:val="24"/>
          <w:szCs w:val="24"/>
          <w:highlight w:val="none"/>
          <w:lang w:eastAsia="zh-CN"/>
        </w:rPr>
        <w:t>（</w:t>
      </w:r>
      <w:r>
        <w:rPr>
          <w:rFonts w:hint="eastAsia" w:ascii="宋体" w:hAnsi="宋体" w:cs="Times New Roman"/>
          <w:color w:val="auto"/>
          <w:sz w:val="24"/>
          <w:szCs w:val="24"/>
          <w:highlight w:val="none"/>
          <w:lang w:val="en-US" w:eastAsia="zh-CN"/>
        </w:rPr>
        <w:t>1</w:t>
      </w:r>
      <w:r>
        <w:rPr>
          <w:rFonts w:hint="eastAsia" w:ascii="宋体" w:hAnsi="宋体" w:cs="Times New Roman"/>
          <w:color w:val="auto"/>
          <w:sz w:val="24"/>
          <w:szCs w:val="24"/>
          <w:highlight w:val="none"/>
          <w:lang w:eastAsia="zh-CN"/>
        </w:rPr>
        <w:t>）</w:t>
      </w:r>
      <w:r>
        <w:rPr>
          <w:rFonts w:hint="eastAsia" w:ascii="宋体" w:hAnsi="宋体" w:cs="Times New Roman"/>
          <w:color w:val="auto"/>
          <w:sz w:val="24"/>
          <w:szCs w:val="24"/>
          <w:highlight w:val="none"/>
        </w:rPr>
        <w:t>应设立7*24的值班响应电话，并安排有经验的工程师受理。当系统出现故障时，通过客服响应电话进行报障。对于一、二级故障确保在30分钟内回复，三级故障将在两小时内进行回复；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ascii="宋体" w:hAnsi="宋体" w:cs="Times New Roman"/>
          <w:color w:val="auto"/>
          <w:sz w:val="24"/>
          <w:szCs w:val="24"/>
          <w:highlight w:val="none"/>
        </w:rPr>
      </w:pPr>
      <w:r>
        <w:rPr>
          <w:rFonts w:hint="eastAsia" w:ascii="宋体" w:hAnsi="宋体" w:cs="Times New Roman"/>
          <w:color w:val="auto"/>
          <w:sz w:val="24"/>
          <w:szCs w:val="24"/>
          <w:highlight w:val="none"/>
          <w:lang w:val="en-US" w:eastAsia="zh-CN"/>
        </w:rPr>
        <w:t>（2）</w:t>
      </w:r>
      <w:r>
        <w:rPr>
          <w:rFonts w:hint="eastAsia" w:ascii="宋体" w:hAnsi="宋体" w:cs="Times New Roman"/>
          <w:color w:val="auto"/>
          <w:sz w:val="24"/>
          <w:szCs w:val="24"/>
          <w:highlight w:val="none"/>
          <w:lang w:eastAsia="zh-CN"/>
        </w:rPr>
        <w:t>谈判方</w:t>
      </w:r>
      <w:r>
        <w:rPr>
          <w:rFonts w:hint="eastAsia" w:ascii="宋体" w:hAnsi="宋体" w:cs="Times New Roman"/>
          <w:color w:val="auto"/>
          <w:sz w:val="24"/>
          <w:szCs w:val="24"/>
          <w:highlight w:val="none"/>
        </w:rPr>
        <w:t>对于通过电话支持和远程支持都不能解决的系统故障，服务商应迅速提供现场支持服务，安排经验丰富的技术支持工程师赴现场分析故障原因，制定故障解决方案，并最终排除故障；</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ascii="宋体" w:hAnsi="宋体" w:cs="Times New Roman"/>
          <w:color w:val="auto"/>
          <w:sz w:val="24"/>
          <w:szCs w:val="24"/>
          <w:highlight w:val="none"/>
        </w:rPr>
      </w:pPr>
      <w:r>
        <w:rPr>
          <w:rFonts w:hint="eastAsia" w:ascii="宋体" w:hAnsi="宋体" w:cs="Times New Roman"/>
          <w:color w:val="auto"/>
          <w:sz w:val="24"/>
          <w:szCs w:val="24"/>
          <w:highlight w:val="none"/>
          <w:lang w:val="en-US" w:eastAsia="zh-CN"/>
        </w:rPr>
        <w:t>（3）</w:t>
      </w:r>
      <w:r>
        <w:rPr>
          <w:rFonts w:hint="eastAsia" w:ascii="宋体" w:hAnsi="宋体" w:cs="Times New Roman"/>
          <w:color w:val="auto"/>
          <w:sz w:val="24"/>
          <w:szCs w:val="24"/>
          <w:highlight w:val="none"/>
          <w:lang w:eastAsia="zh-CN"/>
        </w:rPr>
        <w:t>谈判方</w:t>
      </w:r>
      <w:r>
        <w:rPr>
          <w:rFonts w:hint="eastAsia" w:ascii="宋体" w:hAnsi="宋体" w:cs="Times New Roman"/>
          <w:color w:val="auto"/>
          <w:sz w:val="24"/>
          <w:szCs w:val="24"/>
          <w:highlight w:val="none"/>
        </w:rPr>
        <w:t>服务工程师在进行系统维护阶段，协助用户进行数据备份及迁移，保证系统用户数据的安全、完整和可用；</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ascii="宋体" w:hAnsi="宋体"/>
          <w:szCs w:val="24"/>
        </w:rPr>
      </w:pPr>
      <w:r>
        <w:rPr>
          <w:rFonts w:hint="eastAsia" w:ascii="宋体" w:hAnsi="宋体" w:cs="Times New Roman"/>
          <w:color w:val="auto"/>
          <w:sz w:val="24"/>
          <w:szCs w:val="24"/>
          <w:highlight w:val="none"/>
          <w:lang w:val="en-US" w:eastAsia="zh-CN"/>
        </w:rPr>
        <w:t>（4）</w:t>
      </w:r>
      <w:r>
        <w:rPr>
          <w:rFonts w:hint="eastAsia" w:ascii="宋体" w:hAnsi="宋体" w:cs="Times New Roman"/>
          <w:color w:val="auto"/>
          <w:sz w:val="24"/>
          <w:szCs w:val="24"/>
          <w:highlight w:val="none"/>
        </w:rPr>
        <w:t>应每</w:t>
      </w:r>
      <w:r>
        <w:rPr>
          <w:rFonts w:hint="eastAsia" w:ascii="宋体" w:hAnsi="宋体" w:cs="Times New Roman"/>
          <w:color w:val="auto"/>
          <w:sz w:val="24"/>
          <w:szCs w:val="24"/>
          <w:highlight w:val="none"/>
          <w:lang w:val="en-US" w:eastAsia="zh-CN"/>
        </w:rPr>
        <w:t>月</w:t>
      </w:r>
      <w:r>
        <w:rPr>
          <w:rFonts w:hint="eastAsia" w:ascii="宋体" w:hAnsi="宋体" w:cs="Times New Roman"/>
          <w:color w:val="auto"/>
          <w:sz w:val="24"/>
          <w:szCs w:val="24"/>
          <w:highlight w:val="none"/>
        </w:rPr>
        <w:t>按要求向业主方作书面工作汇报，对项目实施过程中遇到的问题进行认真总结分析，并改进。</w:t>
      </w:r>
    </w:p>
    <w:bookmarkEnd w:id="4"/>
    <w:bookmarkEnd w:id="5"/>
    <w:p>
      <w:pPr>
        <w:pStyle w:val="4"/>
        <w:numPr>
          <w:ilvl w:val="0"/>
          <w:numId w:val="2"/>
        </w:numPr>
        <w:adjustRightInd w:val="0"/>
        <w:snapToGrid w:val="0"/>
        <w:spacing w:before="0" w:after="0" w:line="360" w:lineRule="auto"/>
        <w:ind w:left="0" w:firstLine="482" w:firstLineChars="200"/>
        <w:rPr>
          <w:rFonts w:ascii="宋体" w:hAnsi="宋体" w:cs="宋体"/>
          <w:sz w:val="24"/>
          <w:szCs w:val="24"/>
        </w:rPr>
      </w:pPr>
      <w:bookmarkStart w:id="6" w:name="_Toc26516"/>
      <w:r>
        <w:rPr>
          <w:rFonts w:hint="eastAsia" w:ascii="宋体" w:hAnsi="宋体" w:cs="宋体"/>
          <w:sz w:val="24"/>
          <w:szCs w:val="24"/>
        </w:rPr>
        <w:t>验收要求</w:t>
      </w:r>
      <w:bookmarkEnd w:id="6"/>
      <w:r>
        <w:commentReference w:id="3"/>
      </w:r>
    </w:p>
    <w:p>
      <w:pPr>
        <w:pStyle w:val="4"/>
        <w:numPr>
          <w:ilvl w:val="0"/>
          <w:numId w:val="0"/>
        </w:numPr>
        <w:adjustRightInd w:val="0"/>
        <w:snapToGrid w:val="0"/>
        <w:spacing w:before="0" w:after="0" w:line="360" w:lineRule="auto"/>
        <w:ind w:firstLine="482" w:firstLineChars="200"/>
        <w:rPr>
          <w:rFonts w:ascii="宋体" w:hAnsi="宋体" w:cs="宋体"/>
          <w:sz w:val="24"/>
          <w:szCs w:val="24"/>
        </w:rPr>
      </w:pPr>
      <w:r>
        <w:rPr>
          <w:rFonts w:hint="eastAsia" w:ascii="宋体" w:hAnsi="宋体" w:cs="宋体"/>
          <w:sz w:val="24"/>
          <w:szCs w:val="24"/>
        </w:rPr>
        <w:t>4.1验收标准</w:t>
      </w:r>
    </w:p>
    <w:p>
      <w:pPr>
        <w:numPr>
          <w:ilvl w:val="0"/>
          <w:numId w:val="3"/>
        </w:numPr>
        <w:ind w:left="0" w:firstLine="480" w:firstLineChars="200"/>
        <w:rPr>
          <w:rFonts w:ascii="宋体" w:hAnsi="宋体" w:cs="宋体"/>
          <w:szCs w:val="24"/>
        </w:rPr>
      </w:pPr>
      <w:r>
        <w:rPr>
          <w:rFonts w:hint="eastAsia" w:ascii="宋体" w:hAnsi="宋体" w:cs="宋体"/>
          <w:szCs w:val="24"/>
        </w:rPr>
        <w:t>按照双方签订的合同完成双方约定的工作内容；</w:t>
      </w:r>
    </w:p>
    <w:p>
      <w:pPr>
        <w:numPr>
          <w:ilvl w:val="0"/>
          <w:numId w:val="3"/>
        </w:numPr>
        <w:ind w:left="0" w:firstLine="480" w:firstLineChars="200"/>
        <w:rPr>
          <w:rFonts w:ascii="宋体" w:hAnsi="宋体" w:cs="宋体"/>
          <w:szCs w:val="24"/>
        </w:rPr>
      </w:pPr>
      <w:r>
        <w:rPr>
          <w:rFonts w:hint="eastAsia" w:ascii="宋体" w:hAnsi="宋体" w:cs="宋体"/>
          <w:szCs w:val="24"/>
        </w:rPr>
        <w:t>中标方提供服务必须符合</w:t>
      </w:r>
      <w:r>
        <w:rPr>
          <w:rFonts w:hint="eastAsia" w:ascii="宋体" w:hAnsi="宋体" w:cs="宋体"/>
          <w:szCs w:val="24"/>
          <w:lang w:eastAsia="zh-CN"/>
        </w:rPr>
        <w:t>采购方</w:t>
      </w:r>
      <w:r>
        <w:rPr>
          <w:rFonts w:hint="eastAsia" w:ascii="宋体" w:hAnsi="宋体" w:cs="宋体"/>
          <w:szCs w:val="24"/>
        </w:rPr>
        <w:t>系统运行维护相关标准和管理办法；</w:t>
      </w:r>
    </w:p>
    <w:p>
      <w:pPr>
        <w:numPr>
          <w:ilvl w:val="0"/>
          <w:numId w:val="3"/>
        </w:numPr>
        <w:ind w:left="0" w:firstLine="480" w:firstLineChars="200"/>
        <w:rPr>
          <w:rFonts w:ascii="宋体" w:hAnsi="宋体" w:cs="宋体"/>
          <w:b/>
          <w:bCs/>
          <w:szCs w:val="24"/>
        </w:rPr>
      </w:pPr>
      <w:r>
        <w:rPr>
          <w:rFonts w:hint="eastAsia" w:ascii="宋体" w:hAnsi="宋体" w:cs="宋体"/>
          <w:szCs w:val="24"/>
        </w:rPr>
        <w:t>中标方必须完成项目要求的所有工作内容，工作完成情况证明由</w:t>
      </w:r>
      <w:r>
        <w:rPr>
          <w:rFonts w:hint="eastAsia" w:ascii="宋体" w:hAnsi="宋体" w:cs="宋体"/>
          <w:szCs w:val="24"/>
          <w:lang w:eastAsia="zh-CN"/>
        </w:rPr>
        <w:t>采购方</w:t>
      </w:r>
      <w:r>
        <w:rPr>
          <w:rFonts w:hint="eastAsia" w:ascii="宋体" w:hAnsi="宋体" w:cs="宋体"/>
          <w:szCs w:val="24"/>
        </w:rPr>
        <w:t>提供。</w:t>
      </w:r>
    </w:p>
    <w:p>
      <w:pPr>
        <w:pStyle w:val="4"/>
        <w:numPr>
          <w:ilvl w:val="0"/>
          <w:numId w:val="0"/>
        </w:numPr>
        <w:adjustRightInd w:val="0"/>
        <w:snapToGrid w:val="0"/>
        <w:spacing w:before="0" w:after="0" w:line="360" w:lineRule="auto"/>
        <w:ind w:firstLine="482" w:firstLineChars="200"/>
        <w:rPr>
          <w:rFonts w:ascii="宋体" w:hAnsi="宋体" w:cs="宋体"/>
          <w:sz w:val="24"/>
          <w:szCs w:val="24"/>
        </w:rPr>
      </w:pPr>
      <w:bookmarkStart w:id="7" w:name="_Toc26868"/>
      <w:bookmarkStart w:id="8" w:name="_Toc447029242"/>
      <w:bookmarkStart w:id="9" w:name="_Toc5486"/>
      <w:bookmarkStart w:id="10" w:name="_Toc525677596"/>
      <w:r>
        <w:rPr>
          <w:rFonts w:hint="eastAsia" w:ascii="宋体" w:hAnsi="宋体" w:cs="宋体"/>
          <w:sz w:val="24"/>
          <w:szCs w:val="24"/>
        </w:rPr>
        <w:t>4.2验收方法</w:t>
      </w:r>
      <w:bookmarkEnd w:id="7"/>
      <w:bookmarkEnd w:id="8"/>
      <w:bookmarkEnd w:id="9"/>
      <w:bookmarkEnd w:id="10"/>
    </w:p>
    <w:p>
      <w:pPr>
        <w:ind w:firstLine="484" w:firstLineChars="202"/>
        <w:rPr>
          <w:rFonts w:ascii="宋体" w:hAnsi="宋体" w:cs="宋体"/>
          <w:szCs w:val="24"/>
        </w:rPr>
      </w:pPr>
      <w:r>
        <w:rPr>
          <w:rFonts w:hint="eastAsia" w:ascii="宋体" w:hAnsi="宋体" w:cs="宋体"/>
          <w:szCs w:val="24"/>
        </w:rPr>
        <w:t>如双方认为项目已具备验收条件，中标方以书面方式向</w:t>
      </w:r>
      <w:r>
        <w:rPr>
          <w:rFonts w:hint="eastAsia" w:ascii="宋体" w:hAnsi="宋体" w:cs="宋体"/>
          <w:szCs w:val="24"/>
          <w:lang w:eastAsia="zh-CN"/>
        </w:rPr>
        <w:t>采购方</w:t>
      </w:r>
      <w:r>
        <w:rPr>
          <w:rFonts w:hint="eastAsia" w:ascii="宋体" w:hAnsi="宋体" w:cs="宋体"/>
          <w:szCs w:val="24"/>
        </w:rPr>
        <w:t>提出验收申请，</w:t>
      </w:r>
      <w:r>
        <w:rPr>
          <w:rFonts w:hint="eastAsia" w:ascii="宋体" w:hAnsi="宋体" w:cs="宋体"/>
          <w:szCs w:val="24"/>
          <w:lang w:eastAsia="zh-CN"/>
        </w:rPr>
        <w:t>采购方</w:t>
      </w:r>
      <w:r>
        <w:rPr>
          <w:rFonts w:hint="eastAsia" w:ascii="宋体" w:hAnsi="宋体" w:cs="宋体"/>
          <w:szCs w:val="24"/>
        </w:rPr>
        <w:t>在接到中标方验收申请后组织对中标方提交的资料进行审核，并组织相关人员对谈判中标方工作提交的交付物进行评审。</w:t>
      </w:r>
    </w:p>
    <w:p>
      <w:pPr>
        <w:pStyle w:val="4"/>
        <w:numPr>
          <w:ilvl w:val="0"/>
          <w:numId w:val="0"/>
        </w:numPr>
        <w:adjustRightInd w:val="0"/>
        <w:snapToGrid w:val="0"/>
        <w:spacing w:before="0" w:after="0" w:line="360" w:lineRule="auto"/>
        <w:ind w:firstLine="482" w:firstLineChars="200"/>
        <w:rPr>
          <w:rFonts w:ascii="宋体" w:hAnsi="宋体" w:cs="宋体"/>
          <w:sz w:val="24"/>
          <w:szCs w:val="24"/>
        </w:rPr>
      </w:pPr>
      <w:bookmarkStart w:id="11" w:name="_Toc15213"/>
      <w:bookmarkStart w:id="12" w:name="_Toc13538"/>
      <w:r>
        <w:rPr>
          <w:rFonts w:hint="eastAsia" w:ascii="宋体" w:hAnsi="宋体" w:cs="宋体"/>
          <w:sz w:val="24"/>
          <w:szCs w:val="24"/>
        </w:rPr>
        <w:t>4.3验收时间与地点</w:t>
      </w:r>
      <w:bookmarkEnd w:id="11"/>
      <w:bookmarkEnd w:id="12"/>
    </w:p>
    <w:p>
      <w:pPr>
        <w:numPr>
          <w:ilvl w:val="0"/>
          <w:numId w:val="4"/>
        </w:numPr>
        <w:ind w:left="0" w:firstLine="480" w:firstLineChars="200"/>
        <w:rPr>
          <w:rFonts w:ascii="宋体" w:hAnsi="宋体" w:cs="宋体"/>
          <w:szCs w:val="24"/>
        </w:rPr>
      </w:pPr>
      <w:r>
        <w:rPr>
          <w:rFonts w:hint="eastAsia" w:ascii="宋体" w:hAnsi="宋体" w:cs="宋体"/>
          <w:szCs w:val="24"/>
        </w:rPr>
        <w:t>验收时间：在完成项目合同约定内容后，中标方提交验收申请，经</w:t>
      </w:r>
      <w:r>
        <w:rPr>
          <w:rFonts w:hint="eastAsia" w:ascii="宋体" w:hAnsi="宋体" w:cs="宋体"/>
          <w:szCs w:val="24"/>
          <w:lang w:eastAsia="zh-CN"/>
        </w:rPr>
        <w:t>采购方</w:t>
      </w:r>
      <w:r>
        <w:rPr>
          <w:rFonts w:hint="eastAsia" w:ascii="宋体" w:hAnsi="宋体" w:cs="宋体"/>
          <w:szCs w:val="24"/>
        </w:rPr>
        <w:t>确认提交资料满足</w:t>
      </w:r>
      <w:r>
        <w:rPr>
          <w:rFonts w:hint="eastAsia" w:ascii="宋体" w:hAnsi="宋体" w:cs="宋体"/>
          <w:szCs w:val="24"/>
          <w:lang w:eastAsia="zh-CN"/>
        </w:rPr>
        <w:t>采购方</w:t>
      </w:r>
      <w:r>
        <w:rPr>
          <w:rFonts w:hint="eastAsia" w:ascii="宋体" w:hAnsi="宋体" w:cs="宋体"/>
          <w:szCs w:val="24"/>
        </w:rPr>
        <w:t>项目验收标准，可以开展验收。</w:t>
      </w:r>
    </w:p>
    <w:p>
      <w:pPr>
        <w:numPr>
          <w:ilvl w:val="0"/>
          <w:numId w:val="4"/>
        </w:numPr>
        <w:ind w:left="0" w:firstLine="480" w:firstLineChars="200"/>
        <w:rPr>
          <w:rFonts w:ascii="宋体" w:hAnsi="宋体" w:cs="宋体"/>
          <w:szCs w:val="24"/>
        </w:rPr>
      </w:pPr>
      <w:r>
        <w:rPr>
          <w:rFonts w:hint="eastAsia" w:ascii="宋体" w:hAnsi="宋体" w:cs="宋体"/>
          <w:szCs w:val="24"/>
        </w:rPr>
        <w:t>验收地点：双方具体约定。</w:t>
      </w:r>
    </w:p>
    <w:p>
      <w:pPr>
        <w:pStyle w:val="4"/>
        <w:pageBreakBefore w:val="0"/>
        <w:numPr>
          <w:ilvl w:val="0"/>
          <w:numId w:val="2"/>
        </w:numPr>
        <w:kinsoku/>
        <w:wordWrap/>
        <w:topLinePunct w:val="0"/>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lang w:val="en-US" w:eastAsia="zh-CN"/>
        </w:rPr>
      </w:pPr>
      <w:bookmarkStart w:id="13" w:name="_Toc7364"/>
      <w:r>
        <w:rPr>
          <w:rFonts w:hint="eastAsia" w:ascii="宋体" w:hAnsi="宋体" w:eastAsia="宋体" w:cs="宋体"/>
          <w:color w:val="auto"/>
          <w:sz w:val="24"/>
          <w:szCs w:val="24"/>
          <w:highlight w:val="none"/>
          <w:lang w:val="en-US" w:eastAsia="zh-CN"/>
        </w:rPr>
        <w:t>培训</w:t>
      </w:r>
      <w:bookmarkEnd w:id="13"/>
      <w:r>
        <w:rPr>
          <w:rFonts w:hint="eastAsia" w:ascii="宋体" w:hAnsi="宋体" w:cs="宋体"/>
          <w:color w:val="auto"/>
          <w:sz w:val="24"/>
          <w:szCs w:val="24"/>
          <w:highlight w:val="none"/>
          <w:lang w:val="en-US" w:eastAsia="zh-CN"/>
        </w:rPr>
        <w:t>要求</w:t>
      </w:r>
    </w:p>
    <w:p>
      <w:pPr>
        <w:ind w:firstLine="480"/>
        <w:rPr>
          <w:rFonts w:ascii="宋体" w:hAnsi="宋体" w:cs="宋体"/>
          <w:color w:val="auto"/>
          <w:szCs w:val="24"/>
          <w:highlight w:val="none"/>
        </w:rPr>
      </w:pPr>
      <w:r>
        <w:rPr>
          <w:rFonts w:hint="eastAsia" w:ascii="宋体" w:hAnsi="宋体" w:cs="宋体"/>
          <w:color w:val="auto"/>
          <w:szCs w:val="24"/>
          <w:highlight w:val="none"/>
          <w:lang w:val="en-US" w:eastAsia="zh-CN"/>
        </w:rPr>
        <w:t>中标方</w:t>
      </w:r>
      <w:r>
        <w:rPr>
          <w:rFonts w:hint="eastAsia" w:ascii="宋体" w:hAnsi="宋体" w:cs="宋体"/>
          <w:color w:val="auto"/>
          <w:szCs w:val="24"/>
          <w:highlight w:val="none"/>
        </w:rPr>
        <w:t>应向</w:t>
      </w:r>
      <w:r>
        <w:rPr>
          <w:rFonts w:hint="eastAsia" w:ascii="宋体" w:hAnsi="宋体" w:cs="宋体"/>
          <w:color w:val="auto"/>
          <w:szCs w:val="24"/>
          <w:highlight w:val="none"/>
          <w:lang w:eastAsia="zh-CN"/>
        </w:rPr>
        <w:t>采购方</w:t>
      </w:r>
      <w:r>
        <w:rPr>
          <w:rFonts w:hint="eastAsia" w:ascii="宋体" w:hAnsi="宋体" w:cs="宋体"/>
          <w:color w:val="auto"/>
          <w:szCs w:val="24"/>
          <w:highlight w:val="none"/>
        </w:rPr>
        <w:t>提供培训服务，并根据安装工作进程合理制订培训计划。</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ind w:leftChars="0" w:firstLine="480" w:firstLineChars="200"/>
        <w:textAlignment w:val="auto"/>
        <w:rPr>
          <w:rFonts w:ascii="宋体" w:hAnsi="宋体" w:cs="宋体"/>
          <w:color w:val="auto"/>
          <w:szCs w:val="24"/>
          <w:highlight w:val="none"/>
        </w:rPr>
      </w:pPr>
      <w:r>
        <w:rPr>
          <w:rFonts w:hint="eastAsia" w:ascii="宋体" w:hAnsi="宋体" w:cs="宋体"/>
          <w:color w:val="auto"/>
          <w:szCs w:val="24"/>
          <w:highlight w:val="none"/>
          <w:lang w:eastAsia="zh-CN"/>
        </w:rPr>
        <w:t>（</w:t>
      </w:r>
      <w:r>
        <w:rPr>
          <w:rFonts w:hint="eastAsia" w:ascii="宋体" w:hAnsi="宋体" w:cs="宋体"/>
          <w:color w:val="auto"/>
          <w:szCs w:val="24"/>
          <w:highlight w:val="none"/>
          <w:lang w:val="en-US" w:eastAsia="zh-CN"/>
        </w:rPr>
        <w:t>1</w:t>
      </w:r>
      <w:r>
        <w:rPr>
          <w:rFonts w:hint="eastAsia" w:ascii="宋体" w:hAnsi="宋体" w:cs="宋体"/>
          <w:color w:val="auto"/>
          <w:szCs w:val="24"/>
          <w:highlight w:val="none"/>
          <w:lang w:eastAsia="zh-CN"/>
        </w:rPr>
        <w:t>）</w:t>
      </w:r>
      <w:r>
        <w:rPr>
          <w:rFonts w:hint="eastAsia" w:ascii="宋体" w:hAnsi="宋体" w:cs="宋体"/>
          <w:color w:val="auto"/>
          <w:szCs w:val="24"/>
          <w:highlight w:val="none"/>
        </w:rPr>
        <w:t>在软件正式安装之前或之后，提供1天的现场培训，包括产品介绍、方案介绍、功能介绍、问题与咨询等。</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ind w:leftChars="0" w:firstLine="480" w:firstLineChars="200"/>
        <w:textAlignment w:val="auto"/>
        <w:rPr>
          <w:rFonts w:ascii="宋体" w:hAnsi="宋体" w:cs="宋体"/>
          <w:color w:val="auto"/>
          <w:szCs w:val="24"/>
          <w:highlight w:val="none"/>
        </w:rPr>
      </w:pPr>
      <w:r>
        <w:rPr>
          <w:rFonts w:hint="eastAsia" w:ascii="宋体" w:hAnsi="宋体" w:cs="宋体"/>
          <w:color w:val="auto"/>
          <w:szCs w:val="24"/>
          <w:highlight w:val="none"/>
          <w:lang w:eastAsia="zh-CN"/>
        </w:rPr>
        <w:t>（</w:t>
      </w:r>
      <w:r>
        <w:rPr>
          <w:rFonts w:hint="eastAsia" w:ascii="宋体" w:hAnsi="宋体" w:cs="宋体"/>
          <w:color w:val="auto"/>
          <w:szCs w:val="24"/>
          <w:highlight w:val="none"/>
          <w:lang w:val="en-US" w:eastAsia="zh-CN"/>
        </w:rPr>
        <w:t>2</w:t>
      </w:r>
      <w:r>
        <w:rPr>
          <w:rFonts w:hint="eastAsia" w:ascii="宋体" w:hAnsi="宋体" w:cs="宋体"/>
          <w:color w:val="auto"/>
          <w:szCs w:val="24"/>
          <w:highlight w:val="none"/>
          <w:lang w:eastAsia="zh-CN"/>
        </w:rPr>
        <w:t>）</w:t>
      </w:r>
      <w:r>
        <w:rPr>
          <w:rFonts w:hint="eastAsia" w:ascii="宋体" w:hAnsi="宋体" w:cs="宋体"/>
          <w:color w:val="auto"/>
          <w:szCs w:val="24"/>
          <w:highlight w:val="none"/>
        </w:rPr>
        <w:t>在安装</w:t>
      </w:r>
      <w:r>
        <w:rPr>
          <w:rFonts w:hint="eastAsia" w:ascii="宋体" w:hAnsi="宋体" w:eastAsia="宋体" w:cs="宋体"/>
          <w:color w:val="auto"/>
          <w:szCs w:val="24"/>
          <w:highlight w:val="none"/>
        </w:rPr>
        <w:t>过程</w:t>
      </w:r>
      <w:r>
        <w:rPr>
          <w:rFonts w:hint="eastAsia" w:ascii="宋体" w:hAnsi="宋体" w:cs="宋体"/>
          <w:color w:val="auto"/>
          <w:szCs w:val="24"/>
          <w:highlight w:val="none"/>
        </w:rPr>
        <w:t>中，为</w:t>
      </w:r>
      <w:r>
        <w:rPr>
          <w:rFonts w:hint="eastAsia" w:ascii="宋体" w:hAnsi="宋体" w:cs="宋体"/>
          <w:color w:val="auto"/>
          <w:szCs w:val="24"/>
          <w:highlight w:val="none"/>
          <w:lang w:eastAsia="zh-CN"/>
        </w:rPr>
        <w:t>采购方</w:t>
      </w:r>
      <w:r>
        <w:rPr>
          <w:rFonts w:hint="eastAsia" w:ascii="宋体" w:hAnsi="宋体" w:cs="宋体"/>
          <w:color w:val="auto"/>
          <w:szCs w:val="24"/>
          <w:highlight w:val="none"/>
        </w:rPr>
        <w:t>提供咨询等技术服务。</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ind w:leftChars="0" w:firstLine="480" w:firstLineChars="200"/>
        <w:textAlignment w:val="auto"/>
        <w:rPr>
          <w:rFonts w:ascii="宋体" w:hAnsi="宋体" w:cs="宋体"/>
          <w:color w:val="auto"/>
          <w:szCs w:val="24"/>
          <w:highlight w:val="none"/>
        </w:rPr>
      </w:pPr>
      <w:r>
        <w:rPr>
          <w:rFonts w:hint="eastAsia" w:ascii="宋体" w:hAnsi="宋体" w:cs="宋体"/>
          <w:color w:val="auto"/>
          <w:szCs w:val="24"/>
          <w:highlight w:val="none"/>
          <w:lang w:eastAsia="zh-CN"/>
        </w:rPr>
        <w:t>（</w:t>
      </w:r>
      <w:r>
        <w:rPr>
          <w:rFonts w:hint="eastAsia" w:ascii="宋体" w:hAnsi="宋体" w:cs="宋体"/>
          <w:color w:val="auto"/>
          <w:szCs w:val="24"/>
          <w:highlight w:val="none"/>
          <w:lang w:val="en-US" w:eastAsia="zh-CN"/>
        </w:rPr>
        <w:t>3</w:t>
      </w:r>
      <w:r>
        <w:rPr>
          <w:rFonts w:hint="eastAsia" w:ascii="宋体" w:hAnsi="宋体" w:cs="宋体"/>
          <w:color w:val="auto"/>
          <w:szCs w:val="24"/>
          <w:highlight w:val="none"/>
          <w:lang w:eastAsia="zh-CN"/>
        </w:rPr>
        <w:t>）</w:t>
      </w:r>
      <w:r>
        <w:rPr>
          <w:rFonts w:hint="eastAsia" w:ascii="宋体" w:hAnsi="宋体" w:cs="宋体"/>
          <w:color w:val="auto"/>
          <w:szCs w:val="24"/>
          <w:highlight w:val="none"/>
        </w:rPr>
        <w:t>安装完毕后，提供完整的现场培训，包括系统安装、配置、维护管理、使用等方面。</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ind w:leftChars="0" w:firstLine="480" w:firstLineChars="200"/>
        <w:textAlignment w:val="auto"/>
        <w:rPr>
          <w:rFonts w:ascii="宋体" w:hAnsi="宋体" w:cs="宋体"/>
          <w:color w:val="auto"/>
          <w:szCs w:val="24"/>
          <w:highlight w:val="none"/>
        </w:rPr>
      </w:pPr>
      <w:r>
        <w:rPr>
          <w:rFonts w:hint="eastAsia" w:ascii="宋体" w:hAnsi="宋体" w:cs="宋体"/>
          <w:color w:val="auto"/>
          <w:szCs w:val="24"/>
          <w:highlight w:val="none"/>
          <w:lang w:eastAsia="zh-CN"/>
        </w:rPr>
        <w:t>（</w:t>
      </w:r>
      <w:r>
        <w:rPr>
          <w:rFonts w:hint="eastAsia" w:ascii="宋体" w:hAnsi="宋体" w:cs="宋体"/>
          <w:color w:val="auto"/>
          <w:szCs w:val="24"/>
          <w:highlight w:val="none"/>
          <w:lang w:val="en-US" w:eastAsia="zh-CN"/>
        </w:rPr>
        <w:t>4</w:t>
      </w:r>
      <w:r>
        <w:rPr>
          <w:rFonts w:hint="eastAsia" w:ascii="宋体" w:hAnsi="宋体" w:cs="宋体"/>
          <w:color w:val="auto"/>
          <w:szCs w:val="24"/>
          <w:highlight w:val="none"/>
          <w:lang w:eastAsia="zh-CN"/>
        </w:rPr>
        <w:t>）</w:t>
      </w:r>
      <w:r>
        <w:rPr>
          <w:rFonts w:hint="eastAsia" w:ascii="宋体" w:hAnsi="宋体" w:cs="宋体"/>
          <w:color w:val="auto"/>
          <w:szCs w:val="24"/>
          <w:highlight w:val="none"/>
        </w:rPr>
        <w:t>提供</w:t>
      </w:r>
      <w:r>
        <w:rPr>
          <w:rFonts w:hint="eastAsia" w:ascii="宋体" w:hAnsi="宋体" w:eastAsia="宋体" w:cs="宋体"/>
          <w:color w:val="auto"/>
          <w:szCs w:val="24"/>
          <w:highlight w:val="none"/>
        </w:rPr>
        <w:t>相关培训</w:t>
      </w:r>
      <w:r>
        <w:rPr>
          <w:rFonts w:hint="eastAsia" w:ascii="宋体" w:hAnsi="宋体" w:cs="宋体"/>
          <w:color w:val="auto"/>
          <w:szCs w:val="24"/>
          <w:highlight w:val="none"/>
        </w:rPr>
        <w:t>资料。</w:t>
      </w:r>
    </w:p>
    <w:p>
      <w:pPr>
        <w:keepNext w:val="0"/>
        <w:keepLines w:val="0"/>
        <w:pageBreakBefore w:val="0"/>
        <w:widowControl w:val="0"/>
        <w:numPr>
          <w:ilvl w:val="0"/>
          <w:numId w:val="0"/>
        </w:numPr>
        <w:tabs>
          <w:tab w:val="left" w:pos="360"/>
        </w:tabs>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ascii="宋体" w:hAnsi="宋体" w:cs="宋体"/>
          <w:color w:val="auto"/>
          <w:szCs w:val="24"/>
          <w:highlight w:val="none"/>
          <w:lang w:eastAsia="zh-CN"/>
        </w:rPr>
        <w:t>（</w:t>
      </w:r>
      <w:r>
        <w:rPr>
          <w:rFonts w:hint="eastAsia" w:ascii="宋体" w:hAnsi="宋体" w:cs="宋体"/>
          <w:color w:val="auto"/>
          <w:szCs w:val="24"/>
          <w:highlight w:val="none"/>
          <w:lang w:val="en-US" w:eastAsia="zh-CN"/>
        </w:rPr>
        <w:t>5</w:t>
      </w:r>
      <w:r>
        <w:rPr>
          <w:rFonts w:hint="eastAsia" w:ascii="宋体" w:hAnsi="宋体" w:cs="宋体"/>
          <w:color w:val="auto"/>
          <w:szCs w:val="24"/>
          <w:highlight w:val="none"/>
          <w:lang w:eastAsia="zh-CN"/>
        </w:rPr>
        <w:t>）</w:t>
      </w:r>
      <w:r>
        <w:rPr>
          <w:rFonts w:hint="eastAsia" w:ascii="宋体" w:hAnsi="宋体" w:cs="宋体"/>
          <w:color w:val="auto"/>
          <w:szCs w:val="24"/>
          <w:highlight w:val="none"/>
        </w:rPr>
        <w:t>培训师应</w:t>
      </w:r>
      <w:r>
        <w:rPr>
          <w:rFonts w:hint="eastAsia" w:ascii="宋体" w:hAnsi="宋体" w:eastAsia="宋体" w:cs="宋体"/>
          <w:color w:val="auto"/>
          <w:szCs w:val="24"/>
          <w:highlight w:val="none"/>
        </w:rPr>
        <w:t>熟悉投标</w:t>
      </w:r>
      <w:r>
        <w:rPr>
          <w:rFonts w:hint="eastAsia" w:ascii="宋体" w:hAnsi="宋体" w:cs="宋体"/>
          <w:color w:val="auto"/>
          <w:szCs w:val="24"/>
          <w:highlight w:val="none"/>
        </w:rPr>
        <w:t>产品的</w:t>
      </w:r>
      <w:r>
        <w:rPr>
          <w:rFonts w:hint="eastAsia" w:ascii="宋体" w:hAnsi="宋体" w:eastAsia="宋体" w:cs="宋体"/>
          <w:color w:val="auto"/>
          <w:szCs w:val="24"/>
          <w:highlight w:val="none"/>
        </w:rPr>
        <w:t>技术</w:t>
      </w:r>
      <w:r>
        <w:rPr>
          <w:rFonts w:hint="eastAsia" w:ascii="宋体" w:hAnsi="宋体" w:cs="宋体"/>
          <w:color w:val="auto"/>
          <w:szCs w:val="24"/>
          <w:highlight w:val="none"/>
        </w:rPr>
        <w:t>、使用方法、配置和维护管理等，能够为</w:t>
      </w:r>
      <w:r>
        <w:rPr>
          <w:rFonts w:hint="eastAsia" w:ascii="宋体" w:hAnsi="宋体" w:cs="宋体"/>
          <w:color w:val="auto"/>
          <w:szCs w:val="24"/>
          <w:highlight w:val="none"/>
          <w:lang w:eastAsia="zh-CN"/>
        </w:rPr>
        <w:t>采购方</w:t>
      </w:r>
      <w:r>
        <w:rPr>
          <w:rFonts w:hint="eastAsia" w:ascii="宋体" w:hAnsi="宋体" w:cs="宋体"/>
          <w:color w:val="auto"/>
          <w:szCs w:val="24"/>
          <w:highlight w:val="none"/>
        </w:rPr>
        <w:t>提供咨询等技术服务。</w:t>
      </w:r>
    </w:p>
    <w:p>
      <w:pPr>
        <w:pStyle w:val="4"/>
        <w:pageBreakBefore w:val="0"/>
        <w:numPr>
          <w:ilvl w:val="0"/>
          <w:numId w:val="2"/>
        </w:numPr>
        <w:kinsoku/>
        <w:wordWrap/>
        <w:topLinePunct w:val="0"/>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lang w:val="en-US" w:eastAsia="zh-CN"/>
        </w:rPr>
      </w:pPr>
      <w:bookmarkStart w:id="14" w:name="_Toc11216"/>
      <w:bookmarkStart w:id="15" w:name="_Toc6106"/>
      <w:r>
        <w:rPr>
          <w:rFonts w:hint="eastAsia" w:ascii="宋体" w:hAnsi="宋体" w:eastAsia="宋体" w:cs="宋体"/>
          <w:color w:val="auto"/>
          <w:sz w:val="24"/>
          <w:szCs w:val="24"/>
          <w:highlight w:val="none"/>
          <w:lang w:val="en-US" w:eastAsia="zh-CN"/>
        </w:rPr>
        <w:t>保密要求</w:t>
      </w:r>
      <w:bookmarkEnd w:id="14"/>
    </w:p>
    <w:bookmarkEnd w:id="15"/>
    <w:p>
      <w:pPr>
        <w:tabs>
          <w:tab w:val="left" w:pos="709"/>
        </w:tabs>
        <w:adjustRightInd w:val="0"/>
        <w:snapToGrid w:val="0"/>
        <w:ind w:firstLine="480" w:firstLineChars="200"/>
        <w:rPr>
          <w:rFonts w:ascii="宋体" w:hAnsi="宋体"/>
        </w:rPr>
      </w:pPr>
      <w:r>
        <w:rPr>
          <w:rFonts w:hint="eastAsia" w:ascii="宋体" w:hAnsi="宋体"/>
          <w:color w:val="auto"/>
          <w:szCs w:val="24"/>
          <w:highlight w:val="none"/>
          <w:lang w:val="en-US" w:eastAsia="zh-CN"/>
        </w:rPr>
        <w:t>中标</w:t>
      </w:r>
      <w:r>
        <w:rPr>
          <w:rFonts w:hint="eastAsia" w:ascii="宋体" w:hAnsi="宋体"/>
          <w:color w:val="auto"/>
          <w:szCs w:val="24"/>
          <w:highlight w:val="none"/>
          <w:lang w:eastAsia="zh-CN"/>
        </w:rPr>
        <w:t>方</w:t>
      </w:r>
      <w:r>
        <w:rPr>
          <w:rFonts w:hint="eastAsia" w:ascii="宋体" w:hAnsi="宋体"/>
          <w:color w:val="auto"/>
          <w:szCs w:val="24"/>
          <w:highlight w:val="none"/>
          <w:lang w:val="en-US" w:eastAsia="zh-CN"/>
        </w:rPr>
        <w:t>应</w:t>
      </w:r>
      <w:r>
        <w:rPr>
          <w:rFonts w:hint="eastAsia" w:ascii="宋体" w:hAnsi="宋体" w:cs="Times New Roman"/>
          <w:color w:val="auto"/>
          <w:szCs w:val="24"/>
          <w:highlight w:val="none"/>
          <w:lang w:val="en-US" w:eastAsia="zh-CN"/>
        </w:rPr>
        <w:t>承诺遵守项目建设方的保密规定，涉及项目的技术人员均应签订保密承诺书，确保不发生敏感信息泄露事件。</w:t>
      </w:r>
    </w:p>
    <w:p/>
    <w:sectPr>
      <w:headerReference r:id="rId8" w:type="first"/>
      <w:footerReference r:id="rId9" w:type="default"/>
      <w:headerReference r:id="rId7" w:type="even"/>
      <w:pgSz w:w="11906" w:h="16838"/>
      <w:pgMar w:top="1440" w:right="1797" w:bottom="1440" w:left="1797" w:header="851" w:footer="992" w:gutter="0"/>
      <w:pgNumType w:start="0"/>
      <w:cols w:space="425" w:num="1"/>
      <w:titlePg/>
      <w:docGrid w:type="lines"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D8FEB576D77941BB93429AEA06A021DD" w:date="2022-11-01T17:44:00Z" w:initials="张维14:57:3">
    <w:p w14:paraId="43CA6594">
      <w:pPr>
        <w:pStyle w:val="7"/>
      </w:pPr>
      <w:r>
        <w:rPr>
          <w:rFonts w:hint="eastAsia"/>
        </w:rPr>
        <w:t>技术服务的范围</w:t>
      </w:r>
    </w:p>
  </w:comment>
  <w:comment w:id="1" w:author="D8FEB576D77941BB93429AEA06A021DD" w:date="2022-11-01T17:44:00Z" w:initials="张维14:57:3">
    <w:p w14:paraId="3B4D56E5">
      <w:pPr>
        <w:pStyle w:val="7"/>
      </w:pPr>
      <w:r>
        <w:rPr>
          <w:rFonts w:hint="eastAsia"/>
        </w:rPr>
        <w:t>列出具体的服务内容，比如需要提供什么服务，或者完成什么功能修理，要达到什么要求，满足什么指标，服务响应时间要求是什么，服务方式是远程还是现场或其他，需要提供什么报告或者文档，工期要求，质保要求、对实施方案等的要求等，只要是这个项目中要求供应商提供的服务，都可以写在这部分</w:t>
      </w:r>
    </w:p>
  </w:comment>
  <w:comment w:id="2" w:author="D8FEB576D77941BB93429AEA06A021DD" w:date="2022-11-01T17:47:00Z" w:initials="张维14:57:3">
    <w:p w14:paraId="3A12001B">
      <w:pPr>
        <w:pStyle w:val="7"/>
      </w:pPr>
      <w:r>
        <w:rPr>
          <w:rFonts w:hint="eastAsia"/>
        </w:rPr>
        <w:t>为本项目配置的人员需要有什么资质、什么工作经验，需要多少人等，对服务人员提出要求</w:t>
      </w:r>
    </w:p>
  </w:comment>
  <w:comment w:id="3" w:author="D8FEB576D77941BB93429AEA06A021DD" w:date="2022-11-01T17:48:00Z" w:initials="张维14:57:3">
    <w:p w14:paraId="2E1517B7">
      <w:pPr>
        <w:pStyle w:val="7"/>
      </w:pPr>
      <w:r>
        <w:rPr>
          <w:rFonts w:hint="eastAsia"/>
        </w:rPr>
        <w:t>提出验收时需达到的标准及验收的其他要求，如验收时间、验收人员等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3CA6594" w15:done="0"/>
  <w15:commentEx w15:paraId="3B4D56E5" w15:done="0"/>
  <w15:commentEx w15:paraId="3A12001B" w15:done="0"/>
  <w15:commentEx w15:paraId="2E1517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3070165"/>
      <w:docPartObj>
        <w:docPartGallery w:val="autotext"/>
      </w:docPartObj>
    </w:sdtPr>
    <w:sdtContent>
      <w:p>
        <w:pPr>
          <w:pStyle w:val="8"/>
          <w:jc w:val="center"/>
        </w:pPr>
        <w:r>
          <w:fldChar w:fldCharType="begin"/>
        </w:r>
        <w:r>
          <w:instrText xml:space="preserve">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8973820" cy="662051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8973820" cy="6620510"/>
          <wp:effectExtent l="0" t="0" r="0" b="0"/>
          <wp:wrapNone/>
          <wp:docPr id="1" name="WordPictureWatermark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0009"/>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84E85F"/>
    <w:multiLevelType w:val="singleLevel"/>
    <w:tmpl w:val="9A84E85F"/>
    <w:lvl w:ilvl="0" w:tentative="0">
      <w:start w:val="1"/>
      <w:numFmt w:val="decimal"/>
      <w:lvlText w:val="%1."/>
      <w:lvlJc w:val="left"/>
      <w:pPr>
        <w:ind w:left="425" w:hanging="425"/>
      </w:pPr>
      <w:rPr>
        <w:rFonts w:hint="default"/>
        <w:b w:val="0"/>
        <w:bCs w:val="0"/>
      </w:rPr>
    </w:lvl>
  </w:abstractNum>
  <w:abstractNum w:abstractNumId="1">
    <w:nsid w:val="E3DB38BC"/>
    <w:multiLevelType w:val="singleLevel"/>
    <w:tmpl w:val="E3DB38BC"/>
    <w:lvl w:ilvl="0" w:tentative="0">
      <w:start w:val="1"/>
      <w:numFmt w:val="decimal"/>
      <w:lvlText w:val="%1."/>
      <w:lvlJc w:val="left"/>
      <w:pPr>
        <w:ind w:left="425" w:hanging="425"/>
      </w:pPr>
      <w:rPr>
        <w:rFonts w:hint="default"/>
      </w:rPr>
    </w:lvl>
  </w:abstractNum>
  <w:abstractNum w:abstractNumId="2">
    <w:nsid w:val="01147F5D"/>
    <w:multiLevelType w:val="multilevel"/>
    <w:tmpl w:val="01147F5D"/>
    <w:lvl w:ilvl="0" w:tentative="0">
      <w:start w:val="1"/>
      <w:numFmt w:val="japaneseCounting"/>
      <w:lvlText w:val="%1、"/>
      <w:lvlJc w:val="left"/>
      <w:pPr>
        <w:ind w:left="4189"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9E7DFA"/>
    <w:multiLevelType w:val="multilevel"/>
    <w:tmpl w:val="5A9E7DFA"/>
    <w:lvl w:ilvl="0" w:tentative="0">
      <w:start w:val="1"/>
      <w:numFmt w:val="decimal"/>
      <w:pStyle w:val="4"/>
      <w:lvlText w:val="%1"/>
      <w:lvlJc w:val="left"/>
      <w:pPr>
        <w:ind w:left="432" w:hanging="432"/>
      </w:pPr>
    </w:lvl>
    <w:lvl w:ilvl="1" w:tentative="0">
      <w:start w:val="1"/>
      <w:numFmt w:val="decimal"/>
      <w:lvlText w:val="%1.%2"/>
      <w:lvlJc w:val="left"/>
      <w:pPr>
        <w:ind w:left="576" w:hanging="576"/>
      </w:pPr>
    </w:lvl>
    <w:lvl w:ilvl="2" w:tentative="0">
      <w:start w:val="1"/>
      <w:numFmt w:val="decimal"/>
      <w:pStyle w:val="6"/>
      <w:lvlText w:val="%1.%2.%3"/>
      <w:lvlJc w:val="left"/>
      <w:pPr>
        <w:ind w:left="4123" w:hanging="720"/>
      </w:pPr>
      <w:rPr>
        <w:sz w:val="28"/>
      </w:rPr>
    </w:lvl>
    <w:lvl w:ilvl="3" w:tentative="0">
      <w:start w:val="1"/>
      <w:numFmt w:val="decimal"/>
      <w:lvlText w:val="%1.%2.%3.%4"/>
      <w:lvlJc w:val="left"/>
      <w:pPr>
        <w:ind w:left="864" w:hanging="864"/>
      </w:pPr>
      <w:rPr>
        <w:rFonts w:hint="default" w:ascii="黑体" w:hAnsi="黑体" w:eastAsia="黑体"/>
      </w:r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8FEB576D77941BB93429AEA06A021DD">
    <w15:presenceInfo w15:providerId="None" w15:userId="D8FEB576D77941BB93429AEA06A021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076"/>
    <w:rsid w:val="000808BB"/>
    <w:rsid w:val="00114A68"/>
    <w:rsid w:val="00115F03"/>
    <w:rsid w:val="00216DF2"/>
    <w:rsid w:val="002C6EFD"/>
    <w:rsid w:val="00307731"/>
    <w:rsid w:val="003248C6"/>
    <w:rsid w:val="003E7623"/>
    <w:rsid w:val="003F21FF"/>
    <w:rsid w:val="003F566F"/>
    <w:rsid w:val="00511BBD"/>
    <w:rsid w:val="005803BA"/>
    <w:rsid w:val="0069358C"/>
    <w:rsid w:val="00707075"/>
    <w:rsid w:val="0082724A"/>
    <w:rsid w:val="00892076"/>
    <w:rsid w:val="009C5D12"/>
    <w:rsid w:val="00A87E2F"/>
    <w:rsid w:val="00AC6948"/>
    <w:rsid w:val="00B10312"/>
    <w:rsid w:val="00B41DF8"/>
    <w:rsid w:val="00CB32F1"/>
    <w:rsid w:val="00CE24FA"/>
    <w:rsid w:val="00D33392"/>
    <w:rsid w:val="00D33AEA"/>
    <w:rsid w:val="00DB5330"/>
    <w:rsid w:val="00E2423E"/>
    <w:rsid w:val="00E86CFA"/>
    <w:rsid w:val="00FC549F"/>
    <w:rsid w:val="00FF7C64"/>
    <w:rsid w:val="036625B6"/>
    <w:rsid w:val="042D7874"/>
    <w:rsid w:val="051B6360"/>
    <w:rsid w:val="069E14DC"/>
    <w:rsid w:val="0BA91575"/>
    <w:rsid w:val="0C40745B"/>
    <w:rsid w:val="0CCB54CD"/>
    <w:rsid w:val="0D4A2AD4"/>
    <w:rsid w:val="0D990FCC"/>
    <w:rsid w:val="0ED84D8E"/>
    <w:rsid w:val="10852382"/>
    <w:rsid w:val="10AD0E89"/>
    <w:rsid w:val="10FB7B55"/>
    <w:rsid w:val="12550138"/>
    <w:rsid w:val="13393988"/>
    <w:rsid w:val="14F83CE5"/>
    <w:rsid w:val="15185B4E"/>
    <w:rsid w:val="15A02796"/>
    <w:rsid w:val="15FB7AC0"/>
    <w:rsid w:val="16E54815"/>
    <w:rsid w:val="1741045D"/>
    <w:rsid w:val="191A472E"/>
    <w:rsid w:val="1A451B0A"/>
    <w:rsid w:val="1A67469C"/>
    <w:rsid w:val="1C2F0EBE"/>
    <w:rsid w:val="1CFF2F1F"/>
    <w:rsid w:val="1DC00E37"/>
    <w:rsid w:val="1DCC0AB0"/>
    <w:rsid w:val="1E1701F8"/>
    <w:rsid w:val="1E1912BE"/>
    <w:rsid w:val="1E4D3CA1"/>
    <w:rsid w:val="1F0C2D4C"/>
    <w:rsid w:val="1F8345C2"/>
    <w:rsid w:val="203D61C9"/>
    <w:rsid w:val="204F4F90"/>
    <w:rsid w:val="218E3750"/>
    <w:rsid w:val="219D6B76"/>
    <w:rsid w:val="22B6158C"/>
    <w:rsid w:val="24AB2563"/>
    <w:rsid w:val="251D30D1"/>
    <w:rsid w:val="25BE76D0"/>
    <w:rsid w:val="275321BC"/>
    <w:rsid w:val="275E3225"/>
    <w:rsid w:val="296B12F2"/>
    <w:rsid w:val="29ED2EBC"/>
    <w:rsid w:val="2A217E90"/>
    <w:rsid w:val="2BB73D17"/>
    <w:rsid w:val="2C192582"/>
    <w:rsid w:val="2CC154EF"/>
    <w:rsid w:val="2E185DF4"/>
    <w:rsid w:val="2E2352A5"/>
    <w:rsid w:val="30732757"/>
    <w:rsid w:val="30900C66"/>
    <w:rsid w:val="3271060E"/>
    <w:rsid w:val="334703E9"/>
    <w:rsid w:val="34725825"/>
    <w:rsid w:val="34D76A2A"/>
    <w:rsid w:val="34E41FB8"/>
    <w:rsid w:val="35344040"/>
    <w:rsid w:val="35633E7E"/>
    <w:rsid w:val="360E316A"/>
    <w:rsid w:val="36223FAB"/>
    <w:rsid w:val="364577ED"/>
    <w:rsid w:val="37B16BDC"/>
    <w:rsid w:val="3B29663C"/>
    <w:rsid w:val="3B2E2ED9"/>
    <w:rsid w:val="3D85606A"/>
    <w:rsid w:val="3E4E2C09"/>
    <w:rsid w:val="3E52273F"/>
    <w:rsid w:val="3F271A08"/>
    <w:rsid w:val="3FBE1083"/>
    <w:rsid w:val="41116C77"/>
    <w:rsid w:val="41CF1BB9"/>
    <w:rsid w:val="421931F2"/>
    <w:rsid w:val="43CB74AB"/>
    <w:rsid w:val="443815EC"/>
    <w:rsid w:val="44610D1D"/>
    <w:rsid w:val="44A935A5"/>
    <w:rsid w:val="455126A8"/>
    <w:rsid w:val="463C50C4"/>
    <w:rsid w:val="46B37AA2"/>
    <w:rsid w:val="496A328F"/>
    <w:rsid w:val="4A4A0751"/>
    <w:rsid w:val="4A5A46C4"/>
    <w:rsid w:val="4BE1604B"/>
    <w:rsid w:val="4C585496"/>
    <w:rsid w:val="4C9E4AFA"/>
    <w:rsid w:val="4D9823B7"/>
    <w:rsid w:val="4DD43DBE"/>
    <w:rsid w:val="4E574E7C"/>
    <w:rsid w:val="533930F6"/>
    <w:rsid w:val="53760E07"/>
    <w:rsid w:val="54EF3D89"/>
    <w:rsid w:val="558D17BE"/>
    <w:rsid w:val="56EF4616"/>
    <w:rsid w:val="57464A55"/>
    <w:rsid w:val="57B21CC8"/>
    <w:rsid w:val="59E2311E"/>
    <w:rsid w:val="5C2A2C0B"/>
    <w:rsid w:val="5CCB658A"/>
    <w:rsid w:val="5DB25531"/>
    <w:rsid w:val="5F2D02BC"/>
    <w:rsid w:val="5F971C54"/>
    <w:rsid w:val="5FA317A8"/>
    <w:rsid w:val="5FC5349C"/>
    <w:rsid w:val="5FFF62A3"/>
    <w:rsid w:val="619A099C"/>
    <w:rsid w:val="61CA3320"/>
    <w:rsid w:val="61D27A13"/>
    <w:rsid w:val="63FE2EBF"/>
    <w:rsid w:val="65C03BAE"/>
    <w:rsid w:val="678041CA"/>
    <w:rsid w:val="67D86468"/>
    <w:rsid w:val="68264723"/>
    <w:rsid w:val="6845018C"/>
    <w:rsid w:val="68694610"/>
    <w:rsid w:val="688E1663"/>
    <w:rsid w:val="6970011D"/>
    <w:rsid w:val="6ACD3089"/>
    <w:rsid w:val="6C320A24"/>
    <w:rsid w:val="6CBF39B1"/>
    <w:rsid w:val="6F514736"/>
    <w:rsid w:val="722565CB"/>
    <w:rsid w:val="73034D1C"/>
    <w:rsid w:val="743F413C"/>
    <w:rsid w:val="74D01BE7"/>
    <w:rsid w:val="74F75B56"/>
    <w:rsid w:val="762C6AE5"/>
    <w:rsid w:val="7634236B"/>
    <w:rsid w:val="76927512"/>
    <w:rsid w:val="77F6037C"/>
    <w:rsid w:val="795D74BD"/>
    <w:rsid w:val="79BD67EE"/>
    <w:rsid w:val="7B56632B"/>
    <w:rsid w:val="7B686F56"/>
    <w:rsid w:val="7B870285"/>
    <w:rsid w:val="7CFF1A00"/>
    <w:rsid w:val="7F4E67B2"/>
    <w:rsid w:val="7FEF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宋体" w:cs="Times New Roman"/>
      <w:kern w:val="2"/>
      <w:sz w:val="24"/>
      <w:szCs w:val="22"/>
      <w:lang w:val="en-US" w:eastAsia="zh-CN" w:bidi="ar-SA"/>
    </w:rPr>
  </w:style>
  <w:style w:type="paragraph" w:styleId="4">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5">
    <w:name w:val="heading 2"/>
    <w:basedOn w:val="1"/>
    <w:next w:val="1"/>
    <w:link w:val="18"/>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unhideWhenUsed/>
    <w:qFormat/>
    <w:uiPriority w:val="0"/>
    <w:pPr>
      <w:keepNext/>
      <w:keepLines/>
      <w:numPr>
        <w:ilvl w:val="2"/>
        <w:numId w:val="1"/>
      </w:numPr>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Title"/>
    <w:basedOn w:val="1"/>
    <w:next w:val="1"/>
    <w:qFormat/>
    <w:uiPriority w:val="0"/>
    <w:pPr>
      <w:spacing w:before="240" w:after="60"/>
      <w:jc w:val="center"/>
      <w:outlineLvl w:val="0"/>
    </w:pPr>
    <w:rPr>
      <w:rFonts w:ascii="Cambria" w:hAnsi="Cambria"/>
      <w:b/>
      <w:sz w:val="32"/>
    </w:rPr>
  </w:style>
  <w:style w:type="paragraph" w:styleId="7">
    <w:name w:val="annotation text"/>
    <w:basedOn w:val="1"/>
    <w:qFormat/>
    <w:uiPriority w:val="0"/>
    <w:pPr>
      <w:jc w:val="left"/>
    </w:pPr>
  </w:style>
  <w:style w:type="paragraph" w:styleId="8">
    <w:name w:val="footer"/>
    <w:basedOn w:val="1"/>
    <w:link w:val="2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21"/>
    <w:qFormat/>
    <w:uiPriority w:val="0"/>
    <w:pPr>
      <w:tabs>
        <w:tab w:val="center" w:pos="4153"/>
        <w:tab w:val="right" w:pos="8306"/>
      </w:tabs>
      <w:snapToGrid w:val="0"/>
      <w:spacing w:line="240" w:lineRule="auto"/>
      <w:jc w:val="center"/>
    </w:pPr>
    <w:rPr>
      <w:sz w:val="18"/>
      <w:szCs w:val="18"/>
    </w:rPr>
  </w:style>
  <w:style w:type="paragraph" w:styleId="10">
    <w:name w:val="toc 1"/>
    <w:basedOn w:val="1"/>
    <w:next w:val="1"/>
    <w:qFormat/>
    <w:uiPriority w:val="39"/>
    <w:pPr>
      <w:spacing w:before="120" w:after="120" w:line="240" w:lineRule="auto"/>
      <w:jc w:val="left"/>
    </w:pPr>
    <w:rPr>
      <w:rFonts w:ascii="Times New Roman" w:hAnsi="Times New Roman"/>
      <w:b/>
      <w:bCs/>
      <w:caps/>
      <w:sz w:val="20"/>
      <w:szCs w:val="20"/>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qFormat/>
    <w:uiPriority w:val="0"/>
    <w:rPr>
      <w:sz w:val="21"/>
      <w:szCs w:val="21"/>
    </w:rPr>
  </w:style>
  <w:style w:type="paragraph" w:customStyle="1" w:styleId="15">
    <w:name w:val="样式 正文首行缩进 + 段前: 0.5 行 段后: 0.5 行"/>
    <w:basedOn w:val="1"/>
    <w:qFormat/>
    <w:uiPriority w:val="0"/>
    <w:pPr>
      <w:spacing w:beforeLines="50" w:afterLines="50" w:line="480" w:lineRule="exact"/>
      <w:ind w:firstLine="420"/>
    </w:pPr>
    <w:rPr>
      <w:rFonts w:ascii="Times New Roman" w:hAnsi="Times New Roman" w:cs="宋体"/>
      <w:szCs w:val="20"/>
    </w:rPr>
  </w:style>
  <w:style w:type="paragraph" w:styleId="16">
    <w:name w:val="List Paragraph"/>
    <w:basedOn w:val="1"/>
    <w:qFormat/>
    <w:uiPriority w:val="99"/>
    <w:pPr>
      <w:ind w:firstLine="420" w:firstLineChars="200"/>
    </w:pPr>
  </w:style>
  <w:style w:type="paragraph" w:customStyle="1" w:styleId="17">
    <w:name w:val="内容正文"/>
    <w:basedOn w:val="1"/>
    <w:qFormat/>
    <w:uiPriority w:val="0"/>
    <w:pPr>
      <w:spacing w:beforeLines="50" w:afterLines="50"/>
    </w:pPr>
    <w:rPr>
      <w:rFonts w:ascii="Arial" w:hAnsi="Arial"/>
      <w:szCs w:val="21"/>
    </w:rPr>
  </w:style>
  <w:style w:type="character" w:customStyle="1" w:styleId="18">
    <w:name w:val="标题 2 字符"/>
    <w:basedOn w:val="13"/>
    <w:link w:val="5"/>
    <w:semiHidden/>
    <w:qFormat/>
    <w:uiPriority w:val="0"/>
    <w:rPr>
      <w:rFonts w:asciiTheme="majorHAnsi" w:hAnsiTheme="majorHAnsi" w:eastAsiaTheme="majorEastAsia" w:cstheme="majorBidi"/>
      <w:b/>
      <w:bCs/>
      <w:kern w:val="2"/>
      <w:sz w:val="32"/>
      <w:szCs w:val="32"/>
    </w:rPr>
  </w:style>
  <w:style w:type="paragraph" w:customStyle="1" w:styleId="19">
    <w:name w:val="方案正文"/>
    <w:basedOn w:val="1"/>
    <w:qFormat/>
    <w:uiPriority w:val="0"/>
    <w:pPr>
      <w:spacing w:before="156"/>
      <w:ind w:firstLine="359" w:firstLineChars="171"/>
      <w:jc w:val="left"/>
    </w:pPr>
    <w:rPr>
      <w:rFonts w:ascii="Arial" w:hAnsi="Arial" w:eastAsiaTheme="minorEastAsia" w:cstheme="minorBidi"/>
      <w:sz w:val="21"/>
      <w:szCs w:val="21"/>
    </w:rPr>
  </w:style>
  <w:style w:type="paragraph" w:customStyle="1" w:styleId="20">
    <w:name w:val="列表段落1"/>
    <w:basedOn w:val="1"/>
    <w:qFormat/>
    <w:uiPriority w:val="34"/>
    <w:pPr>
      <w:spacing w:line="240" w:lineRule="auto"/>
      <w:ind w:firstLine="420" w:firstLineChars="200"/>
    </w:pPr>
    <w:rPr>
      <w:rFonts w:asciiTheme="minorHAnsi" w:hAnsiTheme="minorHAnsi" w:eastAsiaTheme="minorEastAsia" w:cstheme="minorBidi"/>
      <w:sz w:val="21"/>
    </w:rPr>
  </w:style>
  <w:style w:type="character" w:customStyle="1" w:styleId="21">
    <w:name w:val="页眉 字符"/>
    <w:basedOn w:val="13"/>
    <w:link w:val="9"/>
    <w:qFormat/>
    <w:uiPriority w:val="0"/>
    <w:rPr>
      <w:rFonts w:ascii="Calibri" w:hAnsi="Calibri" w:eastAsia="宋体" w:cs="Times New Roman"/>
      <w:kern w:val="2"/>
      <w:sz w:val="18"/>
      <w:szCs w:val="18"/>
    </w:rPr>
  </w:style>
  <w:style w:type="character" w:customStyle="1" w:styleId="22">
    <w:name w:val="页脚 字符"/>
    <w:basedOn w:val="13"/>
    <w:link w:val="8"/>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432</Words>
  <Characters>2465</Characters>
  <Lines>20</Lines>
  <Paragraphs>5</Paragraphs>
  <TotalTime>0</TotalTime>
  <ScaleCrop>false</ScaleCrop>
  <LinksUpToDate>false</LinksUpToDate>
  <CharactersWithSpaces>2892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2022-05-06T02:25:00Z</dcterms:created>
  <dc:creator>yndw</dc:creator>
  <cp:lastModifiedBy>周洁</cp:lastModifiedBy>
  <dcterms:modified xsi:type="dcterms:W3CDTF">2025-07-18T08:47:02Z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521080F3B310459386F0506B327A9827</vt:lpwstr>
  </property>
  <property fmtid="{D5CDD505-2E9C-101B-9397-08002B2CF9AE}" pid="4" name="CWM6bad33df41814dd68b6929af9bcded68">
    <vt:lpwstr>CWMUF5peswrhH5qoWnGwGPcTq7z3oN8dm5Vq3KcSP8NSUQADVfU+7skn+sNsOPNBcyzr+leuIjHMLuu7HsABq/+neQ3w4KkkpQ5oQpPRFtw4R0=</vt:lpwstr>
  </property>
</Properties>
</file>