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pageBreakBefore w:val="0"/>
        <w:tabs>
          <w:tab w:val="right" w:leader="dot" w:pos="8296"/>
        </w:tabs>
        <w:kinsoku/>
        <w:wordWrap/>
        <w:overflowPunct/>
        <w:topLinePunct w:val="0"/>
        <w:autoSpaceDE/>
        <w:autoSpaceDN/>
        <w:bidi w:val="0"/>
        <w:adjustRightInd w:val="0"/>
        <w:snapToGrid w:val="0"/>
        <w:spacing w:before="0" w:after="0" w:line="360" w:lineRule="auto"/>
        <w:ind w:left="0" w:leftChars="0" w:firstLine="720" w:firstLineChars="200"/>
        <w:jc w:val="center"/>
        <w:rPr>
          <w:rFonts w:ascii="宋体" w:hAnsi="宋体" w:cs="宋体"/>
          <w:b w:val="0"/>
          <w:color w:val="auto"/>
          <w:sz w:val="36"/>
          <w:szCs w:val="36"/>
          <w:highlight w:val="none"/>
        </w:rPr>
      </w:pPr>
    </w:p>
    <w:p>
      <w:pPr>
        <w:pStyle w:val="8"/>
        <w:pageBreakBefore w:val="0"/>
        <w:tabs>
          <w:tab w:val="right" w:leader="dot" w:pos="8296"/>
        </w:tabs>
        <w:kinsoku/>
        <w:wordWrap/>
        <w:overflowPunct/>
        <w:topLinePunct w:val="0"/>
        <w:autoSpaceDE/>
        <w:autoSpaceDN/>
        <w:bidi w:val="0"/>
        <w:adjustRightInd w:val="0"/>
        <w:snapToGrid w:val="0"/>
        <w:spacing w:before="0" w:after="0" w:line="360" w:lineRule="auto"/>
        <w:ind w:left="0" w:leftChars="0" w:firstLine="720" w:firstLineChars="200"/>
        <w:jc w:val="center"/>
        <w:rPr>
          <w:rFonts w:ascii="宋体" w:hAnsi="宋体" w:cs="宋体"/>
          <w:b w:val="0"/>
          <w:color w:val="auto"/>
          <w:sz w:val="36"/>
          <w:szCs w:val="36"/>
          <w:highlight w:val="none"/>
        </w:rPr>
      </w:pPr>
    </w:p>
    <w:p>
      <w:pPr>
        <w:pStyle w:val="8"/>
        <w:pageBreakBefore w:val="0"/>
        <w:tabs>
          <w:tab w:val="right" w:leader="dot" w:pos="8296"/>
        </w:tabs>
        <w:kinsoku/>
        <w:wordWrap/>
        <w:overflowPunct/>
        <w:topLinePunct w:val="0"/>
        <w:autoSpaceDE/>
        <w:autoSpaceDN/>
        <w:bidi w:val="0"/>
        <w:adjustRightInd w:val="0"/>
        <w:snapToGrid w:val="0"/>
        <w:spacing w:before="0" w:after="0" w:line="360" w:lineRule="auto"/>
        <w:ind w:left="0" w:leftChars="0" w:firstLine="720" w:firstLineChars="200"/>
        <w:jc w:val="center"/>
        <w:rPr>
          <w:rFonts w:ascii="宋体" w:hAnsi="宋体" w:cs="宋体"/>
          <w:b w:val="0"/>
          <w:color w:val="auto"/>
          <w:sz w:val="36"/>
          <w:szCs w:val="36"/>
          <w:highlight w:val="none"/>
        </w:rPr>
      </w:pPr>
    </w:p>
    <w:p>
      <w:pPr>
        <w:pStyle w:val="8"/>
        <w:pageBreakBefore w:val="0"/>
        <w:tabs>
          <w:tab w:val="right" w:leader="dot" w:pos="8296"/>
        </w:tabs>
        <w:kinsoku/>
        <w:wordWrap/>
        <w:overflowPunct/>
        <w:topLinePunct w:val="0"/>
        <w:autoSpaceDE/>
        <w:autoSpaceDN/>
        <w:bidi w:val="0"/>
        <w:adjustRightInd w:val="0"/>
        <w:snapToGrid w:val="0"/>
        <w:spacing w:before="0" w:after="0" w:line="360" w:lineRule="auto"/>
        <w:ind w:left="0" w:leftChars="0" w:firstLine="720" w:firstLineChars="200"/>
        <w:jc w:val="center"/>
        <w:rPr>
          <w:rFonts w:ascii="宋体" w:hAnsi="宋体" w:cs="宋体"/>
          <w:b w:val="0"/>
          <w:color w:val="auto"/>
          <w:sz w:val="36"/>
          <w:szCs w:val="36"/>
          <w:highlight w:val="none"/>
        </w:rPr>
      </w:pPr>
    </w:p>
    <w:p>
      <w:pPr>
        <w:pStyle w:val="8"/>
        <w:pageBreakBefore w:val="0"/>
        <w:tabs>
          <w:tab w:val="right" w:leader="dot" w:pos="8296"/>
        </w:tabs>
        <w:kinsoku/>
        <w:wordWrap/>
        <w:overflowPunct/>
        <w:topLinePunct w:val="0"/>
        <w:autoSpaceDE/>
        <w:autoSpaceDN/>
        <w:bidi w:val="0"/>
        <w:adjustRightInd w:val="0"/>
        <w:snapToGrid w:val="0"/>
        <w:spacing w:before="0" w:after="0" w:line="360" w:lineRule="auto"/>
        <w:jc w:val="both"/>
        <w:rPr>
          <w:rFonts w:ascii="宋体" w:hAnsi="宋体" w:cs="宋体"/>
          <w:b w:val="0"/>
          <w:color w:val="auto"/>
          <w:sz w:val="36"/>
          <w:szCs w:val="36"/>
          <w:highlight w:val="none"/>
        </w:rPr>
      </w:pPr>
    </w:p>
    <w:p>
      <w:pPr>
        <w:pStyle w:val="8"/>
        <w:pageBreakBefore w:val="0"/>
        <w:tabs>
          <w:tab w:val="right" w:leader="dot" w:pos="8296"/>
        </w:tabs>
        <w:kinsoku/>
        <w:wordWrap/>
        <w:overflowPunct/>
        <w:topLinePunct w:val="0"/>
        <w:autoSpaceDE/>
        <w:autoSpaceDN/>
        <w:bidi w:val="0"/>
        <w:adjustRightInd w:val="0"/>
        <w:snapToGrid w:val="0"/>
        <w:spacing w:before="0" w:after="0" w:line="360" w:lineRule="auto"/>
        <w:ind w:left="0" w:leftChars="0" w:firstLine="720" w:firstLineChars="200"/>
        <w:jc w:val="center"/>
        <w:rPr>
          <w:rFonts w:ascii="宋体" w:hAnsi="宋体" w:cs="宋体"/>
          <w:b w:val="0"/>
          <w:color w:val="auto"/>
          <w:sz w:val="36"/>
          <w:szCs w:val="36"/>
          <w:highlight w:val="none"/>
        </w:rPr>
      </w:pPr>
    </w:p>
    <w:p>
      <w:pPr>
        <w:pStyle w:val="8"/>
        <w:pageBreakBefore w:val="0"/>
        <w:tabs>
          <w:tab w:val="right" w:leader="dot" w:pos="8296"/>
        </w:tabs>
        <w:kinsoku/>
        <w:wordWrap/>
        <w:overflowPunct/>
        <w:topLinePunct w:val="0"/>
        <w:autoSpaceDE/>
        <w:autoSpaceDN/>
        <w:bidi w:val="0"/>
        <w:adjustRightInd w:val="0"/>
        <w:snapToGrid w:val="0"/>
        <w:spacing w:before="0" w:after="0" w:line="360" w:lineRule="auto"/>
        <w:ind w:left="0" w:leftChars="0" w:firstLine="720" w:firstLineChars="200"/>
        <w:jc w:val="center"/>
        <w:rPr>
          <w:rFonts w:hint="default" w:ascii="宋体" w:hAnsi="宋体" w:eastAsia="宋体" w:cs="宋体"/>
          <w:b w:val="0"/>
          <w:color w:val="auto"/>
          <w:sz w:val="36"/>
          <w:szCs w:val="36"/>
          <w:highlight w:val="none"/>
          <w:lang w:val="en-US" w:eastAsia="zh-CN"/>
        </w:rPr>
      </w:pPr>
      <w:r>
        <w:rPr>
          <w:rFonts w:hint="eastAsia" w:ascii="宋体" w:hAnsi="宋体" w:cs="宋体"/>
          <w:b w:val="0"/>
          <w:color w:val="auto"/>
          <w:sz w:val="36"/>
          <w:szCs w:val="36"/>
          <w:highlight w:val="none"/>
          <w:lang w:val="en-US" w:eastAsia="zh-CN"/>
        </w:rPr>
        <w:t>昭通供电局2025年调度主站端消防系统维保（消缺）技术规范书</w:t>
      </w:r>
    </w:p>
    <w:p>
      <w:pPr>
        <w:pStyle w:val="8"/>
        <w:pageBreakBefore w:val="0"/>
        <w:tabs>
          <w:tab w:val="right" w:leader="dot" w:pos="8296"/>
        </w:tabs>
        <w:kinsoku/>
        <w:wordWrap/>
        <w:overflowPunct/>
        <w:topLinePunct w:val="0"/>
        <w:autoSpaceDE/>
        <w:autoSpaceDN/>
        <w:bidi w:val="0"/>
        <w:adjustRightInd w:val="0"/>
        <w:snapToGrid w:val="0"/>
        <w:spacing w:before="0" w:after="0" w:line="360" w:lineRule="auto"/>
        <w:ind w:left="0" w:leftChars="0" w:firstLine="720" w:firstLineChars="200"/>
        <w:jc w:val="center"/>
        <w:rPr>
          <w:rFonts w:ascii="宋体" w:hAnsi="宋体" w:cs="宋体"/>
          <w:b w:val="0"/>
          <w:color w:val="auto"/>
          <w:sz w:val="36"/>
          <w:szCs w:val="36"/>
          <w:highlight w:val="none"/>
        </w:rPr>
      </w:pPr>
    </w:p>
    <w:p>
      <w:pPr>
        <w:pageBreakBefore w:val="0"/>
        <w:kinsoku/>
        <w:wordWrap/>
        <w:overflowPunct/>
        <w:topLinePunct w:val="0"/>
        <w:autoSpaceDE/>
        <w:autoSpaceDN/>
        <w:bidi w:val="0"/>
        <w:adjustRightInd w:val="0"/>
        <w:snapToGrid w:val="0"/>
        <w:spacing w:line="360" w:lineRule="auto"/>
        <w:jc w:val="both"/>
        <w:rPr>
          <w:rFonts w:hint="eastAsia" w:ascii="宋体" w:hAnsi="宋体" w:cs="宋体"/>
          <w:b/>
          <w:color w:val="auto"/>
          <w:sz w:val="32"/>
          <w:highlight w:val="none"/>
        </w:rPr>
      </w:pPr>
    </w:p>
    <w:p>
      <w:pPr>
        <w:pStyle w:val="2"/>
        <w:numPr>
          <w:ilvl w:val="0"/>
          <w:numId w:val="0"/>
        </w:numPr>
        <w:ind w:leftChars="0"/>
        <w:rPr>
          <w:rFonts w:hint="eastAsia"/>
        </w:rPr>
      </w:pPr>
    </w:p>
    <w:p>
      <w:pPr>
        <w:rPr>
          <w:rFonts w:hint="eastAsia"/>
        </w:rPr>
      </w:pPr>
    </w:p>
    <w:p>
      <w:pPr>
        <w:pStyle w:val="2"/>
        <w:numPr>
          <w:ilvl w:val="0"/>
          <w:numId w:val="0"/>
        </w:numPr>
        <w:ind w:leftChars="0"/>
        <w:rPr>
          <w:rFonts w:hint="eastAsia"/>
        </w:rPr>
      </w:pPr>
    </w:p>
    <w:p>
      <w:pPr>
        <w:pStyle w:val="2"/>
        <w:numPr>
          <w:ilvl w:val="0"/>
          <w:numId w:val="0"/>
        </w:numPr>
        <w:ind w:leftChars="0"/>
        <w:rPr>
          <w:rFonts w:hint="eastAsia"/>
        </w:rPr>
      </w:pPr>
    </w:p>
    <w:p>
      <w:pPr>
        <w:ind w:left="0" w:leftChars="0" w:firstLine="0" w:firstLineChars="0"/>
        <w:jc w:val="center"/>
        <w:rPr>
          <w:rFonts w:ascii="Times New Roman" w:hAnsi="Times New Roman" w:eastAsia="宋体"/>
          <w:b/>
          <w:color w:val="auto"/>
          <w:sz w:val="32"/>
          <w:highlight w:val="none"/>
        </w:rPr>
      </w:pPr>
      <w:r>
        <w:rPr>
          <w:rFonts w:hint="eastAsia" w:ascii="Times New Roman" w:hAnsi="Times New Roman" w:eastAsia="宋体"/>
          <w:b/>
          <w:color w:val="auto"/>
          <w:sz w:val="32"/>
          <w:highlight w:val="none"/>
        </w:rPr>
        <w:t>云南电网有限责任公司</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ascii="宋体" w:hAnsi="宋体" w:cs="宋体"/>
          <w:b/>
          <w:color w:val="auto"/>
          <w:sz w:val="32"/>
          <w:highlight w:val="none"/>
        </w:rPr>
      </w:pPr>
      <w:r>
        <w:rPr>
          <w:rFonts w:hint="eastAsia" w:ascii="宋体" w:hAnsi="宋体" w:cs="宋体"/>
          <w:b w:val="0"/>
          <w:bCs/>
          <w:color w:val="auto"/>
          <w:sz w:val="32"/>
          <w:highlight w:val="none"/>
        </w:rPr>
        <w:t>20</w:t>
      </w:r>
      <w:r>
        <w:rPr>
          <w:rFonts w:hint="eastAsia" w:ascii="宋体" w:hAnsi="宋体" w:cs="宋体"/>
          <w:b w:val="0"/>
          <w:bCs/>
          <w:color w:val="auto"/>
          <w:sz w:val="32"/>
          <w:highlight w:val="none"/>
          <w:lang w:val="en-US" w:eastAsia="zh-CN"/>
        </w:rPr>
        <w:t>25</w:t>
      </w:r>
      <w:r>
        <w:rPr>
          <w:rFonts w:hint="eastAsia" w:ascii="宋体" w:hAnsi="宋体" w:cs="宋体"/>
          <w:b w:val="0"/>
          <w:bCs/>
          <w:color w:val="auto"/>
          <w:sz w:val="32"/>
          <w:highlight w:val="none"/>
        </w:rPr>
        <w:t>年</w:t>
      </w:r>
      <w:r>
        <w:rPr>
          <w:rFonts w:hint="eastAsia" w:ascii="宋体" w:hAnsi="宋体" w:cs="宋体"/>
          <w:b w:val="0"/>
          <w:bCs/>
          <w:color w:val="auto"/>
          <w:sz w:val="32"/>
          <w:highlight w:val="none"/>
          <w:lang w:val="en-US" w:eastAsia="zh-CN"/>
        </w:rPr>
        <w:t>7</w:t>
      </w:r>
      <w:r>
        <w:rPr>
          <w:rFonts w:hint="eastAsia" w:ascii="宋体" w:hAnsi="宋体" w:cs="宋体"/>
          <w:b w:val="0"/>
          <w:bCs/>
          <w:color w:val="auto"/>
          <w:sz w:val="32"/>
          <w:highlight w:val="none"/>
        </w:rPr>
        <w:t>月</w:t>
      </w:r>
      <w:r>
        <w:rPr>
          <w:rFonts w:ascii="宋体" w:hAnsi="宋体" w:cs="宋体"/>
          <w:b/>
          <w:color w:val="auto"/>
          <w:sz w:val="32"/>
          <w:highlight w:val="none"/>
        </w:rPr>
        <w:br w:type="page"/>
      </w:r>
    </w:p>
    <w:p>
      <w:pPr>
        <w:pStyle w:val="2"/>
        <w:pageBreakBefore w:val="0"/>
        <w:numPr>
          <w:ilvl w:val="0"/>
          <w:numId w:val="0"/>
        </w:numPr>
        <w:kinsoku/>
        <w:wordWrap/>
        <w:overflowPunct/>
        <w:topLinePunct w:val="0"/>
        <w:autoSpaceDE/>
        <w:autoSpaceDN/>
        <w:bidi w:val="0"/>
        <w:adjustRightInd w:val="0"/>
        <w:snapToGrid w:val="0"/>
        <w:spacing w:before="0" w:after="0" w:line="360" w:lineRule="auto"/>
        <w:ind w:left="0" w:leftChars="0" w:firstLine="482" w:firstLineChars="200"/>
        <w:jc w:val="center"/>
        <w:rPr>
          <w:rFonts w:hint="eastAsia" w:ascii="宋体" w:hAnsi="宋体" w:eastAsia="宋体" w:cs="宋体"/>
          <w:color w:val="auto"/>
          <w:sz w:val="24"/>
          <w:szCs w:val="24"/>
          <w:highlight w:val="none"/>
        </w:rPr>
      </w:pPr>
      <w:bookmarkStart w:id="0" w:name="_Toc1754"/>
      <w:r>
        <w:rPr>
          <w:rFonts w:hint="eastAsia" w:ascii="宋体" w:hAnsi="宋体" w:eastAsia="宋体" w:cs="宋体"/>
          <w:color w:val="auto"/>
          <w:sz w:val="24"/>
          <w:szCs w:val="24"/>
          <w:highlight w:val="none"/>
        </w:rPr>
        <w:t>第一部分 总则部分</w:t>
      </w:r>
      <w:bookmarkEnd w:id="0"/>
    </w:p>
    <w:p>
      <w:pPr>
        <w:pageBreakBefore w:val="0"/>
        <w:kinsoku/>
        <w:wordWrap/>
        <w:overflowPunct/>
        <w:topLinePunct w:val="0"/>
        <w:autoSpaceDE/>
        <w:autoSpaceDN/>
        <w:bidi w:val="0"/>
        <w:spacing w:line="360" w:lineRule="auto"/>
        <w:ind w:left="0" w:leftChars="0" w:firstLine="480" w:firstLineChars="200"/>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1、本技术规范书适用于</w:t>
      </w:r>
      <w:r>
        <w:rPr>
          <w:rFonts w:hint="eastAsia" w:ascii="宋体" w:hAnsi="宋体" w:cs="宋体"/>
          <w:color w:val="auto"/>
          <w:sz w:val="24"/>
          <w:szCs w:val="24"/>
          <w:highlight w:val="none"/>
          <w:lang w:val="en-US" w:eastAsia="zh-CN"/>
        </w:rPr>
        <w:t>昭通供电局2025年调度主站端消防系统维保（消缺）</w:t>
      </w:r>
      <w:r>
        <w:rPr>
          <w:rFonts w:hint="eastAsia" w:ascii="宋体" w:hAnsi="宋体" w:eastAsia="宋体" w:cs="宋体"/>
          <w:color w:val="auto"/>
          <w:sz w:val="24"/>
          <w:szCs w:val="24"/>
          <w:highlight w:val="none"/>
        </w:rPr>
        <w:t>项目</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，本技术规范书的最终解释权归云南电网有限责任公司</w:t>
      </w:r>
      <w:r>
        <w:rPr>
          <w:rFonts w:hint="eastAsia" w:ascii="宋体" w:hAnsi="宋体" w:eastAsia="宋体" w:cs="宋体"/>
          <w:color w:val="auto"/>
          <w:sz w:val="24"/>
          <w:szCs w:val="24"/>
          <w:highlight w:val="none"/>
          <w:lang w:val="en-US" w:eastAsia="zh-CN"/>
        </w:rPr>
        <w:t>系统运行部</w:t>
      </w:r>
      <w:r>
        <w:rPr>
          <w:rFonts w:hint="eastAsia" w:ascii="宋体" w:hAnsi="宋体" w:eastAsia="宋体" w:cs="宋体"/>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谈判方</w:t>
      </w:r>
      <w:r>
        <w:rPr>
          <w:rFonts w:hint="eastAsia" w:ascii="宋体" w:hAnsi="宋体" w:eastAsia="宋体" w:cs="宋体"/>
          <w:color w:val="auto"/>
          <w:sz w:val="24"/>
          <w:szCs w:val="24"/>
          <w:highlight w:val="none"/>
        </w:rPr>
        <w:t>未经招标方同意，不得以任何形式向第三方公开本技术规范书。</w:t>
      </w:r>
    </w:p>
    <w:p>
      <w:pPr>
        <w:pStyle w:val="12"/>
        <w:pageBreakBefore w:val="0"/>
        <w:tabs>
          <w:tab w:val="left" w:pos="1134"/>
        </w:tabs>
        <w:kinsoku/>
        <w:wordWrap/>
        <w:overflowPunct/>
        <w:topLinePunct w:val="0"/>
        <w:autoSpaceDE/>
        <w:autoSpaceDN/>
        <w:bidi w:val="0"/>
        <w:adjustRightInd w:val="0"/>
        <w:snapToGrid w:val="0"/>
        <w:spacing w:beforeLines="0" w:afterLines="0" w:line="360" w:lineRule="auto"/>
        <w:ind w:left="0" w:leftChars="0" w:firstLine="480" w:firstLineChars="200"/>
        <w:jc w:val="left"/>
        <w:rPr>
          <w:rFonts w:hint="eastAsia" w:ascii="宋体" w:hAnsi="宋体" w:eastAsia="宋体" w:cs="宋体"/>
          <w:color w:val="auto"/>
          <w:sz w:val="24"/>
          <w:szCs w:val="24"/>
          <w:highlight w:val="none"/>
        </w:rPr>
      </w:pPr>
    </w:p>
    <w:p>
      <w:pPr>
        <w:pageBreakBefore w:val="0"/>
        <w:kinsoku/>
        <w:wordWrap/>
        <w:overflowPunct/>
        <w:topLinePunct w:val="0"/>
        <w:autoSpaceDE/>
        <w:autoSpaceDN/>
        <w:bidi w:val="0"/>
        <w:adjustRightInd w:val="0"/>
        <w:snapToGrid w:val="0"/>
        <w:spacing w:line="360" w:lineRule="auto"/>
        <w:ind w:left="0" w:leftChars="0" w:firstLine="482" w:firstLineChars="200"/>
        <w:jc w:val="center"/>
        <w:outlineLvl w:val="0"/>
        <w:rPr>
          <w:rFonts w:hint="eastAsia" w:ascii="宋体" w:hAnsi="宋体" w:eastAsia="宋体" w:cs="宋体"/>
          <w:b/>
          <w:bCs/>
          <w:color w:val="auto"/>
          <w:sz w:val="24"/>
          <w:szCs w:val="24"/>
          <w:highlight w:val="none"/>
        </w:rPr>
      </w:pPr>
      <w:bookmarkStart w:id="1" w:name="_Toc30990"/>
      <w:r>
        <w:rPr>
          <w:rFonts w:hint="eastAsia" w:ascii="宋体" w:hAnsi="宋体" w:eastAsia="宋体" w:cs="宋体"/>
          <w:b/>
          <w:bCs/>
          <w:color w:val="auto"/>
          <w:sz w:val="24"/>
          <w:szCs w:val="24"/>
          <w:highlight w:val="none"/>
        </w:rPr>
        <w:t>第二部分 技术规范</w:t>
      </w:r>
      <w:bookmarkEnd w:id="1"/>
    </w:p>
    <w:p>
      <w:pPr>
        <w:pStyle w:val="2"/>
        <w:pageBreakBefore w:val="0"/>
        <w:numPr>
          <w:ilvl w:val="0"/>
          <w:numId w:val="2"/>
        </w:numPr>
        <w:tabs>
          <w:tab w:val="left" w:pos="709"/>
        </w:tabs>
        <w:kinsoku/>
        <w:wordWrap/>
        <w:overflowPunct/>
        <w:topLinePunct w:val="0"/>
        <w:autoSpaceDE/>
        <w:autoSpaceDN/>
        <w:bidi w:val="0"/>
        <w:adjustRightInd w:val="0"/>
        <w:snapToGrid w:val="0"/>
        <w:spacing w:before="0" w:after="0" w:line="360" w:lineRule="auto"/>
        <w:ind w:left="0" w:leftChars="0" w:firstLine="482" w:firstLineChars="200"/>
        <w:rPr>
          <w:rFonts w:hint="eastAsia" w:ascii="宋体" w:hAnsi="宋体" w:eastAsia="宋体" w:cs="宋体"/>
          <w:b/>
          <w:bCs/>
          <w:color w:val="auto"/>
          <w:sz w:val="24"/>
          <w:szCs w:val="24"/>
          <w:highlight w:val="none"/>
        </w:rPr>
      </w:pPr>
      <w:bookmarkStart w:id="2" w:name="_Toc25386"/>
      <w:r>
        <w:rPr>
          <w:rFonts w:hint="eastAsia" w:ascii="宋体" w:hAnsi="宋体" w:eastAsia="宋体" w:cs="宋体"/>
          <w:color w:val="auto"/>
          <w:sz w:val="24"/>
          <w:szCs w:val="24"/>
          <w:highlight w:val="none"/>
          <w:lang w:val="en-US" w:eastAsia="zh-CN"/>
        </w:rPr>
        <w:t>技术服务范围</w:t>
      </w:r>
      <w:bookmarkEnd w:id="2"/>
    </w:p>
    <w:p>
      <w:pPr>
        <w:pageBreakBefore w:val="0"/>
        <w:kinsoku/>
        <w:wordWrap/>
        <w:overflowPunct/>
        <w:topLinePunct w:val="0"/>
        <w:autoSpaceDE/>
        <w:autoSpaceDN/>
        <w:bidi w:val="0"/>
        <w:spacing w:line="360" w:lineRule="auto"/>
        <w:ind w:left="0" w:leftChars="0" w:firstLine="482" w:firstLineChars="200"/>
        <w:rPr>
          <w:rFonts w:hint="eastAsia" w:ascii="宋体" w:hAnsi="宋体" w:cs="宋体"/>
          <w:color w:val="auto"/>
          <w:sz w:val="24"/>
          <w:szCs w:val="24"/>
          <w:highlight w:val="none"/>
          <w:lang w:val="en-US" w:eastAsia="zh-CN"/>
        </w:rPr>
      </w:pPr>
      <w:r>
        <w:rPr>
          <w:rFonts w:hint="eastAsia" w:ascii="宋体" w:hAnsi="宋体" w:eastAsia="宋体" w:cs="宋体"/>
          <w:b/>
          <w:bCs/>
          <w:color w:val="auto"/>
          <w:sz w:val="24"/>
          <w:szCs w:val="24"/>
          <w:highlight w:val="none"/>
        </w:rPr>
        <w:t>应用范围</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昭通供电局电力调度控制中心107机房消防系统室建有一套七氟丙烷气体消防系统：</w:t>
      </w:r>
    </w:p>
    <w:p>
      <w:pPr>
        <w:pageBreakBefore w:val="0"/>
        <w:kinsoku/>
        <w:wordWrap/>
        <w:overflowPunct/>
        <w:topLinePunct w:val="0"/>
        <w:autoSpaceDE/>
        <w:autoSpaceDN/>
        <w:bidi w:val="0"/>
        <w:spacing w:line="360" w:lineRule="auto"/>
        <w:ind w:left="0" w:leftChars="0"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（1）四川迪威机房气体消防监控系统+10个七氟丙烷压力钢瓶+3个氮气动力钢瓶，主要用于104-106地县调一体化机房、103UPS电池室、102机房配电室等3个机房的消防监控及气体灭火。</w:t>
      </w:r>
    </w:p>
    <w:p>
      <w:pPr>
        <w:pageBreakBefore w:val="0"/>
        <w:kinsoku/>
        <w:wordWrap/>
        <w:overflowPunct/>
        <w:topLinePunct w:val="0"/>
        <w:autoSpaceDE/>
        <w:autoSpaceDN/>
        <w:bidi w:val="0"/>
        <w:spacing w:line="360" w:lineRule="auto"/>
        <w:ind w:left="0" w:leftChars="0"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（2）昭通供电局电力调度控制中心322远动机房配有的12只二氧化碳灭火设备、104-106地县调一体化机房配有的4只二氧化碳灭火设备、109自动化系统值班调试室配有的2只二氧化碳灭火设备。</w:t>
      </w:r>
    </w:p>
    <w:p>
      <w:pPr>
        <w:pageBreakBefore w:val="0"/>
        <w:kinsoku/>
        <w:wordWrap/>
        <w:overflowPunct/>
        <w:topLinePunct w:val="0"/>
        <w:autoSpaceDE/>
        <w:autoSpaceDN/>
        <w:bidi w:val="0"/>
        <w:spacing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按照相关消防规定，对昭通供电局电力调度监控中心107机房消防系统室的以上消防系统设备实施定检维护和系统性能评估工作，内容包括监控系统控制功能检查、钢瓶气体压力检测、系统故障应急抢修、提交检测报告、调度控制中心322远动机房及其它机房的二氧化碳灭火设备安全检查，确保自动化机房消防系统安全稳定运行和灭火设备安全可用。</w:t>
      </w:r>
    </w:p>
    <w:p>
      <w:pPr>
        <w:pageBreakBefore w:val="0"/>
        <w:kinsoku/>
        <w:wordWrap/>
        <w:overflowPunct/>
        <w:topLinePunct w:val="0"/>
        <w:autoSpaceDE/>
        <w:autoSpaceDN/>
        <w:bidi w:val="0"/>
        <w:spacing w:line="360" w:lineRule="auto"/>
        <w:ind w:left="0" w:leftChars="0" w:firstLine="482" w:firstLineChars="200"/>
        <w:rPr>
          <w:rFonts w:hint="eastAsia" w:ascii="宋体" w:hAnsi="宋体" w:cs="宋体"/>
          <w:color w:val="auto"/>
          <w:sz w:val="24"/>
          <w:szCs w:val="24"/>
          <w:highlight w:val="none"/>
          <w:lang w:val="en-US" w:eastAsia="zh-CN"/>
        </w:rPr>
      </w:pPr>
      <w:r>
        <w:rPr>
          <w:rFonts w:hint="eastAsia" w:ascii="宋体" w:hAnsi="宋体" w:eastAsia="宋体" w:cs="宋体"/>
          <w:b/>
          <w:bCs/>
          <w:color w:val="auto"/>
          <w:kern w:val="2"/>
          <w:sz w:val="24"/>
          <w:szCs w:val="24"/>
          <w:highlight w:val="none"/>
          <w:lang w:val="en-US" w:eastAsia="zh-CN" w:bidi="ar-SA"/>
        </w:rPr>
        <w:t>服务</w:t>
      </w:r>
      <w:r>
        <w:rPr>
          <w:rFonts w:hint="eastAsia" w:ascii="宋体" w:hAnsi="宋体" w:eastAsia="宋体" w:cs="宋体"/>
          <w:b/>
          <w:bCs/>
          <w:color w:val="auto"/>
          <w:sz w:val="24"/>
          <w:szCs w:val="24"/>
          <w:highlight w:val="none"/>
          <w:lang w:val="en-US" w:eastAsia="zh-CN"/>
        </w:rPr>
        <w:t>时间</w:t>
      </w:r>
      <w:r>
        <w:rPr>
          <w:rFonts w:hint="eastAsia" w:ascii="宋体" w:hAnsi="宋体" w:eastAsia="宋体" w:cs="宋体"/>
          <w:b w:val="0"/>
          <w:bCs w:val="0"/>
          <w:color w:val="auto"/>
          <w:kern w:val="2"/>
          <w:sz w:val="24"/>
          <w:szCs w:val="24"/>
          <w:highlight w:val="none"/>
          <w:lang w:val="en-US" w:eastAsia="zh-CN" w:bidi="ar-SA"/>
        </w:rPr>
        <w:t>：</w:t>
      </w:r>
      <w:bookmarkStart w:id="3" w:name="_Toc7430"/>
      <w:r>
        <w:rPr>
          <w:rFonts w:hint="eastAsia" w:ascii="宋体" w:hAnsi="宋体" w:cs="宋体"/>
          <w:b w:val="0"/>
          <w:bCs w:val="0"/>
          <w:color w:val="auto"/>
          <w:kern w:val="2"/>
          <w:sz w:val="24"/>
          <w:szCs w:val="24"/>
          <w:highlight w:val="none"/>
          <w:lang w:val="en-US" w:eastAsia="zh-CN" w:bidi="ar-SA"/>
        </w:rPr>
        <w:t>自合同签订之日起至</w:t>
      </w:r>
      <w:r>
        <w:rPr>
          <w:rFonts w:hint="eastAsia" w:ascii="宋体" w:hAnsi="宋体" w:cs="宋体"/>
          <w:color w:val="auto"/>
          <w:sz w:val="24"/>
          <w:szCs w:val="24"/>
          <w:highlight w:val="none"/>
          <w:u w:val="none"/>
          <w:lang w:val="en-US" w:eastAsia="zh-CN"/>
        </w:rPr>
        <w:t>2026年10月31日前</w:t>
      </w:r>
    </w:p>
    <w:p>
      <w:pPr>
        <w:pageBreakBefore w:val="0"/>
        <w:kinsoku/>
        <w:wordWrap/>
        <w:overflowPunct/>
        <w:topLinePunct w:val="0"/>
        <w:autoSpaceDE/>
        <w:autoSpaceDN/>
        <w:bidi w:val="0"/>
        <w:spacing w:line="360" w:lineRule="auto"/>
        <w:ind w:left="0" w:leftChars="0" w:firstLine="480" w:firstLineChars="200"/>
        <w:rPr>
          <w:highlight w:val="none"/>
        </w:rPr>
      </w:pPr>
      <w:r>
        <w:rPr>
          <w:rFonts w:hint="eastAsia" w:ascii="宋体" w:hAnsi="宋体" w:eastAsia="宋体" w:cs="宋体"/>
          <w:color w:val="auto"/>
          <w:sz w:val="24"/>
          <w:szCs w:val="24"/>
          <w:highlight w:val="none"/>
        </w:rPr>
        <w:t>技术服务内容及要求</w:t>
      </w:r>
      <w:bookmarkEnd w:id="3"/>
    </w:p>
    <w:p>
      <w:pPr>
        <w:ind w:firstLine="480" w:firstLineChars="200"/>
        <w:rPr>
          <w:rFonts w:hint="eastAsia" w:ascii="宋体" w:hAnsi="宋体" w:eastAsia="宋体" w:cs="宋体"/>
          <w:lang w:val="en-US" w:eastAsia="zh-CN"/>
        </w:rPr>
      </w:pPr>
      <w:r>
        <w:rPr>
          <w:rFonts w:hint="eastAsia" w:ascii="宋体" w:hAnsi="宋体" w:eastAsia="宋体" w:cs="宋体"/>
          <w:highlight w:val="none"/>
          <w:lang w:val="en-US" w:eastAsia="zh-CN"/>
        </w:rPr>
        <w:t>为确保自动化机房消防系统安全稳定运行，需开展以下服务：（1）维保单位每月对以上消防系统设备实施定检维护和提交定检报告；（2）对消防系统的监控控制功能检查、钢瓶气体压力、温感、烟感传感器的定期检测服务以及提交检测报告；（3）提供7*24小时系统故障应急抢修服务；（4）昭通供电局电力调度控制中心</w:t>
      </w:r>
      <w:r>
        <w:rPr>
          <w:rFonts w:hint="eastAsia" w:ascii="宋体" w:hAnsi="宋体" w:cs="宋体"/>
          <w:highlight w:val="none"/>
          <w:lang w:val="en-US" w:eastAsia="zh-CN"/>
        </w:rPr>
        <w:t>322</w:t>
      </w:r>
      <w:r>
        <w:rPr>
          <w:rFonts w:hint="eastAsia" w:ascii="宋体" w:hAnsi="宋体" w:eastAsia="宋体" w:cs="宋体"/>
          <w:highlight w:val="none"/>
          <w:lang w:val="en-US" w:eastAsia="zh-CN"/>
        </w:rPr>
        <w:t>远动机房</w:t>
      </w:r>
      <w:r>
        <w:rPr>
          <w:rFonts w:hint="eastAsia" w:ascii="宋体" w:hAnsi="宋体" w:cs="宋体"/>
          <w:highlight w:val="none"/>
          <w:lang w:val="en-US" w:eastAsia="zh-CN"/>
        </w:rPr>
        <w:t>、</w:t>
      </w:r>
      <w:r>
        <w:rPr>
          <w:rFonts w:hint="eastAsia" w:ascii="宋体" w:hAnsi="宋体" w:cs="宋体"/>
          <w:color w:val="auto"/>
          <w:sz w:val="24"/>
          <w:szCs w:val="24"/>
          <w:highlight w:val="none"/>
          <w:lang w:val="en-US" w:eastAsia="zh-CN"/>
        </w:rPr>
        <w:t>104-106地县调一体化机房、109自动化系统值班调试室</w:t>
      </w:r>
      <w:r>
        <w:rPr>
          <w:rFonts w:hint="eastAsia" w:ascii="宋体" w:hAnsi="宋体" w:eastAsia="宋体" w:cs="宋体"/>
          <w:lang w:val="en-US" w:eastAsia="zh-CN"/>
        </w:rPr>
        <w:t>配有的二氧化碳灭火设备性能检查以及提交检测报告。（5）对低于标准气压的钢瓶进行充装。具体要求如下：</w:t>
      </w:r>
    </w:p>
    <w:p>
      <w:pPr>
        <w:rPr>
          <w:rFonts w:hint="eastAsia" w:ascii="宋体" w:hAnsi="宋体" w:eastAsia="宋体" w:cs="宋体"/>
          <w:highlight w:val="none"/>
          <w:lang w:val="en-US" w:eastAsia="zh-CN"/>
        </w:rPr>
      </w:pPr>
      <w:r>
        <w:rPr>
          <w:rFonts w:hint="eastAsia" w:ascii="宋体" w:hAnsi="宋体" w:eastAsia="宋体" w:cs="宋体"/>
          <w:highlight w:val="none"/>
          <w:lang w:val="en-US" w:eastAsia="zh-CN"/>
        </w:rPr>
        <w:t>1、系统性能检测：①钢瓶外观检查，压力值检测；②系统控制盘功能检测；</w:t>
      </w:r>
    </w:p>
    <w:p>
      <w:pPr>
        <w:rPr>
          <w:rFonts w:hint="eastAsia" w:ascii="宋体" w:hAnsi="宋体" w:eastAsia="宋体" w:cs="宋体"/>
          <w:highlight w:val="none"/>
          <w:lang w:val="en-US" w:eastAsia="zh-CN"/>
        </w:rPr>
      </w:pPr>
      <w:r>
        <w:rPr>
          <w:rFonts w:hint="eastAsia" w:ascii="宋体" w:hAnsi="宋体" w:eastAsia="宋体" w:cs="宋体"/>
          <w:highlight w:val="none"/>
          <w:lang w:val="en-US" w:eastAsia="zh-CN"/>
        </w:rPr>
        <w:t>③烟火探头性能检查；④昭通供电局电力调度控制中心</w:t>
      </w:r>
      <w:r>
        <w:rPr>
          <w:rFonts w:hint="eastAsia" w:ascii="宋体" w:hAnsi="宋体" w:cs="宋体"/>
          <w:highlight w:val="none"/>
          <w:lang w:val="en-US" w:eastAsia="zh-CN"/>
        </w:rPr>
        <w:t>322远动机房配有的12只二氧化碳灭火设备、104-106地县调一体化机房配有的4只二氧化碳灭火设备、109自动化系统值班调试室配有的2只二氧化碳灭火设备</w:t>
      </w:r>
      <w:r>
        <w:rPr>
          <w:rFonts w:hint="eastAsia" w:ascii="宋体" w:hAnsi="宋体" w:eastAsia="宋体" w:cs="宋体"/>
          <w:highlight w:val="none"/>
          <w:lang w:val="en-US" w:eastAsia="zh-CN"/>
        </w:rPr>
        <w:t>压力和重量检查；</w:t>
      </w:r>
      <w:r>
        <w:rPr>
          <w:rFonts w:hint="eastAsia" w:ascii="宋体" w:hAnsi="宋体" w:eastAsia="宋体" w:cs="宋体"/>
          <w:color w:val="auto"/>
          <w:kern w:val="0"/>
          <w:sz w:val="24"/>
          <w:szCs w:val="24"/>
          <w:highlight w:val="none"/>
          <w:lang w:val="en-US" w:eastAsia="zh-CN"/>
        </w:rPr>
        <w:t>⑤</w:t>
      </w:r>
      <w:r>
        <w:rPr>
          <w:rFonts w:hint="eastAsia" w:ascii="宋体" w:hAnsi="宋体" w:eastAsia="宋体" w:cs="宋体"/>
          <w:highlight w:val="none"/>
          <w:lang w:val="en-US" w:eastAsia="zh-CN"/>
        </w:rPr>
        <w:t>对低于标准气压的钢瓶进行充装；⑥系统设备清洁。</w:t>
      </w:r>
    </w:p>
    <w:p>
      <w:pPr>
        <w:numPr>
          <w:ilvl w:val="0"/>
          <w:numId w:val="0"/>
        </w:num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2、常规元器件的更换：气体消防系统常规元器件（烟雾传感器、温度传感器、气体压力表、声光报警器、保险管、打印纸等）的不计次数免费更换（含元器件采购及人工更换费用）。</w:t>
      </w:r>
    </w:p>
    <w:p>
      <w:pPr>
        <w:numPr>
          <w:ilvl w:val="0"/>
          <w:numId w:val="0"/>
        </w:num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故障应急抢修</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提供7*24小时故障应急处理服务</w:t>
      </w:r>
      <w:r>
        <w:rPr>
          <w:rFonts w:hint="eastAsia" w:ascii="宋体" w:hAnsi="宋体" w:eastAsia="宋体" w:cs="宋体"/>
          <w:color w:val="auto"/>
          <w:sz w:val="24"/>
          <w:szCs w:val="24"/>
          <w:highlight w:val="none"/>
          <w:lang w:eastAsia="zh-CN"/>
        </w:rPr>
        <w:t>。</w:t>
      </w:r>
    </w:p>
    <w:p>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二氧化碳灭火设备检测</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kern w:val="2"/>
          <w:sz w:val="24"/>
          <w:szCs w:val="24"/>
          <w:highlight w:val="none"/>
          <w:lang w:val="en-US" w:eastAsia="zh-CN" w:bidi="ar-SA"/>
        </w:rPr>
        <w:t>昭通供电局电力调度控制中心</w:t>
      </w:r>
      <w:r>
        <w:rPr>
          <w:rFonts w:hint="eastAsia" w:ascii="宋体" w:hAnsi="宋体" w:cs="宋体"/>
          <w:color w:val="auto"/>
          <w:sz w:val="24"/>
          <w:szCs w:val="24"/>
          <w:highlight w:val="none"/>
          <w:lang w:val="en-US" w:eastAsia="zh-CN"/>
        </w:rPr>
        <w:t>322远动机房配有的12只二氧化碳灭火设备、104-106地县调一体化机房配有的4只二氧化碳灭火设备、109自动化系统值班调试室配有的2只二氧化碳灭火设备</w:t>
      </w:r>
      <w:r>
        <w:rPr>
          <w:rFonts w:hint="eastAsia" w:ascii="宋体" w:hAnsi="宋体" w:eastAsia="宋体" w:cs="宋体"/>
          <w:color w:val="auto"/>
          <w:kern w:val="2"/>
          <w:sz w:val="24"/>
          <w:szCs w:val="24"/>
          <w:highlight w:val="none"/>
          <w:lang w:val="en-US" w:eastAsia="zh-CN" w:bidi="ar-SA"/>
        </w:rPr>
        <w:t>配有</w:t>
      </w:r>
      <w:r>
        <w:rPr>
          <w:rFonts w:hint="eastAsia" w:ascii="宋体" w:hAnsi="宋体" w:eastAsia="宋体" w:cs="宋体"/>
          <w:color w:val="auto"/>
          <w:sz w:val="24"/>
          <w:szCs w:val="24"/>
          <w:highlight w:val="none"/>
        </w:rPr>
        <w:t>的</w:t>
      </w:r>
      <w:r>
        <w:rPr>
          <w:rFonts w:hint="eastAsia" w:ascii="宋体" w:hAnsi="宋体" w:cs="宋体"/>
          <w:color w:val="auto"/>
          <w:sz w:val="24"/>
          <w:szCs w:val="24"/>
          <w:highlight w:val="none"/>
          <w:lang w:val="en-US" w:eastAsia="zh-CN"/>
        </w:rPr>
        <w:t>18</w:t>
      </w:r>
      <w:r>
        <w:rPr>
          <w:rFonts w:hint="eastAsia" w:ascii="宋体" w:hAnsi="宋体" w:eastAsia="宋体" w:cs="宋体"/>
          <w:color w:val="auto"/>
          <w:sz w:val="24"/>
          <w:szCs w:val="24"/>
          <w:highlight w:val="none"/>
        </w:rPr>
        <w:t>只二氧化碳灭火设备性能和安全检查。</w:t>
      </w:r>
    </w:p>
    <w:p>
      <w:pPr>
        <w:rPr>
          <w:rFonts w:hint="eastAsia" w:ascii="宋体" w:hAnsi="宋体" w:eastAsia="宋体" w:cs="宋体"/>
          <w:lang w:val="en-US" w:eastAsia="zh-CN"/>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资料</w:t>
      </w:r>
      <w:r>
        <w:rPr>
          <w:rFonts w:hint="eastAsia" w:ascii="宋体" w:hAnsi="宋体" w:eastAsia="宋体" w:cs="宋体"/>
          <w:color w:val="auto"/>
          <w:sz w:val="24"/>
          <w:szCs w:val="24"/>
          <w:highlight w:val="none"/>
          <w:lang w:eastAsia="zh-CN"/>
        </w:rPr>
        <w:t>：提交月度检测报告、年终系统性能检测报告。</w:t>
      </w:r>
    </w:p>
    <w:p>
      <w:pPr>
        <w:pStyle w:val="2"/>
        <w:pageBreakBefore w:val="0"/>
        <w:numPr>
          <w:ilvl w:val="0"/>
          <w:numId w:val="2"/>
        </w:numPr>
        <w:kinsoku/>
        <w:wordWrap/>
        <w:overflowPunct/>
        <w:topLinePunct w:val="0"/>
        <w:autoSpaceDE/>
        <w:autoSpaceDN/>
        <w:bidi w:val="0"/>
        <w:adjustRightInd w:val="0"/>
        <w:snapToGrid w:val="0"/>
        <w:spacing w:before="0" w:after="0" w:line="360" w:lineRule="auto"/>
        <w:ind w:left="0" w:leftChars="0" w:firstLine="482" w:firstLineChars="200"/>
        <w:rPr>
          <w:rFonts w:hint="eastAsia" w:ascii="宋体" w:hAnsi="宋体" w:eastAsia="宋体" w:cs="宋体"/>
          <w:color w:val="auto"/>
          <w:sz w:val="24"/>
          <w:szCs w:val="24"/>
          <w:highlight w:val="none"/>
          <w:lang w:val="en-US" w:eastAsia="zh-CN"/>
        </w:rPr>
      </w:pPr>
      <w:bookmarkStart w:id="4" w:name="_Toc24980"/>
      <w:r>
        <w:rPr>
          <w:rFonts w:hint="eastAsia" w:ascii="宋体" w:hAnsi="宋体" w:eastAsia="宋体" w:cs="宋体"/>
          <w:color w:val="auto"/>
          <w:sz w:val="24"/>
          <w:szCs w:val="24"/>
          <w:highlight w:val="none"/>
        </w:rPr>
        <w:t>项目实施</w:t>
      </w:r>
      <w:r>
        <w:rPr>
          <w:rFonts w:hint="eastAsia" w:ascii="宋体" w:hAnsi="宋体" w:eastAsia="宋体" w:cs="宋体"/>
          <w:color w:val="auto"/>
          <w:sz w:val="24"/>
          <w:szCs w:val="24"/>
          <w:highlight w:val="none"/>
          <w:lang w:val="en-US" w:eastAsia="zh-CN"/>
        </w:rPr>
        <w:t>技术要求</w:t>
      </w:r>
      <w:bookmarkEnd w:id="4"/>
    </w:p>
    <w:p>
      <w:pPr>
        <w:pStyle w:val="2"/>
        <w:pageBreakBefore w:val="0"/>
        <w:numPr>
          <w:ilvl w:val="0"/>
          <w:numId w:val="0"/>
        </w:numPr>
        <w:kinsoku/>
        <w:wordWrap/>
        <w:overflowPunct/>
        <w:topLinePunct w:val="0"/>
        <w:autoSpaceDE/>
        <w:autoSpaceDN/>
        <w:bidi w:val="0"/>
        <w:adjustRightInd w:val="0"/>
        <w:snapToGrid w:val="0"/>
        <w:spacing w:before="0" w:after="0" w:line="360" w:lineRule="auto"/>
        <w:ind w:firstLine="480" w:firstLineChars="200"/>
        <w:jc w:val="left"/>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对昭通供电局电力调度控制中心107机房消防系统室消防系统及322远动机房配有的12只二氧化碳灭火器、104-106地县调一体化机房配有的4只二氧化碳灭火器、109自动化系统值班调试室配有的2只二氧化碳灭火器在合同期内实施每月一次定检维护以及提交定检报告。</w:t>
      </w:r>
    </w:p>
    <w:p>
      <w:pPr>
        <w:pStyle w:val="2"/>
        <w:pageBreakBefore w:val="0"/>
        <w:numPr>
          <w:ilvl w:val="0"/>
          <w:numId w:val="0"/>
        </w:numPr>
        <w:kinsoku/>
        <w:wordWrap/>
        <w:overflowPunct/>
        <w:topLinePunct w:val="0"/>
        <w:autoSpaceDE/>
        <w:autoSpaceDN/>
        <w:bidi w:val="0"/>
        <w:adjustRightInd w:val="0"/>
        <w:snapToGrid w:val="0"/>
        <w:spacing w:before="0" w:after="0" w:line="360" w:lineRule="auto"/>
        <w:ind w:leftChars="200"/>
        <w:jc w:val="left"/>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实施要求：</w:t>
      </w:r>
    </w:p>
    <w:p>
      <w:pPr>
        <w:pStyle w:val="2"/>
        <w:pageBreakBefore w:val="0"/>
        <w:numPr>
          <w:ilvl w:val="0"/>
          <w:numId w:val="0"/>
        </w:numPr>
        <w:kinsoku/>
        <w:wordWrap/>
        <w:overflowPunct/>
        <w:topLinePunct w:val="0"/>
        <w:autoSpaceDE/>
        <w:autoSpaceDN/>
        <w:bidi w:val="0"/>
        <w:adjustRightInd w:val="0"/>
        <w:snapToGrid w:val="0"/>
        <w:spacing w:before="0" w:after="0" w:line="360" w:lineRule="auto"/>
        <w:ind w:leftChars="200"/>
        <w:jc w:val="left"/>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①谈判应答方工作开展前应提供安全措施、组织措施和技术措施，经招标方审批同意后，方可开展相关工作。</w:t>
      </w:r>
    </w:p>
    <w:p>
      <w:pPr>
        <w:pStyle w:val="2"/>
        <w:pageBreakBefore w:val="0"/>
        <w:numPr>
          <w:ilvl w:val="0"/>
          <w:numId w:val="0"/>
        </w:numPr>
        <w:kinsoku/>
        <w:wordWrap/>
        <w:overflowPunct/>
        <w:topLinePunct w:val="0"/>
        <w:autoSpaceDE/>
        <w:autoSpaceDN/>
        <w:bidi w:val="0"/>
        <w:adjustRightInd w:val="0"/>
        <w:snapToGrid w:val="0"/>
        <w:spacing w:before="0" w:after="0" w:line="360" w:lineRule="auto"/>
        <w:ind w:leftChars="200"/>
        <w:jc w:val="left"/>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②定期向项目建设单位提交所有定检维护报告及测试记录，包括完整的电子版测试文件；</w:t>
      </w:r>
    </w:p>
    <w:p>
      <w:pPr>
        <w:pStyle w:val="2"/>
        <w:pageBreakBefore w:val="0"/>
        <w:numPr>
          <w:ilvl w:val="0"/>
          <w:numId w:val="0"/>
        </w:numPr>
        <w:kinsoku/>
        <w:wordWrap/>
        <w:overflowPunct/>
        <w:topLinePunct w:val="0"/>
        <w:autoSpaceDE/>
        <w:autoSpaceDN/>
        <w:bidi w:val="0"/>
        <w:adjustRightInd w:val="0"/>
        <w:snapToGrid w:val="0"/>
        <w:spacing w:before="0" w:after="0" w:line="360" w:lineRule="auto"/>
        <w:ind w:leftChars="200"/>
        <w:jc w:val="left"/>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③向项目建设单位汇报任何异常情况，并配合提出解决方案；</w:t>
      </w:r>
    </w:p>
    <w:p>
      <w:pPr>
        <w:pStyle w:val="2"/>
        <w:pageBreakBefore w:val="0"/>
        <w:numPr>
          <w:ilvl w:val="0"/>
          <w:numId w:val="0"/>
        </w:numPr>
        <w:kinsoku/>
        <w:wordWrap/>
        <w:overflowPunct/>
        <w:topLinePunct w:val="0"/>
        <w:autoSpaceDE/>
        <w:autoSpaceDN/>
        <w:bidi w:val="0"/>
        <w:adjustRightInd w:val="0"/>
        <w:snapToGrid w:val="0"/>
        <w:spacing w:before="0" w:after="0" w:line="360" w:lineRule="auto"/>
        <w:ind w:leftChars="200"/>
        <w:jc w:val="left"/>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④工作结束后3个工作日内将测试记录表和相关资料提交项目建设单位；</w:t>
      </w:r>
    </w:p>
    <w:p>
      <w:pPr>
        <w:pStyle w:val="2"/>
        <w:pageBreakBefore w:val="0"/>
        <w:numPr>
          <w:ilvl w:val="0"/>
          <w:numId w:val="0"/>
        </w:numPr>
        <w:kinsoku/>
        <w:wordWrap/>
        <w:overflowPunct/>
        <w:topLinePunct w:val="0"/>
        <w:autoSpaceDE/>
        <w:autoSpaceDN/>
        <w:bidi w:val="0"/>
        <w:adjustRightInd w:val="0"/>
        <w:snapToGrid w:val="0"/>
        <w:spacing w:before="0" w:after="0" w:line="360" w:lineRule="auto"/>
        <w:ind w:leftChars="200"/>
        <w:jc w:val="left"/>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⑤每次工作结束后，作业人员必须认真清理工作现场；</w:t>
      </w:r>
    </w:p>
    <w:p>
      <w:pPr>
        <w:pStyle w:val="2"/>
        <w:pageBreakBefore w:val="0"/>
        <w:numPr>
          <w:ilvl w:val="0"/>
          <w:numId w:val="2"/>
        </w:numPr>
        <w:kinsoku/>
        <w:wordWrap/>
        <w:topLinePunct w:val="0"/>
        <w:bidi w:val="0"/>
        <w:adjustRightInd w:val="0"/>
        <w:snapToGrid w:val="0"/>
        <w:spacing w:before="0" w:after="0" w:line="360" w:lineRule="auto"/>
        <w:ind w:left="0" w:leftChars="0" w:firstLine="482" w:firstLineChars="200"/>
        <w:textAlignment w:val="auto"/>
        <w:rPr>
          <w:rFonts w:hint="eastAsia" w:ascii="宋体" w:hAnsi="宋体" w:eastAsia="宋体" w:cs="宋体"/>
          <w:color w:val="auto"/>
          <w:sz w:val="24"/>
          <w:szCs w:val="24"/>
          <w:highlight w:val="none"/>
          <w:lang w:val="en-US" w:eastAsia="zh-CN"/>
        </w:rPr>
      </w:pPr>
      <w:bookmarkStart w:id="5" w:name="_Toc19728"/>
      <w:bookmarkStart w:id="6" w:name="_Toc15321"/>
      <w:bookmarkStart w:id="7" w:name="_Toc29377"/>
      <w:bookmarkStart w:id="8" w:name="_Toc9893"/>
      <w:r>
        <w:rPr>
          <w:rFonts w:hint="eastAsia" w:ascii="宋体" w:hAnsi="宋体" w:eastAsia="宋体" w:cs="宋体"/>
          <w:color w:val="auto"/>
          <w:sz w:val="24"/>
          <w:szCs w:val="24"/>
          <w:highlight w:val="none"/>
          <w:lang w:val="en-US" w:eastAsia="zh-CN"/>
        </w:rPr>
        <w:t>人员配置及服务能力要求</w:t>
      </w:r>
      <w:bookmarkEnd w:id="5"/>
      <w:bookmarkEnd w:id="6"/>
    </w:p>
    <w:p>
      <w:pPr>
        <w:numPr>
          <w:ilvl w:val="0"/>
          <w:numId w:val="0"/>
        </w:numPr>
        <w:ind w:firstLine="480" w:firstLineChars="200"/>
        <w:rPr>
          <w:rFonts w:hint="eastAsia"/>
          <w:lang w:val="en-US" w:eastAsia="zh-CN"/>
        </w:rPr>
      </w:pPr>
      <w:r>
        <w:rPr>
          <w:rFonts w:hint="eastAsia"/>
          <w:lang w:val="en-US" w:eastAsia="zh-CN"/>
        </w:rPr>
        <w:t>1.服务团队人员至少2人，且都具有至少3个类似项目维护经验，提供服务人员证明材料。</w:t>
      </w:r>
    </w:p>
    <w:p>
      <w:pPr>
        <w:numPr>
          <w:ilvl w:val="0"/>
          <w:numId w:val="0"/>
        </w:numPr>
        <w:ind w:leftChars="200"/>
        <w:rPr>
          <w:rFonts w:hint="eastAsia"/>
          <w:lang w:val="en-US" w:eastAsia="zh-CN"/>
        </w:rPr>
      </w:pPr>
      <w:r>
        <w:rPr>
          <w:rFonts w:hint="eastAsia"/>
          <w:lang w:val="en-US" w:eastAsia="zh-CN"/>
        </w:rPr>
        <w:t>2.团队服务人员应具有类似项目的作业经验、专用工器具的使用经验，具备设备隐患的快速诊断和解决的能力，谈判文件中应提供团队服务人员简介、类似项目作业经验、专用工器具的使用经验及能够证明设备隐患的快速诊断和解决的能力的相关证明材料。</w:t>
      </w:r>
    </w:p>
    <w:p>
      <w:pPr>
        <w:numPr>
          <w:ilvl w:val="0"/>
          <w:numId w:val="0"/>
        </w:numPr>
        <w:ind w:leftChars="200"/>
        <w:rPr>
          <w:rFonts w:hint="eastAsia"/>
          <w:lang w:val="en-US" w:eastAsia="zh-CN"/>
        </w:rPr>
      </w:pPr>
      <w:r>
        <w:rPr>
          <w:rFonts w:hint="eastAsia"/>
          <w:lang w:val="en-US" w:eastAsia="zh-CN"/>
        </w:rPr>
        <w:t>3.负责对采购方的设备在定检维护中发现的问题进行解决，并告知采购方具体技术细节。</w:t>
      </w:r>
    </w:p>
    <w:p>
      <w:pPr>
        <w:numPr>
          <w:ilvl w:val="0"/>
          <w:numId w:val="0"/>
        </w:numPr>
        <w:ind w:leftChars="200"/>
        <w:rPr>
          <w:rFonts w:hint="eastAsia"/>
          <w:lang w:val="en-US" w:eastAsia="zh-CN"/>
        </w:rPr>
      </w:pPr>
      <w:r>
        <w:rPr>
          <w:rFonts w:hint="eastAsia"/>
          <w:lang w:val="en-US" w:eastAsia="zh-CN"/>
        </w:rPr>
        <w:t>4.如果因为谈判应答方技术人员能力不足，导致设备长时间故障，谈判应答方应负责由此产生的一切后果，并进行经济赔偿。</w:t>
      </w:r>
    </w:p>
    <w:p>
      <w:pPr>
        <w:pStyle w:val="2"/>
        <w:pageBreakBefore w:val="0"/>
        <w:numPr>
          <w:ilvl w:val="0"/>
          <w:numId w:val="0"/>
        </w:numPr>
        <w:kinsoku/>
        <w:wordWrap/>
        <w:overflowPunct/>
        <w:topLinePunct w:val="0"/>
        <w:autoSpaceDE/>
        <w:autoSpaceDN/>
        <w:bidi w:val="0"/>
        <w:adjustRightInd w:val="0"/>
        <w:snapToGrid w:val="0"/>
        <w:spacing w:before="0" w:after="0" w:line="360" w:lineRule="auto"/>
        <w:ind w:left="0" w:leftChars="0" w:firstLine="482"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五、</w:t>
      </w:r>
      <w:bookmarkEnd w:id="7"/>
      <w:bookmarkEnd w:id="8"/>
      <w:r>
        <w:rPr>
          <w:rFonts w:hint="eastAsia" w:ascii="宋体" w:hAnsi="宋体" w:cs="宋体"/>
          <w:color w:val="auto"/>
          <w:sz w:val="24"/>
          <w:szCs w:val="24"/>
          <w:highlight w:val="none"/>
          <w:lang w:val="en-US" w:eastAsia="zh-CN"/>
        </w:rPr>
        <w:t>业绩要求</w:t>
      </w:r>
    </w:p>
    <w:p>
      <w:pPr>
        <w:pStyle w:val="2"/>
        <w:pageBreakBefore w:val="0"/>
        <w:numPr>
          <w:ilvl w:val="0"/>
          <w:numId w:val="0"/>
        </w:numPr>
        <w:kinsoku/>
        <w:wordWrap/>
        <w:overflowPunct/>
        <w:topLinePunct w:val="0"/>
        <w:autoSpaceDE/>
        <w:autoSpaceDN/>
        <w:bidi w:val="0"/>
        <w:adjustRightInd w:val="0"/>
        <w:snapToGrid w:val="0"/>
        <w:spacing w:before="0" w:after="0" w:line="360" w:lineRule="auto"/>
        <w:ind w:left="0" w:leftChars="0" w:firstLine="480" w:firstLineChars="200"/>
        <w:rPr>
          <w:rFonts w:hint="eastAsia" w:ascii="宋体" w:hAnsi="宋体" w:eastAsia="宋体" w:cs="Times New Roman"/>
          <w:b w:val="0"/>
          <w:bCs w:val="0"/>
          <w:kern w:val="2"/>
          <w:sz w:val="24"/>
          <w:szCs w:val="24"/>
          <w:highlight w:val="none"/>
          <w:lang w:val="en-US" w:eastAsia="zh-CN" w:bidi="ar-SA"/>
        </w:rPr>
      </w:pPr>
      <w:bookmarkStart w:id="9" w:name="_Toc26516"/>
      <w:r>
        <w:rPr>
          <w:rFonts w:hint="eastAsia" w:ascii="宋体" w:hAnsi="宋体" w:eastAsia="宋体" w:cs="Times New Roman"/>
          <w:b w:val="0"/>
          <w:bCs w:val="0"/>
          <w:kern w:val="2"/>
          <w:sz w:val="24"/>
          <w:szCs w:val="24"/>
          <w:highlight w:val="none"/>
          <w:lang w:val="en-US" w:eastAsia="zh-CN" w:bidi="ar-SA"/>
        </w:rPr>
        <w:t>近三年（2022年至今）</w:t>
      </w:r>
      <w:r>
        <w:rPr>
          <w:rFonts w:hint="eastAsia" w:ascii="宋体" w:hAnsi="宋体" w:eastAsia="宋体" w:cs="Times New Roman"/>
          <w:b w:val="0"/>
          <w:bCs w:val="0"/>
          <w:kern w:val="2"/>
          <w:sz w:val="24"/>
          <w:szCs w:val="24"/>
          <w:highlight w:val="none"/>
          <w:lang w:val="en-US" w:eastAsia="zh-CN" w:bidi="ar-SA"/>
        </w:rPr>
        <w:t>至少具备3个机房气体消防系统维护项目业绩，应对业绩对应的项目情况进行列表说明，依次编号列出相关项目销售金额、用户名单、电话、联系人和项目竣工时间以及所有项目的总金额，并在业绩表后附相应的中标通知、合同、金额等证明材料</w:t>
      </w:r>
      <w:bookmarkStart w:id="13" w:name="_GoBack"/>
      <w:bookmarkEnd w:id="13"/>
      <w:r>
        <w:rPr>
          <w:rFonts w:hint="eastAsia" w:ascii="宋体" w:hAnsi="宋体" w:eastAsia="宋体" w:cs="Times New Roman"/>
          <w:b w:val="0"/>
          <w:bCs w:val="0"/>
          <w:kern w:val="2"/>
          <w:sz w:val="24"/>
          <w:szCs w:val="24"/>
          <w:highlight w:val="none"/>
          <w:lang w:val="en-US" w:eastAsia="zh-CN" w:bidi="ar-SA"/>
        </w:rPr>
        <w:t>（证明材料应编号与业绩表项目编号对应）。</w:t>
      </w:r>
    </w:p>
    <w:p>
      <w:pPr>
        <w:pStyle w:val="2"/>
        <w:pageBreakBefore w:val="0"/>
        <w:numPr>
          <w:ilvl w:val="0"/>
          <w:numId w:val="0"/>
        </w:numPr>
        <w:kinsoku/>
        <w:wordWrap/>
        <w:overflowPunct/>
        <w:topLinePunct w:val="0"/>
        <w:autoSpaceDE/>
        <w:autoSpaceDN/>
        <w:bidi w:val="0"/>
        <w:adjustRightInd w:val="0"/>
        <w:snapToGrid w:val="0"/>
        <w:spacing w:before="0" w:after="0" w:line="360" w:lineRule="auto"/>
        <w:ind w:left="0" w:leftChars="0" w:firstLine="482" w:firstLineChars="200"/>
      </w:pPr>
      <w:r>
        <w:rPr>
          <w:rFonts w:hint="eastAsia" w:ascii="宋体" w:hAnsi="宋体" w:eastAsia="宋体" w:cs="宋体"/>
          <w:color w:val="auto"/>
          <w:sz w:val="24"/>
          <w:szCs w:val="24"/>
          <w:highlight w:val="none"/>
          <w:lang w:val="en-US" w:eastAsia="zh-CN"/>
        </w:rPr>
        <w:t>六、验收要求</w:t>
      </w:r>
      <w:bookmarkEnd w:id="9"/>
    </w:p>
    <w:p>
      <w:pPr>
        <w:rPr>
          <w:rFonts w:hint="eastAsia"/>
          <w:lang w:val="en-US" w:eastAsia="zh-CN"/>
        </w:rPr>
      </w:pPr>
      <w:r>
        <w:rPr>
          <w:rFonts w:hint="eastAsia"/>
          <w:lang w:val="en-US" w:eastAsia="zh-CN"/>
        </w:rPr>
        <w:t>1、验收标准</w:t>
      </w:r>
    </w:p>
    <w:p>
      <w:pPr>
        <w:rPr>
          <w:rFonts w:hint="eastAsia"/>
          <w:lang w:val="en-US" w:eastAsia="zh-CN"/>
        </w:rPr>
      </w:pPr>
      <w:r>
        <w:rPr>
          <w:rFonts w:hint="eastAsia" w:ascii="宋体" w:hAnsi="宋体" w:eastAsia="宋体" w:cs="宋体"/>
          <w:lang w:val="en-US" w:eastAsia="zh-CN"/>
        </w:rPr>
        <w:t>①</w:t>
      </w:r>
      <w:r>
        <w:rPr>
          <w:rFonts w:hint="eastAsia"/>
          <w:lang w:val="en-US" w:eastAsia="zh-CN"/>
        </w:rPr>
        <w:t>按照双方签订的合同完成双方约定的工作内容；</w:t>
      </w:r>
    </w:p>
    <w:p>
      <w:pPr>
        <w:rPr>
          <w:rFonts w:hint="eastAsia"/>
          <w:lang w:val="en-US" w:eastAsia="zh-CN"/>
        </w:rPr>
      </w:pPr>
      <w:r>
        <w:rPr>
          <w:rFonts w:hint="eastAsia" w:ascii="宋体" w:hAnsi="宋体" w:eastAsia="宋体" w:cs="宋体"/>
          <w:lang w:val="en-US" w:eastAsia="zh-CN"/>
        </w:rPr>
        <w:t>②</w:t>
      </w:r>
      <w:r>
        <w:rPr>
          <w:rFonts w:hint="eastAsia"/>
          <w:lang w:val="en-US" w:eastAsia="zh-CN"/>
        </w:rPr>
        <w:t>谈判应答方提交成果必须符合招标方系统运行维护相关标准和管理办法；</w:t>
      </w:r>
    </w:p>
    <w:p>
      <w:pPr>
        <w:rPr>
          <w:rFonts w:hint="eastAsia"/>
          <w:lang w:val="en-US" w:eastAsia="zh-CN"/>
        </w:rPr>
      </w:pPr>
      <w:r>
        <w:rPr>
          <w:rFonts w:hint="eastAsia" w:ascii="宋体" w:hAnsi="宋体" w:eastAsia="宋体" w:cs="宋体"/>
          <w:lang w:val="en-US" w:eastAsia="zh-CN"/>
        </w:rPr>
        <w:t>③</w:t>
      </w:r>
      <w:r>
        <w:rPr>
          <w:rFonts w:hint="eastAsia"/>
          <w:lang w:val="en-US" w:eastAsia="zh-CN"/>
        </w:rPr>
        <w:t>谈判应答方必须完成项目要求的所有工作内容，工作完成情况证明由招标方提供。</w:t>
      </w:r>
    </w:p>
    <w:p>
      <w:pPr>
        <w:rPr>
          <w:rFonts w:hint="eastAsia"/>
          <w:lang w:val="en-US" w:eastAsia="zh-CN"/>
        </w:rPr>
      </w:pPr>
      <w:r>
        <w:rPr>
          <w:rFonts w:hint="eastAsia"/>
          <w:lang w:val="en-US" w:eastAsia="zh-CN"/>
        </w:rPr>
        <w:t>2、验收方法</w:t>
      </w:r>
    </w:p>
    <w:p>
      <w:pPr>
        <w:rPr>
          <w:rFonts w:hint="eastAsia"/>
          <w:lang w:val="en-US" w:eastAsia="zh-CN"/>
        </w:rPr>
      </w:pPr>
      <w:r>
        <w:rPr>
          <w:rFonts w:hint="eastAsia"/>
          <w:lang w:val="en-US" w:eastAsia="zh-CN"/>
        </w:rPr>
        <w:t>如双方认为项目已具备验收条件，谈判应答方以书面方式向招标方提出验收申请，招标方在接到谈判应答方验收申请后组织对谈判应答方提交的资料进行审核，确认谈判应答方提交资料符合项目验收标准后，由招标方组织相关人员对谈判应答方工作提交的交付物进行评审。</w:t>
      </w:r>
    </w:p>
    <w:p>
      <w:pPr>
        <w:rPr>
          <w:rFonts w:hint="eastAsia"/>
          <w:lang w:val="en-US" w:eastAsia="zh-CN"/>
        </w:rPr>
      </w:pPr>
      <w:r>
        <w:rPr>
          <w:rFonts w:hint="eastAsia"/>
          <w:lang w:val="en-US" w:eastAsia="zh-CN"/>
        </w:rPr>
        <w:t>3、验收时间与地点</w:t>
      </w:r>
    </w:p>
    <w:p>
      <w:pPr>
        <w:rPr>
          <w:rFonts w:hint="eastAsia"/>
          <w:lang w:val="en-US" w:eastAsia="zh-CN"/>
        </w:rPr>
      </w:pPr>
      <w:r>
        <w:rPr>
          <w:rFonts w:hint="eastAsia" w:ascii="宋体" w:hAnsi="宋体" w:eastAsia="宋体" w:cs="宋体"/>
          <w:lang w:val="en-US" w:eastAsia="zh-CN"/>
        </w:rPr>
        <w:t>①</w:t>
      </w:r>
      <w:r>
        <w:rPr>
          <w:rFonts w:hint="eastAsia"/>
          <w:lang w:val="en-US" w:eastAsia="zh-CN"/>
        </w:rPr>
        <w:t>.验收时间：谈判应答方提交验收申请，经招标方确认提交资料满足项目验收标准，可以开展验收。</w:t>
      </w:r>
    </w:p>
    <w:p>
      <w:pPr>
        <w:rPr>
          <w:rFonts w:hint="eastAsia"/>
          <w:lang w:val="en-US" w:eastAsia="zh-CN"/>
        </w:rPr>
      </w:pPr>
      <w:r>
        <w:rPr>
          <w:rFonts w:hint="eastAsia" w:ascii="宋体" w:hAnsi="宋体" w:eastAsia="宋体" w:cs="宋体"/>
          <w:lang w:val="en-US" w:eastAsia="zh-CN"/>
        </w:rPr>
        <w:t>②</w:t>
      </w:r>
      <w:r>
        <w:rPr>
          <w:rFonts w:hint="eastAsia"/>
          <w:lang w:val="en-US" w:eastAsia="zh-CN"/>
        </w:rPr>
        <w:t>验收地点：双方具体约定。</w:t>
      </w:r>
    </w:p>
    <w:p>
      <w:pPr>
        <w:rPr>
          <w:rFonts w:hint="default"/>
          <w:lang w:val="en-US" w:eastAsia="zh-CN"/>
        </w:rPr>
      </w:pPr>
      <w:r>
        <w:rPr>
          <w:rFonts w:hint="eastAsia"/>
          <w:lang w:val="en-US" w:eastAsia="zh-CN"/>
        </w:rPr>
        <w:t>4、其他要求</w:t>
      </w:r>
    </w:p>
    <w:p>
      <w:pPr>
        <w:rPr>
          <w:rFonts w:hint="eastAsia"/>
          <w:lang w:val="en-US" w:eastAsia="zh-CN"/>
        </w:rPr>
      </w:pPr>
      <w:r>
        <w:rPr>
          <w:rFonts w:hint="eastAsia" w:ascii="宋体" w:hAnsi="宋体" w:eastAsia="宋体" w:cs="宋体"/>
          <w:lang w:val="en-US" w:eastAsia="zh-CN"/>
        </w:rPr>
        <w:t>①</w:t>
      </w:r>
      <w:r>
        <w:rPr>
          <w:rFonts w:hint="eastAsia"/>
          <w:lang w:val="en-US" w:eastAsia="zh-CN"/>
        </w:rPr>
        <w:t>谈判应答方应提供针对本项目的安全措施、组织措施、技术措施及实施计划，三措应针对本项目编制，实施计划应详细、合理。</w:t>
      </w:r>
    </w:p>
    <w:p>
      <w:pPr>
        <w:rPr>
          <w:rFonts w:hint="eastAsia"/>
          <w:lang w:val="en-US" w:eastAsia="zh-CN"/>
        </w:rPr>
      </w:pPr>
      <w:r>
        <w:rPr>
          <w:rFonts w:hint="eastAsia" w:ascii="宋体" w:hAnsi="宋体" w:eastAsia="宋体" w:cs="宋体"/>
          <w:lang w:val="en-US" w:eastAsia="zh-CN"/>
        </w:rPr>
        <w:t>②</w:t>
      </w:r>
      <w:r>
        <w:rPr>
          <w:rFonts w:hint="eastAsia"/>
          <w:lang w:val="en-US" w:eastAsia="zh-CN"/>
        </w:rPr>
        <w:t>谈判应答方应提供现场服务质量保障措施、现场服务人员管理考核措施。</w:t>
      </w:r>
    </w:p>
    <w:p>
      <w:pPr>
        <w:pStyle w:val="2"/>
        <w:pageBreakBefore w:val="0"/>
        <w:numPr>
          <w:ilvl w:val="0"/>
          <w:numId w:val="0"/>
        </w:numPr>
        <w:kinsoku/>
        <w:wordWrap/>
        <w:overflowPunct/>
        <w:topLinePunct w:val="0"/>
        <w:autoSpaceDE/>
        <w:autoSpaceDN/>
        <w:bidi w:val="0"/>
        <w:adjustRightInd w:val="0"/>
        <w:snapToGrid w:val="0"/>
        <w:spacing w:before="0" w:after="0" w:line="360" w:lineRule="auto"/>
        <w:ind w:left="0" w:leftChars="0" w:firstLine="482" w:firstLineChars="200"/>
        <w:rPr>
          <w:rFonts w:hint="eastAsia" w:ascii="宋体" w:hAnsi="宋体" w:eastAsia="宋体" w:cs="宋体"/>
          <w:color w:val="auto"/>
          <w:sz w:val="24"/>
          <w:szCs w:val="24"/>
          <w:highlight w:val="none"/>
          <w:lang w:val="en-US" w:eastAsia="zh-CN"/>
        </w:rPr>
      </w:pPr>
      <w:bookmarkStart w:id="10" w:name="_Toc7364"/>
      <w:r>
        <w:rPr>
          <w:rFonts w:hint="eastAsia" w:ascii="宋体" w:hAnsi="宋体" w:eastAsia="宋体" w:cs="宋体"/>
          <w:color w:val="auto"/>
          <w:sz w:val="24"/>
          <w:szCs w:val="24"/>
          <w:highlight w:val="none"/>
          <w:lang w:val="en-US" w:eastAsia="zh-CN"/>
        </w:rPr>
        <w:t>七、服务及培训</w:t>
      </w:r>
      <w:bookmarkEnd w:id="10"/>
    </w:p>
    <w:p>
      <w:pPr>
        <w:ind w:firstLine="480" w:firstLineChars="200"/>
        <w:rPr>
          <w:rFonts w:hint="eastAsia"/>
          <w:lang w:val="en-US" w:eastAsia="zh-CN"/>
        </w:rPr>
      </w:pPr>
      <w:r>
        <w:rPr>
          <w:rFonts w:hint="eastAsia"/>
          <w:lang w:val="en-US" w:eastAsia="zh-CN"/>
        </w:rPr>
        <w:t>1、根据招标方的培训要求以及工程进度制定的培训方案和安排（时间、地点），向招标方提供系统管理员培训、用户培训，培训地点由招标方确定，培训对象为招标方使用人员，培训方式为现场或视频培训。</w:t>
      </w:r>
    </w:p>
    <w:p>
      <w:pPr>
        <w:ind w:firstLine="480" w:firstLineChars="200"/>
        <w:rPr>
          <w:rFonts w:hint="eastAsia"/>
          <w:lang w:val="en-US" w:eastAsia="zh-CN"/>
        </w:rPr>
      </w:pPr>
      <w:r>
        <w:rPr>
          <w:rFonts w:hint="eastAsia"/>
          <w:lang w:val="en-US" w:eastAsia="zh-CN"/>
        </w:rPr>
        <w:t>2、提供相关培训资料。</w:t>
      </w:r>
    </w:p>
    <w:p>
      <w:pPr>
        <w:ind w:firstLine="480" w:firstLineChars="200"/>
        <w:rPr>
          <w:rFonts w:hint="eastAsia"/>
          <w:lang w:val="en-US" w:eastAsia="zh-CN"/>
        </w:rPr>
      </w:pPr>
      <w:r>
        <w:rPr>
          <w:rFonts w:hint="eastAsia"/>
          <w:lang w:val="en-US" w:eastAsia="zh-CN"/>
        </w:rPr>
        <w:t>.培训师应熟悉投标产品的技术、使用方法、配置和维护管理等，能够为招标方提供咨询等技术服务。</w:t>
      </w:r>
    </w:p>
    <w:p>
      <w:pPr>
        <w:pStyle w:val="2"/>
        <w:pageBreakBefore w:val="0"/>
        <w:numPr>
          <w:ilvl w:val="0"/>
          <w:numId w:val="0"/>
        </w:numPr>
        <w:kinsoku/>
        <w:wordWrap/>
        <w:overflowPunct/>
        <w:topLinePunct w:val="0"/>
        <w:autoSpaceDE/>
        <w:autoSpaceDN/>
        <w:bidi w:val="0"/>
        <w:adjustRightInd w:val="0"/>
        <w:snapToGrid w:val="0"/>
        <w:spacing w:before="0" w:after="0" w:line="360" w:lineRule="auto"/>
        <w:ind w:left="0" w:leftChars="0" w:firstLine="482" w:firstLineChars="200"/>
        <w:rPr>
          <w:rFonts w:hint="eastAsia" w:ascii="宋体" w:hAnsi="宋体" w:eastAsia="宋体" w:cs="宋体"/>
          <w:color w:val="auto"/>
          <w:sz w:val="24"/>
          <w:szCs w:val="24"/>
          <w:highlight w:val="none"/>
          <w:lang w:val="en-US" w:eastAsia="zh-CN"/>
        </w:rPr>
      </w:pPr>
      <w:bookmarkStart w:id="11" w:name="_Toc11216"/>
      <w:bookmarkStart w:id="12" w:name="_Toc6106"/>
      <w:r>
        <w:rPr>
          <w:rFonts w:hint="eastAsia" w:ascii="宋体" w:hAnsi="宋体" w:eastAsia="宋体" w:cs="宋体"/>
          <w:color w:val="auto"/>
          <w:sz w:val="24"/>
          <w:szCs w:val="24"/>
          <w:highlight w:val="none"/>
          <w:lang w:val="en-US" w:eastAsia="zh-CN"/>
        </w:rPr>
        <w:t>八、保密要求</w:t>
      </w:r>
      <w:bookmarkEnd w:id="11"/>
    </w:p>
    <w:p>
      <w:pPr>
        <w:ind w:firstLine="480" w:firstLineChars="200"/>
        <w:rPr>
          <w:rFonts w:hint="eastAsia"/>
          <w:lang w:val="en-US" w:eastAsia="zh-CN"/>
        </w:rPr>
      </w:pPr>
      <w:r>
        <w:rPr>
          <w:rFonts w:hint="eastAsia"/>
          <w:lang w:val="en-US" w:eastAsia="zh-CN"/>
        </w:rPr>
        <w:t>谈判应答方应承诺遵守项目建设方的保密规定，涉及项目的技术人员均应签订保密承诺书，确保不发生敏感信息泄露事件。</w:t>
      </w:r>
    </w:p>
    <w:bookmarkEnd w:id="12"/>
    <w:p>
      <w:pPr>
        <w:ind w:firstLine="480"/>
        <w:rPr>
          <w:rFonts w:hAnsi="宋体"/>
        </w:rPr>
      </w:pPr>
    </w:p>
    <w:p>
      <w:pPr>
        <w:pageBreakBefore w:val="0"/>
        <w:tabs>
          <w:tab w:val="left" w:pos="709"/>
        </w:tabs>
        <w:kinsoku/>
        <w:wordWrap/>
        <w:overflowPunct/>
        <w:topLinePunct w:val="0"/>
        <w:autoSpaceDE/>
        <w:autoSpaceDN/>
        <w:bidi w:val="0"/>
        <w:adjustRightInd w:val="0"/>
        <w:snapToGrid w:val="0"/>
        <w:spacing w:line="360" w:lineRule="auto"/>
        <w:ind w:left="0" w:leftChars="0" w:firstLine="480" w:firstLineChars="200"/>
        <w:rPr>
          <w:rFonts w:hint="eastAsia" w:ascii="宋体" w:hAnsi="宋体"/>
          <w:color w:val="auto"/>
          <w:sz w:val="24"/>
          <w:highlight w:val="none"/>
          <w:lang w:val="en-US" w:eastAsia="zh-CN"/>
        </w:rPr>
      </w:pPr>
    </w:p>
    <w:p/>
    <w:sectPr>
      <w:headerReference r:id="rId6" w:type="first"/>
      <w:footerReference r:id="rId7" w:type="default"/>
      <w:headerReference r:id="rId5" w:type="even"/>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decorative"/>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eastAsia="宋体"/>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7"/>
                      <w:rPr>
                        <w:rFonts w:eastAsia="宋体"/>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61312" behindDoc="0" locked="0" layoutInCell="1" allowOverlap="1">
          <wp:simplePos x="0" y="0"/>
          <wp:positionH relativeFrom="margin">
            <wp:align>center</wp:align>
          </wp:positionH>
          <wp:positionV relativeFrom="margin">
            <wp:align>center</wp:align>
          </wp:positionV>
          <wp:extent cx="8973820" cy="662051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stretch>
                    <a:fillRect/>
                  </a:stretch>
                </pic:blipFill>
                <pic:spPr>
                  <a:xfrm>
                    <a:off x="0" y="0"/>
                    <a:ext cx="8973820" cy="662051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60288" behindDoc="0" locked="0" layoutInCell="1" allowOverlap="1">
          <wp:simplePos x="0" y="0"/>
          <wp:positionH relativeFrom="margin">
            <wp:align>center</wp:align>
          </wp:positionH>
          <wp:positionV relativeFrom="margin">
            <wp:align>center</wp:align>
          </wp:positionV>
          <wp:extent cx="8973820" cy="6620510"/>
          <wp:effectExtent l="0" t="0" r="0" b="0"/>
          <wp:wrapNone/>
          <wp:docPr id="1" name="WordPictureWatermark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00009"/>
                  <pic:cNvPicPr>
                    <a:picLocks noChangeAspect="1"/>
                  </pic:cNvPicPr>
                </pic:nvPicPr>
                <pic:blipFill>
                  <a:blip r:embed="rId1"/>
                  <a:stretch>
                    <a:fillRect/>
                  </a:stretch>
                </pic:blipFill>
                <pic:spPr>
                  <a:xfrm>
                    <a:off x="0" y="0"/>
                    <a:ext cx="8973820" cy="662051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147F5D"/>
    <w:multiLevelType w:val="multilevel"/>
    <w:tmpl w:val="01147F5D"/>
    <w:lvl w:ilvl="0" w:tentative="0">
      <w:start w:val="1"/>
      <w:numFmt w:val="japaneseCounting"/>
      <w:lvlText w:val="%1、"/>
      <w:lvlJc w:val="left"/>
      <w:pPr>
        <w:ind w:left="504" w:hanging="504"/>
      </w:pPr>
      <w:rPr>
        <w:rFonts w:hint="eastAsia" w:asciiTheme="minorAscii" w:hAnsiTheme="minorAsci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A9E7DFA"/>
    <w:multiLevelType w:val="multilevel"/>
    <w:tmpl w:val="5A9E7DFA"/>
    <w:lvl w:ilvl="0" w:tentative="0">
      <w:start w:val="1"/>
      <w:numFmt w:val="decimal"/>
      <w:pStyle w:val="2"/>
      <w:lvlText w:val="%1"/>
      <w:lvlJc w:val="left"/>
      <w:pPr>
        <w:ind w:left="432" w:hanging="432"/>
      </w:pPr>
    </w:lvl>
    <w:lvl w:ilvl="1" w:tentative="0">
      <w:start w:val="1"/>
      <w:numFmt w:val="decimal"/>
      <w:lvlText w:val="%1.%2"/>
      <w:lvlJc w:val="left"/>
      <w:pPr>
        <w:ind w:left="576" w:hanging="576"/>
      </w:pPr>
    </w:lvl>
    <w:lvl w:ilvl="2" w:tentative="0">
      <w:start w:val="1"/>
      <w:numFmt w:val="decimal"/>
      <w:pStyle w:val="3"/>
      <w:lvlText w:val="%1.%2.%3"/>
      <w:lvlJc w:val="left"/>
      <w:pPr>
        <w:ind w:left="4123" w:hanging="720"/>
      </w:pPr>
      <w:rPr>
        <w:sz w:val="28"/>
      </w:rPr>
    </w:lvl>
    <w:lvl w:ilvl="3" w:tentative="0">
      <w:start w:val="1"/>
      <w:numFmt w:val="decimal"/>
      <w:lvlText w:val="%1.%2.%3.%4"/>
      <w:lvlJc w:val="left"/>
      <w:pPr>
        <w:ind w:left="864" w:hanging="864"/>
      </w:pPr>
      <w:rPr>
        <w:rFonts w:hint="default" w:ascii="黑体" w:hAnsi="黑体" w:eastAsia="黑体"/>
      </w:r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07731"/>
    <w:rsid w:val="00B41DF8"/>
    <w:rsid w:val="00D33392"/>
    <w:rsid w:val="036625B6"/>
    <w:rsid w:val="03F313DA"/>
    <w:rsid w:val="051B6360"/>
    <w:rsid w:val="069E14DC"/>
    <w:rsid w:val="0BA91575"/>
    <w:rsid w:val="0C40745B"/>
    <w:rsid w:val="0CCB54CD"/>
    <w:rsid w:val="0D4A2AD4"/>
    <w:rsid w:val="0D990FCC"/>
    <w:rsid w:val="0ED84D8E"/>
    <w:rsid w:val="10852382"/>
    <w:rsid w:val="10AD0E89"/>
    <w:rsid w:val="10FB7B55"/>
    <w:rsid w:val="12550138"/>
    <w:rsid w:val="13201AE7"/>
    <w:rsid w:val="13393988"/>
    <w:rsid w:val="14F83CE5"/>
    <w:rsid w:val="15185B4E"/>
    <w:rsid w:val="15A02796"/>
    <w:rsid w:val="15FB7AC0"/>
    <w:rsid w:val="16E54815"/>
    <w:rsid w:val="1741045D"/>
    <w:rsid w:val="191A472E"/>
    <w:rsid w:val="1A451B0A"/>
    <w:rsid w:val="1A67240A"/>
    <w:rsid w:val="1A6A1FBE"/>
    <w:rsid w:val="1C2F0EBE"/>
    <w:rsid w:val="1CFF2F1F"/>
    <w:rsid w:val="1DC00E37"/>
    <w:rsid w:val="1DCC0AB0"/>
    <w:rsid w:val="1E1912BE"/>
    <w:rsid w:val="1F0C2D4C"/>
    <w:rsid w:val="218E3750"/>
    <w:rsid w:val="219D6B76"/>
    <w:rsid w:val="22B6158C"/>
    <w:rsid w:val="24AB2563"/>
    <w:rsid w:val="24D01514"/>
    <w:rsid w:val="251D30D1"/>
    <w:rsid w:val="25BE76D0"/>
    <w:rsid w:val="26B170E5"/>
    <w:rsid w:val="26D12788"/>
    <w:rsid w:val="275321BC"/>
    <w:rsid w:val="275E3225"/>
    <w:rsid w:val="296B12F2"/>
    <w:rsid w:val="29ED2EBC"/>
    <w:rsid w:val="2A217E90"/>
    <w:rsid w:val="2AFF1B06"/>
    <w:rsid w:val="2BB73D17"/>
    <w:rsid w:val="2CC154EF"/>
    <w:rsid w:val="2E185DF4"/>
    <w:rsid w:val="2E2352A5"/>
    <w:rsid w:val="30732757"/>
    <w:rsid w:val="3271060E"/>
    <w:rsid w:val="334703E9"/>
    <w:rsid w:val="34725825"/>
    <w:rsid w:val="34D76A2A"/>
    <w:rsid w:val="34E41FB8"/>
    <w:rsid w:val="35344040"/>
    <w:rsid w:val="35633E7E"/>
    <w:rsid w:val="360E316A"/>
    <w:rsid w:val="36223FAB"/>
    <w:rsid w:val="364577ED"/>
    <w:rsid w:val="367867A3"/>
    <w:rsid w:val="37B16BDC"/>
    <w:rsid w:val="3B29663C"/>
    <w:rsid w:val="3B2E2ED9"/>
    <w:rsid w:val="3D85606A"/>
    <w:rsid w:val="3E4E2C09"/>
    <w:rsid w:val="3E52273F"/>
    <w:rsid w:val="3F271A08"/>
    <w:rsid w:val="3FBE1083"/>
    <w:rsid w:val="41116C77"/>
    <w:rsid w:val="41CF1BB9"/>
    <w:rsid w:val="421931F2"/>
    <w:rsid w:val="43CB74AB"/>
    <w:rsid w:val="443815EC"/>
    <w:rsid w:val="44610D1D"/>
    <w:rsid w:val="44A935A5"/>
    <w:rsid w:val="455126A8"/>
    <w:rsid w:val="463C50C4"/>
    <w:rsid w:val="46B37AA2"/>
    <w:rsid w:val="496A328F"/>
    <w:rsid w:val="4A4A0751"/>
    <w:rsid w:val="4A5A46C4"/>
    <w:rsid w:val="4BE1604B"/>
    <w:rsid w:val="4C585496"/>
    <w:rsid w:val="4C9E4AFA"/>
    <w:rsid w:val="4D9823B7"/>
    <w:rsid w:val="4E574E7C"/>
    <w:rsid w:val="533930F6"/>
    <w:rsid w:val="53760E07"/>
    <w:rsid w:val="54452922"/>
    <w:rsid w:val="558D17BE"/>
    <w:rsid w:val="56EF4616"/>
    <w:rsid w:val="57464A55"/>
    <w:rsid w:val="57B21CC8"/>
    <w:rsid w:val="59E2311E"/>
    <w:rsid w:val="5C2A2C0B"/>
    <w:rsid w:val="5CCB658A"/>
    <w:rsid w:val="5DB25531"/>
    <w:rsid w:val="5F2D02BC"/>
    <w:rsid w:val="5F971C54"/>
    <w:rsid w:val="5FA317A8"/>
    <w:rsid w:val="5FC5349C"/>
    <w:rsid w:val="5FFF62A3"/>
    <w:rsid w:val="61CA3320"/>
    <w:rsid w:val="61D27A13"/>
    <w:rsid w:val="63FE2EBF"/>
    <w:rsid w:val="678041CA"/>
    <w:rsid w:val="67D86468"/>
    <w:rsid w:val="6845018C"/>
    <w:rsid w:val="68694610"/>
    <w:rsid w:val="688E1663"/>
    <w:rsid w:val="6970011D"/>
    <w:rsid w:val="6ACD3089"/>
    <w:rsid w:val="6C320A24"/>
    <w:rsid w:val="6CBF39B1"/>
    <w:rsid w:val="6E4240D4"/>
    <w:rsid w:val="6F514736"/>
    <w:rsid w:val="73034D1C"/>
    <w:rsid w:val="743F413C"/>
    <w:rsid w:val="74D01BE7"/>
    <w:rsid w:val="74F75B56"/>
    <w:rsid w:val="75801B52"/>
    <w:rsid w:val="762C6AE5"/>
    <w:rsid w:val="7634236B"/>
    <w:rsid w:val="76927512"/>
    <w:rsid w:val="77F6037C"/>
    <w:rsid w:val="78B74491"/>
    <w:rsid w:val="795D74BD"/>
    <w:rsid w:val="79BD67EE"/>
    <w:rsid w:val="7B56632B"/>
    <w:rsid w:val="7B686F56"/>
    <w:rsid w:val="7B870285"/>
    <w:rsid w:val="7CFF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Calibri" w:hAnsi="Calibri" w:eastAsia="宋体" w:cs="Times New Roman"/>
      <w:kern w:val="2"/>
      <w:sz w:val="24"/>
      <w:szCs w:val="22"/>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b/>
      <w:bCs/>
      <w:kern w:val="44"/>
      <w:sz w:val="44"/>
      <w:szCs w:val="44"/>
    </w:rPr>
  </w:style>
  <w:style w:type="paragraph" w:styleId="3">
    <w:name w:val="heading 3"/>
    <w:basedOn w:val="1"/>
    <w:next w:val="1"/>
    <w:unhideWhenUsed/>
    <w:qFormat/>
    <w:uiPriority w:val="0"/>
    <w:pPr>
      <w:keepNext/>
      <w:keepLines/>
      <w:numPr>
        <w:ilvl w:val="2"/>
        <w:numId w:val="1"/>
      </w:numPr>
      <w:spacing w:before="260" w:after="260" w:line="416" w:lineRule="auto"/>
      <w:outlineLvl w:val="2"/>
    </w:pPr>
    <w:rPr>
      <w:b/>
      <w:bCs/>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next w:val="6"/>
    <w:unhideWhenUsed/>
    <w:qFormat/>
    <w:uiPriority w:val="99"/>
    <w:pPr>
      <w:spacing w:after="120"/>
    </w:pPr>
  </w:style>
  <w:style w:type="paragraph" w:styleId="6">
    <w:name w:val="Title"/>
    <w:basedOn w:val="1"/>
    <w:next w:val="1"/>
    <w:qFormat/>
    <w:uiPriority w:val="0"/>
    <w:pPr>
      <w:spacing w:before="240" w:after="60"/>
      <w:jc w:val="center"/>
      <w:outlineLvl w:val="0"/>
    </w:pPr>
    <w:rPr>
      <w:rFonts w:ascii="Cambria" w:hAnsi="Cambria"/>
      <w:b/>
      <w:sz w:val="32"/>
    </w:rPr>
  </w:style>
  <w:style w:type="paragraph" w:styleId="7">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toc 1"/>
    <w:basedOn w:val="1"/>
    <w:next w:val="1"/>
    <w:qFormat/>
    <w:uiPriority w:val="39"/>
    <w:pPr>
      <w:spacing w:before="120" w:after="120" w:line="240" w:lineRule="auto"/>
      <w:jc w:val="left"/>
    </w:pPr>
    <w:rPr>
      <w:rFonts w:ascii="Times New Roman" w:hAnsi="Times New Roman"/>
      <w:b/>
      <w:bCs/>
      <w:caps/>
      <w:sz w:val="20"/>
      <w:szCs w:val="20"/>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样式 正文首行缩进 + 段前: 0.5 行 段后: 0.5 行"/>
    <w:basedOn w:val="1"/>
    <w:qFormat/>
    <w:uiPriority w:val="0"/>
    <w:pPr>
      <w:spacing w:beforeLines="50" w:afterLines="50" w:line="480" w:lineRule="exact"/>
      <w:ind w:firstLine="420"/>
    </w:pPr>
    <w:rPr>
      <w:rFonts w:ascii="Times New Roman" w:hAnsi="Times New Roman" w:cs="宋体"/>
      <w:szCs w:val="20"/>
    </w:rPr>
  </w:style>
  <w:style w:type="paragraph" w:styleId="13">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2244</Words>
  <Characters>2279</Characters>
  <Lines>0</Lines>
  <Paragraphs>0</Paragraphs>
  <TotalTime>0</TotalTime>
  <ScaleCrop>false</ScaleCrop>
  <LinksUpToDate>false</LinksUpToDate>
  <CharactersWithSpaces>2281</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2022-05-06T02:25:00Z</dcterms:created>
  <dc:creator>yndw</dc:creator>
  <cp:lastModifiedBy>黄照波</cp:lastModifiedBy>
  <dcterms:modified xsi:type="dcterms:W3CDTF">2025-09-03T03:36:28Z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685675BAE6E4487C8728D3D0FB1D3802</vt:lpwstr>
  </property>
  <property fmtid="{D5CDD505-2E9C-101B-9397-08002B2CF9AE}" pid="4" name="KSOTemplateDocerSaveRecord">
    <vt:lpwstr>eyJoZGlkIjoiNTg1YTZkMzU3OTE5NDI3YmU5MTUzNzQxODI2YjQ4YzcifQ==</vt:lpwstr>
  </property>
  <property fmtid="{D5CDD505-2E9C-101B-9397-08002B2CF9AE}" pid="5" name="CWM34216cbdf764410285da24fdc156970a">
    <vt:lpwstr>CWM5seqaCR+qicGwSm/WwhoiDNS/L42FG0cFS5hmA2Oqt2Jdma5nkwbhRXL0YNSWCRBbF8LUMsQuoFWdCpABvXANZj/7Iu/NpRvxIlkSXXkC7o=</vt:lpwstr>
  </property>
</Properties>
</file>