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8"/>
        <w:pageBreakBefore w:val="0"/>
        <w:tabs>
          <w:tab w:val="right" w:leader="dot" w:pos="8296"/>
        </w:tabs>
        <w:kinsoku/>
        <w:wordWrap/>
        <w:overflowPunct/>
        <w:topLinePunct w:val="0"/>
        <w:autoSpaceDE/>
        <w:autoSpaceDN/>
        <w:bidi w:val="0"/>
        <w:adjustRightInd w:val="0"/>
        <w:snapToGrid w:val="0"/>
        <w:spacing w:before="0" w:after="0" w:line="360" w:lineRule="auto"/>
        <w:jc w:val="both"/>
        <w:rPr>
          <w:rFonts w:ascii="宋体" w:hAnsi="宋体" w:cs="宋体"/>
          <w:b w:val="0"/>
          <w:color w:val="auto"/>
          <w:sz w:val="36"/>
          <w:szCs w:val="36"/>
          <w:highlight w:val="none"/>
        </w:rPr>
      </w:pPr>
    </w:p>
    <w:p>
      <w:pPr>
        <w:pStyle w:val="8"/>
        <w:pageBreakBefore w:val="0"/>
        <w:tabs>
          <w:tab w:val="right" w:leader="dot" w:pos="8296"/>
        </w:tabs>
        <w:kinsoku/>
        <w:wordWrap/>
        <w:overflowPunct/>
        <w:topLinePunct w:val="0"/>
        <w:autoSpaceDE/>
        <w:autoSpaceDN/>
        <w:bidi w:val="0"/>
        <w:adjustRightInd w:val="0"/>
        <w:snapToGrid w:val="0"/>
        <w:spacing w:before="0" w:after="0" w:line="240" w:lineRule="auto"/>
        <w:jc w:val="center"/>
        <w:rPr>
          <w:rFonts w:hint="default" w:ascii="宋体" w:hAnsi="宋体" w:eastAsia="宋体" w:cs="宋体"/>
          <w:b w:val="0"/>
          <w:color w:val="auto"/>
          <w:sz w:val="36"/>
          <w:szCs w:val="36"/>
          <w:highlight w:val="none"/>
          <w:lang w:val="en-US" w:eastAsia="zh-CN"/>
        </w:rPr>
      </w:pPr>
      <w:r>
        <w:rPr>
          <w:rFonts w:hint="eastAsia" w:ascii="宋体" w:hAnsi="宋体" w:cs="宋体"/>
          <w:b w:val="0"/>
          <w:color w:val="auto"/>
          <w:sz w:val="36"/>
          <w:szCs w:val="36"/>
          <w:highlight w:val="none"/>
          <w:lang w:val="en-US" w:eastAsia="zh-CN"/>
        </w:rPr>
        <w:t>智能远动机AVC防误功能技术规范书</w:t>
      </w:r>
    </w:p>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ageBreakBefore w:val="0"/>
        <w:kinsoku/>
        <w:wordWrap/>
        <w:overflowPunct/>
        <w:topLinePunct w:val="0"/>
        <w:autoSpaceDE/>
        <w:autoSpaceDN/>
        <w:bidi w:val="0"/>
        <w:adjustRightInd w:val="0"/>
        <w:snapToGrid w:val="0"/>
        <w:spacing w:line="240" w:lineRule="auto"/>
        <w:jc w:val="both"/>
        <w:rPr>
          <w:rFonts w:hint="eastAsia" w:ascii="宋体" w:hAnsi="宋体" w:cs="宋体"/>
          <w:b/>
          <w:color w:val="auto"/>
          <w:sz w:val="32"/>
          <w:highlight w:val="none"/>
        </w:rPr>
      </w:pPr>
    </w:p>
    <w:p>
      <w:pPr>
        <w:pStyle w:val="2"/>
        <w:rPr>
          <w:rFonts w:hint="eastAsia"/>
        </w:rPr>
      </w:pPr>
    </w:p>
    <w:p>
      <w:pPr>
        <w:pStyle w:val="4"/>
        <w:numPr>
          <w:ilvl w:val="0"/>
          <w:numId w:val="0"/>
        </w:numPr>
        <w:ind w:leftChars="0"/>
        <w:rPr>
          <w:rFonts w:hint="eastAsia"/>
        </w:rPr>
      </w:pPr>
    </w:p>
    <w:p>
      <w:pPr>
        <w:rPr>
          <w:rFonts w:hint="eastAsia"/>
        </w:rPr>
      </w:pPr>
    </w:p>
    <w:p>
      <w:pPr>
        <w:pStyle w:val="4"/>
        <w:numPr>
          <w:ilvl w:val="0"/>
          <w:numId w:val="0"/>
        </w:numPr>
        <w:ind w:leftChars="0"/>
        <w:rPr>
          <w:rFonts w:hint="eastAsia"/>
        </w:rPr>
      </w:pPr>
    </w:p>
    <w:p>
      <w:pPr>
        <w:pStyle w:val="4"/>
        <w:numPr>
          <w:ilvl w:val="0"/>
          <w:numId w:val="0"/>
        </w:numPr>
        <w:ind w:leftChars="0"/>
        <w:rPr>
          <w:rFonts w:hint="eastAsia"/>
        </w:rPr>
      </w:pPr>
    </w:p>
    <w:p>
      <w:pPr>
        <w:ind w:left="0" w:leftChars="0" w:firstLine="0" w:firstLineChars="0"/>
        <w:jc w:val="center"/>
        <w:rPr>
          <w:rFonts w:ascii="Times New Roman" w:hAnsi="Times New Roman" w:eastAsia="宋体"/>
          <w:b/>
          <w:color w:val="auto"/>
          <w:sz w:val="32"/>
          <w:highlight w:val="none"/>
        </w:rPr>
      </w:pPr>
      <w:r>
        <w:rPr>
          <w:rFonts w:hint="eastAsia" w:ascii="Times New Roman" w:hAnsi="Times New Roman" w:eastAsia="宋体"/>
          <w:b/>
          <w:color w:val="auto"/>
          <w:sz w:val="32"/>
          <w:highlight w:val="none"/>
        </w:rPr>
        <w:t>云南电网有限责任公司</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ascii="宋体" w:hAnsi="宋体" w:cs="宋体"/>
          <w:b/>
          <w:color w:val="auto"/>
          <w:sz w:val="32"/>
          <w:highlight w:val="none"/>
        </w:rPr>
      </w:pPr>
      <w:r>
        <w:rPr>
          <w:rFonts w:hint="eastAsia" w:ascii="宋体" w:hAnsi="宋体" w:cs="宋体"/>
          <w:b w:val="0"/>
          <w:bCs/>
          <w:color w:val="auto"/>
          <w:sz w:val="32"/>
          <w:highlight w:val="none"/>
        </w:rPr>
        <w:t>20</w:t>
      </w:r>
      <w:r>
        <w:rPr>
          <w:rFonts w:hint="eastAsia" w:ascii="宋体" w:hAnsi="宋体" w:cs="宋体"/>
          <w:b w:val="0"/>
          <w:bCs/>
          <w:color w:val="auto"/>
          <w:sz w:val="32"/>
          <w:highlight w:val="none"/>
          <w:lang w:val="en-US" w:eastAsia="zh-CN"/>
        </w:rPr>
        <w:t>25</w:t>
      </w:r>
      <w:r>
        <w:rPr>
          <w:rFonts w:hint="eastAsia" w:ascii="宋体" w:hAnsi="宋体" w:cs="宋体"/>
          <w:b w:val="0"/>
          <w:bCs/>
          <w:color w:val="auto"/>
          <w:sz w:val="32"/>
          <w:highlight w:val="none"/>
        </w:rPr>
        <w:t>年</w:t>
      </w:r>
      <w:r>
        <w:rPr>
          <w:rFonts w:hint="eastAsia" w:ascii="宋体" w:hAnsi="宋体" w:cs="宋体"/>
          <w:b w:val="0"/>
          <w:bCs/>
          <w:color w:val="auto"/>
          <w:sz w:val="32"/>
          <w:highlight w:val="none"/>
          <w:lang w:val="en-US" w:eastAsia="zh-CN"/>
        </w:rPr>
        <w:t>7</w:t>
      </w:r>
      <w:r>
        <w:rPr>
          <w:rFonts w:hint="eastAsia" w:ascii="宋体" w:hAnsi="宋体" w:cs="宋体"/>
          <w:b w:val="0"/>
          <w:bCs/>
          <w:color w:val="auto"/>
          <w:sz w:val="32"/>
          <w:highlight w:val="none"/>
        </w:rPr>
        <w:t>月</w:t>
      </w:r>
      <w:r>
        <w:rPr>
          <w:rFonts w:ascii="宋体" w:hAnsi="宋体" w:cs="宋体"/>
          <w:b/>
          <w:color w:val="auto"/>
          <w:sz w:val="32"/>
          <w:highlight w:val="none"/>
        </w:rPr>
        <w:br w:type="page"/>
      </w:r>
    </w:p>
    <w:p>
      <w:pPr>
        <w:pStyle w:val="4"/>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jc w:val="center"/>
        <w:rPr>
          <w:rFonts w:hint="eastAsia" w:ascii="宋体" w:hAnsi="宋体" w:eastAsia="宋体" w:cs="宋体"/>
          <w:color w:val="auto"/>
          <w:sz w:val="24"/>
          <w:szCs w:val="24"/>
          <w:highlight w:val="none"/>
        </w:rPr>
      </w:pPr>
      <w:bookmarkStart w:id="0" w:name="_Toc1754"/>
      <w:r>
        <w:rPr>
          <w:rFonts w:hint="eastAsia" w:ascii="宋体" w:hAnsi="宋体" w:eastAsia="宋体" w:cs="宋体"/>
          <w:color w:val="auto"/>
          <w:sz w:val="24"/>
          <w:szCs w:val="24"/>
          <w:highlight w:val="none"/>
        </w:rPr>
        <w:t>第一部分 总则部分</w:t>
      </w:r>
      <w:bookmarkEnd w:id="0"/>
    </w:p>
    <w:p>
      <w:pPr>
        <w:pageBreakBefore w:val="0"/>
        <w:kinsoku/>
        <w:wordWrap/>
        <w:overflowPunct/>
        <w:topLinePunct w:val="0"/>
        <w:autoSpaceDE/>
        <w:autoSpaceDN/>
        <w:bidi w:val="0"/>
        <w:spacing w:line="360" w:lineRule="auto"/>
        <w:ind w:left="0" w:leftChars="0" w:firstLine="480" w:firstLineChars="200"/>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1、本技术规范书适用于</w:t>
      </w:r>
      <w:r>
        <w:rPr>
          <w:rFonts w:hint="eastAsia" w:ascii="宋体" w:hAnsi="宋体" w:cs="宋体"/>
          <w:color w:val="auto"/>
          <w:sz w:val="24"/>
          <w:szCs w:val="24"/>
          <w:highlight w:val="yellow"/>
          <w:lang w:val="en-US" w:eastAsia="zh-CN"/>
        </w:rPr>
        <w:t>临沧供电局2025年35kV及以上变电站智能远动机AVC防误功能大修</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，本技术规范书的最终解释权归云南电网有限责任公司</w:t>
      </w:r>
      <w:r>
        <w:rPr>
          <w:rFonts w:hint="eastAsia" w:ascii="宋体" w:hAnsi="宋体" w:eastAsia="宋体" w:cs="宋体"/>
          <w:color w:val="auto"/>
          <w:sz w:val="24"/>
          <w:szCs w:val="24"/>
          <w:highlight w:val="none"/>
          <w:lang w:val="en-US" w:eastAsia="zh-CN"/>
        </w:rPr>
        <w:t>系统运行部</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方</w:t>
      </w:r>
      <w:r>
        <w:rPr>
          <w:rFonts w:hint="eastAsia" w:ascii="宋体" w:hAnsi="宋体" w:eastAsia="宋体" w:cs="宋体"/>
          <w:color w:val="auto"/>
          <w:sz w:val="24"/>
          <w:szCs w:val="24"/>
          <w:highlight w:val="none"/>
        </w:rPr>
        <w:t>未经招标方同意，不得以任何形式向第三方公开本技术规范书。</w:t>
      </w:r>
    </w:p>
    <w:p>
      <w:pPr>
        <w:pStyle w:val="12"/>
        <w:pageBreakBefore w:val="0"/>
        <w:tabs>
          <w:tab w:val="left" w:pos="1134"/>
        </w:tabs>
        <w:kinsoku/>
        <w:wordWrap/>
        <w:overflowPunct/>
        <w:topLinePunct w:val="0"/>
        <w:autoSpaceDE/>
        <w:autoSpaceDN/>
        <w:bidi w:val="0"/>
        <w:adjustRightInd w:val="0"/>
        <w:snapToGrid w:val="0"/>
        <w:spacing w:beforeLines="0" w:afterLines="0" w:line="360" w:lineRule="auto"/>
        <w:ind w:left="0" w:leftChars="0" w:firstLine="480" w:firstLineChars="200"/>
        <w:jc w:val="left"/>
        <w:rPr>
          <w:rFonts w:hint="eastAsia" w:ascii="宋体" w:hAnsi="宋体" w:eastAsia="宋体" w:cs="宋体"/>
          <w:color w:val="auto"/>
          <w:sz w:val="24"/>
          <w:szCs w:val="24"/>
          <w:highlight w:val="none"/>
        </w:rPr>
      </w:pPr>
    </w:p>
    <w:p>
      <w:pPr>
        <w:pageBreakBefore w:val="0"/>
        <w:kinsoku/>
        <w:wordWrap/>
        <w:overflowPunct/>
        <w:topLinePunct w:val="0"/>
        <w:autoSpaceDE/>
        <w:autoSpaceDN/>
        <w:bidi w:val="0"/>
        <w:adjustRightInd w:val="0"/>
        <w:snapToGrid w:val="0"/>
        <w:spacing w:line="360" w:lineRule="auto"/>
        <w:ind w:left="0" w:leftChars="0" w:firstLine="482" w:firstLineChars="200"/>
        <w:jc w:val="center"/>
        <w:outlineLvl w:val="0"/>
        <w:rPr>
          <w:rFonts w:hint="eastAsia" w:ascii="宋体" w:hAnsi="宋体" w:eastAsia="宋体" w:cs="宋体"/>
          <w:b/>
          <w:bCs/>
          <w:color w:val="auto"/>
          <w:sz w:val="24"/>
          <w:szCs w:val="24"/>
          <w:highlight w:val="none"/>
        </w:rPr>
      </w:pPr>
      <w:bookmarkStart w:id="1" w:name="_Toc30990"/>
      <w:r>
        <w:rPr>
          <w:rFonts w:hint="eastAsia" w:ascii="宋体" w:hAnsi="宋体" w:eastAsia="宋体" w:cs="宋体"/>
          <w:b/>
          <w:bCs/>
          <w:color w:val="auto"/>
          <w:sz w:val="24"/>
          <w:szCs w:val="24"/>
          <w:highlight w:val="none"/>
        </w:rPr>
        <w:t>第二部分 技术规范</w:t>
      </w:r>
      <w:bookmarkEnd w:id="1"/>
    </w:p>
    <w:p>
      <w:pPr>
        <w:pStyle w:val="4"/>
        <w:pageBreakBefore w:val="0"/>
        <w:numPr>
          <w:ilvl w:val="0"/>
          <w:numId w:val="2"/>
        </w:numPr>
        <w:tabs>
          <w:tab w:val="left" w:pos="709"/>
        </w:tabs>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rPr>
      </w:pPr>
      <w:bookmarkStart w:id="2" w:name="_Toc25386"/>
      <w:r>
        <w:rPr>
          <w:rFonts w:hint="eastAsia" w:ascii="宋体" w:hAnsi="宋体" w:eastAsia="宋体" w:cs="宋体"/>
          <w:color w:val="auto"/>
          <w:sz w:val="24"/>
          <w:szCs w:val="24"/>
          <w:highlight w:val="none"/>
          <w:lang w:val="en-US" w:eastAsia="zh-CN"/>
        </w:rPr>
        <w:t>技术服务范围</w:t>
      </w:r>
      <w:bookmarkEnd w:id="2"/>
    </w:p>
    <w:p>
      <w:pPr>
        <w:pageBreakBefore w:val="0"/>
        <w:kinsoku/>
        <w:wordWrap/>
        <w:overflowPunct/>
        <w:topLinePunct w:val="0"/>
        <w:autoSpaceDE/>
        <w:autoSpaceDN/>
        <w:bidi w:val="0"/>
        <w:spacing w:line="360" w:lineRule="auto"/>
        <w:ind w:left="0" w:leftChars="0" w:firstLine="480" w:firstLineChars="200"/>
        <w:rPr>
          <w:rFonts w:hint="default" w:ascii="宋体" w:hAnsi="宋体" w:eastAsia="宋体" w:cs="宋体"/>
          <w:b/>
          <w:bCs/>
          <w:color w:val="auto"/>
          <w:sz w:val="24"/>
          <w:szCs w:val="24"/>
          <w:highlight w:val="none"/>
          <w:lang w:val="en-US" w:eastAsia="zh-CN"/>
        </w:rPr>
      </w:pPr>
      <w:r>
        <w:commentReference w:id="0"/>
      </w:r>
    </w:p>
    <w:p>
      <w:pPr>
        <w:pageBreakBefore w:val="0"/>
        <w:kinsoku/>
        <w:wordWrap/>
        <w:overflowPunct/>
        <w:topLinePunct w:val="0"/>
        <w:autoSpaceDE/>
        <w:autoSpaceDN/>
        <w:bidi w:val="0"/>
        <w:spacing w:line="360" w:lineRule="auto"/>
        <w:ind w:left="0" w:leftChars="0" w:firstLine="482" w:firstLineChars="200"/>
        <w:rPr>
          <w:rFonts w:hint="eastAsia" w:ascii="宋体" w:hAnsi="宋体" w:eastAsia="宋体" w:cs="宋体"/>
          <w:color w:val="auto"/>
          <w:sz w:val="24"/>
          <w:szCs w:val="24"/>
          <w:highlight w:val="yellow"/>
        </w:rPr>
      </w:pPr>
      <w:r>
        <w:rPr>
          <w:rFonts w:hint="eastAsia" w:ascii="宋体" w:hAnsi="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rPr>
        <w:t>范围</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yellow"/>
          <w:lang w:val="en-US" w:eastAsia="zh-CN"/>
        </w:rPr>
        <w:t>临沧供电局</w:t>
      </w:r>
      <w:r>
        <w:rPr>
          <w:rFonts w:hint="eastAsia" w:ascii="宋体" w:hAnsi="宋体" w:eastAsia="宋体" w:cs="宋体"/>
          <w:color w:val="auto"/>
          <w:sz w:val="24"/>
          <w:szCs w:val="24"/>
          <w:highlight w:val="yellow"/>
        </w:rPr>
        <w:t>；</w:t>
      </w:r>
    </w:p>
    <w:p>
      <w:pPr>
        <w:pageBreakBefore w:val="0"/>
        <w:kinsoku/>
        <w:wordWrap/>
        <w:overflowPunct/>
        <w:topLinePunct w:val="0"/>
        <w:autoSpaceDE/>
        <w:autoSpaceDN/>
        <w:bidi w:val="0"/>
        <w:spacing w:line="360" w:lineRule="auto"/>
        <w:ind w:left="0" w:leftChars="0" w:firstLine="482" w:firstLineChars="200"/>
        <w:rPr>
          <w:rFonts w:hint="default"/>
          <w:b/>
          <w:bCs/>
          <w:highlight w:val="yellow"/>
          <w:lang w:val="en-US" w:eastAsia="zh-CN"/>
        </w:rPr>
      </w:pPr>
      <w:r>
        <w:rPr>
          <w:rFonts w:hint="eastAsia" w:ascii="宋体" w:hAnsi="宋体" w:eastAsia="宋体" w:cs="宋体"/>
          <w:b/>
          <w:bCs/>
          <w:color w:val="auto"/>
          <w:kern w:val="2"/>
          <w:sz w:val="24"/>
          <w:szCs w:val="24"/>
          <w:highlight w:val="yellow"/>
          <w:lang w:val="en-US" w:eastAsia="zh-CN" w:bidi="ar-SA"/>
        </w:rPr>
        <w:t>服务</w:t>
      </w:r>
      <w:r>
        <w:rPr>
          <w:rFonts w:hint="eastAsia" w:ascii="宋体" w:hAnsi="宋体" w:eastAsia="宋体" w:cs="宋体"/>
          <w:b/>
          <w:bCs/>
          <w:color w:val="auto"/>
          <w:sz w:val="24"/>
          <w:szCs w:val="24"/>
          <w:highlight w:val="yellow"/>
          <w:lang w:val="en-US" w:eastAsia="zh-CN"/>
        </w:rPr>
        <w:t>时间</w:t>
      </w:r>
      <w:r>
        <w:rPr>
          <w:rFonts w:hint="eastAsia" w:ascii="宋体" w:hAnsi="宋体" w:cs="宋体"/>
          <w:b/>
          <w:bCs/>
          <w:color w:val="auto"/>
          <w:kern w:val="2"/>
          <w:sz w:val="24"/>
          <w:szCs w:val="24"/>
          <w:highlight w:val="yellow"/>
          <w:lang w:val="en-US" w:eastAsia="zh-CN" w:bidi="ar-SA"/>
        </w:rPr>
        <w:t>：</w:t>
      </w:r>
      <w:r>
        <w:rPr>
          <w:rFonts w:hint="eastAsia" w:ascii="宋体" w:hAnsi="宋体" w:cs="宋体"/>
          <w:color w:val="auto"/>
          <w:sz w:val="24"/>
          <w:szCs w:val="24"/>
          <w:highlight w:val="yellow"/>
          <w:lang w:val="en-US" w:eastAsia="zh-CN"/>
        </w:rPr>
        <w:t>从合同签订之日至2026年6月30日</w:t>
      </w:r>
      <w:bookmarkStart w:id="21" w:name="_GoBack"/>
      <w:bookmarkEnd w:id="21"/>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rPr>
      </w:pPr>
      <w:bookmarkStart w:id="3" w:name="_Toc7430"/>
    </w:p>
    <w:p>
      <w:pPr>
        <w:pStyle w:val="4"/>
        <w:keepNext/>
        <w:keepLines/>
        <w:pageBreakBefore w:val="0"/>
        <w:widowControl w:val="0"/>
        <w:numPr>
          <w:ilvl w:val="0"/>
          <w:numId w:val="2"/>
        </w:numPr>
        <w:kinsoku/>
        <w:wordWrap/>
        <w:overflowPunct/>
        <w:topLinePunct w:val="0"/>
        <w:autoSpaceDE/>
        <w:autoSpaceDN/>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技术服务内容及要求</w:t>
      </w:r>
      <w:bookmarkEnd w:id="3"/>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default" w:ascii="宋体" w:hAnsi="宋体" w:cs="宋体"/>
          <w:b w:val="0"/>
          <w:bCs w:val="0"/>
          <w:color w:val="auto"/>
          <w:kern w:val="2"/>
          <w:sz w:val="24"/>
          <w:szCs w:val="24"/>
          <w:highlight w:val="yellow"/>
          <w:lang w:val="en-US" w:eastAsia="zh-CN" w:bidi="ar-SA"/>
        </w:rPr>
      </w:pPr>
      <w:r>
        <w:commentReference w:id="1"/>
      </w:r>
      <w:r>
        <w:rPr>
          <w:rFonts w:hint="eastAsia"/>
          <w:lang w:val="en-US" w:eastAsia="zh-CN"/>
        </w:rPr>
        <w:t xml:space="preserve">  </w:t>
      </w:r>
      <w:r>
        <w:rPr>
          <w:rFonts w:hint="eastAsia" w:ascii="宋体" w:hAnsi="宋体" w:eastAsia="宋体" w:cs="宋体"/>
          <w:b w:val="0"/>
          <w:bCs w:val="0"/>
          <w:color w:val="auto"/>
          <w:kern w:val="2"/>
          <w:sz w:val="24"/>
          <w:szCs w:val="24"/>
          <w:highlight w:val="yellow"/>
          <w:lang w:val="en-US" w:eastAsia="zh-CN" w:bidi="ar-SA"/>
        </w:rPr>
        <w:t>通过对</w:t>
      </w:r>
      <w:r>
        <w:rPr>
          <w:rFonts w:hint="eastAsia" w:ascii="宋体" w:hAnsi="宋体" w:cs="宋体"/>
          <w:b w:val="0"/>
          <w:bCs w:val="0"/>
          <w:color w:val="auto"/>
          <w:kern w:val="2"/>
          <w:sz w:val="24"/>
          <w:szCs w:val="24"/>
          <w:highlight w:val="yellow"/>
          <w:lang w:val="en-US" w:eastAsia="zh-CN" w:bidi="ar-SA"/>
        </w:rPr>
        <w:t>临沧供电局35kV乌木龙变、35kV永甸变、35kV团部变、35kV忙丙变、35kV团结变、35kV南腊变等6座变电站智能远动机进行现场配置调试，能够具备并投入AVC控制防误功能：在远动装置收到主站的电容器、电抗器投切命令以及变压器档位升降控制命令后，不是无条件地执行主站的控制命令而是对可能出现的误操作进行判断，闭锁可能的误操作，例如在相应的远方控制压板位置为就地时应闭锁控制；在本地装置中由于通信、数据采集等系统故障时闭锁自动控制；在目标母线电压越限时应闭锁加剧电压越限的调节等。智能远动机的配置应满足以下要求：</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textAlignment w:val="auto"/>
        <w:rPr>
          <w:rFonts w:hint="eastAsia" w:ascii="宋体" w:hAnsi="宋体" w:cs="宋体"/>
          <w:b/>
          <w:bCs/>
          <w:color w:val="auto"/>
          <w:kern w:val="2"/>
          <w:sz w:val="24"/>
          <w:szCs w:val="24"/>
          <w:highlight w:val="yellow"/>
          <w:lang w:val="en-US" w:eastAsia="zh-CN" w:bidi="ar-SA"/>
        </w:rPr>
      </w:pPr>
      <w:bookmarkStart w:id="4" w:name="_Toc103721238"/>
      <w:bookmarkStart w:id="5" w:name="_Toc15321"/>
      <w:bookmarkStart w:id="6" w:name="_Toc19728"/>
      <w:bookmarkStart w:id="7" w:name="_Toc9893"/>
      <w:bookmarkStart w:id="8" w:name="_Toc29377"/>
      <w:r>
        <w:rPr>
          <w:rFonts w:hint="eastAsia" w:ascii="宋体" w:hAnsi="宋体" w:cs="宋体"/>
          <w:b/>
          <w:bCs/>
          <w:color w:val="auto"/>
          <w:kern w:val="2"/>
          <w:sz w:val="24"/>
          <w:szCs w:val="24"/>
          <w:highlight w:val="yellow"/>
          <w:lang w:val="en-US" w:eastAsia="zh-CN" w:bidi="ar-SA"/>
        </w:rPr>
        <w:t>1、AVC控制防误要求</w:t>
      </w:r>
      <w:bookmarkEnd w:id="4"/>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firstLine="480" w:firstLineChars="20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智能远动机应对调度下发AVC调节控制命令的合理性、正确性进行判断，闭锁异常操作命令。应满足以下要求：</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default"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（1）智能远动机应配置站级AVC控制防误功能压板，支持通过压板投入、退出智能远动机全站AVC控制防误功能。每个通道配置或每个调度系统配置站级软压板。</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（2）智能远动机应配置间隔级（每个间隔）AVC控制防误功能压板，支持通过压板投入、退出相应间隔的AVC控制防误功能。</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（3）站级、间隔级AVC控制防误功能压板均为虚拟遥信量，支持地调通过相应的虚拟遥控量进行投切操作，网省级调度不配置AVC控制防误功能压板的远方遥控。</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（4）站级、间隔级AVC控制防误功能压板同时投入时，智能远动机对相应间隔的开关控制命令进行防误闭锁条件判断。</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（5）智能远动机判断当前控制命令满足闭锁条件时，应按照遥控对象进行闭锁，向主站和监控后台返回“AVC防误逻辑判断不通过，XX开关遥控失败”软遥信告警。</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（6）智能远动机判断当前控制命令不满足闭锁条件时，执行相应的命令并在执行完成后返回遥控成功。</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（7）智能远动机双机配置时（双主或主备运行模式）应具备AVC控制防误数据同步功能，保证双机数据库的一致性，同步调度端控制的信息状态。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（8）智能远动机AVC控制防误功能应仅对来自AVC调度主站的遥控指令进行逻辑判断，并且应对该调度的所有通道同时生效。</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textAlignment w:val="auto"/>
        <w:rPr>
          <w:rFonts w:hint="eastAsia" w:ascii="宋体" w:hAnsi="宋体" w:cs="宋体"/>
          <w:b/>
          <w:bCs/>
          <w:color w:val="auto"/>
          <w:kern w:val="2"/>
          <w:sz w:val="24"/>
          <w:szCs w:val="24"/>
          <w:highlight w:val="yellow"/>
          <w:lang w:val="en-US" w:eastAsia="zh-CN" w:bidi="ar-SA"/>
        </w:rPr>
      </w:pPr>
      <w:bookmarkStart w:id="9" w:name="_Toc103721239"/>
      <w:r>
        <w:rPr>
          <w:rFonts w:hint="eastAsia" w:ascii="宋体" w:hAnsi="宋体" w:cs="宋体"/>
          <w:b/>
          <w:bCs/>
          <w:color w:val="auto"/>
          <w:kern w:val="2"/>
          <w:sz w:val="24"/>
          <w:szCs w:val="24"/>
          <w:highlight w:val="yellow"/>
          <w:lang w:val="en-US" w:eastAsia="zh-CN" w:bidi="ar-SA"/>
        </w:rPr>
        <w:t>2、AVC控制防误策略</w:t>
      </w:r>
      <w:bookmarkEnd w:id="9"/>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firstLine="480" w:firstLineChars="20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智能远动机AVC控制防误策略，应满足以下要求：</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（1）电容器、电抗器间互斥闭锁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a）同一变电站内的电容器和电抗器应满足投入状态互斥要求，无论母线、主变处于何种运行方式，均不能存在电容器和电抗器同时处于运行状态。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b）当有电容器投入运行时，触发“有电容器运行中，电抗器投入操作被互斥闭锁”信号，闭锁所有电抗器的投入操作；当所有电容器退出运行时，“有电容器运行中，电抗器投入操作被互斥闭锁”信号复归，允许投入电抗器。</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c）当有电抗器投入运行时，触发“有电抗器运行中，电容器投入操作被互斥闭锁”信号，闭锁所有电容器的投入操作；当所有电抗器退出运行时，“有电抗器运行中，电容器投入操作被互斥闭锁”信号复归，允许投入电容器。</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d）当有电容器、电抗器对应刀闸处于分位（即冷备用状态时），该电容器、电抗器不应触发互斥闭锁逻辑。</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（2）母线电压越限闭锁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a）无论母线、主变处于何种运行方式，低压侧母线电压越限，电压越限闭锁仅针对本段母线生效；对于中压侧和高压侧母线电压越限，电压越限闭锁针对全站母线生效。</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b）当相应母线电压的越限状态已经为越上限时，闭锁投入电容器或退出电抗器的遥控操作。</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c）当相应母线电压的越限状态已经为越下限时，闭锁投入电抗器或退出电容器的遥控操作。</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d）电压越限闭锁定值应与对应调度AVC定值单的母线电压控制上下限相配合，支持分时段配置；其闭锁定值上限应大于AVC控制上限0~1kV，其闭锁定值下限应小于AVC控制下限0~1kV。</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e）对于处于检修状态的母线，该母线电压不应触发母线电压越限闭锁逻辑。</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（3）连续操作闭锁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a） 智能远动机应能闭锁短时间连续多次接收到的站内电容器、电抗器的遥控指令。</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b） 智能远动机中配置的连续遥控闭锁时间应明显小于所接入调度AVC系统连续两次计算周期的时间间隔。</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c）当有人工操作连续投切容抗器的需求时，应预先退出AVC防误闭锁压板再执行操作。</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 xml:space="preserve">（4）检修闭锁 </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a）低压侧母线检修时应闭锁本段母线上的电容器和电抗器AVC控制操作。</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b）电容器、电抗器开关两侧地刀处于合位时，应闭锁对应开关的AVC控制操作。</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（5）其他闭锁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a）电容器测控、电抗器测控装置失电或通信中断时，应闭锁。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b）当对应保护装置闭锁或报警时，应闭锁。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c）当对应开关处于就地控制状态时，应闭锁。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d）当对应开关弹簧未储能时，应闭锁。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e）当对应保护装置动作时，应闭锁。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f）当对应开关出现SF6泄露、SF6压力低闭锁、SF6压力低告警、控制回路断线等异常信号时，应闭锁。</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g）其它需要闭锁控制的情况。</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textAlignment w:val="auto"/>
        <w:rPr>
          <w:rFonts w:hint="eastAsia" w:ascii="宋体" w:hAnsi="宋体" w:cs="宋体"/>
          <w:b/>
          <w:bCs/>
          <w:color w:val="auto"/>
          <w:kern w:val="2"/>
          <w:sz w:val="24"/>
          <w:szCs w:val="24"/>
          <w:highlight w:val="yellow"/>
          <w:lang w:val="en-US" w:eastAsia="zh-CN" w:bidi="ar-SA"/>
        </w:rPr>
      </w:pPr>
      <w:bookmarkStart w:id="10" w:name="_Toc103721240"/>
      <w:r>
        <w:rPr>
          <w:rFonts w:hint="eastAsia" w:ascii="宋体" w:hAnsi="宋体" w:cs="宋体"/>
          <w:b/>
          <w:bCs/>
          <w:color w:val="auto"/>
          <w:kern w:val="2"/>
          <w:sz w:val="24"/>
          <w:szCs w:val="24"/>
          <w:highlight w:val="yellow"/>
          <w:lang w:val="en-US" w:eastAsia="zh-CN" w:bidi="ar-SA"/>
        </w:rPr>
        <w:t>3、AVC控制防误信号的同步与监视</w:t>
      </w:r>
      <w:bookmarkEnd w:id="10"/>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firstLine="480" w:firstLineChars="20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AVC控制防误信号的同步与监视，应满足以下要求：</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a）站级AVC控制防误功能压板、间隔级AVC控制防误功能压板等软压板状态应在智能远动装置双机之间同步，并发送给变电站监控后台。</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b）“AVC防误逻辑判断不通过，XX开关遥控失败”等告警信号应在智能远动机双机之间同步，并发送给变电站监控后台。</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c）调控中心应根据监控需要采集变电站AVC控制防误功能相关信号。</w:t>
      </w:r>
    </w:p>
    <w:p>
      <w:pPr>
        <w:pStyle w:val="4"/>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textAlignment w:val="auto"/>
        <w:rPr>
          <w:rFonts w:hint="eastAsia" w:ascii="宋体" w:hAnsi="宋体" w:cs="宋体"/>
          <w:b w:val="0"/>
          <w:bCs w:val="0"/>
          <w:color w:val="auto"/>
          <w:kern w:val="2"/>
          <w:sz w:val="24"/>
          <w:szCs w:val="24"/>
          <w:highlight w:val="yellow"/>
          <w:lang w:val="en-US" w:eastAsia="zh-CN" w:bidi="ar-SA"/>
        </w:rPr>
      </w:pPr>
      <w:r>
        <w:rPr>
          <w:rFonts w:hint="eastAsia" w:ascii="宋体" w:hAnsi="宋体" w:cs="宋体"/>
          <w:b w:val="0"/>
          <w:bCs w:val="0"/>
          <w:color w:val="auto"/>
          <w:kern w:val="2"/>
          <w:sz w:val="24"/>
          <w:szCs w:val="24"/>
          <w:highlight w:val="yellow"/>
          <w:lang w:val="en-US" w:eastAsia="zh-CN" w:bidi="ar-SA"/>
        </w:rPr>
        <w:t>d）变电站监控系统应采集AVC控制防误功能相关信号。包括站级、间隔级AVC控制防误功能投入，站级、间隔级防误策略的触发/复归情况和各电容器/电抗器的运行状态。</w:t>
      </w:r>
    </w:p>
    <w:p>
      <w:pPr>
        <w:ind w:firstLine="480" w:firstLineChars="200"/>
        <w:rPr>
          <w:rFonts w:hint="eastAsia"/>
          <w:highlight w:val="yellow"/>
          <w:lang w:val="en-US" w:eastAsia="zh-CN"/>
        </w:rPr>
      </w:pPr>
    </w:p>
    <w:p>
      <w:pPr>
        <w:ind w:firstLine="480" w:firstLineChars="200"/>
        <w:rPr>
          <w:rFonts w:hint="default"/>
          <w:highlight w:val="yellow"/>
          <w:lang w:val="en-US" w:eastAsia="zh-CN"/>
        </w:rPr>
      </w:pPr>
      <w:r>
        <w:rPr>
          <w:rFonts w:hint="eastAsia"/>
          <w:highlight w:val="yellow"/>
          <w:lang w:val="en-US" w:eastAsia="zh-CN"/>
        </w:rPr>
        <w:t>现场服务要求：现场服务人员应按照临沧供电局专业班组工作计划时间按期进场，遵守现场工作安全管理规程及工作负责人安全交代内容。工作开始前做好后台及远动装置的数据备份，智能远动装置调试期间，不得造成因人为误配置原因导致远动装置其它功能故障，影响调度实时监控。两台智能远动装置应单机配置调试无误后，方可进行另一台远动装置的配置调试。智能远动装置配置完成后，服务人员应同专业班组人员共同进行调试验证，及时反馈处理调试过程中遇到的问题，验收通过后方可将AVC防误功能投入运行。验收通过后，现场服务人员对专业班组人员开展AVC防误功能技术培训，提供远动装置AVC防误调试及日常维护说明书，协同专业班组人员编写AVC遥控试验报告。</w:t>
      </w:r>
    </w:p>
    <w:p>
      <w:pPr>
        <w:pStyle w:val="4"/>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人员配置及服务能力要求</w:t>
      </w:r>
      <w:bookmarkEnd w:id="5"/>
      <w:bookmarkEnd w:id="6"/>
    </w:p>
    <w:p>
      <w:pPr>
        <w:pStyle w:val="13"/>
        <w:pageBreakBefore w:val="0"/>
        <w:numPr>
          <w:ilvl w:val="0"/>
          <w:numId w:val="0"/>
        </w:numPr>
        <w:kinsoku/>
        <w:wordWrap/>
        <w:topLinePunct w:val="0"/>
        <w:bidi w:val="0"/>
        <w:spacing w:line="360" w:lineRule="auto"/>
        <w:textAlignment w:val="auto"/>
        <w:rPr>
          <w:rFonts w:hint="default" w:ascii="宋体" w:hAnsi="宋体" w:cs="Times New Roman"/>
          <w:color w:val="auto"/>
          <w:sz w:val="24"/>
          <w:szCs w:val="24"/>
          <w:highlight w:val="none"/>
          <w:lang w:val="en-US" w:eastAsia="zh-CN"/>
        </w:rPr>
      </w:pPr>
      <w:r>
        <w:commentReference w:id="2"/>
      </w:r>
      <w:r>
        <w:rPr>
          <w:rFonts w:hint="eastAsia"/>
          <w:lang w:val="en-US" w:eastAsia="zh-CN"/>
        </w:rPr>
        <w:t>3</w:t>
      </w:r>
      <w:r>
        <w:rPr>
          <w:rFonts w:hint="eastAsia" w:ascii="宋体" w:hAnsi="宋体" w:cs="Times New Roman"/>
          <w:b/>
          <w:bCs/>
          <w:color w:val="auto"/>
          <w:sz w:val="24"/>
          <w:szCs w:val="24"/>
          <w:highlight w:val="none"/>
          <w:lang w:val="en-US" w:eastAsia="zh-CN"/>
        </w:rPr>
        <w:t>.1</w:t>
      </w:r>
      <w:r>
        <w:rPr>
          <w:rFonts w:hint="eastAsia" w:ascii="Cambria" w:hAnsi="Cambria" w:eastAsia="宋体" w:cs="Times New Roman"/>
          <w:b/>
          <w:bCs/>
          <w:color w:val="auto"/>
          <w:kern w:val="2"/>
          <w:sz w:val="24"/>
          <w:szCs w:val="32"/>
          <w:highlight w:val="none"/>
          <w:lang w:val="en-US" w:eastAsia="zh-CN" w:bidi="ar-SA"/>
        </w:rPr>
        <w:t>人员配置</w:t>
      </w:r>
    </w:p>
    <w:p>
      <w:pPr>
        <w:pStyle w:val="14"/>
        <w:spacing w:beforeLines="0" w:afterLines="0"/>
        <w:ind w:firstLine="480"/>
        <w:rPr>
          <w:rFonts w:ascii="宋体" w:hAnsi="宋体" w:cs="宋体"/>
          <w:szCs w:val="24"/>
        </w:rPr>
      </w:pPr>
      <w:r>
        <w:rPr>
          <w:rFonts w:ascii="宋体" w:hAnsi="宋体" w:cs="宋体"/>
          <w:szCs w:val="24"/>
        </w:rPr>
        <w:t>项目团队至少承诺</w:t>
      </w:r>
      <w:r>
        <w:rPr>
          <w:rFonts w:hint="eastAsia" w:ascii="宋体" w:hAnsi="宋体" w:cs="宋体"/>
          <w:szCs w:val="24"/>
          <w:highlight w:val="yellow"/>
          <w:lang w:val="en-US" w:eastAsia="zh-CN"/>
        </w:rPr>
        <w:t>2</w:t>
      </w:r>
      <w:r>
        <w:rPr>
          <w:rFonts w:ascii="宋体" w:hAnsi="宋体" w:cs="宋体"/>
          <w:szCs w:val="24"/>
        </w:rPr>
        <w:t>人：项目经理</w:t>
      </w:r>
      <w:r>
        <w:rPr>
          <w:rFonts w:hint="eastAsia" w:ascii="宋体" w:hAnsi="宋体" w:cs="宋体"/>
          <w:szCs w:val="24"/>
          <w:highlight w:val="yellow"/>
          <w:lang w:val="en-US" w:eastAsia="zh-CN"/>
        </w:rPr>
        <w:t>1</w:t>
      </w:r>
      <w:r>
        <w:rPr>
          <w:rFonts w:ascii="宋体" w:hAnsi="宋体" w:cs="宋体"/>
          <w:szCs w:val="24"/>
        </w:rPr>
        <w:t>人、技术服务人员</w:t>
      </w:r>
      <w:r>
        <w:rPr>
          <w:rFonts w:hint="eastAsia" w:ascii="宋体" w:hAnsi="宋体" w:cs="宋体"/>
          <w:szCs w:val="24"/>
          <w:highlight w:val="yellow"/>
          <w:lang w:val="en-US" w:eastAsia="zh-CN"/>
        </w:rPr>
        <w:t>1</w:t>
      </w:r>
      <w:r>
        <w:rPr>
          <w:rFonts w:ascii="宋体" w:hAnsi="宋体" w:cs="宋体"/>
          <w:szCs w:val="24"/>
        </w:rPr>
        <w:t>人</w:t>
      </w:r>
      <w:r>
        <w:rPr>
          <w:rFonts w:hint="eastAsia" w:ascii="宋体" w:hAnsi="宋体" w:cs="宋体"/>
          <w:szCs w:val="24"/>
        </w:rPr>
        <w:t>，负责过调度自动化系统相关技术支持系统集成、开发、安装调试人员</w:t>
      </w:r>
      <w:r>
        <w:rPr>
          <w:rFonts w:ascii="宋体" w:hAnsi="宋体" w:cs="宋体"/>
          <w:szCs w:val="24"/>
        </w:rPr>
        <w:t>。并承诺项目经理未经甲方允许不可换人。</w:t>
      </w:r>
    </w:p>
    <w:p>
      <w:pPr>
        <w:pStyle w:val="14"/>
        <w:spacing w:beforeLines="0" w:afterLines="0"/>
        <w:ind w:firstLine="480" w:firstLineChars="200"/>
        <w:rPr>
          <w:rFonts w:hint="eastAsia" w:ascii="宋体" w:hAnsi="宋体" w:cs="宋体"/>
          <w:szCs w:val="24"/>
        </w:rPr>
      </w:pPr>
      <w:r>
        <w:rPr>
          <w:rFonts w:hint="eastAsia" w:ascii="宋体" w:hAnsi="宋体" w:cs="宋体"/>
          <w:szCs w:val="24"/>
        </w:rPr>
        <w:t>投标方提交项目负责人和技术服务人员名单以及上述人员的简历，包括相关工作年限、专业、在本项目承担的角色、相关资质证书、以往参与类似项目情况、其他说明等，并提供以上相关证件复印件或证明材料，按照以下表格填写（须提供团队服务人员名单、劳动合同、相关证书），并提供相关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47"/>
        <w:gridCol w:w="1104"/>
        <w:gridCol w:w="1029"/>
        <w:gridCol w:w="46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647" w:type="dxa"/>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序号</w:t>
            </w:r>
          </w:p>
        </w:tc>
        <w:tc>
          <w:tcPr>
            <w:tcW w:w="110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姓名</w:t>
            </w:r>
          </w:p>
        </w:tc>
        <w:tc>
          <w:tcPr>
            <w:tcW w:w="4605" w:type="dxa"/>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47" w:type="dxa"/>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相关工作年限</w:t>
            </w:r>
          </w:p>
        </w:tc>
        <w:tc>
          <w:tcPr>
            <w:tcW w:w="110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专业</w:t>
            </w:r>
          </w:p>
        </w:tc>
        <w:tc>
          <w:tcPr>
            <w:tcW w:w="4605" w:type="dxa"/>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在本项目承担的角色</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相关资质证书</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以往参与类似项目情况</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其他说明</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bl>
    <w:p>
      <w:pPr>
        <w:pStyle w:val="14"/>
        <w:spacing w:beforeLines="0" w:afterLines="0"/>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lang w:val="en-US" w:eastAsia="zh-CN"/>
        </w:rPr>
        <w:t>投标方</w:t>
      </w:r>
      <w:r>
        <w:rPr>
          <w:rFonts w:hint="eastAsia" w:ascii="宋体" w:hAnsi="宋体" w:cs="Times New Roman"/>
          <w:color w:val="auto"/>
          <w:sz w:val="24"/>
          <w:szCs w:val="24"/>
          <w:highlight w:val="none"/>
        </w:rPr>
        <w:t>须承诺</w:t>
      </w:r>
      <w:r>
        <w:rPr>
          <w:rFonts w:hint="eastAsia" w:ascii="宋体" w:hAnsi="宋体" w:cs="Times New Roman"/>
          <w:color w:val="auto"/>
          <w:sz w:val="24"/>
          <w:szCs w:val="24"/>
          <w:highlight w:val="none"/>
          <w:lang w:val="en-US" w:eastAsia="zh-CN"/>
        </w:rPr>
        <w:t>中标</w:t>
      </w:r>
      <w:r>
        <w:rPr>
          <w:rFonts w:hint="eastAsia" w:ascii="宋体" w:hAnsi="宋体" w:cs="Times New Roman"/>
          <w:color w:val="auto"/>
          <w:sz w:val="24"/>
          <w:szCs w:val="24"/>
          <w:highlight w:val="none"/>
        </w:rPr>
        <w:t>后实际投入人员和</w:t>
      </w:r>
      <w:r>
        <w:rPr>
          <w:rFonts w:hint="eastAsia" w:ascii="宋体" w:hAnsi="宋体" w:cs="Times New Roman"/>
          <w:color w:val="auto"/>
          <w:sz w:val="24"/>
          <w:szCs w:val="24"/>
          <w:highlight w:val="none"/>
          <w:lang w:val="en-US" w:eastAsia="zh-CN"/>
        </w:rPr>
        <w:t>投标</w:t>
      </w:r>
      <w:r>
        <w:rPr>
          <w:rFonts w:hint="eastAsia" w:ascii="宋体" w:hAnsi="宋体" w:cs="Times New Roman"/>
          <w:color w:val="auto"/>
          <w:sz w:val="24"/>
          <w:szCs w:val="24"/>
          <w:highlight w:val="none"/>
        </w:rPr>
        <w:t>时一致。</w:t>
      </w:r>
      <w:r>
        <w:rPr>
          <w:rFonts w:hint="eastAsia" w:ascii="宋体" w:hAnsi="宋体" w:cs="Times New Roman"/>
          <w:color w:val="auto"/>
          <w:sz w:val="24"/>
          <w:szCs w:val="24"/>
          <w:highlight w:val="none"/>
          <w:lang w:val="en-US" w:eastAsia="zh-CN"/>
        </w:rPr>
        <w:t>投标方</w:t>
      </w:r>
      <w:r>
        <w:rPr>
          <w:rFonts w:hint="eastAsia" w:ascii="宋体" w:hAnsi="宋体" w:cs="Times New Roman"/>
          <w:color w:val="auto"/>
          <w:sz w:val="24"/>
          <w:szCs w:val="24"/>
          <w:highlight w:val="none"/>
        </w:rPr>
        <w:t>参加本项目的人员如发生变动，需要经过</w:t>
      </w:r>
      <w:r>
        <w:rPr>
          <w:rFonts w:hint="eastAsia" w:ascii="宋体" w:hAnsi="宋体" w:cs="Times New Roman"/>
          <w:color w:val="auto"/>
          <w:sz w:val="24"/>
          <w:szCs w:val="24"/>
          <w:highlight w:val="none"/>
          <w:lang w:val="en-US" w:eastAsia="zh-CN"/>
        </w:rPr>
        <w:t>招标方</w:t>
      </w:r>
      <w:r>
        <w:rPr>
          <w:rFonts w:hint="eastAsia" w:ascii="宋体" w:hAnsi="宋体" w:cs="Times New Roman"/>
          <w:color w:val="auto"/>
          <w:sz w:val="24"/>
          <w:szCs w:val="24"/>
          <w:highlight w:val="none"/>
        </w:rPr>
        <w:t>书面同意，更换的人员不低于</w:t>
      </w:r>
      <w:r>
        <w:rPr>
          <w:rFonts w:hint="eastAsia" w:ascii="宋体" w:hAnsi="宋体" w:cs="Times New Roman"/>
          <w:color w:val="auto"/>
          <w:sz w:val="24"/>
          <w:szCs w:val="24"/>
          <w:highlight w:val="none"/>
          <w:lang w:val="en-US" w:eastAsia="zh-CN"/>
        </w:rPr>
        <w:t>投标</w:t>
      </w:r>
      <w:r>
        <w:rPr>
          <w:rFonts w:hint="eastAsia" w:ascii="宋体" w:hAnsi="宋体" w:cs="Times New Roman"/>
          <w:color w:val="auto"/>
          <w:sz w:val="24"/>
          <w:szCs w:val="24"/>
          <w:highlight w:val="none"/>
        </w:rPr>
        <w:t>时拟派人员的资格条件。</w:t>
      </w:r>
    </w:p>
    <w:p>
      <w:pPr>
        <w:pStyle w:val="14"/>
        <w:spacing w:beforeLines="0" w:afterLines="0"/>
        <w:ind w:firstLine="480" w:firstLineChars="200"/>
        <w:rPr>
          <w:rFonts w:hint="eastAsia" w:ascii="宋体" w:hAnsi="宋体" w:cs="Times New Roman"/>
          <w:color w:val="auto"/>
          <w:sz w:val="24"/>
          <w:szCs w:val="24"/>
          <w:highlight w:val="none"/>
        </w:rPr>
      </w:pPr>
      <w:r>
        <w:rPr>
          <w:rFonts w:hint="eastAsia" w:ascii="宋体" w:hAnsi="宋体" w:cs="Times New Roman"/>
          <w:color w:val="auto"/>
          <w:sz w:val="24"/>
          <w:szCs w:val="24"/>
          <w:highlight w:val="none"/>
        </w:rPr>
        <w:t>服务人员如</w:t>
      </w:r>
      <w:r>
        <w:rPr>
          <w:rFonts w:hint="eastAsia" w:ascii="宋体" w:hAnsi="宋体" w:eastAsia="宋体" w:cs="Times New Roman"/>
          <w:color w:val="auto"/>
          <w:sz w:val="24"/>
          <w:szCs w:val="24"/>
          <w:highlight w:val="none"/>
          <w:lang w:val="en-US" w:eastAsia="zh-CN"/>
        </w:rPr>
        <w:t>不能</w:t>
      </w:r>
      <w:r>
        <w:rPr>
          <w:rFonts w:hint="eastAsia" w:ascii="宋体" w:hAnsi="宋体" w:cs="Times New Roman"/>
          <w:color w:val="auto"/>
          <w:sz w:val="24"/>
          <w:szCs w:val="24"/>
          <w:highlight w:val="none"/>
        </w:rPr>
        <w:t>胜任该项目工作，</w:t>
      </w:r>
      <w:r>
        <w:rPr>
          <w:rFonts w:hint="eastAsia" w:ascii="宋体" w:hAnsi="宋体" w:cs="Times New Roman"/>
          <w:color w:val="auto"/>
          <w:sz w:val="24"/>
          <w:szCs w:val="24"/>
          <w:highlight w:val="none"/>
          <w:lang w:val="en-US" w:eastAsia="zh-CN"/>
        </w:rPr>
        <w:t>招标方</w:t>
      </w:r>
      <w:r>
        <w:rPr>
          <w:rFonts w:hint="eastAsia" w:ascii="宋体" w:hAnsi="宋体" w:cs="Times New Roman"/>
          <w:color w:val="auto"/>
          <w:sz w:val="24"/>
          <w:szCs w:val="24"/>
          <w:highlight w:val="none"/>
        </w:rPr>
        <w:t>有权要求</w:t>
      </w:r>
      <w:r>
        <w:rPr>
          <w:rFonts w:hint="eastAsia" w:ascii="宋体" w:hAnsi="宋体" w:cs="Times New Roman"/>
          <w:color w:val="auto"/>
          <w:sz w:val="24"/>
          <w:szCs w:val="24"/>
          <w:highlight w:val="none"/>
          <w:lang w:val="en-US" w:eastAsia="zh-CN"/>
        </w:rPr>
        <w:t>中标方</w:t>
      </w:r>
      <w:r>
        <w:rPr>
          <w:rFonts w:hint="eastAsia" w:ascii="宋体" w:hAnsi="宋体" w:cs="Times New Roman"/>
          <w:color w:val="auto"/>
          <w:sz w:val="24"/>
          <w:szCs w:val="24"/>
          <w:highlight w:val="none"/>
        </w:rPr>
        <w:t>立即替换能承担该工作项目人员，若二次更换人员在第二个月还不能胜任工作，</w:t>
      </w:r>
      <w:r>
        <w:rPr>
          <w:rFonts w:hint="eastAsia" w:ascii="宋体" w:hAnsi="宋体" w:cs="Times New Roman"/>
          <w:color w:val="auto"/>
          <w:sz w:val="24"/>
          <w:szCs w:val="24"/>
          <w:highlight w:val="none"/>
          <w:lang w:val="en-US" w:eastAsia="zh-CN"/>
        </w:rPr>
        <w:t>招标方</w:t>
      </w:r>
      <w:r>
        <w:rPr>
          <w:rFonts w:hint="eastAsia" w:ascii="宋体" w:hAnsi="宋体" w:cs="Times New Roman"/>
          <w:color w:val="auto"/>
          <w:sz w:val="24"/>
          <w:szCs w:val="24"/>
          <w:highlight w:val="none"/>
        </w:rPr>
        <w:t>有权终止合同。</w:t>
      </w:r>
    </w:p>
    <w:p>
      <w:pPr>
        <w:pageBreakBefore w:val="0"/>
        <w:kinsoku/>
        <w:wordWrap/>
        <w:topLinePunct w:val="0"/>
        <w:bidi w:val="0"/>
        <w:spacing w:line="360" w:lineRule="auto"/>
        <w:ind w:left="0" w:leftChars="0" w:firstLine="482" w:firstLineChars="200"/>
        <w:textAlignment w:val="auto"/>
        <w:rPr>
          <w:rFonts w:hint="eastAsia" w:ascii="宋体" w:hAnsi="宋体" w:cs="Times New Roman"/>
          <w:b/>
          <w:bCs/>
          <w:color w:val="auto"/>
          <w:sz w:val="24"/>
          <w:szCs w:val="24"/>
          <w:highlight w:val="none"/>
          <w:lang w:val="en-US" w:eastAsia="zh-CN"/>
        </w:rPr>
      </w:pPr>
      <w:r>
        <w:rPr>
          <w:rFonts w:hint="eastAsia" w:ascii="宋体" w:hAnsi="宋体" w:cs="Times New Roman"/>
          <w:b/>
          <w:bCs/>
          <w:color w:val="auto"/>
          <w:sz w:val="24"/>
          <w:szCs w:val="24"/>
          <w:highlight w:val="none"/>
          <w:lang w:val="en-US" w:eastAsia="zh-CN"/>
        </w:rPr>
        <w:t>3.2服务能力要求</w:t>
      </w:r>
      <w:r>
        <w:commentReference w:id="3"/>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ascii="宋体" w:hAnsi="宋体" w:cs="Times New Roman"/>
          <w:color w:val="auto"/>
          <w:sz w:val="24"/>
          <w:szCs w:val="24"/>
          <w:highlight w:val="none"/>
        </w:rPr>
      </w:pPr>
      <w:r>
        <w:rPr>
          <w:rFonts w:hint="eastAsia" w:ascii="宋体" w:hAnsi="宋体" w:cs="Times New Roman"/>
          <w:color w:val="auto"/>
          <w:sz w:val="24"/>
          <w:szCs w:val="24"/>
          <w:highlight w:val="none"/>
          <w:lang w:eastAsia="zh-CN"/>
        </w:rPr>
        <w:t>（</w:t>
      </w:r>
      <w:r>
        <w:rPr>
          <w:rFonts w:hint="eastAsia" w:ascii="宋体" w:hAnsi="宋体" w:cs="Times New Roman"/>
          <w:color w:val="auto"/>
          <w:sz w:val="24"/>
          <w:szCs w:val="24"/>
          <w:highlight w:val="none"/>
          <w:lang w:val="en-US" w:eastAsia="zh-CN"/>
        </w:rPr>
        <w:t>1</w:t>
      </w:r>
      <w:r>
        <w:rPr>
          <w:rFonts w:hint="eastAsia" w:ascii="宋体" w:hAnsi="宋体" w:cs="Times New Roman"/>
          <w:color w:val="auto"/>
          <w:sz w:val="24"/>
          <w:szCs w:val="24"/>
          <w:highlight w:val="none"/>
          <w:lang w:eastAsia="zh-CN"/>
        </w:rPr>
        <w:t>）</w:t>
      </w:r>
      <w:r>
        <w:rPr>
          <w:rFonts w:hint="eastAsia" w:ascii="宋体" w:hAnsi="宋体" w:cs="Times New Roman"/>
          <w:color w:val="auto"/>
          <w:sz w:val="24"/>
          <w:szCs w:val="24"/>
          <w:highlight w:val="none"/>
        </w:rPr>
        <w:t>应设立7*24的值班响应电话，并安排有经验的工程师受理。当系统出现故障时，通过客服响应电话进行报障。对于一、二级故障确保在30分钟内回复，三级故障将在两小时内进行回复；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ascii="宋体" w:hAnsi="宋体" w:cs="Times New Roman"/>
          <w:color w:val="auto"/>
          <w:sz w:val="24"/>
          <w:szCs w:val="24"/>
          <w:highlight w:val="none"/>
        </w:rPr>
      </w:pPr>
      <w:r>
        <w:rPr>
          <w:rFonts w:hint="eastAsia" w:ascii="宋体" w:hAnsi="宋体" w:cs="Times New Roman"/>
          <w:color w:val="auto"/>
          <w:sz w:val="24"/>
          <w:szCs w:val="24"/>
          <w:highlight w:val="none"/>
          <w:lang w:val="en-US" w:eastAsia="zh-CN"/>
        </w:rPr>
        <w:t>（2）</w:t>
      </w:r>
      <w:r>
        <w:rPr>
          <w:rFonts w:hint="eastAsia" w:ascii="宋体" w:hAnsi="宋体" w:cs="Times New Roman"/>
          <w:color w:val="auto"/>
          <w:sz w:val="24"/>
          <w:szCs w:val="24"/>
          <w:highlight w:val="none"/>
          <w:lang w:eastAsia="zh-CN"/>
        </w:rPr>
        <w:t>投标方</w:t>
      </w:r>
      <w:r>
        <w:rPr>
          <w:rFonts w:hint="eastAsia" w:ascii="宋体" w:hAnsi="宋体" w:cs="Times New Roman"/>
          <w:color w:val="auto"/>
          <w:sz w:val="24"/>
          <w:szCs w:val="24"/>
          <w:highlight w:val="none"/>
        </w:rPr>
        <w:t>对于通过电话支持和远程支持都不能解决的系统故障，服务商应迅速提供现场支持服务，安排经验丰富的技术支持工程师赴现场分析故障原因，制定故障解决方案，并最终排除故障；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ascii="宋体" w:hAnsi="宋体" w:cs="Times New Roman"/>
          <w:color w:val="auto"/>
          <w:sz w:val="24"/>
          <w:szCs w:val="24"/>
          <w:highlight w:val="none"/>
        </w:rPr>
      </w:pPr>
      <w:r>
        <w:rPr>
          <w:rFonts w:hint="eastAsia" w:ascii="宋体" w:hAnsi="宋体" w:cs="Times New Roman"/>
          <w:color w:val="auto"/>
          <w:sz w:val="24"/>
          <w:szCs w:val="24"/>
          <w:highlight w:val="none"/>
          <w:lang w:val="en-US" w:eastAsia="zh-CN"/>
        </w:rPr>
        <w:t>（3）</w:t>
      </w:r>
      <w:r>
        <w:rPr>
          <w:rFonts w:hint="eastAsia" w:ascii="宋体" w:hAnsi="宋体" w:cs="Times New Roman"/>
          <w:color w:val="auto"/>
          <w:sz w:val="24"/>
          <w:szCs w:val="24"/>
          <w:highlight w:val="none"/>
          <w:lang w:eastAsia="zh-CN"/>
        </w:rPr>
        <w:t>投标方</w:t>
      </w:r>
      <w:r>
        <w:rPr>
          <w:rFonts w:hint="eastAsia" w:ascii="宋体" w:hAnsi="宋体" w:cs="Times New Roman"/>
          <w:color w:val="auto"/>
          <w:sz w:val="24"/>
          <w:szCs w:val="24"/>
          <w:highlight w:val="none"/>
        </w:rPr>
        <w:t>服务工程师在进行系统维护阶段，协助用户进行数据备份及迁移，保证系统用户数据的安全、完整和可用；</w:t>
      </w:r>
    </w:p>
    <w:bookmarkEnd w:id="7"/>
    <w:bookmarkEnd w:id="8"/>
    <w:p>
      <w:pPr>
        <w:pStyle w:val="4"/>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11" w:name="_Toc26516"/>
      <w:r>
        <w:rPr>
          <w:rFonts w:hint="eastAsia" w:ascii="宋体" w:hAnsi="宋体" w:eastAsia="宋体" w:cs="宋体"/>
          <w:color w:val="auto"/>
          <w:sz w:val="24"/>
          <w:szCs w:val="24"/>
          <w:highlight w:val="none"/>
          <w:lang w:val="en-US" w:eastAsia="zh-CN"/>
        </w:rPr>
        <w:t>验收要求</w:t>
      </w:r>
      <w:bookmarkEnd w:id="11"/>
      <w:r>
        <w:commentReference w:id="4"/>
      </w:r>
    </w:p>
    <w:p>
      <w:pPr>
        <w:pStyle w:val="4"/>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4.1验收标准</w:t>
      </w:r>
    </w:p>
    <w:p>
      <w:pPr>
        <w:pageBreakBefore w:val="0"/>
        <w:numPr>
          <w:ilvl w:val="0"/>
          <w:numId w:val="3"/>
        </w:numPr>
        <w:kinsoku/>
        <w:wordWrap/>
        <w:overflowPunct/>
        <w:topLinePunct w:val="0"/>
        <w:autoSpaceDE/>
        <w:autoSpaceDN/>
        <w:bidi w:val="0"/>
        <w:adjustRightInd/>
        <w:snapToGrid/>
        <w:ind w:left="0"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按照双方签订的合同完成双方约定的工作内容；</w:t>
      </w:r>
    </w:p>
    <w:p>
      <w:pPr>
        <w:pageBreakBefore w:val="0"/>
        <w:numPr>
          <w:ilvl w:val="0"/>
          <w:numId w:val="3"/>
        </w:numPr>
        <w:kinsoku/>
        <w:wordWrap/>
        <w:overflowPunct/>
        <w:topLinePunct w:val="0"/>
        <w:autoSpaceDE/>
        <w:autoSpaceDN/>
        <w:bidi w:val="0"/>
        <w:adjustRightInd/>
        <w:snapToGrid/>
        <w:ind w:left="0"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w:t>
      </w:r>
      <w:r>
        <w:rPr>
          <w:rFonts w:hint="eastAsia" w:ascii="宋体" w:hAnsi="宋体" w:cs="宋体"/>
          <w:color w:val="auto"/>
          <w:szCs w:val="24"/>
          <w:highlight w:val="none"/>
          <w:lang w:val="en-US" w:eastAsia="zh-CN"/>
        </w:rPr>
        <w:t>提供服务</w:t>
      </w:r>
      <w:r>
        <w:rPr>
          <w:rFonts w:hint="eastAsia" w:ascii="宋体" w:hAnsi="宋体" w:cs="宋体"/>
          <w:color w:val="auto"/>
          <w:szCs w:val="24"/>
          <w:highlight w:val="none"/>
        </w:rPr>
        <w:t>必须符合</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方系统运行维护相关标准和管理办法；</w:t>
      </w:r>
    </w:p>
    <w:p>
      <w:pPr>
        <w:pageBreakBefore w:val="0"/>
        <w:numPr>
          <w:ilvl w:val="0"/>
          <w:numId w:val="3"/>
        </w:numPr>
        <w:kinsoku/>
        <w:wordWrap/>
        <w:overflowPunct/>
        <w:topLinePunct w:val="0"/>
        <w:autoSpaceDE/>
        <w:autoSpaceDN/>
        <w:bidi w:val="0"/>
        <w:adjustRightInd/>
        <w:snapToGrid/>
        <w:ind w:left="0" w:firstLine="480" w:firstLineChars="200"/>
        <w:textAlignment w:val="auto"/>
        <w:rPr>
          <w:rFonts w:hint="eastAsia" w:ascii="宋体" w:hAnsi="宋体" w:cs="宋体"/>
          <w:b/>
          <w:bCs/>
          <w:color w:val="auto"/>
          <w:szCs w:val="24"/>
          <w:highlight w:val="none"/>
        </w:rPr>
      </w:pP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方必须完成项目要求的所有工作内容，工作完成情况证明由</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方提供。</w:t>
      </w:r>
    </w:p>
    <w:p>
      <w:pPr>
        <w:pStyle w:val="4"/>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bookmarkStart w:id="12" w:name="_Toc5486"/>
      <w:bookmarkStart w:id="13" w:name="_Toc525677596"/>
      <w:bookmarkStart w:id="14" w:name="_Toc26868"/>
      <w:bookmarkStart w:id="15" w:name="_Toc447029242"/>
      <w:r>
        <w:rPr>
          <w:rFonts w:hint="eastAsia" w:ascii="宋体" w:hAnsi="宋体" w:eastAsia="宋体" w:cs="宋体"/>
          <w:color w:val="auto"/>
          <w:sz w:val="24"/>
          <w:szCs w:val="24"/>
          <w:highlight w:val="none"/>
          <w:lang w:val="en-US" w:eastAsia="zh-CN"/>
        </w:rPr>
        <w:t>4.2验收方法</w:t>
      </w:r>
      <w:bookmarkEnd w:id="12"/>
      <w:bookmarkEnd w:id="13"/>
      <w:bookmarkEnd w:id="14"/>
      <w:bookmarkEnd w:id="15"/>
    </w:p>
    <w:p>
      <w:pPr>
        <w:pageBreakBefore w:val="0"/>
        <w:kinsoku/>
        <w:wordWrap/>
        <w:overflowPunct/>
        <w:topLinePunct w:val="0"/>
        <w:autoSpaceDE/>
        <w:autoSpaceDN/>
        <w:bidi w:val="0"/>
        <w:adjustRightInd/>
        <w:snapToGrid/>
        <w:ind w:firstLine="484" w:firstLineChars="202"/>
        <w:textAlignment w:val="auto"/>
        <w:rPr>
          <w:rFonts w:hint="eastAsia" w:ascii="宋体" w:hAnsi="宋体" w:cs="宋体"/>
          <w:color w:val="auto"/>
          <w:szCs w:val="24"/>
          <w:highlight w:val="none"/>
        </w:rPr>
      </w:pPr>
      <w:r>
        <w:rPr>
          <w:rFonts w:hint="eastAsia" w:ascii="宋体" w:hAnsi="宋体" w:cs="宋体"/>
          <w:color w:val="auto"/>
          <w:szCs w:val="24"/>
          <w:highlight w:val="none"/>
        </w:rPr>
        <w:t>如双方认为项目已具备验收条件，</w:t>
      </w: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方以书面方式向</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方提出验收申请，</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方在接到</w:t>
      </w: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方验收申请后组织对</w:t>
      </w:r>
      <w:r>
        <w:rPr>
          <w:rFonts w:hint="eastAsia" w:ascii="宋体" w:hAnsi="宋体" w:cs="宋体"/>
          <w:color w:val="auto"/>
          <w:szCs w:val="24"/>
          <w:highlight w:val="none"/>
          <w:lang w:val="en-US" w:eastAsia="zh-CN"/>
        </w:rPr>
        <w:t>中标方</w:t>
      </w:r>
      <w:r>
        <w:rPr>
          <w:rFonts w:hint="eastAsia" w:ascii="宋体" w:hAnsi="宋体" w:cs="宋体"/>
          <w:color w:val="auto"/>
          <w:szCs w:val="24"/>
          <w:highlight w:val="none"/>
        </w:rPr>
        <w:t>提交的资料进行审核，并组织相关人员对谈判</w:t>
      </w:r>
      <w:r>
        <w:rPr>
          <w:rFonts w:hint="eastAsia" w:ascii="宋体" w:hAnsi="宋体" w:cs="宋体"/>
          <w:color w:val="auto"/>
          <w:szCs w:val="24"/>
          <w:highlight w:val="none"/>
          <w:lang w:val="en-US" w:eastAsia="zh-CN"/>
        </w:rPr>
        <w:t>中标方</w:t>
      </w:r>
      <w:r>
        <w:rPr>
          <w:rFonts w:hint="eastAsia" w:ascii="宋体" w:hAnsi="宋体" w:cs="宋体"/>
          <w:color w:val="auto"/>
          <w:szCs w:val="24"/>
          <w:highlight w:val="none"/>
        </w:rPr>
        <w:t>工作提交的交付物进行评审。</w:t>
      </w:r>
    </w:p>
    <w:p>
      <w:pPr>
        <w:pStyle w:val="4"/>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bookmarkStart w:id="16" w:name="_Toc13538"/>
      <w:bookmarkStart w:id="17" w:name="_Toc15213"/>
      <w:r>
        <w:rPr>
          <w:rFonts w:hint="eastAsia" w:ascii="宋体" w:hAnsi="宋体" w:eastAsia="宋体" w:cs="宋体"/>
          <w:color w:val="auto"/>
          <w:sz w:val="24"/>
          <w:szCs w:val="24"/>
          <w:highlight w:val="none"/>
          <w:lang w:val="en-US" w:eastAsia="zh-CN"/>
        </w:rPr>
        <w:t>4.3验收时间与地点</w:t>
      </w:r>
      <w:bookmarkEnd w:id="16"/>
      <w:bookmarkEnd w:id="17"/>
    </w:p>
    <w:p>
      <w:pPr>
        <w:pageBreakBefore w:val="0"/>
        <w:numPr>
          <w:ilvl w:val="0"/>
          <w:numId w:val="4"/>
        </w:numPr>
        <w:kinsoku/>
        <w:wordWrap/>
        <w:overflowPunct/>
        <w:topLinePunct w:val="0"/>
        <w:autoSpaceDE/>
        <w:autoSpaceDN/>
        <w:bidi w:val="0"/>
        <w:adjustRightInd/>
        <w:snapToGrid/>
        <w:ind w:left="0"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验收时间：在完成项目合同约定内容后，</w:t>
      </w: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方提交验收申请，经</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方确认提交资料满足</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方项目验收标准，可以开展验收。</w:t>
      </w:r>
    </w:p>
    <w:p>
      <w:pPr>
        <w:pageBreakBefore w:val="0"/>
        <w:numPr>
          <w:ilvl w:val="0"/>
          <w:numId w:val="4"/>
        </w:numPr>
        <w:kinsoku/>
        <w:wordWrap/>
        <w:overflowPunct/>
        <w:topLinePunct w:val="0"/>
        <w:autoSpaceDE/>
        <w:autoSpaceDN/>
        <w:bidi w:val="0"/>
        <w:adjustRightInd/>
        <w:snapToGrid/>
        <w:ind w:left="0"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验收地点：双方具体约定。</w:t>
      </w:r>
    </w:p>
    <w:p>
      <w:pPr>
        <w:pStyle w:val="4"/>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18" w:name="_Toc7364"/>
      <w:r>
        <w:rPr>
          <w:rFonts w:hint="eastAsia" w:ascii="宋体" w:hAnsi="宋体" w:eastAsia="宋体" w:cs="宋体"/>
          <w:color w:val="auto"/>
          <w:sz w:val="24"/>
          <w:szCs w:val="24"/>
          <w:highlight w:val="none"/>
          <w:lang w:val="en-US" w:eastAsia="zh-CN"/>
        </w:rPr>
        <w:t>培训</w:t>
      </w:r>
      <w:bookmarkEnd w:id="18"/>
      <w:r>
        <w:rPr>
          <w:rFonts w:hint="eastAsia" w:ascii="宋体" w:hAnsi="宋体" w:cs="宋体"/>
          <w:color w:val="auto"/>
          <w:sz w:val="24"/>
          <w:szCs w:val="24"/>
          <w:highlight w:val="none"/>
          <w:lang w:val="en-US" w:eastAsia="zh-CN"/>
        </w:rPr>
        <w:t>要求</w:t>
      </w:r>
      <w:r>
        <w:commentReference w:id="5"/>
      </w:r>
    </w:p>
    <w:p>
      <w:pPr>
        <w:ind w:firstLine="480"/>
        <w:rPr>
          <w:rFonts w:ascii="宋体" w:hAnsi="宋体" w:cs="宋体"/>
          <w:color w:val="auto"/>
          <w:szCs w:val="24"/>
          <w:highlight w:val="none"/>
        </w:rPr>
      </w:pPr>
      <w:r>
        <w:rPr>
          <w:rFonts w:hint="eastAsia" w:ascii="宋体" w:hAnsi="宋体" w:cs="宋体"/>
          <w:color w:val="auto"/>
          <w:szCs w:val="24"/>
          <w:highlight w:val="none"/>
          <w:lang w:val="en-US" w:eastAsia="zh-CN"/>
        </w:rPr>
        <w:t>中标方</w:t>
      </w:r>
      <w:r>
        <w:rPr>
          <w:rFonts w:hint="eastAsia" w:ascii="宋体" w:hAnsi="宋体" w:cs="宋体"/>
          <w:color w:val="auto"/>
          <w:szCs w:val="24"/>
          <w:highlight w:val="none"/>
        </w:rPr>
        <w:t>应向招标方提供培训服务，并根据安装工作进程合理制订培训计划。</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ind w:leftChars="0" w:firstLine="480" w:firstLineChars="200"/>
        <w:textAlignment w:val="auto"/>
        <w:rPr>
          <w:rFonts w:ascii="宋体" w:hAnsi="宋体" w:cs="宋体"/>
          <w:color w:val="auto"/>
          <w:szCs w:val="24"/>
          <w:highlight w:val="none"/>
        </w:rPr>
      </w:pP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1</w:t>
      </w:r>
      <w:r>
        <w:rPr>
          <w:rFonts w:hint="eastAsia" w:ascii="宋体" w:hAnsi="宋体" w:cs="宋体"/>
          <w:color w:val="auto"/>
          <w:szCs w:val="24"/>
          <w:highlight w:val="none"/>
          <w:lang w:eastAsia="zh-CN"/>
        </w:rPr>
        <w:t>）</w:t>
      </w:r>
      <w:r>
        <w:rPr>
          <w:rFonts w:hint="eastAsia" w:ascii="宋体" w:hAnsi="宋体" w:cs="宋体"/>
          <w:color w:val="auto"/>
          <w:szCs w:val="24"/>
          <w:highlight w:val="none"/>
        </w:rPr>
        <w:t>在软件正式安装之前或之后，提供1天的现场培训，包括产品介绍、方案介绍、功能介绍、问题与咨询等。</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ind w:leftChars="0" w:firstLine="480" w:firstLineChars="200"/>
        <w:textAlignment w:val="auto"/>
        <w:rPr>
          <w:rFonts w:ascii="宋体" w:hAnsi="宋体" w:cs="宋体"/>
          <w:color w:val="auto"/>
          <w:szCs w:val="24"/>
          <w:highlight w:val="none"/>
        </w:rPr>
      </w:pP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2</w:t>
      </w:r>
      <w:r>
        <w:rPr>
          <w:rFonts w:hint="eastAsia" w:ascii="宋体" w:hAnsi="宋体" w:cs="宋体"/>
          <w:color w:val="auto"/>
          <w:szCs w:val="24"/>
          <w:highlight w:val="none"/>
          <w:lang w:eastAsia="zh-CN"/>
        </w:rPr>
        <w:t>）</w:t>
      </w:r>
      <w:r>
        <w:rPr>
          <w:rFonts w:hint="eastAsia" w:ascii="宋体" w:hAnsi="宋体" w:cs="宋体"/>
          <w:color w:val="auto"/>
          <w:szCs w:val="24"/>
          <w:highlight w:val="none"/>
        </w:rPr>
        <w:t>在安装</w:t>
      </w:r>
      <w:r>
        <w:rPr>
          <w:rFonts w:hint="eastAsia" w:ascii="宋体" w:hAnsi="宋体" w:eastAsia="宋体" w:cs="宋体"/>
          <w:color w:val="auto"/>
          <w:szCs w:val="24"/>
          <w:highlight w:val="none"/>
        </w:rPr>
        <w:t>过程</w:t>
      </w:r>
      <w:r>
        <w:rPr>
          <w:rFonts w:hint="eastAsia" w:ascii="宋体" w:hAnsi="宋体" w:cs="宋体"/>
          <w:color w:val="auto"/>
          <w:szCs w:val="24"/>
          <w:highlight w:val="none"/>
        </w:rPr>
        <w:t>中，为招标方提供咨询等技术服务。</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ind w:leftChars="0" w:firstLine="480" w:firstLineChars="200"/>
        <w:textAlignment w:val="auto"/>
        <w:rPr>
          <w:rFonts w:ascii="宋体" w:hAnsi="宋体" w:cs="宋体"/>
          <w:color w:val="auto"/>
          <w:szCs w:val="24"/>
          <w:highlight w:val="none"/>
        </w:rPr>
      </w:pP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3</w:t>
      </w:r>
      <w:r>
        <w:rPr>
          <w:rFonts w:hint="eastAsia" w:ascii="宋体" w:hAnsi="宋体" w:cs="宋体"/>
          <w:color w:val="auto"/>
          <w:szCs w:val="24"/>
          <w:highlight w:val="none"/>
          <w:lang w:eastAsia="zh-CN"/>
        </w:rPr>
        <w:t>）</w:t>
      </w:r>
      <w:r>
        <w:rPr>
          <w:rFonts w:hint="eastAsia" w:ascii="宋体" w:hAnsi="宋体" w:cs="宋体"/>
          <w:color w:val="auto"/>
          <w:szCs w:val="24"/>
          <w:highlight w:val="none"/>
        </w:rPr>
        <w:t>安装完毕后，提供完整的现场培训，包括系统安装、配置、维护管理、使用等方面。</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ind w:leftChars="0" w:firstLine="480" w:firstLineChars="200"/>
        <w:textAlignment w:val="auto"/>
        <w:rPr>
          <w:rFonts w:ascii="宋体" w:hAnsi="宋体" w:cs="宋体"/>
          <w:color w:val="auto"/>
          <w:szCs w:val="24"/>
          <w:highlight w:val="none"/>
        </w:rPr>
      </w:pP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4</w:t>
      </w:r>
      <w:r>
        <w:rPr>
          <w:rFonts w:hint="eastAsia" w:ascii="宋体" w:hAnsi="宋体" w:cs="宋体"/>
          <w:color w:val="auto"/>
          <w:szCs w:val="24"/>
          <w:highlight w:val="none"/>
          <w:lang w:eastAsia="zh-CN"/>
        </w:rPr>
        <w:t>）</w:t>
      </w:r>
      <w:r>
        <w:rPr>
          <w:rFonts w:hint="eastAsia" w:ascii="宋体" w:hAnsi="宋体" w:cs="宋体"/>
          <w:color w:val="auto"/>
          <w:szCs w:val="24"/>
          <w:highlight w:val="none"/>
        </w:rPr>
        <w:t>提供</w:t>
      </w:r>
      <w:r>
        <w:rPr>
          <w:rFonts w:hint="eastAsia" w:ascii="宋体" w:hAnsi="宋体" w:eastAsia="宋体" w:cs="宋体"/>
          <w:color w:val="auto"/>
          <w:szCs w:val="24"/>
          <w:highlight w:val="none"/>
        </w:rPr>
        <w:t>相关培训</w:t>
      </w:r>
      <w:r>
        <w:rPr>
          <w:rFonts w:hint="eastAsia" w:ascii="宋体" w:hAnsi="宋体" w:cs="宋体"/>
          <w:color w:val="auto"/>
          <w:szCs w:val="24"/>
          <w:highlight w:val="none"/>
        </w:rPr>
        <w:t>资料。</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5</w:t>
      </w:r>
      <w:r>
        <w:rPr>
          <w:rFonts w:hint="eastAsia" w:ascii="宋体" w:hAnsi="宋体" w:cs="宋体"/>
          <w:color w:val="auto"/>
          <w:szCs w:val="24"/>
          <w:highlight w:val="none"/>
          <w:lang w:eastAsia="zh-CN"/>
        </w:rPr>
        <w:t>）</w:t>
      </w:r>
      <w:r>
        <w:rPr>
          <w:rFonts w:hint="eastAsia" w:ascii="宋体" w:hAnsi="宋体" w:cs="宋体"/>
          <w:color w:val="auto"/>
          <w:szCs w:val="24"/>
          <w:highlight w:val="none"/>
        </w:rPr>
        <w:t>培训师应</w:t>
      </w:r>
      <w:r>
        <w:rPr>
          <w:rFonts w:hint="eastAsia" w:ascii="宋体" w:hAnsi="宋体" w:eastAsia="宋体" w:cs="宋体"/>
          <w:color w:val="auto"/>
          <w:szCs w:val="24"/>
          <w:highlight w:val="none"/>
        </w:rPr>
        <w:t>熟悉投标</w:t>
      </w:r>
      <w:r>
        <w:rPr>
          <w:rFonts w:hint="eastAsia" w:ascii="宋体" w:hAnsi="宋体" w:cs="宋体"/>
          <w:color w:val="auto"/>
          <w:szCs w:val="24"/>
          <w:highlight w:val="none"/>
        </w:rPr>
        <w:t>产品的</w:t>
      </w:r>
      <w:r>
        <w:rPr>
          <w:rFonts w:hint="eastAsia" w:ascii="宋体" w:hAnsi="宋体" w:eastAsia="宋体" w:cs="宋体"/>
          <w:color w:val="auto"/>
          <w:szCs w:val="24"/>
          <w:highlight w:val="none"/>
        </w:rPr>
        <w:t>技术</w:t>
      </w:r>
      <w:r>
        <w:rPr>
          <w:rFonts w:hint="eastAsia" w:ascii="宋体" w:hAnsi="宋体" w:cs="宋体"/>
          <w:color w:val="auto"/>
          <w:szCs w:val="24"/>
          <w:highlight w:val="none"/>
        </w:rPr>
        <w:t>、使用方法、配置和维护管理等，能够为招标方提供咨询等技术服务。</w:t>
      </w:r>
    </w:p>
    <w:p>
      <w:pPr>
        <w:pStyle w:val="4"/>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19" w:name="_Toc11216"/>
      <w:bookmarkStart w:id="20" w:name="_Toc6106"/>
      <w:r>
        <w:rPr>
          <w:rFonts w:hint="eastAsia" w:ascii="宋体" w:hAnsi="宋体" w:eastAsia="宋体" w:cs="宋体"/>
          <w:color w:val="auto"/>
          <w:sz w:val="24"/>
          <w:szCs w:val="24"/>
          <w:highlight w:val="none"/>
          <w:lang w:val="en-US" w:eastAsia="zh-CN"/>
        </w:rPr>
        <w:t>保密要求</w:t>
      </w:r>
      <w:bookmarkEnd w:id="19"/>
    </w:p>
    <w:bookmarkEnd w:id="20"/>
    <w:p>
      <w:pPr>
        <w:ind w:firstLine="480"/>
        <w:rPr>
          <w:rFonts w:hAnsi="宋体"/>
        </w:rPr>
      </w:pPr>
      <w:r>
        <w:rPr>
          <w:rFonts w:hint="eastAsia" w:ascii="宋体" w:hAnsi="宋体"/>
          <w:color w:val="auto"/>
          <w:szCs w:val="24"/>
          <w:highlight w:val="none"/>
          <w:lang w:val="en-US" w:eastAsia="zh-CN"/>
        </w:rPr>
        <w:t>中标</w:t>
      </w:r>
      <w:r>
        <w:rPr>
          <w:rFonts w:hint="eastAsia" w:ascii="宋体" w:hAnsi="宋体"/>
          <w:color w:val="auto"/>
          <w:szCs w:val="24"/>
          <w:highlight w:val="none"/>
          <w:lang w:eastAsia="zh-CN"/>
        </w:rPr>
        <w:t>方</w:t>
      </w:r>
      <w:r>
        <w:rPr>
          <w:rFonts w:hint="eastAsia" w:ascii="宋体" w:hAnsi="宋体"/>
          <w:color w:val="auto"/>
          <w:szCs w:val="24"/>
          <w:highlight w:val="none"/>
          <w:lang w:val="en-US" w:eastAsia="zh-CN"/>
        </w:rPr>
        <w:t>应</w:t>
      </w:r>
      <w:r>
        <w:rPr>
          <w:rFonts w:hint="eastAsia" w:ascii="宋体" w:hAnsi="宋体" w:cs="Times New Roman"/>
          <w:color w:val="auto"/>
          <w:szCs w:val="24"/>
          <w:highlight w:val="none"/>
          <w:lang w:val="en-US" w:eastAsia="zh-CN"/>
        </w:rPr>
        <w:t>承诺遵守项目建设方的保密规定，涉及项目的技术人员均应签订保密承诺书，确保不发生敏感信息泄露事件。</w:t>
      </w:r>
    </w:p>
    <w:p>
      <w:pPr>
        <w:pageBreakBefore w:val="0"/>
        <w:tabs>
          <w:tab w:val="left" w:pos="709"/>
        </w:tabs>
        <w:kinsoku/>
        <w:wordWrap/>
        <w:overflowPunct/>
        <w:topLinePunct w:val="0"/>
        <w:autoSpaceDE/>
        <w:autoSpaceDN/>
        <w:bidi w:val="0"/>
        <w:adjustRightInd w:val="0"/>
        <w:snapToGrid w:val="0"/>
        <w:spacing w:line="360" w:lineRule="auto"/>
        <w:ind w:left="0" w:leftChars="0" w:firstLine="480" w:firstLineChars="200"/>
        <w:rPr>
          <w:rFonts w:hint="eastAsia" w:ascii="宋体" w:hAnsi="宋体"/>
          <w:color w:val="auto"/>
          <w:sz w:val="24"/>
          <w:highlight w:val="none"/>
          <w:lang w:val="en-US" w:eastAsia="zh-CN"/>
        </w:rPr>
      </w:pPr>
    </w:p>
    <w:p/>
    <w:sectPr>
      <w:headerReference r:id="rId6" w:type="first"/>
      <w:footerReference r:id="rId7" w:type="default"/>
      <w:headerReference r:id="rId5" w:type="even"/>
      <w:pgSz w:w="11906" w:h="16838"/>
      <w:pgMar w:top="1440" w:right="1800" w:bottom="1440" w:left="1800" w:header="851" w:footer="992" w:gutter="0"/>
      <w:pgNumType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8FEB576D77941BB93429AEA06A021DD" w:date="2022-11-01T17:44:15Z" w:initials="张维14:57:3">
    <w:p w14:paraId="3288453D">
      <w:pPr>
        <w:pStyle w:val="6"/>
        <w:rPr>
          <w:rFonts w:hint="default" w:eastAsia="宋体"/>
          <w:lang w:val="en-US" w:eastAsia="zh-CN"/>
        </w:rPr>
      </w:pPr>
      <w:r>
        <w:rPr>
          <w:rFonts w:hint="eastAsia"/>
          <w:lang w:val="en-US" w:eastAsia="zh-CN"/>
        </w:rPr>
        <w:t>技术服务的范围</w:t>
      </w:r>
    </w:p>
  </w:comment>
  <w:comment w:id="1" w:author="D8FEB576D77941BB93429AEA06A021DD" w:date="2022-11-01T17:44:58Z" w:initials="张维14:57:3">
    <w:p w14:paraId="4BCA5BA4">
      <w:pPr>
        <w:pStyle w:val="6"/>
        <w:rPr>
          <w:rFonts w:hint="default" w:eastAsia="宋体"/>
          <w:lang w:val="en-US" w:eastAsia="zh-CN"/>
        </w:rPr>
      </w:pPr>
      <w:r>
        <w:rPr>
          <w:rFonts w:hint="eastAsia"/>
          <w:lang w:val="en-US" w:eastAsia="zh-CN"/>
        </w:rPr>
        <w:t>列出具体的服务内容，比如需要提供什么服务，或者完成什么功能修理，要达到什么要求，满足什么指标，服务响应时间要求是什么，服务方式是远程还是现场或其他，需要提供什么报告或者文档，工期要求，质保要求、对实施方案等的要求等，只要是这个项目中要求供应商提供的服务，都可以写在这部分</w:t>
      </w:r>
    </w:p>
  </w:comment>
  <w:comment w:id="2" w:author="D8FEB576D77941BB93429AEA06A021DD" w:date="2022-11-01T17:47:20Z" w:initials="张维14:57:3">
    <w:p w14:paraId="534A3D9C">
      <w:pPr>
        <w:pStyle w:val="6"/>
        <w:rPr>
          <w:rFonts w:hint="default" w:eastAsia="宋体"/>
          <w:lang w:val="en-US" w:eastAsia="zh-CN"/>
        </w:rPr>
      </w:pPr>
      <w:r>
        <w:rPr>
          <w:rFonts w:hint="eastAsia"/>
          <w:lang w:val="en-US" w:eastAsia="zh-CN"/>
        </w:rPr>
        <w:t>为本项目配置的人员需要有什么资质、什么工作经验，需要多少人等，对服务人员提出要求</w:t>
      </w:r>
    </w:p>
  </w:comment>
  <w:comment w:id="3" w:author="张维" w:date="2023-10-17T09:37:55Z" w:initials="张维">
    <w:p w14:paraId="0B0A7B00">
      <w:pPr>
        <w:pStyle w:val="6"/>
        <w:rPr>
          <w:rFonts w:hint="default" w:eastAsia="宋体"/>
          <w:lang w:val="en-US" w:eastAsia="zh-CN"/>
        </w:rPr>
      </w:pPr>
      <w:r>
        <w:rPr>
          <w:rFonts w:hint="eastAsia"/>
          <w:lang w:val="en-US" w:eastAsia="zh-CN"/>
        </w:rPr>
        <w:t>按需增减</w:t>
      </w:r>
    </w:p>
  </w:comment>
  <w:comment w:id="4" w:author="D8FEB576D77941BB93429AEA06A021DD" w:date="2022-11-01T17:48:57Z" w:initials="张维14:57:3">
    <w:p w14:paraId="3950411A">
      <w:pPr>
        <w:pStyle w:val="6"/>
        <w:rPr>
          <w:rFonts w:hint="default" w:eastAsia="宋体"/>
          <w:lang w:val="en-US" w:eastAsia="zh-CN"/>
        </w:rPr>
      </w:pPr>
      <w:r>
        <w:rPr>
          <w:rFonts w:hint="eastAsia"/>
          <w:lang w:val="en-US" w:eastAsia="zh-CN"/>
        </w:rPr>
        <w:t>提出验收时需达到的标准及验收的其他要求，如验收时间、验收人员等</w:t>
      </w:r>
    </w:p>
  </w:comment>
  <w:comment w:id="5" w:author="张维" w:date="2023-10-17T09:38:55Z" w:initials="张维">
    <w:p w14:paraId="0CFC5AAF">
      <w:pPr>
        <w:pStyle w:val="6"/>
        <w:rPr>
          <w:rFonts w:hint="default" w:eastAsia="宋体"/>
          <w:lang w:val="en-US" w:eastAsia="zh-CN"/>
        </w:rPr>
      </w:pPr>
      <w:r>
        <w:rPr>
          <w:rFonts w:hint="eastAsia"/>
          <w:lang w:val="en-US" w:eastAsia="zh-CN"/>
        </w:rPr>
        <w:t>按需增减</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288453D" w15:done="0"/>
  <w15:commentEx w15:paraId="4BCA5BA4" w15:done="0"/>
  <w15:commentEx w15:paraId="534A3D9C" w15:done="0"/>
  <w15:commentEx w15:paraId="0B0A7B00" w15:done="0"/>
  <w15:commentEx w15:paraId="3950411A" w15:done="0"/>
  <w15:commentEx w15:paraId="0CFC5AA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8973820" cy="662051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8973820" cy="6620510"/>
          <wp:effectExtent l="0" t="0" r="0" b="0"/>
          <wp:wrapNone/>
          <wp:docPr id="1" name="WordPictureWatermark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0009"/>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84E85F"/>
    <w:multiLevelType w:val="singleLevel"/>
    <w:tmpl w:val="9A84E85F"/>
    <w:lvl w:ilvl="0" w:tentative="0">
      <w:start w:val="1"/>
      <w:numFmt w:val="decimal"/>
      <w:lvlText w:val="%1."/>
      <w:lvlJc w:val="left"/>
      <w:pPr>
        <w:ind w:left="425" w:hanging="425"/>
      </w:pPr>
      <w:rPr>
        <w:rFonts w:hint="default"/>
        <w:b w:val="0"/>
        <w:bCs w:val="0"/>
      </w:rPr>
    </w:lvl>
  </w:abstractNum>
  <w:abstractNum w:abstractNumId="1">
    <w:nsid w:val="E3DB38BC"/>
    <w:multiLevelType w:val="singleLevel"/>
    <w:tmpl w:val="E3DB38BC"/>
    <w:lvl w:ilvl="0" w:tentative="0">
      <w:start w:val="1"/>
      <w:numFmt w:val="decimal"/>
      <w:lvlText w:val="%1."/>
      <w:lvlJc w:val="left"/>
      <w:pPr>
        <w:ind w:left="425" w:hanging="425"/>
      </w:pPr>
      <w:rPr>
        <w:rFonts w:hint="default"/>
      </w:rPr>
    </w:lvl>
  </w:abstractNum>
  <w:abstractNum w:abstractNumId="2">
    <w:nsid w:val="01147F5D"/>
    <w:multiLevelType w:val="multilevel"/>
    <w:tmpl w:val="01147F5D"/>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9E7DFA"/>
    <w:multiLevelType w:val="multilevel"/>
    <w:tmpl w:val="5A9E7DFA"/>
    <w:lvl w:ilvl="0" w:tentative="0">
      <w:start w:val="1"/>
      <w:numFmt w:val="decimal"/>
      <w:pStyle w:val="4"/>
      <w:lvlText w:val="%1"/>
      <w:lvlJc w:val="left"/>
      <w:pPr>
        <w:ind w:left="432" w:hanging="432"/>
      </w:pPr>
    </w:lvl>
    <w:lvl w:ilvl="1" w:tentative="0">
      <w:start w:val="1"/>
      <w:numFmt w:val="decimal"/>
      <w:lvlText w:val="%1.%2"/>
      <w:lvlJc w:val="left"/>
      <w:pPr>
        <w:ind w:left="576" w:hanging="576"/>
      </w:pPr>
    </w:lvl>
    <w:lvl w:ilvl="2" w:tentative="0">
      <w:start w:val="1"/>
      <w:numFmt w:val="decimal"/>
      <w:pStyle w:val="5"/>
      <w:lvlText w:val="%1.%2.%3"/>
      <w:lvlJc w:val="left"/>
      <w:pPr>
        <w:ind w:left="4123" w:hanging="720"/>
      </w:pPr>
      <w:rPr>
        <w:sz w:val="28"/>
      </w:rPr>
    </w:lvl>
    <w:lvl w:ilvl="3" w:tentative="0">
      <w:start w:val="1"/>
      <w:numFmt w:val="decimal"/>
      <w:lvlText w:val="%1.%2.%3.%4"/>
      <w:lvlJc w:val="left"/>
      <w:pPr>
        <w:ind w:left="864" w:hanging="864"/>
      </w:pPr>
      <w:rPr>
        <w:rFonts w:hint="default" w:ascii="黑体" w:hAnsi="黑体" w:eastAsia="黑体"/>
      </w:r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8FEB576D77941BB93429AEA06A021DD">
    <w15:presenceInfo w15:providerId="None" w15:userId="D8FEB576D77941BB93429AEA06A021DD"/>
  </w15:person>
  <w15:person w15:author="张维">
    <w15:presenceInfo w15:providerId="None" w15:userId="张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07731"/>
    <w:rsid w:val="00B41DF8"/>
    <w:rsid w:val="00D33392"/>
    <w:rsid w:val="036625B6"/>
    <w:rsid w:val="051B6360"/>
    <w:rsid w:val="069E14DC"/>
    <w:rsid w:val="0A936F6D"/>
    <w:rsid w:val="0BA91575"/>
    <w:rsid w:val="0C40745B"/>
    <w:rsid w:val="0CCB54CD"/>
    <w:rsid w:val="0D4A2AD4"/>
    <w:rsid w:val="0D990FCC"/>
    <w:rsid w:val="0ED84D8E"/>
    <w:rsid w:val="10852382"/>
    <w:rsid w:val="10AD0E89"/>
    <w:rsid w:val="10FB7B55"/>
    <w:rsid w:val="12550138"/>
    <w:rsid w:val="13393988"/>
    <w:rsid w:val="14F83CE5"/>
    <w:rsid w:val="15185B4E"/>
    <w:rsid w:val="15A02796"/>
    <w:rsid w:val="15FB7AC0"/>
    <w:rsid w:val="16E54815"/>
    <w:rsid w:val="1741045D"/>
    <w:rsid w:val="191A472E"/>
    <w:rsid w:val="1A451B0A"/>
    <w:rsid w:val="1A67469C"/>
    <w:rsid w:val="1C2F0EBE"/>
    <w:rsid w:val="1CFF2F1F"/>
    <w:rsid w:val="1DC00E37"/>
    <w:rsid w:val="1DCC0AB0"/>
    <w:rsid w:val="1E1912BE"/>
    <w:rsid w:val="1E4D3CA1"/>
    <w:rsid w:val="1F0C2D4C"/>
    <w:rsid w:val="218E3750"/>
    <w:rsid w:val="219D6B76"/>
    <w:rsid w:val="22B6158C"/>
    <w:rsid w:val="24AB2563"/>
    <w:rsid w:val="251D30D1"/>
    <w:rsid w:val="25BE76D0"/>
    <w:rsid w:val="275321BC"/>
    <w:rsid w:val="275E3225"/>
    <w:rsid w:val="296B12F2"/>
    <w:rsid w:val="2984545C"/>
    <w:rsid w:val="29ED2EBC"/>
    <w:rsid w:val="2A217E90"/>
    <w:rsid w:val="2BB73D17"/>
    <w:rsid w:val="2C192582"/>
    <w:rsid w:val="2C5411B2"/>
    <w:rsid w:val="2CC154EF"/>
    <w:rsid w:val="2DE33A91"/>
    <w:rsid w:val="2E185DF4"/>
    <w:rsid w:val="2E2352A5"/>
    <w:rsid w:val="30732757"/>
    <w:rsid w:val="3271060E"/>
    <w:rsid w:val="334703E9"/>
    <w:rsid w:val="34725825"/>
    <w:rsid w:val="34D76A2A"/>
    <w:rsid w:val="34E41FB8"/>
    <w:rsid w:val="35344040"/>
    <w:rsid w:val="35633E7E"/>
    <w:rsid w:val="360E316A"/>
    <w:rsid w:val="36223FAB"/>
    <w:rsid w:val="364577ED"/>
    <w:rsid w:val="37B16BDC"/>
    <w:rsid w:val="3B29663C"/>
    <w:rsid w:val="3B2E2ED9"/>
    <w:rsid w:val="3D85606A"/>
    <w:rsid w:val="3E4E2C09"/>
    <w:rsid w:val="3E52273F"/>
    <w:rsid w:val="3F271A08"/>
    <w:rsid w:val="3FBE1083"/>
    <w:rsid w:val="41116C77"/>
    <w:rsid w:val="41CF1BB9"/>
    <w:rsid w:val="41E80309"/>
    <w:rsid w:val="421931F2"/>
    <w:rsid w:val="43CB74AB"/>
    <w:rsid w:val="443815EC"/>
    <w:rsid w:val="44610D1D"/>
    <w:rsid w:val="44A935A5"/>
    <w:rsid w:val="455126A8"/>
    <w:rsid w:val="463C50C4"/>
    <w:rsid w:val="46B37AA2"/>
    <w:rsid w:val="496A328F"/>
    <w:rsid w:val="4A4A0751"/>
    <w:rsid w:val="4A5A46C4"/>
    <w:rsid w:val="4BE1604B"/>
    <w:rsid w:val="4C585496"/>
    <w:rsid w:val="4C9E4AFA"/>
    <w:rsid w:val="4D9823B7"/>
    <w:rsid w:val="4DD43DBE"/>
    <w:rsid w:val="4E574E7C"/>
    <w:rsid w:val="533930F6"/>
    <w:rsid w:val="53760E07"/>
    <w:rsid w:val="558D17BE"/>
    <w:rsid w:val="56EF4616"/>
    <w:rsid w:val="57464A55"/>
    <w:rsid w:val="57B21CC8"/>
    <w:rsid w:val="59E2311E"/>
    <w:rsid w:val="5C2A2C0B"/>
    <w:rsid w:val="5CCB658A"/>
    <w:rsid w:val="5DB25531"/>
    <w:rsid w:val="5F2D02BC"/>
    <w:rsid w:val="5F971C54"/>
    <w:rsid w:val="5FA317A8"/>
    <w:rsid w:val="5FC5349C"/>
    <w:rsid w:val="5FFF62A3"/>
    <w:rsid w:val="61CA3320"/>
    <w:rsid w:val="61D27A13"/>
    <w:rsid w:val="63FE2EBF"/>
    <w:rsid w:val="65C03BAE"/>
    <w:rsid w:val="678041CA"/>
    <w:rsid w:val="67D86468"/>
    <w:rsid w:val="68264723"/>
    <w:rsid w:val="6845018C"/>
    <w:rsid w:val="68694610"/>
    <w:rsid w:val="688E1663"/>
    <w:rsid w:val="694018B2"/>
    <w:rsid w:val="6970011D"/>
    <w:rsid w:val="6ACD3089"/>
    <w:rsid w:val="6C320A24"/>
    <w:rsid w:val="6CBF39B1"/>
    <w:rsid w:val="6F514736"/>
    <w:rsid w:val="710F7897"/>
    <w:rsid w:val="722565CB"/>
    <w:rsid w:val="73034D1C"/>
    <w:rsid w:val="743F413C"/>
    <w:rsid w:val="74D01BE7"/>
    <w:rsid w:val="74F75B56"/>
    <w:rsid w:val="762C6AE5"/>
    <w:rsid w:val="7634236B"/>
    <w:rsid w:val="76927512"/>
    <w:rsid w:val="777700DA"/>
    <w:rsid w:val="77F6037C"/>
    <w:rsid w:val="795D74BD"/>
    <w:rsid w:val="79BD67EE"/>
    <w:rsid w:val="7B56632B"/>
    <w:rsid w:val="7B686F56"/>
    <w:rsid w:val="7B870285"/>
    <w:rsid w:val="7CFF1A00"/>
    <w:rsid w:val="7F4E67B2"/>
    <w:rsid w:val="7FE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宋体" w:cs="Times New Roman"/>
      <w:kern w:val="2"/>
      <w:sz w:val="24"/>
      <w:szCs w:val="22"/>
      <w:lang w:val="en-US" w:eastAsia="zh-CN" w:bidi="ar-SA"/>
    </w:rPr>
  </w:style>
  <w:style w:type="paragraph" w:styleId="4">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5">
    <w:name w:val="heading 3"/>
    <w:basedOn w:val="1"/>
    <w:next w:val="1"/>
    <w:unhideWhenUsed/>
    <w:qFormat/>
    <w:uiPriority w:val="0"/>
    <w:pPr>
      <w:keepNext/>
      <w:keepLines/>
      <w:numPr>
        <w:ilvl w:val="2"/>
        <w:numId w:val="1"/>
      </w:numPr>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itle"/>
    <w:basedOn w:val="1"/>
    <w:next w:val="1"/>
    <w:qFormat/>
    <w:uiPriority w:val="0"/>
    <w:pPr>
      <w:spacing w:before="240" w:after="60"/>
      <w:jc w:val="center"/>
      <w:outlineLvl w:val="0"/>
    </w:pPr>
    <w:rPr>
      <w:rFonts w:ascii="Cambria" w:hAnsi="Cambria"/>
      <w:b/>
      <w:sz w:val="32"/>
    </w:rPr>
  </w:style>
  <w:style w:type="paragraph" w:styleId="6">
    <w:name w:val="annotation text"/>
    <w:basedOn w:val="1"/>
    <w:qFormat/>
    <w:uiPriority w:val="0"/>
    <w:pPr>
      <w:jc w:val="left"/>
    </w:pPr>
  </w:style>
  <w:style w:type="paragraph" w:styleId="7">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toc 1"/>
    <w:basedOn w:val="1"/>
    <w:next w:val="1"/>
    <w:qFormat/>
    <w:uiPriority w:val="39"/>
    <w:pPr>
      <w:spacing w:before="120" w:after="120" w:line="240" w:lineRule="auto"/>
      <w:jc w:val="left"/>
    </w:pPr>
    <w:rPr>
      <w:rFonts w:ascii="Times New Roman" w:hAnsi="Times New Roman"/>
      <w:b/>
      <w:bCs/>
      <w:caps/>
      <w:sz w:val="20"/>
      <w:szCs w:val="20"/>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正文首行缩进 + 段前: 0.5 行 段后: 0.5 行"/>
    <w:basedOn w:val="1"/>
    <w:qFormat/>
    <w:uiPriority w:val="0"/>
    <w:pPr>
      <w:spacing w:beforeLines="50" w:afterLines="50" w:line="480" w:lineRule="exact"/>
      <w:ind w:firstLine="420"/>
    </w:pPr>
    <w:rPr>
      <w:rFonts w:ascii="Times New Roman" w:hAnsi="Times New Roman" w:cs="宋体"/>
      <w:szCs w:val="20"/>
    </w:rPr>
  </w:style>
  <w:style w:type="paragraph" w:styleId="13">
    <w:name w:val="List Paragraph"/>
    <w:basedOn w:val="1"/>
    <w:qFormat/>
    <w:uiPriority w:val="99"/>
    <w:pPr>
      <w:ind w:firstLine="420" w:firstLineChars="200"/>
    </w:pPr>
  </w:style>
  <w:style w:type="paragraph" w:customStyle="1" w:styleId="14">
    <w:name w:val="内容正文"/>
    <w:basedOn w:val="1"/>
    <w:qFormat/>
    <w:uiPriority w:val="0"/>
    <w:pPr>
      <w:spacing w:beforeLines="50" w:afterLines="50"/>
    </w:pPr>
    <w:rPr>
      <w:rFonts w:ascii="Arial" w:hAnsi="Arial"/>
      <w:szCs w:val="21"/>
    </w:rPr>
  </w:style>
  <w:style w:type="paragraph" w:customStyle="1" w:styleId="15">
    <w:name w:val="列表段落2"/>
    <w:basedOn w:val="1"/>
    <w:qFormat/>
    <w:uiPriority w:val="34"/>
    <w:pPr>
      <w:ind w:firstLine="420" w:firstLineChars="200"/>
    </w:pPr>
    <w:rPr>
      <w:rFonts w:ascii="Calibri" w:hAnsi="Calibri"/>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2022-05-06T02:25:00Z</dcterms:created>
  <dc:creator>yndw</dc:creator>
  <cp:lastModifiedBy>0EBA7B8C770C21FFE063D3866F0A63C3</cp:lastModifiedBy>
  <dcterms:modified xsi:type="dcterms:W3CDTF">2025-07-28T08:36:18Z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E363E29E01814EA58E2758C71005524A</vt:lpwstr>
  </property>
  <property fmtid="{D5CDD505-2E9C-101B-9397-08002B2CF9AE}" pid="4" name="CWMf7070a29ba31455f83ef94195b6c7562">
    <vt:lpwstr>CWMTnMQRQulnzbQqIT7FHxr8ZswP50qjjHrdQxucI/sbVneXHcjXk6TeJcT9pFbfUSyTnZK7FFvxAuWpfJaRizEXm3p0ZsnfGUeSXF91ixBrHM=</vt:lpwstr>
  </property>
</Properties>
</file>