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u w:val="none"/>
          <w:lang w:val="en-US" w:eastAsia="zh-CN"/>
        </w:rPr>
      </w:pPr>
    </w:p>
    <w:p>
      <w:pPr>
        <w:jc w:val="center"/>
        <w:rPr>
          <w:rFonts w:hint="eastAsia" w:asciiTheme="majorEastAsia" w:hAnsiTheme="majorEastAsia" w:eastAsiaTheme="majorEastAsia" w:cstheme="majorEastAsia"/>
          <w:b/>
          <w:bCs/>
          <w:sz w:val="44"/>
          <w:szCs w:val="44"/>
          <w:u w:val="none"/>
          <w:lang w:val="en-US" w:eastAsia="zh-CN"/>
        </w:rPr>
      </w:pPr>
    </w:p>
    <w:p>
      <w:pPr>
        <w:jc w:val="center"/>
        <w:rPr>
          <w:rFonts w:hint="eastAsia" w:asciiTheme="majorEastAsia" w:hAnsiTheme="majorEastAsia" w:eastAsiaTheme="majorEastAsia" w:cstheme="majorEastAsia"/>
          <w:b/>
          <w:bCs/>
          <w:sz w:val="44"/>
          <w:szCs w:val="44"/>
          <w:u w:val="none"/>
          <w:lang w:val="en-US" w:eastAsia="zh-CN"/>
        </w:rPr>
      </w:pPr>
    </w:p>
    <w:p>
      <w:pPr>
        <w:jc w:val="center"/>
        <w:rPr>
          <w:rFonts w:hint="eastAsia" w:asciiTheme="majorEastAsia" w:hAnsiTheme="majorEastAsia" w:eastAsiaTheme="majorEastAsia" w:cstheme="majorEastAsia"/>
          <w:b/>
          <w:bCs/>
          <w:sz w:val="44"/>
          <w:szCs w:val="44"/>
          <w:u w:val="none"/>
          <w:lang w:val="en-US" w:eastAsia="zh-CN"/>
        </w:rPr>
      </w:pPr>
    </w:p>
    <w:p>
      <w:pPr>
        <w:jc w:val="center"/>
        <w:rPr>
          <w:rFonts w:hint="eastAsia" w:ascii="黑体" w:hAnsi="黑体" w:eastAsia="黑体"/>
          <w:b/>
          <w:bCs/>
          <w:sz w:val="44"/>
          <w:szCs w:val="44"/>
          <w:lang w:val="en-US" w:eastAsia="zh-CN"/>
        </w:rPr>
      </w:pPr>
      <w:r>
        <w:rPr>
          <w:rFonts w:hint="eastAsia" w:ascii="黑体" w:hAnsi="黑体" w:eastAsia="黑体"/>
          <w:b/>
          <w:bCs/>
          <w:sz w:val="44"/>
          <w:szCs w:val="44"/>
          <w:lang w:val="en-US" w:eastAsia="zh-CN"/>
        </w:rPr>
        <w:t>云南电网有限责任公司自动化专业</w:t>
      </w:r>
    </w:p>
    <w:p>
      <w:pPr>
        <w:jc w:val="center"/>
        <w:rPr>
          <w:rFonts w:hint="eastAsia" w:ascii="黑体" w:hAnsi="黑体" w:eastAsia="黑体"/>
          <w:b/>
          <w:bCs/>
          <w:sz w:val="44"/>
          <w:szCs w:val="44"/>
        </w:rPr>
      </w:pPr>
      <w:r>
        <w:rPr>
          <w:rFonts w:hint="eastAsia" w:ascii="黑体" w:hAnsi="黑体" w:eastAsia="黑体"/>
          <w:b/>
          <w:bCs/>
          <w:sz w:val="44"/>
          <w:szCs w:val="44"/>
          <w:lang w:val="en-US" w:eastAsia="zh-CN"/>
        </w:rPr>
        <w:t>机房接地系统定检及维护项目</w:t>
      </w:r>
    </w:p>
    <w:p>
      <w:pPr>
        <w:jc w:val="center"/>
        <w:rPr>
          <w:rFonts w:hint="eastAsia" w:ascii="黑体" w:hAnsi="黑体" w:eastAsia="黑体"/>
          <w:b/>
          <w:bCs/>
          <w:sz w:val="44"/>
          <w:szCs w:val="44"/>
        </w:rPr>
      </w:pPr>
    </w:p>
    <w:p>
      <w:pPr>
        <w:ind w:left="-420" w:leftChars="-200" w:firstLine="420" w:firstLineChars="95"/>
        <w:jc w:val="center"/>
        <w:rPr>
          <w:rFonts w:hint="eastAsia" w:ascii="黑体" w:hAnsi="黑体" w:eastAsia="黑体"/>
          <w:b/>
          <w:bCs/>
          <w:sz w:val="44"/>
          <w:szCs w:val="44"/>
        </w:rPr>
      </w:pPr>
      <w:r>
        <w:rPr>
          <w:rFonts w:hint="eastAsia" w:ascii="黑体" w:hAnsi="黑体" w:eastAsia="黑体"/>
          <w:b/>
          <w:bCs/>
          <w:sz w:val="44"/>
          <w:szCs w:val="44"/>
        </w:rPr>
        <w:t>技术规范书</w:t>
      </w:r>
    </w:p>
    <w:p>
      <w:pPr>
        <w:jc w:val="center"/>
        <w:rPr>
          <w:rFonts w:ascii="黑体" w:hAnsi="黑体" w:eastAsia="黑体"/>
          <w:b/>
          <w:bCs/>
          <w:sz w:val="44"/>
          <w:szCs w:val="44"/>
        </w:rPr>
      </w:pPr>
    </w:p>
    <w:p>
      <w:pPr>
        <w:jc w:val="center"/>
        <w:rPr>
          <w:rFonts w:ascii="黑体" w:hAnsi="黑体" w:eastAsia="黑体"/>
          <w:sz w:val="52"/>
          <w:szCs w:val="52"/>
        </w:rPr>
      </w:pPr>
    </w:p>
    <w:p>
      <w:pPr>
        <w:jc w:val="center"/>
        <w:rPr>
          <w:rFonts w:ascii="黑体" w:hAnsi="黑体" w:eastAsia="黑体"/>
          <w:sz w:val="52"/>
          <w:szCs w:val="52"/>
        </w:rPr>
      </w:pPr>
    </w:p>
    <w:p>
      <w:pPr>
        <w:jc w:val="center"/>
        <w:rPr>
          <w:rFonts w:ascii="黑体" w:hAnsi="黑体" w:eastAsia="黑体"/>
          <w:sz w:val="52"/>
          <w:szCs w:val="52"/>
        </w:rPr>
      </w:pPr>
    </w:p>
    <w:p>
      <w:pPr>
        <w:jc w:val="center"/>
        <w:rPr>
          <w:rFonts w:ascii="黑体" w:hAnsi="黑体" w:eastAsia="黑体"/>
          <w:sz w:val="52"/>
          <w:szCs w:val="52"/>
        </w:rPr>
      </w:pPr>
    </w:p>
    <w:p>
      <w:pPr>
        <w:jc w:val="center"/>
        <w:rPr>
          <w:rFonts w:ascii="黑体" w:hAnsi="黑体" w:eastAsia="黑体"/>
          <w:sz w:val="52"/>
          <w:szCs w:val="52"/>
        </w:rPr>
      </w:pPr>
    </w:p>
    <w:p>
      <w:pPr>
        <w:jc w:val="both"/>
        <w:rPr>
          <w:rFonts w:ascii="黑体" w:hAnsi="黑体" w:eastAsia="黑体"/>
          <w:sz w:val="52"/>
          <w:szCs w:val="52"/>
        </w:rPr>
      </w:pPr>
    </w:p>
    <w:p>
      <w:pPr>
        <w:jc w:val="center"/>
        <w:rPr>
          <w:rFonts w:ascii="黑体" w:hAnsi="黑体" w:eastAsia="黑体"/>
          <w:sz w:val="44"/>
          <w:szCs w:val="44"/>
        </w:rPr>
      </w:pPr>
    </w:p>
    <w:p>
      <w:pPr>
        <w:jc w:val="center"/>
        <w:rPr>
          <w:rFonts w:ascii="黑体" w:hAnsi="黑体" w:eastAsia="黑体"/>
          <w:sz w:val="32"/>
          <w:szCs w:val="32"/>
        </w:rPr>
      </w:pPr>
      <w:r>
        <w:rPr>
          <w:rFonts w:hint="eastAsia" w:ascii="黑体" w:hAnsi="黑体" w:eastAsia="黑体"/>
          <w:sz w:val="32"/>
          <w:szCs w:val="32"/>
        </w:rPr>
        <w:t>云南电网有限责任公司</w:t>
      </w:r>
    </w:p>
    <w:p>
      <w:pPr>
        <w:jc w:val="center"/>
        <w:rPr>
          <w:rFonts w:ascii="黑体" w:hAnsi="黑体" w:eastAsia="黑体"/>
          <w:sz w:val="44"/>
          <w:szCs w:val="44"/>
        </w:rPr>
      </w:pPr>
      <w:r>
        <w:rPr>
          <w:rFonts w:hint="eastAsia" w:ascii="黑体" w:hAnsi="黑体" w:eastAsia="黑体"/>
          <w:sz w:val="32"/>
          <w:szCs w:val="32"/>
          <w:lang w:val="en-US" w:eastAsia="zh-CN"/>
        </w:rPr>
        <w:t>2025年8</w:t>
      </w:r>
      <w:r>
        <w:rPr>
          <w:rFonts w:hint="eastAsia" w:ascii="黑体" w:hAnsi="黑体" w:eastAsia="黑体"/>
          <w:sz w:val="32"/>
          <w:szCs w:val="32"/>
        </w:rPr>
        <w:t>月</w:t>
      </w:r>
    </w:p>
    <w:p>
      <w:pPr>
        <w:pStyle w:val="20"/>
        <w:spacing w:before="0" w:line="360" w:lineRule="auto"/>
        <w:rPr>
          <w:sz w:val="32"/>
          <w:szCs w:val="32"/>
          <w:lang w:val="zh-CN"/>
        </w:rPr>
        <w:sectPr>
          <w:footerReference r:id="rId3" w:type="default"/>
          <w:pgSz w:w="11906" w:h="16838"/>
          <w:pgMar w:top="1440" w:right="1800" w:bottom="1440" w:left="1800" w:header="851" w:footer="992" w:gutter="0"/>
          <w:pgNumType w:fmt="decimal" w:start="0"/>
          <w:cols w:space="425" w:num="1"/>
          <w:docGrid w:type="lines" w:linePitch="312" w:charSpace="0"/>
        </w:sectPr>
      </w:pPr>
    </w:p>
    <w:p>
      <w:pPr>
        <w:pStyle w:val="20"/>
        <w:spacing w:before="0" w:line="360" w:lineRule="auto"/>
        <w:ind w:firstLine="3855" w:firstLineChars="1200"/>
        <w:rPr>
          <w:sz w:val="32"/>
          <w:szCs w:val="32"/>
        </w:rPr>
      </w:pPr>
      <w:r>
        <w:rPr>
          <w:sz w:val="32"/>
          <w:szCs w:val="32"/>
          <w:lang w:val="zh-CN"/>
        </w:rPr>
        <w:t>目</w:t>
      </w:r>
      <w:r>
        <w:rPr>
          <w:rFonts w:hint="eastAsia"/>
          <w:sz w:val="32"/>
          <w:szCs w:val="32"/>
          <w:lang w:val="en-US" w:eastAsia="zh-CN"/>
        </w:rPr>
        <w:t xml:space="preserve"> </w:t>
      </w:r>
      <w:r>
        <w:rPr>
          <w:sz w:val="32"/>
          <w:szCs w:val="32"/>
          <w:lang w:val="zh-CN"/>
        </w:rPr>
        <w:t>录</w:t>
      </w:r>
    </w:p>
    <w:p>
      <w:pPr>
        <w:pStyle w:val="9"/>
        <w:tabs>
          <w:tab w:val="right" w:leader="dot" w:pos="8306"/>
        </w:tabs>
      </w:pPr>
      <w:r>
        <w:rPr>
          <w:sz w:val="36"/>
          <w:szCs w:val="36"/>
        </w:rPr>
        <w:fldChar w:fldCharType="begin"/>
      </w:r>
      <w:r>
        <w:rPr>
          <w:sz w:val="36"/>
          <w:szCs w:val="36"/>
        </w:rPr>
        <w:instrText xml:space="preserve"> TOC \o "1-3" \h \z \u </w:instrText>
      </w:r>
      <w:r>
        <w:rPr>
          <w:sz w:val="36"/>
          <w:szCs w:val="36"/>
        </w:rPr>
        <w:fldChar w:fldCharType="separate"/>
      </w:r>
      <w:r>
        <w:rPr>
          <w:szCs w:val="36"/>
        </w:rPr>
        <w:fldChar w:fldCharType="begin"/>
      </w:r>
      <w:r>
        <w:rPr>
          <w:szCs w:val="36"/>
        </w:rPr>
        <w:instrText xml:space="preserve"> HYPERLINK \l _Toc19133 </w:instrText>
      </w:r>
      <w:r>
        <w:rPr>
          <w:szCs w:val="36"/>
        </w:rPr>
        <w:fldChar w:fldCharType="separate"/>
      </w:r>
      <w:r>
        <w:rPr>
          <w:rFonts w:hint="eastAsia" w:ascii="宋体" w:hAnsi="宋体" w:cs="宋体"/>
          <w:szCs w:val="30"/>
        </w:rPr>
        <w:t>第一部分</w:t>
      </w:r>
      <w:r>
        <w:rPr>
          <w:rFonts w:hint="eastAsia" w:ascii="宋体" w:hAnsi="宋体" w:cs="宋体"/>
          <w:szCs w:val="30"/>
          <w:lang w:val="en-US" w:eastAsia="zh-CN"/>
        </w:rPr>
        <w:t xml:space="preserve"> </w:t>
      </w:r>
      <w:r>
        <w:rPr>
          <w:rFonts w:hint="eastAsia" w:ascii="宋体" w:hAnsi="宋体" w:cs="宋体"/>
          <w:szCs w:val="30"/>
        </w:rPr>
        <w:t>总</w:t>
      </w:r>
      <w:r>
        <w:rPr>
          <w:rFonts w:hint="eastAsia" w:ascii="宋体" w:hAnsi="宋体" w:cs="宋体"/>
          <w:szCs w:val="30"/>
          <w:lang w:val="en-US" w:eastAsia="zh-CN"/>
        </w:rPr>
        <w:t>则</w:t>
      </w:r>
      <w:r>
        <w:rPr>
          <w:rFonts w:hint="eastAsia" w:ascii="宋体" w:hAnsi="宋体" w:cs="宋体"/>
          <w:szCs w:val="30"/>
        </w:rPr>
        <w:t>部分</w:t>
      </w:r>
      <w:r>
        <w:tab/>
      </w:r>
      <w:r>
        <w:fldChar w:fldCharType="begin"/>
      </w:r>
      <w:r>
        <w:instrText xml:space="preserve"> PAGEREF _Toc19133 \h </w:instrText>
      </w:r>
      <w:r>
        <w:fldChar w:fldCharType="separate"/>
      </w:r>
      <w:r>
        <w:t>2</w:t>
      </w:r>
      <w:r>
        <w:fldChar w:fldCharType="end"/>
      </w:r>
      <w:r>
        <w:rPr>
          <w:szCs w:val="36"/>
        </w:rPr>
        <w:fldChar w:fldCharType="end"/>
      </w:r>
    </w:p>
    <w:p>
      <w:pPr>
        <w:pStyle w:val="9"/>
        <w:tabs>
          <w:tab w:val="right" w:leader="dot" w:pos="8306"/>
        </w:tabs>
      </w:pPr>
      <w:r>
        <w:rPr>
          <w:bCs/>
          <w:szCs w:val="36"/>
          <w:lang w:val="zh-CN"/>
        </w:rPr>
        <w:fldChar w:fldCharType="begin"/>
      </w:r>
      <w:r>
        <w:rPr>
          <w:bCs/>
          <w:szCs w:val="36"/>
          <w:lang w:val="zh-CN"/>
        </w:rPr>
        <w:instrText xml:space="preserve"> HYPERLINK \l _Toc2294 </w:instrText>
      </w:r>
      <w:r>
        <w:rPr>
          <w:bCs/>
          <w:szCs w:val="36"/>
          <w:lang w:val="zh-CN"/>
        </w:rPr>
        <w:fldChar w:fldCharType="separate"/>
      </w:r>
      <w:r>
        <w:rPr>
          <w:rFonts w:hint="eastAsia"/>
          <w:lang w:val="en-US" w:eastAsia="zh-CN"/>
        </w:rPr>
        <w:t>一、</w:t>
      </w:r>
      <w:r>
        <w:rPr>
          <w:rFonts w:hint="eastAsia"/>
        </w:rPr>
        <w:t>总则</w:t>
      </w:r>
      <w:r>
        <w:tab/>
      </w:r>
      <w:r>
        <w:fldChar w:fldCharType="begin"/>
      </w:r>
      <w:r>
        <w:instrText xml:space="preserve"> PAGEREF _Toc2294 \h </w:instrText>
      </w:r>
      <w:r>
        <w:fldChar w:fldCharType="separate"/>
      </w:r>
      <w:r>
        <w:t>2</w:t>
      </w:r>
      <w:r>
        <w:fldChar w:fldCharType="end"/>
      </w:r>
      <w:r>
        <w:rPr>
          <w:bCs/>
          <w:szCs w:val="36"/>
          <w:lang w:val="zh-CN"/>
        </w:rPr>
        <w:fldChar w:fldCharType="end"/>
      </w:r>
    </w:p>
    <w:p>
      <w:pPr>
        <w:pStyle w:val="9"/>
        <w:tabs>
          <w:tab w:val="right" w:leader="dot" w:pos="8306"/>
        </w:tabs>
      </w:pPr>
      <w:r>
        <w:rPr>
          <w:bCs/>
          <w:szCs w:val="36"/>
          <w:lang w:val="zh-CN"/>
        </w:rPr>
        <w:fldChar w:fldCharType="begin"/>
      </w:r>
      <w:r>
        <w:rPr>
          <w:bCs/>
          <w:szCs w:val="36"/>
          <w:lang w:val="zh-CN"/>
        </w:rPr>
        <w:instrText xml:space="preserve"> HYPERLINK \l _Toc28127 </w:instrText>
      </w:r>
      <w:r>
        <w:rPr>
          <w:bCs/>
          <w:szCs w:val="36"/>
          <w:lang w:val="zh-CN"/>
        </w:rPr>
        <w:fldChar w:fldCharType="separate"/>
      </w:r>
      <w:r>
        <w:rPr>
          <w:rFonts w:hint="eastAsia" w:ascii="宋体" w:hAnsi="宋体" w:cs="宋体"/>
          <w:szCs w:val="30"/>
        </w:rPr>
        <w:t>第二部分</w:t>
      </w:r>
      <w:r>
        <w:rPr>
          <w:rFonts w:hint="eastAsia" w:ascii="宋体" w:hAnsi="宋体" w:cs="宋体"/>
          <w:szCs w:val="30"/>
          <w:lang w:val="en-US" w:eastAsia="zh-CN"/>
        </w:rPr>
        <w:t xml:space="preserve"> </w:t>
      </w:r>
      <w:r>
        <w:rPr>
          <w:rFonts w:hint="eastAsia" w:ascii="宋体" w:hAnsi="宋体" w:cs="宋体"/>
          <w:szCs w:val="30"/>
        </w:rPr>
        <w:t>技术规范</w:t>
      </w:r>
      <w:r>
        <w:tab/>
      </w:r>
      <w:r>
        <w:fldChar w:fldCharType="begin"/>
      </w:r>
      <w:r>
        <w:instrText xml:space="preserve"> PAGEREF _Toc28127 \h </w:instrText>
      </w:r>
      <w:r>
        <w:fldChar w:fldCharType="separate"/>
      </w:r>
      <w:r>
        <w:t>2</w:t>
      </w:r>
      <w:r>
        <w:fldChar w:fldCharType="end"/>
      </w:r>
      <w:r>
        <w:rPr>
          <w:bCs/>
          <w:szCs w:val="36"/>
          <w:lang w:val="zh-CN"/>
        </w:rPr>
        <w:fldChar w:fldCharType="end"/>
      </w:r>
    </w:p>
    <w:p>
      <w:pPr>
        <w:pStyle w:val="10"/>
        <w:tabs>
          <w:tab w:val="right" w:leader="dot" w:pos="8306"/>
        </w:tabs>
      </w:pPr>
      <w:r>
        <w:rPr>
          <w:bCs/>
          <w:szCs w:val="36"/>
          <w:lang w:val="zh-CN"/>
        </w:rPr>
        <w:fldChar w:fldCharType="begin"/>
      </w:r>
      <w:r>
        <w:rPr>
          <w:bCs/>
          <w:szCs w:val="36"/>
          <w:lang w:val="zh-CN"/>
        </w:rPr>
        <w:instrText xml:space="preserve"> HYPERLINK \l _Toc13721 </w:instrText>
      </w:r>
      <w:r>
        <w:rPr>
          <w:bCs/>
          <w:szCs w:val="36"/>
          <w:lang w:val="zh-CN"/>
        </w:rPr>
        <w:fldChar w:fldCharType="separate"/>
      </w:r>
      <w:r>
        <w:rPr>
          <w:rFonts w:hint="eastAsia" w:ascii="宋体" w:hAnsi="宋体"/>
          <w:highlight w:val="none"/>
          <w:lang w:val="en-US" w:eastAsia="zh-CN"/>
        </w:rPr>
        <w:t>一、技术服务范围</w:t>
      </w:r>
      <w:r>
        <w:tab/>
      </w:r>
      <w:r>
        <w:fldChar w:fldCharType="begin"/>
      </w:r>
      <w:r>
        <w:instrText xml:space="preserve"> PAGEREF _Toc13721 \h </w:instrText>
      </w:r>
      <w:r>
        <w:fldChar w:fldCharType="separate"/>
      </w:r>
      <w:r>
        <w:t>2</w:t>
      </w:r>
      <w:r>
        <w:fldChar w:fldCharType="end"/>
      </w:r>
      <w:r>
        <w:rPr>
          <w:bCs/>
          <w:szCs w:val="36"/>
          <w:lang w:val="zh-CN"/>
        </w:rPr>
        <w:fldChar w:fldCharType="end"/>
      </w:r>
    </w:p>
    <w:p>
      <w:pPr>
        <w:pStyle w:val="10"/>
        <w:tabs>
          <w:tab w:val="right" w:leader="dot" w:pos="8306"/>
        </w:tabs>
      </w:pPr>
      <w:r>
        <w:rPr>
          <w:bCs/>
          <w:szCs w:val="36"/>
          <w:lang w:val="zh-CN"/>
        </w:rPr>
        <w:fldChar w:fldCharType="begin"/>
      </w:r>
      <w:r>
        <w:rPr>
          <w:bCs/>
          <w:szCs w:val="36"/>
          <w:lang w:val="zh-CN"/>
        </w:rPr>
        <w:instrText xml:space="preserve"> HYPERLINK \l _Toc15226 </w:instrText>
      </w:r>
      <w:r>
        <w:rPr>
          <w:bCs/>
          <w:szCs w:val="36"/>
          <w:lang w:val="zh-CN"/>
        </w:rPr>
        <w:fldChar w:fldCharType="separate"/>
      </w:r>
      <w:r>
        <w:rPr>
          <w:rFonts w:hint="eastAsia" w:ascii="宋体" w:hAnsi="宋体" w:eastAsiaTheme="majorEastAsia" w:cstheme="majorBidi"/>
          <w:bCs/>
          <w:kern w:val="2"/>
          <w:szCs w:val="32"/>
          <w:highlight w:val="none"/>
          <w:lang w:val="en-US" w:eastAsia="zh-CN" w:bidi="ar-SA"/>
        </w:rPr>
        <w:t>二、技术服务内容及要求</w:t>
      </w:r>
      <w:r>
        <w:tab/>
      </w:r>
      <w:r>
        <w:fldChar w:fldCharType="begin"/>
      </w:r>
      <w:r>
        <w:instrText xml:space="preserve"> PAGEREF _Toc15226 \h </w:instrText>
      </w:r>
      <w:r>
        <w:fldChar w:fldCharType="separate"/>
      </w:r>
      <w:r>
        <w:t>2</w:t>
      </w:r>
      <w:r>
        <w:fldChar w:fldCharType="end"/>
      </w:r>
      <w:r>
        <w:rPr>
          <w:bCs/>
          <w:szCs w:val="36"/>
          <w:lang w:val="zh-CN"/>
        </w:rPr>
        <w:fldChar w:fldCharType="end"/>
      </w:r>
    </w:p>
    <w:p>
      <w:pPr>
        <w:pStyle w:val="10"/>
        <w:tabs>
          <w:tab w:val="right" w:leader="dot" w:pos="8306"/>
        </w:tabs>
      </w:pPr>
      <w:r>
        <w:rPr>
          <w:bCs/>
          <w:szCs w:val="36"/>
          <w:lang w:val="zh-CN"/>
        </w:rPr>
        <w:fldChar w:fldCharType="begin"/>
      </w:r>
      <w:r>
        <w:rPr>
          <w:bCs/>
          <w:szCs w:val="36"/>
          <w:lang w:val="zh-CN"/>
        </w:rPr>
        <w:instrText xml:space="preserve"> HYPERLINK \l _Toc4439 </w:instrText>
      </w:r>
      <w:r>
        <w:rPr>
          <w:bCs/>
          <w:szCs w:val="36"/>
          <w:lang w:val="zh-CN"/>
        </w:rPr>
        <w:fldChar w:fldCharType="separate"/>
      </w:r>
      <w:r>
        <w:rPr>
          <w:rFonts w:hint="eastAsia" w:eastAsia="宋体" w:cs="宋体"/>
          <w:szCs w:val="28"/>
        </w:rPr>
        <w:t xml:space="preserve">三、 </w:t>
      </w:r>
      <w:r>
        <w:rPr>
          <w:rFonts w:hint="eastAsia" w:ascii="宋体" w:hAnsi="宋体"/>
          <w:highlight w:val="none"/>
          <w:lang w:val="en-US" w:eastAsia="zh-CN"/>
        </w:rPr>
        <w:t>项目实施要求</w:t>
      </w:r>
      <w:r>
        <w:tab/>
      </w:r>
      <w:r>
        <w:fldChar w:fldCharType="begin"/>
      </w:r>
      <w:r>
        <w:instrText xml:space="preserve"> PAGEREF _Toc4439 \h </w:instrText>
      </w:r>
      <w:r>
        <w:fldChar w:fldCharType="separate"/>
      </w:r>
      <w:r>
        <w:t>3</w:t>
      </w:r>
      <w:r>
        <w:fldChar w:fldCharType="end"/>
      </w:r>
      <w:r>
        <w:rPr>
          <w:bCs/>
          <w:szCs w:val="36"/>
          <w:lang w:val="zh-CN"/>
        </w:rPr>
        <w:fldChar w:fldCharType="end"/>
      </w:r>
    </w:p>
    <w:p>
      <w:pPr>
        <w:pStyle w:val="10"/>
        <w:tabs>
          <w:tab w:val="right" w:leader="dot" w:pos="8306"/>
        </w:tabs>
      </w:pPr>
      <w:r>
        <w:rPr>
          <w:bCs/>
          <w:szCs w:val="36"/>
          <w:lang w:val="zh-CN"/>
        </w:rPr>
        <w:fldChar w:fldCharType="begin"/>
      </w:r>
      <w:r>
        <w:rPr>
          <w:bCs/>
          <w:szCs w:val="36"/>
          <w:lang w:val="zh-CN"/>
        </w:rPr>
        <w:instrText xml:space="preserve"> HYPERLINK \l _Toc7471 </w:instrText>
      </w:r>
      <w:r>
        <w:rPr>
          <w:bCs/>
          <w:szCs w:val="36"/>
          <w:lang w:val="zh-CN"/>
        </w:rPr>
        <w:fldChar w:fldCharType="separate"/>
      </w:r>
      <w:r>
        <w:rPr>
          <w:rFonts w:hint="eastAsia" w:ascii="宋体" w:hAnsi="宋体"/>
          <w:highlight w:val="none"/>
          <w:lang w:val="en-US" w:eastAsia="zh-CN"/>
        </w:rPr>
        <w:t>四、人员配置及服务能力要求</w:t>
      </w:r>
      <w:r>
        <w:tab/>
      </w:r>
      <w:r>
        <w:fldChar w:fldCharType="begin"/>
      </w:r>
      <w:r>
        <w:instrText xml:space="preserve"> PAGEREF _Toc7471 \h </w:instrText>
      </w:r>
      <w:r>
        <w:fldChar w:fldCharType="separate"/>
      </w:r>
      <w:r>
        <w:t>4</w:t>
      </w:r>
      <w:r>
        <w:fldChar w:fldCharType="end"/>
      </w:r>
      <w:r>
        <w:rPr>
          <w:bCs/>
          <w:szCs w:val="36"/>
          <w:lang w:val="zh-CN"/>
        </w:rPr>
        <w:fldChar w:fldCharType="end"/>
      </w:r>
    </w:p>
    <w:p>
      <w:pPr>
        <w:pStyle w:val="10"/>
        <w:tabs>
          <w:tab w:val="right" w:leader="dot" w:pos="8306"/>
        </w:tabs>
      </w:pPr>
      <w:r>
        <w:rPr>
          <w:bCs/>
          <w:szCs w:val="36"/>
          <w:lang w:val="zh-CN"/>
        </w:rPr>
        <w:fldChar w:fldCharType="begin"/>
      </w:r>
      <w:r>
        <w:rPr>
          <w:bCs/>
          <w:szCs w:val="36"/>
          <w:lang w:val="zh-CN"/>
        </w:rPr>
        <w:instrText xml:space="preserve"> HYPERLINK \l _Toc17801 </w:instrText>
      </w:r>
      <w:r>
        <w:rPr>
          <w:bCs/>
          <w:szCs w:val="36"/>
          <w:lang w:val="zh-CN"/>
        </w:rPr>
        <w:fldChar w:fldCharType="separate"/>
      </w:r>
      <w:r>
        <w:rPr>
          <w:rFonts w:hint="eastAsia" w:ascii="宋体" w:hAnsi="宋体"/>
          <w:highlight w:val="none"/>
          <w:lang w:val="en-US" w:eastAsia="zh-CN"/>
        </w:rPr>
        <w:t>五、工器具配置要求</w:t>
      </w:r>
      <w:r>
        <w:tab/>
      </w:r>
      <w:r>
        <w:fldChar w:fldCharType="begin"/>
      </w:r>
      <w:r>
        <w:instrText xml:space="preserve"> PAGEREF _Toc17801 \h </w:instrText>
      </w:r>
      <w:r>
        <w:fldChar w:fldCharType="separate"/>
      </w:r>
      <w:r>
        <w:t>5</w:t>
      </w:r>
      <w:r>
        <w:fldChar w:fldCharType="end"/>
      </w:r>
      <w:r>
        <w:rPr>
          <w:bCs/>
          <w:szCs w:val="36"/>
          <w:lang w:val="zh-CN"/>
        </w:rPr>
        <w:fldChar w:fldCharType="end"/>
      </w:r>
    </w:p>
    <w:p>
      <w:pPr>
        <w:pStyle w:val="10"/>
        <w:tabs>
          <w:tab w:val="right" w:leader="dot" w:pos="8306"/>
        </w:tabs>
      </w:pPr>
      <w:r>
        <w:rPr>
          <w:bCs/>
          <w:szCs w:val="36"/>
          <w:lang w:val="zh-CN"/>
        </w:rPr>
        <w:fldChar w:fldCharType="begin"/>
      </w:r>
      <w:r>
        <w:rPr>
          <w:bCs/>
          <w:szCs w:val="36"/>
          <w:lang w:val="zh-CN"/>
        </w:rPr>
        <w:instrText xml:space="preserve"> HYPERLINK \l _Toc19525 </w:instrText>
      </w:r>
      <w:r>
        <w:rPr>
          <w:bCs/>
          <w:szCs w:val="36"/>
          <w:lang w:val="zh-CN"/>
        </w:rPr>
        <w:fldChar w:fldCharType="separate"/>
      </w:r>
      <w:r>
        <w:rPr>
          <w:rFonts w:hint="eastAsia" w:ascii="宋体" w:hAnsi="宋体"/>
          <w:highlight w:val="none"/>
          <w:lang w:val="en-US" w:eastAsia="zh-CN"/>
        </w:rPr>
        <w:t>六、组织管理要求</w:t>
      </w:r>
      <w:r>
        <w:tab/>
      </w:r>
      <w:r>
        <w:fldChar w:fldCharType="begin"/>
      </w:r>
      <w:r>
        <w:instrText xml:space="preserve"> PAGEREF _Toc19525 \h </w:instrText>
      </w:r>
      <w:r>
        <w:fldChar w:fldCharType="separate"/>
      </w:r>
      <w:r>
        <w:t>5</w:t>
      </w:r>
      <w:r>
        <w:fldChar w:fldCharType="end"/>
      </w:r>
      <w:r>
        <w:rPr>
          <w:bCs/>
          <w:szCs w:val="36"/>
          <w:lang w:val="zh-CN"/>
        </w:rPr>
        <w:fldChar w:fldCharType="end"/>
      </w:r>
    </w:p>
    <w:p>
      <w:pPr>
        <w:pStyle w:val="10"/>
        <w:tabs>
          <w:tab w:val="right" w:leader="dot" w:pos="8306"/>
        </w:tabs>
      </w:pPr>
      <w:r>
        <w:rPr>
          <w:bCs/>
          <w:szCs w:val="36"/>
          <w:lang w:val="zh-CN"/>
        </w:rPr>
        <w:fldChar w:fldCharType="begin"/>
      </w:r>
      <w:r>
        <w:rPr>
          <w:bCs/>
          <w:szCs w:val="36"/>
          <w:lang w:val="zh-CN"/>
        </w:rPr>
        <w:instrText xml:space="preserve"> HYPERLINK \l _Toc20070 </w:instrText>
      </w:r>
      <w:r>
        <w:rPr>
          <w:bCs/>
          <w:szCs w:val="36"/>
          <w:lang w:val="zh-CN"/>
        </w:rPr>
        <w:fldChar w:fldCharType="separate"/>
      </w:r>
      <w:r>
        <w:rPr>
          <w:rFonts w:hint="eastAsia" w:ascii="宋体" w:hAnsi="宋体"/>
          <w:highlight w:val="none"/>
          <w:lang w:val="en-US" w:eastAsia="zh-CN"/>
        </w:rPr>
        <w:t>七、业绩要求</w:t>
      </w:r>
      <w:r>
        <w:tab/>
      </w:r>
      <w:r>
        <w:fldChar w:fldCharType="begin"/>
      </w:r>
      <w:r>
        <w:instrText xml:space="preserve"> PAGEREF _Toc20070 \h </w:instrText>
      </w:r>
      <w:r>
        <w:fldChar w:fldCharType="separate"/>
      </w:r>
      <w:r>
        <w:t>6</w:t>
      </w:r>
      <w:r>
        <w:fldChar w:fldCharType="end"/>
      </w:r>
      <w:r>
        <w:rPr>
          <w:bCs/>
          <w:szCs w:val="36"/>
          <w:lang w:val="zh-CN"/>
        </w:rPr>
        <w:fldChar w:fldCharType="end"/>
      </w:r>
    </w:p>
    <w:p>
      <w:pPr>
        <w:pStyle w:val="9"/>
        <w:tabs>
          <w:tab w:val="right" w:leader="dot" w:pos="8306"/>
        </w:tabs>
      </w:pPr>
      <w:r>
        <w:rPr>
          <w:bCs/>
          <w:szCs w:val="36"/>
          <w:lang w:val="zh-CN"/>
        </w:rPr>
        <w:fldChar w:fldCharType="begin"/>
      </w:r>
      <w:r>
        <w:rPr>
          <w:bCs/>
          <w:szCs w:val="36"/>
          <w:lang w:val="zh-CN"/>
        </w:rPr>
        <w:instrText xml:space="preserve"> HYPERLINK \l _Toc1016 </w:instrText>
      </w:r>
      <w:r>
        <w:rPr>
          <w:bCs/>
          <w:szCs w:val="36"/>
          <w:lang w:val="zh-CN"/>
        </w:rPr>
        <w:fldChar w:fldCharType="separate"/>
      </w:r>
      <w:r>
        <w:rPr>
          <w:rFonts w:hint="eastAsia" w:asciiTheme="minorHAnsi" w:hAnsiTheme="minorHAnsi" w:eastAsiaTheme="minorEastAsia" w:cstheme="minorBidi"/>
          <w:bCs/>
          <w:kern w:val="2"/>
          <w:szCs w:val="30"/>
          <w:lang w:val="en-US" w:eastAsia="zh-CN" w:bidi="ar-SA"/>
        </w:rPr>
        <w:t>第</w:t>
      </w:r>
      <w:r>
        <w:rPr>
          <w:rFonts w:hint="eastAsia" w:asciiTheme="minorHAnsi" w:hAnsiTheme="minorHAnsi" w:cstheme="minorBidi"/>
          <w:bCs/>
          <w:kern w:val="2"/>
          <w:szCs w:val="30"/>
          <w:lang w:val="en-US" w:eastAsia="zh-CN" w:bidi="ar-SA"/>
        </w:rPr>
        <w:t>三</w:t>
      </w:r>
      <w:r>
        <w:rPr>
          <w:rFonts w:hint="eastAsia" w:asciiTheme="minorHAnsi" w:hAnsiTheme="minorHAnsi" w:eastAsiaTheme="minorEastAsia" w:cstheme="minorBidi"/>
          <w:bCs/>
          <w:kern w:val="2"/>
          <w:szCs w:val="30"/>
          <w:lang w:val="en-US" w:eastAsia="zh-CN" w:bidi="ar-SA"/>
        </w:rPr>
        <w:t>部分 报价要求及报价格式</w:t>
      </w:r>
      <w:r>
        <w:tab/>
      </w:r>
      <w:r>
        <w:fldChar w:fldCharType="begin"/>
      </w:r>
      <w:r>
        <w:instrText xml:space="preserve"> PAGEREF _Toc1016 \h </w:instrText>
      </w:r>
      <w:r>
        <w:fldChar w:fldCharType="separate"/>
      </w:r>
      <w:r>
        <w:t>6</w:t>
      </w:r>
      <w:r>
        <w:fldChar w:fldCharType="end"/>
      </w:r>
      <w:r>
        <w:rPr>
          <w:bCs/>
          <w:szCs w:val="36"/>
          <w:lang w:val="zh-CN"/>
        </w:rPr>
        <w:fldChar w:fldCharType="end"/>
      </w:r>
    </w:p>
    <w:p>
      <w:pPr>
        <w:pStyle w:val="10"/>
        <w:tabs>
          <w:tab w:val="right" w:leader="dot" w:pos="8306"/>
        </w:tabs>
      </w:pPr>
      <w:r>
        <w:rPr>
          <w:bCs/>
          <w:szCs w:val="36"/>
          <w:lang w:val="zh-CN"/>
        </w:rPr>
        <w:fldChar w:fldCharType="begin"/>
      </w:r>
      <w:r>
        <w:rPr>
          <w:bCs/>
          <w:szCs w:val="36"/>
          <w:lang w:val="zh-CN"/>
        </w:rPr>
        <w:instrText xml:space="preserve"> HYPERLINK \l _Toc29325 </w:instrText>
      </w:r>
      <w:r>
        <w:rPr>
          <w:bCs/>
          <w:szCs w:val="36"/>
          <w:lang w:val="zh-CN"/>
        </w:rPr>
        <w:fldChar w:fldCharType="separate"/>
      </w:r>
      <w:r>
        <w:rPr>
          <w:rFonts w:hint="eastAsia"/>
          <w:lang w:val="en-US" w:eastAsia="zh-CN"/>
        </w:rPr>
        <w:t>一、</w:t>
      </w:r>
      <w:r>
        <w:rPr>
          <w:rFonts w:hint="eastAsia"/>
        </w:rPr>
        <w:t>报价要求</w:t>
      </w:r>
      <w:r>
        <w:tab/>
      </w:r>
      <w:r>
        <w:fldChar w:fldCharType="begin"/>
      </w:r>
      <w:r>
        <w:instrText xml:space="preserve"> PAGEREF _Toc29325 \h </w:instrText>
      </w:r>
      <w:r>
        <w:fldChar w:fldCharType="separate"/>
      </w:r>
      <w:r>
        <w:t>6</w:t>
      </w:r>
      <w:r>
        <w:fldChar w:fldCharType="end"/>
      </w:r>
      <w:r>
        <w:rPr>
          <w:bCs/>
          <w:szCs w:val="36"/>
          <w:lang w:val="zh-CN"/>
        </w:rPr>
        <w:fldChar w:fldCharType="end"/>
      </w:r>
    </w:p>
    <w:p>
      <w:pPr>
        <w:spacing w:line="360" w:lineRule="auto"/>
        <w:rPr>
          <w:sz w:val="24"/>
          <w:szCs w:val="24"/>
        </w:rPr>
      </w:pPr>
      <w:r>
        <w:rPr>
          <w:bCs/>
          <w:szCs w:val="36"/>
          <w:lang w:val="zh-CN"/>
        </w:rPr>
        <w:fldChar w:fldCharType="end"/>
      </w:r>
    </w:p>
    <w:p>
      <w:pPr>
        <w:widowControl/>
        <w:jc w:val="left"/>
      </w:pPr>
      <w:r>
        <w:br w:type="page"/>
      </w:r>
    </w:p>
    <w:p>
      <w:pPr>
        <w:spacing w:line="360" w:lineRule="auto"/>
        <w:jc w:val="center"/>
        <w:outlineLvl w:val="0"/>
        <w:rPr>
          <w:rFonts w:ascii="宋体" w:hAnsi="宋体" w:cs="宋体"/>
          <w:b/>
          <w:sz w:val="30"/>
          <w:szCs w:val="30"/>
        </w:rPr>
      </w:pPr>
      <w:bookmarkStart w:id="0" w:name="_Toc23166"/>
      <w:bookmarkStart w:id="1" w:name="_Toc19133"/>
      <w:r>
        <w:rPr>
          <w:rFonts w:hint="eastAsia" w:ascii="宋体" w:hAnsi="宋体" w:cs="宋体"/>
          <w:b/>
          <w:sz w:val="30"/>
          <w:szCs w:val="30"/>
        </w:rPr>
        <w:t>第一部分</w:t>
      </w:r>
      <w:r>
        <w:rPr>
          <w:rFonts w:hint="eastAsia" w:ascii="宋体" w:hAnsi="宋体" w:cs="宋体"/>
          <w:b/>
          <w:sz w:val="30"/>
          <w:szCs w:val="30"/>
          <w:lang w:val="en-US" w:eastAsia="zh-CN"/>
        </w:rPr>
        <w:t xml:space="preserve"> </w:t>
      </w:r>
      <w:r>
        <w:rPr>
          <w:rFonts w:hint="eastAsia" w:ascii="宋体" w:hAnsi="宋体" w:cs="宋体"/>
          <w:b/>
          <w:sz w:val="30"/>
          <w:szCs w:val="30"/>
        </w:rPr>
        <w:t>总</w:t>
      </w:r>
      <w:r>
        <w:rPr>
          <w:rFonts w:hint="eastAsia" w:ascii="宋体" w:hAnsi="宋体" w:cs="宋体"/>
          <w:b/>
          <w:sz w:val="30"/>
          <w:szCs w:val="30"/>
          <w:lang w:val="en-US" w:eastAsia="zh-CN"/>
        </w:rPr>
        <w:t>则</w:t>
      </w:r>
      <w:r>
        <w:rPr>
          <w:rFonts w:hint="eastAsia" w:ascii="宋体" w:hAnsi="宋体" w:cs="宋体"/>
          <w:b/>
          <w:sz w:val="30"/>
          <w:szCs w:val="30"/>
        </w:rPr>
        <w:t>部分</w:t>
      </w:r>
      <w:bookmarkEnd w:id="0"/>
      <w:bookmarkEnd w:id="1"/>
    </w:p>
    <w:p>
      <w:pPr>
        <w:pStyle w:val="2"/>
        <w:numPr>
          <w:ilvl w:val="0"/>
          <w:numId w:val="0"/>
        </w:numPr>
        <w:spacing w:line="240" w:lineRule="auto"/>
        <w:ind w:leftChars="-96"/>
      </w:pPr>
      <w:bookmarkStart w:id="2" w:name="_Toc2294"/>
      <w:bookmarkStart w:id="3" w:name="_Toc5514"/>
      <w:bookmarkStart w:id="4" w:name="_Toc372794548"/>
      <w:bookmarkStart w:id="5" w:name="_Toc271499997"/>
      <w:r>
        <w:rPr>
          <w:rFonts w:hint="eastAsia"/>
          <w:lang w:val="en-US" w:eastAsia="zh-CN"/>
        </w:rPr>
        <w:t>一、</w:t>
      </w:r>
      <w:r>
        <w:rPr>
          <w:rFonts w:hint="eastAsia"/>
        </w:rPr>
        <w:t>总则</w:t>
      </w:r>
      <w:bookmarkEnd w:id="2"/>
      <w:bookmarkEnd w:id="3"/>
    </w:p>
    <w:p>
      <w:pPr>
        <w:pStyle w:val="19"/>
        <w:numPr>
          <w:ilvl w:val="0"/>
          <w:numId w:val="2"/>
        </w:numPr>
        <w:tabs>
          <w:tab w:val="left" w:pos="851"/>
        </w:tabs>
        <w:spacing w:beforeLines="0" w:afterLines="0" w:line="360" w:lineRule="auto"/>
        <w:ind w:left="0"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本技术规范书适用于云南电网有限责任公司（以下简称“</w:t>
      </w:r>
      <w:r>
        <w:rPr>
          <w:rFonts w:hint="eastAsia"/>
          <w:color w:val="000000" w:themeColor="text1"/>
          <w:sz w:val="28"/>
          <w:szCs w:val="28"/>
          <w:lang w:eastAsia="zh-CN"/>
          <w14:textFill>
            <w14:solidFill>
              <w14:schemeClr w14:val="tx1"/>
            </w14:solidFill>
          </w14:textFill>
        </w:rPr>
        <w:t>采购方</w:t>
      </w:r>
      <w:r>
        <w:rPr>
          <w:rFonts w:hint="eastAsia"/>
          <w:color w:val="000000" w:themeColor="text1"/>
          <w:sz w:val="28"/>
          <w:szCs w:val="28"/>
          <w14:textFill>
            <w14:solidFill>
              <w14:schemeClr w14:val="tx1"/>
            </w14:solidFill>
          </w14:textFill>
        </w:rPr>
        <w:t>”）的“</w:t>
      </w:r>
      <w:r>
        <w:rPr>
          <w:rFonts w:hint="eastAsia"/>
          <w:color w:val="000000" w:themeColor="text1"/>
          <w:sz w:val="28"/>
          <w:szCs w:val="28"/>
          <w:lang w:val="en-US" w:eastAsia="zh-CN"/>
          <w14:textFill>
            <w14:solidFill>
              <w14:schemeClr w14:val="tx1"/>
            </w14:solidFill>
          </w14:textFill>
        </w:rPr>
        <w:t>云南电力调度控制中心2025年自动化机房接地系统定检及维护（消缺）</w:t>
      </w:r>
      <w:r>
        <w:rPr>
          <w:rFonts w:hint="eastAsia"/>
          <w:color w:val="000000" w:themeColor="text1"/>
          <w:sz w:val="28"/>
          <w:szCs w:val="28"/>
          <w14:textFill>
            <w14:solidFill>
              <w14:schemeClr w14:val="tx1"/>
            </w14:solidFill>
          </w14:textFill>
        </w:rPr>
        <w:t>”项目，提供给相应的技术服务</w:t>
      </w:r>
      <w:r>
        <w:rPr>
          <w:rFonts w:hint="eastAsia"/>
          <w:color w:val="000000" w:themeColor="text1"/>
          <w:sz w:val="28"/>
          <w:szCs w:val="28"/>
          <w:lang w:eastAsia="zh-CN"/>
          <w14:textFill>
            <w14:solidFill>
              <w14:schemeClr w14:val="tx1"/>
            </w14:solidFill>
          </w14:textFill>
        </w:rPr>
        <w:t>谈判方</w:t>
      </w:r>
      <w:r>
        <w:rPr>
          <w:rFonts w:hint="eastAsia"/>
          <w:color w:val="000000" w:themeColor="text1"/>
          <w:sz w:val="28"/>
          <w:szCs w:val="28"/>
          <w14:textFill>
            <w14:solidFill>
              <w14:schemeClr w14:val="tx1"/>
            </w14:solidFill>
          </w14:textFill>
        </w:rPr>
        <w:t>（以下简称“</w:t>
      </w:r>
      <w:r>
        <w:rPr>
          <w:rFonts w:hint="eastAsia"/>
          <w:color w:val="000000" w:themeColor="text1"/>
          <w:sz w:val="28"/>
          <w:szCs w:val="28"/>
          <w:lang w:eastAsia="zh-CN"/>
          <w14:textFill>
            <w14:solidFill>
              <w14:schemeClr w14:val="tx1"/>
            </w14:solidFill>
          </w14:textFill>
        </w:rPr>
        <w:t>谈判方</w:t>
      </w:r>
      <w:r>
        <w:rPr>
          <w:rFonts w:hint="eastAsia"/>
          <w:color w:val="000000" w:themeColor="text1"/>
          <w:sz w:val="28"/>
          <w:szCs w:val="28"/>
          <w14:textFill>
            <w14:solidFill>
              <w14:schemeClr w14:val="tx1"/>
            </w14:solidFill>
          </w14:textFill>
        </w:rPr>
        <w:t>”）作为编写定检技术方案与建议（以下简称“建议书”）和报价之用，本技术规范书的最终解释权归云南</w:t>
      </w:r>
      <w:r>
        <w:rPr>
          <w:rFonts w:hint="eastAsia"/>
          <w:color w:val="000000" w:themeColor="text1"/>
          <w:sz w:val="28"/>
          <w:szCs w:val="28"/>
          <w:lang w:val="en-US" w:eastAsia="zh-CN"/>
          <w14:textFill>
            <w14:solidFill>
              <w14:schemeClr w14:val="tx1"/>
            </w14:solidFill>
          </w14:textFill>
        </w:rPr>
        <w:t>电力调度控制中心</w:t>
      </w:r>
      <w:r>
        <w:rPr>
          <w:rFonts w:hint="eastAsia"/>
          <w:color w:val="000000" w:themeColor="text1"/>
          <w:sz w:val="28"/>
          <w:szCs w:val="28"/>
          <w14:textFill>
            <w14:solidFill>
              <w14:schemeClr w14:val="tx1"/>
            </w14:solidFill>
          </w14:textFill>
        </w:rPr>
        <w:t>。</w:t>
      </w:r>
    </w:p>
    <w:bookmarkEnd w:id="4"/>
    <w:bookmarkEnd w:id="5"/>
    <w:p>
      <w:pPr>
        <w:pStyle w:val="19"/>
        <w:numPr>
          <w:ilvl w:val="0"/>
          <w:numId w:val="2"/>
        </w:numPr>
        <w:tabs>
          <w:tab w:val="left" w:pos="0"/>
          <w:tab w:val="left" w:pos="142"/>
          <w:tab w:val="clear" w:pos="900"/>
        </w:tabs>
        <w:spacing w:beforeLines="0" w:afterLines="0" w:line="360" w:lineRule="auto"/>
        <w:ind w:left="0" w:firstLine="565" w:firstLineChars="202"/>
        <w:rPr>
          <w:rFonts w:hint="eastAsia" w:eastAsia="宋体" w:cs="宋体"/>
          <w:color w:val="000000" w:themeColor="text1"/>
          <w:sz w:val="28"/>
          <w:szCs w:val="28"/>
          <w14:textFill>
            <w14:solidFill>
              <w14:schemeClr w14:val="tx1"/>
            </w14:solidFill>
          </w14:textFill>
        </w:rPr>
      </w:pPr>
      <w:r>
        <w:rPr>
          <w:rFonts w:hint="eastAsia" w:eastAsia="宋体" w:cs="宋体"/>
          <w:color w:val="000000" w:themeColor="text1"/>
          <w:sz w:val="28"/>
          <w:szCs w:val="28"/>
          <w14:textFill>
            <w14:solidFill>
              <w14:schemeClr w14:val="tx1"/>
            </w14:solidFill>
          </w14:textFill>
        </w:rPr>
        <w:t>本技术规范书提出的是最基本的技术要求，并未对所有技术细节作出规定, 也未完全充分引述有关标准和规范的条文。本技术规范书所使用的标准如遇与投标方所执行的标准不一致时, 按较高标准执行。</w:t>
      </w:r>
    </w:p>
    <w:p>
      <w:pPr>
        <w:pStyle w:val="19"/>
        <w:numPr>
          <w:ilvl w:val="0"/>
          <w:numId w:val="2"/>
        </w:numPr>
        <w:tabs>
          <w:tab w:val="left" w:pos="851"/>
        </w:tabs>
        <w:spacing w:beforeLines="0" w:afterLines="0" w:line="360" w:lineRule="auto"/>
        <w:ind w:left="0" w:firstLine="560" w:firstLineChars="200"/>
        <w:rPr>
          <w:color w:val="000000" w:themeColor="text1"/>
          <w:sz w:val="28"/>
          <w:szCs w:val="28"/>
          <w14:textFill>
            <w14:solidFill>
              <w14:schemeClr w14:val="tx1"/>
            </w14:solidFill>
          </w14:textFill>
        </w:rPr>
      </w:pPr>
      <w:r>
        <w:rPr>
          <w:rFonts w:hint="eastAsia" w:eastAsia="宋体" w:cs="宋体"/>
          <w:color w:val="000000" w:themeColor="text1"/>
          <w:sz w:val="28"/>
          <w:szCs w:val="28"/>
          <w14:textFill>
            <w14:solidFill>
              <w14:schemeClr w14:val="tx1"/>
            </w14:solidFill>
          </w14:textFill>
        </w:rPr>
        <w:t>本技术规范书未尽事宜,由</w:t>
      </w:r>
      <w:r>
        <w:rPr>
          <w:rFonts w:hint="eastAsia" w:eastAsia="宋体" w:cs="宋体"/>
          <w:color w:val="000000" w:themeColor="text1"/>
          <w:sz w:val="28"/>
          <w:szCs w:val="28"/>
          <w:lang w:val="en-US" w:eastAsia="zh-CN"/>
          <w14:textFill>
            <w14:solidFill>
              <w14:schemeClr w14:val="tx1"/>
            </w14:solidFill>
          </w14:textFill>
        </w:rPr>
        <w:t>招标</w:t>
      </w:r>
      <w:r>
        <w:rPr>
          <w:rFonts w:hint="eastAsia" w:eastAsia="宋体" w:cs="宋体"/>
          <w:color w:val="000000" w:themeColor="text1"/>
          <w:sz w:val="28"/>
          <w:szCs w:val="28"/>
          <w14:textFill>
            <w14:solidFill>
              <w14:schemeClr w14:val="tx1"/>
            </w14:solidFill>
          </w14:textFill>
        </w:rPr>
        <w:t>、投标双方协商确定。</w:t>
      </w:r>
    </w:p>
    <w:p>
      <w:pPr>
        <w:spacing w:line="360" w:lineRule="auto"/>
        <w:jc w:val="center"/>
        <w:outlineLvl w:val="0"/>
        <w:rPr>
          <w:rFonts w:ascii="宋体" w:hAnsi="宋体" w:cs="宋体"/>
          <w:b/>
          <w:sz w:val="30"/>
          <w:szCs w:val="30"/>
        </w:rPr>
      </w:pPr>
      <w:bookmarkStart w:id="6" w:name="_Toc25836"/>
      <w:bookmarkStart w:id="7" w:name="_Toc28127"/>
      <w:r>
        <w:rPr>
          <w:rFonts w:hint="eastAsia" w:ascii="宋体" w:hAnsi="宋体" w:cs="宋体"/>
          <w:b/>
          <w:sz w:val="30"/>
          <w:szCs w:val="30"/>
        </w:rPr>
        <w:t>第二部分</w:t>
      </w:r>
      <w:r>
        <w:rPr>
          <w:rFonts w:hint="eastAsia" w:ascii="宋体" w:hAnsi="宋体" w:cs="宋体"/>
          <w:b/>
          <w:sz w:val="30"/>
          <w:szCs w:val="30"/>
          <w:lang w:val="en-US" w:eastAsia="zh-CN"/>
        </w:rPr>
        <w:t xml:space="preserve"> </w:t>
      </w:r>
      <w:r>
        <w:rPr>
          <w:rFonts w:hint="eastAsia" w:ascii="宋体" w:hAnsi="宋体" w:cs="宋体"/>
          <w:b/>
          <w:sz w:val="30"/>
          <w:szCs w:val="30"/>
        </w:rPr>
        <w:t>技术规范</w:t>
      </w:r>
      <w:bookmarkEnd w:id="6"/>
      <w:bookmarkEnd w:id="7"/>
    </w:p>
    <w:p>
      <w:pPr>
        <w:pStyle w:val="3"/>
        <w:numPr>
          <w:ilvl w:val="1"/>
          <w:numId w:val="0"/>
        </w:numPr>
        <w:ind w:leftChars="0"/>
        <w:jc w:val="left"/>
        <w:rPr>
          <w:rFonts w:hint="eastAsia" w:ascii="宋体" w:hAnsi="宋体"/>
          <w:highlight w:val="none"/>
          <w:lang w:val="en-US" w:eastAsia="zh-CN"/>
        </w:rPr>
      </w:pPr>
      <w:bookmarkStart w:id="8" w:name="_Toc13721"/>
      <w:bookmarkStart w:id="9" w:name="_Toc18730"/>
      <w:r>
        <w:rPr>
          <w:rFonts w:hint="eastAsia" w:ascii="宋体" w:hAnsi="宋体"/>
          <w:highlight w:val="none"/>
          <w:lang w:val="en-US" w:eastAsia="zh-CN"/>
        </w:rPr>
        <w:t>一、技术服务范围</w:t>
      </w:r>
      <w:bookmarkEnd w:id="8"/>
      <w:bookmarkEnd w:id="9"/>
    </w:p>
    <w:p>
      <w:pPr>
        <w:pStyle w:val="19"/>
        <w:numPr>
          <w:ilvl w:val="0"/>
          <w:numId w:val="0"/>
        </w:numPr>
        <w:tabs>
          <w:tab w:val="left" w:pos="851"/>
        </w:tabs>
        <w:spacing w:beforeLines="0" w:afterLines="0" w:line="360" w:lineRule="auto"/>
        <w:ind w:leftChars="200" w:firstLine="560" w:firstLineChars="200"/>
        <w:rPr>
          <w:rFonts w:hint="eastAsia" w:ascii="Times New Roman" w:hAnsi="Times New Roman" w:eastAsia="宋体" w:cs="Times New Roman"/>
          <w:b w:val="0"/>
          <w:bCs/>
          <w:sz w:val="28"/>
          <w:szCs w:val="28"/>
          <w:u w:val="none"/>
          <w:lang w:val="en-US" w:eastAsia="zh-CN"/>
        </w:rPr>
      </w:pPr>
      <w:r>
        <w:rPr>
          <w:rFonts w:hint="eastAsia"/>
          <w:color w:val="000000"/>
          <w:sz w:val="28"/>
          <w:szCs w:val="28"/>
          <w:u w:val="none"/>
          <w:lang w:val="en-US" w:eastAsia="zh-CN"/>
        </w:rPr>
        <w:t>新楼（滇池生产基地A2栋自动化机房）和老楼（云南电力大厦24楼自动化机房）</w:t>
      </w:r>
      <w:r>
        <w:rPr>
          <w:rFonts w:hint="eastAsia" w:ascii="Times New Roman" w:hAnsi="Times New Roman" w:eastAsia="宋体" w:cs="Times New Roman"/>
          <w:b w:val="0"/>
          <w:bCs/>
          <w:sz w:val="28"/>
          <w:szCs w:val="28"/>
          <w:u w:val="none"/>
          <w:lang w:val="en-US" w:eastAsia="zh-CN"/>
        </w:rPr>
        <w:t>省调自动化专业机房的接地系统实施接地电阻测量和系统定检及维护工作</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1"/>
        <w:rPr>
          <w:rFonts w:hint="eastAsia" w:ascii="宋体" w:hAnsi="宋体"/>
          <w:highlight w:val="none"/>
          <w:lang w:val="en-US" w:eastAsia="zh-CN"/>
        </w:rPr>
      </w:pPr>
      <w:bookmarkStart w:id="10" w:name="_Toc15226"/>
      <w:bookmarkStart w:id="11" w:name="_Toc26998"/>
      <w:r>
        <w:rPr>
          <w:rFonts w:hint="eastAsia" w:ascii="宋体" w:hAnsi="宋体" w:eastAsiaTheme="majorEastAsia" w:cstheme="majorBidi"/>
          <w:b/>
          <w:bCs/>
          <w:kern w:val="2"/>
          <w:sz w:val="32"/>
          <w:szCs w:val="32"/>
          <w:highlight w:val="none"/>
          <w:lang w:val="en-US" w:eastAsia="zh-CN" w:bidi="ar-SA"/>
        </w:rPr>
        <w:t>二、技术服务内容及要求</w:t>
      </w:r>
      <w:bookmarkEnd w:id="10"/>
      <w:bookmarkEnd w:id="11"/>
    </w:p>
    <w:p>
      <w:pPr>
        <w:tabs>
          <w:tab w:val="left" w:pos="0"/>
          <w:tab w:val="left" w:pos="142"/>
        </w:tabs>
        <w:spacing w:line="360" w:lineRule="auto"/>
        <w:ind w:firstLine="560" w:firstLineChars="200"/>
        <w:rPr>
          <w:rFonts w:hint="eastAsia"/>
          <w:color w:val="000000"/>
          <w:sz w:val="28"/>
          <w:szCs w:val="28"/>
          <w:u w:val="none"/>
        </w:rPr>
      </w:pPr>
      <w:r>
        <w:rPr>
          <w:rFonts w:hint="eastAsia"/>
          <w:color w:val="000000"/>
          <w:sz w:val="28"/>
          <w:szCs w:val="28"/>
          <w:u w:val="none"/>
        </w:rPr>
        <w:t>按南方电网信息机房管理规范，信息机房防雷接地系统接地电阻必须＜</w:t>
      </w:r>
      <w:r>
        <w:rPr>
          <w:color w:val="000000"/>
          <w:sz w:val="28"/>
          <w:szCs w:val="28"/>
          <w:u w:val="none"/>
        </w:rPr>
        <w:t>0.5</w:t>
      </w:r>
      <w:r>
        <w:rPr>
          <w:rFonts w:hint="eastAsia"/>
          <w:color w:val="000000"/>
          <w:sz w:val="28"/>
          <w:szCs w:val="28"/>
          <w:u w:val="none"/>
        </w:rPr>
        <w:t>欧姆。</w:t>
      </w:r>
      <w:r>
        <w:rPr>
          <w:rFonts w:hint="eastAsia"/>
          <w:color w:val="000000"/>
          <w:sz w:val="28"/>
          <w:szCs w:val="28"/>
          <w:u w:val="none"/>
          <w:lang w:eastAsia="zh-CN"/>
        </w:rPr>
        <w:t>谈判方</w:t>
      </w:r>
      <w:r>
        <w:rPr>
          <w:rFonts w:hint="eastAsia"/>
          <w:color w:val="000000"/>
          <w:sz w:val="28"/>
          <w:szCs w:val="28"/>
          <w:u w:val="none"/>
        </w:rPr>
        <w:t>在合同期内（一年）对</w:t>
      </w:r>
      <w:r>
        <w:rPr>
          <w:rFonts w:hint="eastAsia"/>
          <w:color w:val="000000"/>
          <w:sz w:val="28"/>
          <w:szCs w:val="28"/>
          <w:u w:val="none"/>
          <w:lang w:val="en-US" w:eastAsia="zh-CN"/>
        </w:rPr>
        <w:t>新楼（滇池生产基地A2栋自动化机房）和老楼（云南电力大厦24楼自动化机房）</w:t>
      </w:r>
      <w:r>
        <w:rPr>
          <w:rFonts w:hint="eastAsia"/>
          <w:color w:val="000000"/>
          <w:sz w:val="28"/>
          <w:szCs w:val="28"/>
          <w:u w:val="none"/>
        </w:rPr>
        <w:t>机房接地系统提供一次接地电阻检测、接地装置安全检查、提交检测报告等服务工作。</w:t>
      </w:r>
    </w:p>
    <w:p>
      <w:pPr>
        <w:tabs>
          <w:tab w:val="left" w:pos="0"/>
          <w:tab w:val="left" w:pos="142"/>
        </w:tabs>
        <w:spacing w:line="360" w:lineRule="auto"/>
        <w:ind w:firstLine="560" w:firstLineChars="200"/>
        <w:rPr>
          <w:rFonts w:ascii="Times New Roman" w:hAnsi="Times New Roman" w:cs="宋体"/>
          <w:color w:val="000000"/>
          <w:sz w:val="28"/>
          <w:szCs w:val="28"/>
        </w:rPr>
      </w:pPr>
      <w:r>
        <w:rPr>
          <w:rFonts w:hint="eastAsia" w:ascii="Times New Roman" w:hAnsi="Times New Roman" w:cs="宋体"/>
          <w:color w:val="000000"/>
          <w:sz w:val="28"/>
          <w:szCs w:val="28"/>
        </w:rPr>
        <w:t>工作内容清单：</w:t>
      </w:r>
    </w:p>
    <w:tbl>
      <w:tblPr>
        <w:tblStyle w:val="11"/>
        <w:tblW w:w="7935" w:type="dxa"/>
        <w:tblInd w:w="25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08"/>
        <w:gridCol w:w="2258"/>
        <w:gridCol w:w="496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6" w:hRule="atLeast"/>
        </w:trPr>
        <w:tc>
          <w:tcPr>
            <w:tcW w:w="708" w:type="dxa"/>
            <w:tcBorders>
              <w:top w:val="single" w:color="auto" w:sz="8" w:space="0"/>
              <w:left w:val="single" w:color="auto" w:sz="8" w:space="0"/>
              <w:bottom w:val="single" w:color="auto" w:sz="8" w:space="0"/>
              <w:right w:val="single" w:color="auto" w:sz="8" w:space="0"/>
            </w:tcBorders>
            <w:vAlign w:val="center"/>
          </w:tcPr>
          <w:p>
            <w:pPr>
              <w:jc w:val="center"/>
              <w:rPr>
                <w:rFonts w:ascii="Dialog" w:hAnsi="Dialog" w:cs="Dialog"/>
                <w:b/>
                <w:bCs/>
              </w:rPr>
            </w:pPr>
            <w:r>
              <w:rPr>
                <w:rFonts w:hint="eastAsia" w:ascii="Dialog" w:hAnsi="Dialog" w:cs="Dialog"/>
                <w:b/>
                <w:bCs/>
              </w:rPr>
              <w:t>序号</w:t>
            </w:r>
          </w:p>
        </w:tc>
        <w:tc>
          <w:tcPr>
            <w:tcW w:w="2258" w:type="dxa"/>
            <w:tcBorders>
              <w:top w:val="single" w:color="auto" w:sz="8" w:space="0"/>
              <w:left w:val="single" w:color="auto" w:sz="8" w:space="0"/>
              <w:bottom w:val="single" w:color="auto" w:sz="8" w:space="0"/>
              <w:right w:val="single" w:color="auto" w:sz="8" w:space="0"/>
            </w:tcBorders>
            <w:vAlign w:val="center"/>
          </w:tcPr>
          <w:p>
            <w:pPr>
              <w:jc w:val="center"/>
              <w:rPr>
                <w:rFonts w:ascii="Dialog" w:hAnsi="Dialog" w:cs="Dialog"/>
                <w:b/>
                <w:bCs/>
              </w:rPr>
            </w:pPr>
            <w:r>
              <w:rPr>
                <w:rFonts w:hint="eastAsia" w:ascii="Dialog" w:hAnsi="Dialog" w:cs="Dialog"/>
                <w:b/>
                <w:bCs/>
              </w:rPr>
              <w:t>名称</w:t>
            </w:r>
          </w:p>
        </w:tc>
        <w:tc>
          <w:tcPr>
            <w:tcW w:w="4969" w:type="dxa"/>
            <w:tcBorders>
              <w:top w:val="single" w:color="auto" w:sz="8" w:space="0"/>
              <w:left w:val="single" w:color="auto" w:sz="8" w:space="0"/>
              <w:bottom w:val="single" w:color="auto" w:sz="8" w:space="0"/>
              <w:right w:val="single" w:color="auto" w:sz="8" w:space="0"/>
            </w:tcBorders>
            <w:vAlign w:val="center"/>
          </w:tcPr>
          <w:p>
            <w:pPr>
              <w:jc w:val="center"/>
              <w:rPr>
                <w:rFonts w:ascii="Dialog" w:hAnsi="Dialog" w:cs="Dialog"/>
                <w:b/>
                <w:bCs/>
              </w:rPr>
            </w:pPr>
            <w:r>
              <w:rPr>
                <w:rFonts w:hint="eastAsia" w:ascii="Dialog" w:hAnsi="Dialog" w:cs="Dialog"/>
                <w:b/>
                <w:bCs/>
              </w:rPr>
              <w:t>检查内容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9" w:hRule="atLeast"/>
        </w:trPr>
        <w:tc>
          <w:tcPr>
            <w:tcW w:w="708" w:type="dxa"/>
            <w:tcBorders>
              <w:top w:val="single" w:color="auto" w:sz="8" w:space="0"/>
              <w:left w:val="single" w:color="auto" w:sz="8" w:space="0"/>
              <w:bottom w:val="single" w:color="auto" w:sz="8" w:space="0"/>
              <w:right w:val="single" w:color="auto" w:sz="8" w:space="0"/>
            </w:tcBorders>
            <w:vAlign w:val="center"/>
          </w:tcPr>
          <w:p>
            <w:pPr>
              <w:jc w:val="center"/>
              <w:rPr>
                <w:rFonts w:ascii="宋体" w:hAnsi="宋体"/>
              </w:rPr>
            </w:pPr>
            <w:r>
              <w:rPr>
                <w:rFonts w:hint="eastAsia" w:ascii="宋体" w:hAnsi="宋体"/>
              </w:rPr>
              <w:t>1</w:t>
            </w:r>
          </w:p>
        </w:tc>
        <w:tc>
          <w:tcPr>
            <w:tcW w:w="2258" w:type="dxa"/>
            <w:tcBorders>
              <w:top w:val="single" w:color="auto" w:sz="8" w:space="0"/>
              <w:left w:val="single" w:color="auto" w:sz="8" w:space="0"/>
              <w:bottom w:val="single" w:color="auto" w:sz="8" w:space="0"/>
              <w:right w:val="single" w:color="auto" w:sz="8" w:space="0"/>
            </w:tcBorders>
            <w:vAlign w:val="center"/>
          </w:tcPr>
          <w:p>
            <w:pPr>
              <w:jc w:val="center"/>
              <w:rPr>
                <w:rFonts w:ascii="宋体" w:hAnsi="宋体"/>
              </w:rPr>
            </w:pPr>
            <w:r>
              <w:rPr>
                <w:rFonts w:hint="eastAsia" w:ascii="宋体" w:hAnsi="宋体"/>
              </w:rPr>
              <w:t>机房系统接地系统检测</w:t>
            </w:r>
          </w:p>
        </w:tc>
        <w:tc>
          <w:tcPr>
            <w:tcW w:w="4969" w:type="dxa"/>
            <w:tcBorders>
              <w:top w:val="single" w:color="auto" w:sz="8" w:space="0"/>
              <w:left w:val="single" w:color="auto" w:sz="8" w:space="0"/>
              <w:bottom w:val="single" w:color="auto" w:sz="8" w:space="0"/>
              <w:right w:val="single" w:color="auto" w:sz="8" w:space="0"/>
            </w:tcBorders>
            <w:vAlign w:val="center"/>
          </w:tcPr>
          <w:p>
            <w:pPr>
              <w:jc w:val="left"/>
              <w:rPr>
                <w:rFonts w:ascii="宋体" w:hAnsi="宋体"/>
              </w:rPr>
            </w:pPr>
            <w:r>
              <w:rPr>
                <w:rFonts w:hint="eastAsia" w:ascii="宋体" w:hAnsi="宋体"/>
                <w:lang w:eastAsia="zh-CN"/>
              </w:rPr>
              <w:t>对</w:t>
            </w:r>
            <w:r>
              <w:rPr>
                <w:rFonts w:hint="eastAsia" w:ascii="宋体" w:hAnsi="宋体"/>
                <w:lang w:val="en-US" w:eastAsia="zh-CN"/>
              </w:rPr>
              <w:t>新楼</w:t>
            </w:r>
            <w:r>
              <w:rPr>
                <w:rFonts w:hint="eastAsia"/>
                <w:color w:val="000000"/>
                <w:sz w:val="28"/>
                <w:szCs w:val="28"/>
                <w:u w:val="none"/>
                <w:lang w:val="en-US" w:eastAsia="zh-CN"/>
              </w:rPr>
              <w:t>（</w:t>
            </w:r>
            <w:r>
              <w:rPr>
                <w:rFonts w:hint="eastAsia" w:ascii="宋体" w:hAnsi="宋体"/>
                <w:lang w:val="en-US" w:eastAsia="zh-CN"/>
              </w:rPr>
              <w:t>滇池生产基地A2栋自动化机房）和老楼（云南电力大厦24楼自动化机房）</w:t>
            </w:r>
            <w:r>
              <w:rPr>
                <w:rFonts w:hint="eastAsia" w:ascii="宋体" w:hAnsi="宋体"/>
              </w:rPr>
              <w:t>自动化机房防雷接地系统实施接地电阻检测和接地装置检查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4" w:hRule="atLeast"/>
        </w:trPr>
        <w:tc>
          <w:tcPr>
            <w:tcW w:w="708" w:type="dxa"/>
            <w:tcBorders>
              <w:top w:val="single" w:color="auto" w:sz="8" w:space="0"/>
              <w:left w:val="single" w:color="auto" w:sz="8" w:space="0"/>
              <w:bottom w:val="single" w:color="auto" w:sz="8" w:space="0"/>
              <w:right w:val="single" w:color="auto" w:sz="8" w:space="0"/>
            </w:tcBorders>
            <w:vAlign w:val="center"/>
          </w:tcPr>
          <w:p>
            <w:pPr>
              <w:jc w:val="center"/>
              <w:rPr>
                <w:rFonts w:ascii="宋体" w:hAnsi="宋体"/>
              </w:rPr>
            </w:pPr>
            <w:r>
              <w:rPr>
                <w:rFonts w:hint="eastAsia" w:ascii="宋体" w:hAnsi="宋体"/>
              </w:rPr>
              <w:t>2</w:t>
            </w:r>
          </w:p>
        </w:tc>
        <w:tc>
          <w:tcPr>
            <w:tcW w:w="2258" w:type="dxa"/>
            <w:tcBorders>
              <w:top w:val="single" w:color="auto" w:sz="8" w:space="0"/>
              <w:left w:val="single" w:color="auto" w:sz="8" w:space="0"/>
              <w:bottom w:val="single" w:color="auto" w:sz="8" w:space="0"/>
              <w:right w:val="single" w:color="auto" w:sz="8" w:space="0"/>
            </w:tcBorders>
            <w:vAlign w:val="center"/>
          </w:tcPr>
          <w:p>
            <w:pPr>
              <w:jc w:val="center"/>
              <w:rPr>
                <w:rFonts w:ascii="宋体" w:hAnsi="宋体"/>
              </w:rPr>
            </w:pPr>
            <w:r>
              <w:rPr>
                <w:rFonts w:hint="eastAsia" w:ascii="宋体" w:hAnsi="宋体"/>
              </w:rPr>
              <w:t>整改方案</w:t>
            </w:r>
          </w:p>
        </w:tc>
        <w:tc>
          <w:tcPr>
            <w:tcW w:w="4969" w:type="dxa"/>
            <w:tcBorders>
              <w:top w:val="single" w:color="auto" w:sz="8" w:space="0"/>
              <w:left w:val="single" w:color="auto" w:sz="8" w:space="0"/>
              <w:bottom w:val="single" w:color="auto" w:sz="8" w:space="0"/>
              <w:right w:val="single" w:color="auto" w:sz="8" w:space="0"/>
            </w:tcBorders>
            <w:vAlign w:val="center"/>
          </w:tcPr>
          <w:p>
            <w:pPr>
              <w:jc w:val="left"/>
              <w:rPr>
                <w:rFonts w:ascii="宋体" w:hAnsi="宋体"/>
              </w:rPr>
            </w:pPr>
            <w:r>
              <w:rPr>
                <w:rFonts w:hint="eastAsia" w:ascii="宋体" w:hAnsi="宋体"/>
              </w:rPr>
              <w:t>对检测中发现的问题提出整改方案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4" w:hRule="atLeast"/>
        </w:trPr>
        <w:tc>
          <w:tcPr>
            <w:tcW w:w="708" w:type="dxa"/>
            <w:tcBorders>
              <w:top w:val="single" w:color="auto" w:sz="8" w:space="0"/>
              <w:left w:val="single" w:color="auto" w:sz="8" w:space="0"/>
              <w:bottom w:val="single" w:color="auto" w:sz="8" w:space="0"/>
              <w:right w:val="single" w:color="auto" w:sz="8" w:space="0"/>
            </w:tcBorders>
            <w:vAlign w:val="center"/>
          </w:tcPr>
          <w:p>
            <w:pPr>
              <w:jc w:val="center"/>
              <w:rPr>
                <w:rFonts w:ascii="宋体" w:hAnsi="宋体"/>
              </w:rPr>
            </w:pPr>
            <w:r>
              <w:rPr>
                <w:rFonts w:hint="eastAsia" w:ascii="宋体" w:hAnsi="宋体"/>
              </w:rPr>
              <w:t>3</w:t>
            </w:r>
          </w:p>
        </w:tc>
        <w:tc>
          <w:tcPr>
            <w:tcW w:w="2258" w:type="dxa"/>
            <w:tcBorders>
              <w:top w:val="single" w:color="auto" w:sz="8" w:space="0"/>
              <w:left w:val="single" w:color="auto" w:sz="8" w:space="0"/>
              <w:bottom w:val="single" w:color="auto" w:sz="8" w:space="0"/>
              <w:right w:val="single" w:color="auto" w:sz="8" w:space="0"/>
            </w:tcBorders>
            <w:vAlign w:val="center"/>
          </w:tcPr>
          <w:p>
            <w:pPr>
              <w:jc w:val="center"/>
              <w:rPr>
                <w:rFonts w:ascii="宋体" w:hAnsi="宋体"/>
              </w:rPr>
            </w:pPr>
            <w:r>
              <w:rPr>
                <w:rFonts w:hint="eastAsia" w:ascii="宋体" w:hAnsi="宋体"/>
              </w:rPr>
              <w:t>资料</w:t>
            </w:r>
          </w:p>
        </w:tc>
        <w:tc>
          <w:tcPr>
            <w:tcW w:w="4969" w:type="dxa"/>
            <w:tcBorders>
              <w:top w:val="single" w:color="auto" w:sz="8" w:space="0"/>
              <w:left w:val="single" w:color="auto" w:sz="8" w:space="0"/>
              <w:bottom w:val="single" w:color="auto" w:sz="8" w:space="0"/>
              <w:right w:val="single" w:color="auto" w:sz="8" w:space="0"/>
            </w:tcBorders>
            <w:vAlign w:val="center"/>
          </w:tcPr>
          <w:p>
            <w:pPr>
              <w:jc w:val="left"/>
              <w:rPr>
                <w:rFonts w:ascii="宋体" w:hAnsi="宋体"/>
              </w:rPr>
            </w:pPr>
            <w:r>
              <w:rPr>
                <w:rFonts w:hint="eastAsia" w:ascii="宋体" w:hAnsi="宋体"/>
              </w:rPr>
              <w:t>提交检测报告</w:t>
            </w:r>
          </w:p>
        </w:tc>
      </w:tr>
    </w:tbl>
    <w:p>
      <w:pPr>
        <w:pStyle w:val="3"/>
        <w:numPr>
          <w:ilvl w:val="0"/>
          <w:numId w:val="3"/>
        </w:numPr>
        <w:jc w:val="left"/>
        <w:rPr>
          <w:rFonts w:hint="eastAsia" w:eastAsia="宋体" w:cs="宋体"/>
          <w:sz w:val="28"/>
          <w:szCs w:val="28"/>
        </w:rPr>
      </w:pPr>
      <w:bookmarkStart w:id="12" w:name="_Toc29699"/>
      <w:bookmarkStart w:id="13" w:name="_Toc4439"/>
      <w:bookmarkStart w:id="14" w:name="_Toc15321"/>
      <w:bookmarkStart w:id="15" w:name="_Toc19940"/>
      <w:r>
        <w:rPr>
          <w:rFonts w:hint="eastAsia" w:ascii="宋体" w:hAnsi="宋体"/>
          <w:highlight w:val="none"/>
          <w:lang w:val="en-US" w:eastAsia="zh-CN"/>
        </w:rPr>
        <w:t>项目实施要求</w:t>
      </w:r>
      <w:bookmarkEnd w:id="12"/>
      <w:bookmarkEnd w:id="13"/>
    </w:p>
    <w:p>
      <w:pPr>
        <w:numPr>
          <w:ilvl w:val="0"/>
          <w:numId w:val="0"/>
        </w:numPr>
        <w:ind w:leftChars="0" w:firstLine="320" w:firstLineChars="100"/>
        <w:jc w:val="left"/>
        <w:outlineLvl w:val="9"/>
        <w:rPr>
          <w:rFonts w:hint="eastAsia" w:eastAsia="宋体" w:cs="宋体"/>
          <w:b w:val="0"/>
          <w:bCs w:val="0"/>
          <w:sz w:val="28"/>
          <w:szCs w:val="28"/>
        </w:rPr>
      </w:pPr>
      <w:r>
        <w:rPr>
          <w:rFonts w:hint="eastAsia" w:asciiTheme="minorEastAsia" w:hAnsiTheme="minorEastAsia" w:eastAsiaTheme="majorEastAsia" w:cstheme="majorBidi"/>
          <w:b w:val="0"/>
          <w:bCs w:val="0"/>
          <w:kern w:val="2"/>
          <w:sz w:val="32"/>
          <w:szCs w:val="32"/>
          <w:lang w:val="en-US" w:eastAsia="zh-CN" w:bidi="ar-SA"/>
        </w:rPr>
        <w:t>1、</w:t>
      </w:r>
      <w:r>
        <w:rPr>
          <w:rFonts w:hint="eastAsia" w:eastAsia="宋体" w:cs="宋体"/>
          <w:b w:val="0"/>
          <w:bCs w:val="0"/>
          <w:sz w:val="28"/>
          <w:szCs w:val="28"/>
        </w:rPr>
        <w:t>项目分包</w:t>
      </w:r>
      <w:r>
        <w:rPr>
          <w:rFonts w:hint="eastAsia" w:eastAsia="宋体" w:cs="宋体"/>
          <w:b w:val="0"/>
          <w:bCs w:val="0"/>
          <w:sz w:val="28"/>
          <w:szCs w:val="28"/>
          <w:lang w:eastAsia="zh-CN"/>
        </w:rPr>
        <w:t>：</w:t>
      </w:r>
      <w:r>
        <w:rPr>
          <w:rFonts w:hint="eastAsia" w:eastAsia="宋体" w:cs="宋体"/>
          <w:b w:val="0"/>
          <w:bCs w:val="0"/>
          <w:sz w:val="28"/>
          <w:szCs w:val="28"/>
        </w:rPr>
        <w:t>本项目不分包</w:t>
      </w:r>
    </w:p>
    <w:p>
      <w:pPr>
        <w:numPr>
          <w:ilvl w:val="1"/>
          <w:numId w:val="0"/>
        </w:numPr>
        <w:spacing w:before="0" w:after="0" w:line="360" w:lineRule="auto"/>
        <w:ind w:firstLine="320" w:firstLineChars="100"/>
        <w:outlineLvl w:val="9"/>
        <w:rPr>
          <w:rFonts w:hint="eastAsia" w:ascii="Times New Roman" w:hAnsi="Times New Roman" w:eastAsia="宋体" w:cs="宋体"/>
          <w:kern w:val="2"/>
          <w:sz w:val="28"/>
          <w:szCs w:val="28"/>
          <w:lang w:val="en-US" w:eastAsia="zh-CN" w:bidi="ar-SA"/>
        </w:rPr>
      </w:pPr>
      <w:r>
        <w:rPr>
          <w:rFonts w:hint="eastAsia" w:asciiTheme="minorEastAsia" w:hAnsiTheme="minorEastAsia" w:eastAsiaTheme="majorEastAsia" w:cstheme="majorBidi"/>
          <w:b w:val="0"/>
          <w:bCs w:val="0"/>
          <w:kern w:val="2"/>
          <w:sz w:val="32"/>
          <w:szCs w:val="32"/>
          <w:lang w:val="en-US" w:eastAsia="zh-CN" w:bidi="ar-SA"/>
        </w:rPr>
        <w:t>2、</w:t>
      </w:r>
      <w:r>
        <w:rPr>
          <w:rFonts w:hint="eastAsia" w:ascii="Times New Roman" w:hAnsi="Times New Roman" w:eastAsia="宋体" w:cs="宋体"/>
          <w:kern w:val="2"/>
          <w:sz w:val="28"/>
          <w:szCs w:val="28"/>
          <w:lang w:val="en-US" w:eastAsia="zh-CN" w:bidi="ar-SA"/>
        </w:rPr>
        <w:t>服务要求</w:t>
      </w:r>
    </w:p>
    <w:p>
      <w:pPr>
        <w:pStyle w:val="19"/>
        <w:tabs>
          <w:tab w:val="left" w:pos="851"/>
        </w:tabs>
        <w:spacing w:beforeLines="0" w:afterLines="0" w:line="360" w:lineRule="auto"/>
        <w:ind w:firstLine="560" w:firstLineChars="200"/>
        <w:rPr>
          <w:sz w:val="28"/>
          <w:szCs w:val="28"/>
        </w:rPr>
      </w:pPr>
      <w:r>
        <w:rPr>
          <w:rFonts w:hint="eastAsia"/>
          <w:sz w:val="28"/>
          <w:szCs w:val="28"/>
        </w:rPr>
        <w:t>依</w:t>
      </w:r>
      <w:r>
        <w:rPr>
          <w:rFonts w:hint="eastAsia" w:ascii="宋体" w:hAnsi="宋体" w:cs="Times New Roman"/>
          <w:kern w:val="0"/>
          <w:sz w:val="28"/>
          <w:szCs w:val="28"/>
          <w:lang w:eastAsia="zh-CN"/>
        </w:rPr>
        <w:t>以上项目标包的谈判方</w:t>
      </w:r>
      <w:r>
        <w:rPr>
          <w:rFonts w:hint="eastAsia" w:ascii="宋体" w:hAnsi="宋体" w:cs="Times New Roman"/>
          <w:kern w:val="0"/>
          <w:sz w:val="28"/>
          <w:szCs w:val="28"/>
        </w:rPr>
        <w:t>应承诺提供</w:t>
      </w:r>
      <w:r>
        <w:rPr>
          <w:rFonts w:hint="eastAsia"/>
          <w:color w:val="000000" w:themeColor="text1"/>
          <w:sz w:val="28"/>
          <w:szCs w:val="28"/>
          <w:lang w:eastAsia="zh-CN"/>
          <w14:textFill>
            <w14:solidFill>
              <w14:schemeClr w14:val="tx1"/>
            </w14:solidFill>
          </w14:textFill>
        </w:rPr>
        <w:t>系统设备定检运维服务</w:t>
      </w:r>
      <w:r>
        <w:rPr>
          <w:rFonts w:hint="eastAsia" w:ascii="宋体" w:hAnsi="宋体" w:cs="Times New Roman"/>
          <w:kern w:val="0"/>
          <w:sz w:val="28"/>
          <w:szCs w:val="28"/>
        </w:rPr>
        <w:t>由</w:t>
      </w:r>
      <w:r>
        <w:rPr>
          <w:rFonts w:hint="eastAsia" w:ascii="宋体" w:hAnsi="宋体" w:cs="Times New Roman"/>
          <w:kern w:val="0"/>
          <w:sz w:val="28"/>
          <w:szCs w:val="28"/>
          <w:lang w:eastAsia="zh-CN"/>
        </w:rPr>
        <w:t>谈判方和设备厂家的</w:t>
      </w:r>
      <w:r>
        <w:rPr>
          <w:rFonts w:hint="eastAsia" w:ascii="宋体" w:hAnsi="宋体" w:cs="Times New Roman"/>
          <w:kern w:val="0"/>
          <w:sz w:val="28"/>
          <w:szCs w:val="28"/>
        </w:rPr>
        <w:t>专业技术人员实施，不得由第三方工作人员代理实施，工作开展前</w:t>
      </w:r>
      <w:r>
        <w:rPr>
          <w:rFonts w:hint="eastAsia" w:ascii="宋体" w:hAnsi="宋体" w:cs="Times New Roman"/>
          <w:kern w:val="0"/>
          <w:sz w:val="28"/>
          <w:szCs w:val="28"/>
          <w:lang w:eastAsia="zh-CN"/>
        </w:rPr>
        <w:t>谈判方</w:t>
      </w:r>
      <w:r>
        <w:rPr>
          <w:rFonts w:hint="eastAsia" w:ascii="宋体" w:hAnsi="宋体" w:cs="Times New Roman"/>
          <w:kern w:val="0"/>
          <w:sz w:val="28"/>
          <w:szCs w:val="28"/>
        </w:rPr>
        <w:t>需提供安全措施、组织措施和技术方案，经买方审批同意后，方可开展相关工作。</w:t>
      </w:r>
    </w:p>
    <w:p>
      <w:pPr>
        <w:numPr>
          <w:ilvl w:val="1"/>
          <w:numId w:val="0"/>
        </w:numPr>
        <w:spacing w:before="0" w:after="0" w:line="360" w:lineRule="auto"/>
        <w:ind w:firstLine="320" w:firstLineChars="100"/>
        <w:outlineLvl w:val="9"/>
        <w:rPr>
          <w:rFonts w:hint="eastAsia" w:ascii="Times New Roman" w:hAnsi="Times New Roman" w:eastAsia="宋体" w:cs="宋体"/>
          <w:kern w:val="2"/>
          <w:sz w:val="28"/>
          <w:szCs w:val="28"/>
          <w:lang w:val="en-US" w:eastAsia="zh-CN" w:bidi="ar-SA"/>
        </w:rPr>
      </w:pPr>
      <w:r>
        <w:rPr>
          <w:rFonts w:hint="eastAsia" w:asciiTheme="minorEastAsia" w:hAnsiTheme="minorEastAsia" w:eastAsiaTheme="majorEastAsia" w:cstheme="majorBidi"/>
          <w:b w:val="0"/>
          <w:bCs w:val="0"/>
          <w:kern w:val="2"/>
          <w:sz w:val="32"/>
          <w:szCs w:val="32"/>
          <w:lang w:val="en-US" w:eastAsia="zh-CN" w:bidi="ar-SA"/>
        </w:rPr>
        <w:t>3、</w:t>
      </w:r>
      <w:r>
        <w:rPr>
          <w:rFonts w:hint="eastAsia" w:ascii="Times New Roman" w:hAnsi="Times New Roman" w:eastAsia="宋体" w:cs="宋体"/>
          <w:kern w:val="2"/>
          <w:sz w:val="28"/>
          <w:szCs w:val="28"/>
          <w:lang w:val="en-US" w:eastAsia="zh-CN" w:bidi="ar-SA"/>
        </w:rPr>
        <w:t>质量保证</w:t>
      </w:r>
    </w:p>
    <w:p>
      <w:pPr>
        <w:pStyle w:val="19"/>
        <w:numPr>
          <w:ilvl w:val="0"/>
          <w:numId w:val="0"/>
        </w:numPr>
        <w:tabs>
          <w:tab w:val="left" w:pos="851"/>
        </w:tabs>
        <w:spacing w:beforeLines="0" w:afterLines="0" w:line="360" w:lineRule="auto"/>
        <w:ind w:leftChars="0" w:firstLine="560" w:firstLineChars="200"/>
        <w:rPr>
          <w:rFonts w:ascii="宋体" w:hAnsi="宋体" w:cs="Times New Roman"/>
          <w:kern w:val="0"/>
          <w:sz w:val="28"/>
          <w:szCs w:val="28"/>
        </w:rPr>
      </w:pPr>
      <w:r>
        <w:rPr>
          <w:rFonts w:hint="eastAsia" w:ascii="宋体" w:hAnsi="宋体"/>
          <w:sz w:val="28"/>
          <w:szCs w:val="28"/>
          <w:lang w:val="en-US" w:eastAsia="zh-CN"/>
        </w:rPr>
        <w:t>自动化专业机房接地系统定检及维护</w:t>
      </w:r>
      <w:r>
        <w:rPr>
          <w:rFonts w:hint="eastAsia" w:ascii="宋体" w:hAnsi="宋体"/>
          <w:sz w:val="28"/>
          <w:szCs w:val="28"/>
          <w:lang w:eastAsia="zh-CN"/>
        </w:rPr>
        <w:t>服务工作</w:t>
      </w:r>
      <w:r>
        <w:rPr>
          <w:rFonts w:hint="eastAsia" w:ascii="宋体" w:hAnsi="宋体"/>
          <w:sz w:val="28"/>
          <w:szCs w:val="28"/>
        </w:rPr>
        <w:t>需专业人员</w:t>
      </w:r>
      <w:r>
        <w:rPr>
          <w:rFonts w:hint="eastAsia" w:ascii="宋体" w:hAnsi="宋体"/>
          <w:sz w:val="28"/>
          <w:szCs w:val="28"/>
          <w:lang w:eastAsia="zh-CN"/>
        </w:rPr>
        <w:t>实施，</w:t>
      </w:r>
      <w:r>
        <w:rPr>
          <w:rFonts w:hint="eastAsia" w:ascii="宋体" w:hAnsi="宋体"/>
          <w:sz w:val="28"/>
          <w:szCs w:val="28"/>
        </w:rPr>
        <w:t>为确保本项目的顺利实施，</w:t>
      </w:r>
      <w:r>
        <w:rPr>
          <w:rFonts w:hint="eastAsia" w:ascii="宋体" w:hAnsi="宋体"/>
          <w:sz w:val="28"/>
          <w:szCs w:val="28"/>
          <w:lang w:eastAsia="zh-CN"/>
        </w:rPr>
        <w:t>谈判方提供相关技术实施方案</w:t>
      </w:r>
      <w:r>
        <w:rPr>
          <w:rFonts w:hint="eastAsia" w:ascii="宋体" w:hAnsi="宋体"/>
          <w:sz w:val="28"/>
          <w:szCs w:val="28"/>
        </w:rPr>
        <w:t>，项目实施技术人员必须</w:t>
      </w:r>
      <w:r>
        <w:rPr>
          <w:rFonts w:hint="eastAsia" w:ascii="宋体" w:hAnsi="宋体"/>
          <w:sz w:val="28"/>
          <w:szCs w:val="28"/>
          <w:lang w:eastAsia="zh-CN"/>
        </w:rPr>
        <w:t>具备防雷接地电阻检测检测专业技术和能力</w:t>
      </w:r>
      <w:r>
        <w:rPr>
          <w:rFonts w:hint="eastAsia" w:ascii="宋体" w:hAnsi="宋体"/>
          <w:sz w:val="28"/>
          <w:szCs w:val="28"/>
          <w:lang w:val="en-US" w:eastAsia="zh-CN"/>
        </w:rPr>
        <w:t>,</w:t>
      </w:r>
      <w:r>
        <w:rPr>
          <w:rFonts w:hint="eastAsia" w:ascii="宋体" w:hAnsi="宋体"/>
          <w:sz w:val="28"/>
          <w:szCs w:val="28"/>
        </w:rPr>
        <w:t>熟悉本项目</w:t>
      </w:r>
      <w:r>
        <w:rPr>
          <w:rFonts w:hint="eastAsia" w:ascii="宋体" w:hAnsi="宋体"/>
          <w:sz w:val="28"/>
          <w:szCs w:val="28"/>
          <w:lang w:eastAsia="zh-CN"/>
        </w:rPr>
        <w:t>相关</w:t>
      </w:r>
      <w:r>
        <w:rPr>
          <w:rFonts w:hint="eastAsia" w:ascii="宋体" w:hAnsi="宋体"/>
          <w:sz w:val="28"/>
          <w:szCs w:val="28"/>
        </w:rPr>
        <w:t>系统</w:t>
      </w:r>
      <w:r>
        <w:rPr>
          <w:rFonts w:hint="eastAsia" w:ascii="宋体" w:hAnsi="宋体"/>
          <w:sz w:val="28"/>
          <w:szCs w:val="28"/>
          <w:lang w:eastAsia="zh-CN"/>
        </w:rPr>
        <w:t>设备</w:t>
      </w:r>
      <w:r>
        <w:rPr>
          <w:rFonts w:hint="eastAsia" w:ascii="宋体" w:hAnsi="宋体"/>
          <w:sz w:val="28"/>
          <w:szCs w:val="28"/>
        </w:rPr>
        <w:t>结构，满足</w:t>
      </w:r>
      <w:r>
        <w:rPr>
          <w:rFonts w:hint="eastAsia" w:ascii="宋体" w:hAnsi="宋体"/>
          <w:sz w:val="28"/>
          <w:szCs w:val="28"/>
          <w:lang w:val="en-US" w:eastAsia="zh-CN"/>
        </w:rPr>
        <w:t>自动化专业机房接地系统</w:t>
      </w:r>
      <w:r>
        <w:rPr>
          <w:rFonts w:hint="eastAsia" w:ascii="宋体" w:hAnsi="宋体" w:cs="Times New Roman"/>
          <w:kern w:val="0"/>
          <w:sz w:val="28"/>
          <w:szCs w:val="28"/>
        </w:rPr>
        <w:t>维保</w:t>
      </w:r>
      <w:r>
        <w:rPr>
          <w:rFonts w:ascii="宋体" w:hAnsi="宋体" w:cs="Times New Roman"/>
          <w:kern w:val="0"/>
          <w:sz w:val="28"/>
          <w:szCs w:val="28"/>
        </w:rPr>
        <w:t>和试验等方面的技术要求。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320" w:firstLineChars="100"/>
        <w:textAlignment w:val="auto"/>
        <w:rPr>
          <w:rFonts w:hint="eastAsia" w:ascii="Times New Roman" w:hAnsi="Times New Roman" w:eastAsia="宋体" w:cs="宋体"/>
          <w:kern w:val="2"/>
          <w:sz w:val="28"/>
          <w:szCs w:val="28"/>
          <w:lang w:val="en-US" w:eastAsia="zh-CN" w:bidi="ar-SA"/>
        </w:rPr>
      </w:pPr>
      <w:r>
        <w:rPr>
          <w:rFonts w:hint="eastAsia" w:asciiTheme="minorEastAsia" w:hAnsiTheme="minorEastAsia" w:eastAsiaTheme="majorEastAsia" w:cstheme="majorBidi"/>
          <w:b w:val="0"/>
          <w:bCs w:val="0"/>
          <w:kern w:val="2"/>
          <w:sz w:val="32"/>
          <w:szCs w:val="32"/>
          <w:lang w:val="en-US" w:eastAsia="zh-CN" w:bidi="ar-SA"/>
        </w:rPr>
        <w:t>4、</w:t>
      </w:r>
      <w:r>
        <w:rPr>
          <w:rFonts w:hint="eastAsia" w:ascii="Times New Roman" w:hAnsi="Times New Roman" w:eastAsia="宋体" w:cs="宋体"/>
          <w:kern w:val="2"/>
          <w:sz w:val="28"/>
          <w:szCs w:val="28"/>
          <w:lang w:val="en-US" w:eastAsia="zh-CN" w:bidi="ar-SA"/>
        </w:rPr>
        <w:t>投标方应按公司相关规定开展工作，服从项目建设单位工作安排。按时上报工作计划、定检维护记录等，提前上报作业计划，作业过程中严格执行“两票三制”、《中国南方电网有限责任公司电力安全工作规程》和《云南电网有限责任公司生产项目承包商管理业务指导书（2019版）》等相关规定和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20" w:firstLineChars="100"/>
        <w:textAlignment w:val="auto"/>
        <w:rPr>
          <w:rFonts w:hint="default" w:asciiTheme="minorEastAsia" w:hAnsiTheme="minorEastAsia" w:eastAsiaTheme="majorEastAsia" w:cstheme="majorBidi"/>
          <w:b w:val="0"/>
          <w:bCs w:val="0"/>
          <w:kern w:val="2"/>
          <w:sz w:val="32"/>
          <w:szCs w:val="32"/>
          <w:lang w:val="en-US" w:eastAsia="zh-CN" w:bidi="ar-SA"/>
        </w:rPr>
      </w:pPr>
      <w:r>
        <w:rPr>
          <w:rFonts w:hint="eastAsia" w:asciiTheme="minorEastAsia" w:hAnsiTheme="minorEastAsia" w:eastAsiaTheme="majorEastAsia" w:cstheme="majorBidi"/>
          <w:b w:val="0"/>
          <w:bCs w:val="0"/>
          <w:kern w:val="2"/>
          <w:sz w:val="32"/>
          <w:szCs w:val="32"/>
          <w:lang w:val="en-US" w:eastAsia="zh-CN" w:bidi="ar-SA"/>
        </w:rPr>
        <w:t>5、</w:t>
      </w:r>
      <w:r>
        <w:rPr>
          <w:rFonts w:hint="eastAsia" w:ascii="Times New Roman" w:hAnsi="Times New Roman" w:eastAsia="宋体" w:cs="宋体"/>
          <w:kern w:val="2"/>
          <w:sz w:val="28"/>
          <w:szCs w:val="28"/>
          <w:lang w:val="en-US" w:eastAsia="zh-CN" w:bidi="ar-SA"/>
        </w:rPr>
        <w:t>按要求对测试的电子文件文档保存汇总，维护期内汇总生成定检报告并交由项目建设单位通信班组检查、存档；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320" w:firstLineChars="100"/>
        <w:textAlignment w:val="auto"/>
        <w:rPr>
          <w:rFonts w:hint="eastAsia" w:ascii="Times New Roman" w:hAnsi="Times New Roman" w:eastAsia="宋体" w:cs="宋体"/>
          <w:kern w:val="2"/>
          <w:sz w:val="28"/>
          <w:szCs w:val="28"/>
          <w:lang w:val="en-US" w:eastAsia="zh-CN" w:bidi="ar-SA"/>
        </w:rPr>
      </w:pPr>
      <w:r>
        <w:rPr>
          <w:rFonts w:hint="eastAsia" w:asciiTheme="minorEastAsia" w:hAnsiTheme="minorEastAsia" w:eastAsiaTheme="majorEastAsia" w:cstheme="majorBidi"/>
          <w:b w:val="0"/>
          <w:bCs w:val="0"/>
          <w:color w:val="auto"/>
          <w:kern w:val="2"/>
          <w:sz w:val="32"/>
          <w:szCs w:val="32"/>
          <w:lang w:val="en-US" w:eastAsia="zh-CN" w:bidi="ar-SA"/>
        </w:rPr>
        <w:t>6、</w:t>
      </w:r>
      <w:r>
        <w:rPr>
          <w:rFonts w:hint="eastAsia" w:ascii="Times New Roman" w:hAnsi="Times New Roman" w:eastAsia="宋体" w:cs="宋体"/>
          <w:kern w:val="2"/>
          <w:sz w:val="28"/>
          <w:szCs w:val="28"/>
          <w:lang w:val="en-US" w:eastAsia="zh-CN" w:bidi="ar-SA"/>
        </w:rPr>
        <w:t>定期向项目建设单位提交所有定检维护报告及测试记录，包括完整的电子版测试文件；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rPr>
          <w:rFonts w:hint="eastAsia" w:eastAsia="宋体" w:cs="宋体" w:asciiTheme="majorHAnsi" w:hAnsiTheme="majorHAnsi"/>
          <w:b w:val="0"/>
          <w:bCs w:val="0"/>
          <w:kern w:val="2"/>
          <w:sz w:val="28"/>
          <w:szCs w:val="28"/>
          <w:lang w:val="en-US" w:eastAsia="zh-CN" w:bidi="ar-SA"/>
        </w:rPr>
      </w:pPr>
      <w:r>
        <w:rPr>
          <w:rFonts w:hint="eastAsia" w:eastAsia="宋体" w:cs="宋体" w:asciiTheme="majorHAnsi" w:hAnsiTheme="majorHAnsi"/>
          <w:b w:val="0"/>
          <w:bCs w:val="0"/>
          <w:kern w:val="2"/>
          <w:sz w:val="28"/>
          <w:szCs w:val="28"/>
          <w:lang w:val="en-US" w:eastAsia="zh-CN" w:bidi="ar-SA"/>
        </w:rPr>
        <w:t>7、向项目建设单位汇报任何异常情况，并配合提出解决方案；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80" w:firstLineChars="100"/>
        <w:textAlignment w:val="auto"/>
        <w:rPr>
          <w:rFonts w:hint="eastAsia" w:eastAsia="宋体" w:cs="宋体" w:asciiTheme="majorHAnsi" w:hAnsiTheme="majorHAnsi"/>
          <w:b w:val="0"/>
          <w:bCs w:val="0"/>
          <w:kern w:val="2"/>
          <w:sz w:val="28"/>
          <w:szCs w:val="28"/>
          <w:lang w:val="en-US" w:eastAsia="zh-CN" w:bidi="ar-SA"/>
        </w:rPr>
      </w:pPr>
      <w:r>
        <w:rPr>
          <w:rFonts w:hint="eastAsia" w:eastAsia="宋体" w:cs="宋体" w:asciiTheme="majorHAnsi" w:hAnsiTheme="majorHAnsi"/>
          <w:b w:val="0"/>
          <w:bCs w:val="0"/>
          <w:kern w:val="2"/>
          <w:sz w:val="28"/>
          <w:szCs w:val="28"/>
          <w:lang w:val="en-US" w:eastAsia="zh-CN" w:bidi="ar-SA"/>
        </w:rPr>
        <w:t>8、工作结束后3个工作日内将测试记录表和相关资料提交项目建设单位；</w:t>
      </w:r>
    </w:p>
    <w:p>
      <w:pPr>
        <w:numPr>
          <w:ilvl w:val="1"/>
          <w:numId w:val="0"/>
        </w:numPr>
        <w:ind w:leftChars="0" w:firstLine="280" w:firstLineChars="100"/>
        <w:jc w:val="left"/>
        <w:outlineLvl w:val="9"/>
        <w:rPr>
          <w:rFonts w:hint="eastAsia" w:eastAsia="宋体" w:cs="宋体" w:asciiTheme="majorHAnsi" w:hAnsiTheme="majorHAnsi"/>
          <w:b w:val="0"/>
          <w:bCs w:val="0"/>
          <w:kern w:val="2"/>
          <w:sz w:val="28"/>
          <w:szCs w:val="28"/>
          <w:lang w:val="en-US" w:eastAsia="zh-CN" w:bidi="ar-SA"/>
        </w:rPr>
      </w:pPr>
      <w:r>
        <w:rPr>
          <w:rFonts w:hint="eastAsia" w:eastAsia="宋体" w:cs="宋体"/>
          <w:b w:val="0"/>
          <w:bCs w:val="0"/>
          <w:kern w:val="2"/>
          <w:sz w:val="28"/>
          <w:szCs w:val="28"/>
          <w:lang w:val="en-US" w:eastAsia="zh-CN" w:bidi="ar-SA"/>
        </w:rPr>
        <w:t>9</w:t>
      </w:r>
      <w:r>
        <w:rPr>
          <w:rFonts w:hint="eastAsia" w:eastAsia="宋体" w:cs="宋体" w:asciiTheme="majorHAnsi" w:hAnsiTheme="majorHAnsi"/>
          <w:b w:val="0"/>
          <w:bCs w:val="0"/>
          <w:kern w:val="2"/>
          <w:sz w:val="28"/>
          <w:szCs w:val="28"/>
          <w:lang w:val="en-US" w:eastAsia="zh-CN" w:bidi="ar-SA"/>
        </w:rPr>
        <w:t>、每次工作结束后，作业人员必须认真清理工作现场；</w:t>
      </w:r>
    </w:p>
    <w:p>
      <w:pPr>
        <w:pStyle w:val="3"/>
        <w:numPr>
          <w:ilvl w:val="1"/>
          <w:numId w:val="0"/>
        </w:numPr>
        <w:ind w:leftChars="0"/>
        <w:jc w:val="left"/>
        <w:rPr>
          <w:rFonts w:hint="eastAsia" w:ascii="宋体" w:hAnsi="宋体"/>
          <w:highlight w:val="none"/>
          <w:lang w:val="en-US" w:eastAsia="zh-CN"/>
        </w:rPr>
      </w:pPr>
      <w:bookmarkStart w:id="16" w:name="_Toc7471"/>
      <w:r>
        <w:rPr>
          <w:rFonts w:hint="eastAsia" w:ascii="宋体" w:hAnsi="宋体"/>
          <w:highlight w:val="none"/>
          <w:lang w:val="en-US" w:eastAsia="zh-CN"/>
        </w:rPr>
        <w:t>四、人员配置及服务能力要求</w:t>
      </w:r>
      <w:bookmarkEnd w:id="14"/>
      <w:bookmarkEnd w:id="15"/>
      <w:bookmarkEnd w:id="16"/>
    </w:p>
    <w:p>
      <w:pPr>
        <w:numPr>
          <w:ilvl w:val="0"/>
          <w:numId w:val="4"/>
        </w:numPr>
        <w:tabs>
          <w:tab w:val="left" w:pos="420"/>
        </w:tabs>
        <w:adjustRightInd w:val="0"/>
        <w:snapToGrid w:val="0"/>
        <w:spacing w:before="156" w:line="360" w:lineRule="auto"/>
        <w:ind w:left="425" w:leftChars="0" w:hanging="425" w:firstLineChars="0"/>
        <w:rPr>
          <w:rFonts w:hint="eastAsia"/>
          <w:color w:val="000000"/>
          <w:sz w:val="28"/>
          <w:szCs w:val="28"/>
          <w:u w:val="none"/>
        </w:rPr>
      </w:pPr>
      <w:r>
        <w:rPr>
          <w:rFonts w:hint="eastAsia"/>
          <w:color w:val="000000"/>
          <w:sz w:val="28"/>
          <w:szCs w:val="28"/>
          <w:u w:val="none"/>
        </w:rPr>
        <w:t>中华人民共和国境内注册合法运作的法人或其他组织，具有独立承担民事责任的能力、独立承担招标项目的能力和独立履行合同的能力。</w:t>
      </w:r>
    </w:p>
    <w:p>
      <w:pPr>
        <w:numPr>
          <w:ilvl w:val="0"/>
          <w:numId w:val="4"/>
        </w:numPr>
        <w:tabs>
          <w:tab w:val="left" w:pos="420"/>
        </w:tabs>
        <w:adjustRightInd w:val="0"/>
        <w:snapToGrid w:val="0"/>
        <w:spacing w:before="156" w:line="360" w:lineRule="auto"/>
        <w:ind w:left="425" w:leftChars="0" w:hanging="425" w:firstLineChars="0"/>
        <w:rPr>
          <w:rFonts w:hint="eastAsia"/>
          <w:color w:val="000000"/>
          <w:sz w:val="28"/>
          <w:szCs w:val="28"/>
          <w:u w:val="none"/>
        </w:rPr>
      </w:pPr>
      <w:r>
        <w:rPr>
          <w:rFonts w:hint="eastAsia"/>
          <w:color w:val="000000"/>
          <w:sz w:val="28"/>
          <w:szCs w:val="28"/>
          <w:u w:val="none"/>
        </w:rPr>
        <w:t>在中国南方电网有限责任公司承包商资信档案中无尚在有效期内的不良记录。</w:t>
      </w:r>
    </w:p>
    <w:p>
      <w:pPr>
        <w:numPr>
          <w:ilvl w:val="0"/>
          <w:numId w:val="4"/>
        </w:numPr>
        <w:tabs>
          <w:tab w:val="left" w:pos="420"/>
        </w:tabs>
        <w:adjustRightInd w:val="0"/>
        <w:snapToGrid w:val="0"/>
        <w:spacing w:before="156" w:line="360" w:lineRule="auto"/>
        <w:ind w:left="425" w:leftChars="0" w:hanging="425" w:firstLineChars="0"/>
        <w:rPr>
          <w:rFonts w:hint="eastAsia"/>
          <w:color w:val="000000"/>
          <w:sz w:val="28"/>
          <w:szCs w:val="28"/>
          <w:u w:val="none"/>
        </w:rPr>
      </w:pPr>
      <w:r>
        <w:rPr>
          <w:rFonts w:hint="eastAsia"/>
          <w:color w:val="000000"/>
          <w:sz w:val="28"/>
          <w:szCs w:val="28"/>
          <w:u w:val="none"/>
        </w:rPr>
        <w:t>具有履行合同所必需的设备和专业技术能力；</w:t>
      </w:r>
    </w:p>
    <w:p>
      <w:pPr>
        <w:numPr>
          <w:ilvl w:val="0"/>
          <w:numId w:val="4"/>
        </w:numPr>
        <w:tabs>
          <w:tab w:val="left" w:pos="420"/>
        </w:tabs>
        <w:adjustRightInd w:val="0"/>
        <w:snapToGrid w:val="0"/>
        <w:spacing w:before="156" w:line="360" w:lineRule="auto"/>
        <w:ind w:left="425" w:leftChars="0" w:hanging="425" w:firstLineChars="0"/>
        <w:rPr>
          <w:rFonts w:hint="eastAsia"/>
          <w:color w:val="000000"/>
          <w:sz w:val="28"/>
          <w:szCs w:val="28"/>
          <w:u w:val="none"/>
        </w:rPr>
      </w:pPr>
      <w:r>
        <w:rPr>
          <w:rFonts w:hint="eastAsia"/>
          <w:color w:val="000000"/>
          <w:sz w:val="28"/>
          <w:szCs w:val="28"/>
          <w:u w:val="none"/>
        </w:rPr>
        <w:t>不接受联合体投标。</w:t>
      </w:r>
    </w:p>
    <w:p>
      <w:pPr>
        <w:numPr>
          <w:ilvl w:val="0"/>
          <w:numId w:val="4"/>
        </w:numPr>
        <w:tabs>
          <w:tab w:val="left" w:pos="420"/>
        </w:tabs>
        <w:adjustRightInd w:val="0"/>
        <w:snapToGrid w:val="0"/>
        <w:spacing w:before="156" w:line="360" w:lineRule="auto"/>
        <w:ind w:left="425" w:leftChars="0" w:hanging="425" w:firstLineChars="0"/>
        <w:rPr>
          <w:rFonts w:hint="eastAsia"/>
          <w:color w:val="000000"/>
          <w:sz w:val="28"/>
          <w:szCs w:val="28"/>
          <w:u w:val="none"/>
          <w:lang w:val="en-US" w:eastAsia="zh-CN"/>
        </w:rPr>
      </w:pPr>
      <w:r>
        <w:rPr>
          <w:rFonts w:hint="eastAsia"/>
          <w:color w:val="000000"/>
          <w:sz w:val="28"/>
          <w:szCs w:val="28"/>
          <w:u w:val="none"/>
          <w:lang w:val="en-US" w:eastAsia="zh-CN"/>
        </w:rPr>
        <w:t>项目实施团队主要工作人员具有电工作业证。</w:t>
      </w:r>
    </w:p>
    <w:p>
      <w:pPr>
        <w:numPr>
          <w:ilvl w:val="0"/>
          <w:numId w:val="4"/>
        </w:numPr>
        <w:tabs>
          <w:tab w:val="left" w:pos="420"/>
        </w:tabs>
        <w:adjustRightInd w:val="0"/>
        <w:snapToGrid w:val="0"/>
        <w:spacing w:before="156" w:line="360" w:lineRule="auto"/>
        <w:ind w:left="425" w:leftChars="0" w:hanging="425" w:firstLineChars="0"/>
        <w:rPr>
          <w:rFonts w:hint="eastAsia"/>
          <w:color w:val="000000"/>
          <w:sz w:val="28"/>
          <w:szCs w:val="28"/>
          <w:u w:val="none"/>
          <w:lang w:val="en-US" w:eastAsia="zh-CN"/>
        </w:rPr>
      </w:pPr>
      <w:r>
        <w:rPr>
          <w:rFonts w:hint="eastAsia"/>
          <w:color w:val="000000"/>
          <w:sz w:val="28"/>
          <w:szCs w:val="28"/>
          <w:u w:val="none"/>
          <w:lang w:val="en-US" w:eastAsia="zh-CN"/>
        </w:rPr>
        <w:t>具有防雷工程专业设计、施工资质证；承装（修、试）电力设施许可证。</w:t>
      </w:r>
    </w:p>
    <w:p>
      <w:pPr>
        <w:numPr>
          <w:ilvl w:val="0"/>
          <w:numId w:val="4"/>
        </w:numPr>
        <w:tabs>
          <w:tab w:val="left" w:pos="420"/>
        </w:tabs>
        <w:adjustRightInd w:val="0"/>
        <w:snapToGrid w:val="0"/>
        <w:spacing w:before="156" w:line="360" w:lineRule="auto"/>
        <w:ind w:left="425" w:leftChars="0" w:hanging="425" w:firstLineChars="0"/>
        <w:rPr>
          <w:rFonts w:hint="eastAsia"/>
          <w:color w:val="000000"/>
          <w:sz w:val="28"/>
          <w:szCs w:val="28"/>
          <w:u w:val="none"/>
          <w:lang w:val="en-US" w:eastAsia="zh-CN"/>
        </w:rPr>
      </w:pPr>
      <w:r>
        <w:rPr>
          <w:rFonts w:hint="eastAsia" w:ascii="宋体" w:hAnsi="宋体" w:eastAsia="宋体" w:cs="Times New Roman"/>
          <w:b w:val="0"/>
          <w:bCs w:val="0"/>
          <w:kern w:val="0"/>
          <w:sz w:val="28"/>
          <w:szCs w:val="28"/>
          <w:lang w:val="en-US" w:eastAsia="zh-CN" w:bidi="ar-SA"/>
        </w:rPr>
        <w:t>服务方式：</w:t>
      </w:r>
      <w:r>
        <w:rPr>
          <w:rFonts w:hint="eastAsia" w:ascii="宋体" w:hAnsi="宋体" w:cs="Times New Roman"/>
          <w:kern w:val="0"/>
          <w:sz w:val="28"/>
          <w:szCs w:val="28"/>
        </w:rPr>
        <w:t>现场服务</w:t>
      </w:r>
      <w:r>
        <w:rPr>
          <w:rFonts w:hint="eastAsia" w:ascii="宋体" w:hAnsi="宋体" w:cs="Times New Roman"/>
          <w:kern w:val="0"/>
          <w:sz w:val="28"/>
          <w:szCs w:val="28"/>
          <w:lang w:eastAsia="zh-CN"/>
        </w:rPr>
        <w:t>。</w:t>
      </w:r>
    </w:p>
    <w:p>
      <w:pPr>
        <w:numPr>
          <w:ilvl w:val="0"/>
          <w:numId w:val="4"/>
        </w:numPr>
        <w:tabs>
          <w:tab w:val="left" w:pos="420"/>
        </w:tabs>
        <w:adjustRightInd w:val="0"/>
        <w:snapToGrid w:val="0"/>
        <w:spacing w:before="156" w:line="360" w:lineRule="auto"/>
        <w:ind w:left="425" w:leftChars="0" w:hanging="425" w:firstLineChars="0"/>
        <w:rPr>
          <w:rFonts w:hint="eastAsia"/>
          <w:color w:val="000000"/>
          <w:sz w:val="28"/>
          <w:szCs w:val="28"/>
          <w:u w:val="none"/>
          <w:lang w:val="en-US" w:eastAsia="zh-CN"/>
        </w:rPr>
      </w:pPr>
      <w:r>
        <w:rPr>
          <w:rFonts w:hint="eastAsia" w:ascii="Times New Roman" w:hAnsi="Times New Roman" w:eastAsia="宋体" w:cs="宋体"/>
          <w:b w:val="0"/>
          <w:bCs w:val="0"/>
          <w:color w:val="000000" w:themeColor="text1"/>
          <w:kern w:val="2"/>
          <w:sz w:val="28"/>
          <w:szCs w:val="28"/>
          <w:lang w:val="en-US" w:eastAsia="zh-CN" w:bidi="ar-SA"/>
          <w14:textFill>
            <w14:solidFill>
              <w14:schemeClr w14:val="tx1"/>
            </w14:solidFill>
          </w14:textFill>
        </w:rPr>
        <w:t>响应时间要求</w:t>
      </w:r>
      <w:r>
        <w:rPr>
          <w:rFonts w:hint="eastAsia" w:eastAsia="宋体" w:cs="宋体"/>
          <w:b w:val="0"/>
          <w:bCs w:val="0"/>
          <w:color w:val="000000" w:themeColor="text1"/>
          <w:kern w:val="2"/>
          <w:sz w:val="28"/>
          <w:szCs w:val="28"/>
          <w:lang w:val="en-US" w:eastAsia="zh-CN" w:bidi="ar-SA"/>
          <w14:textFill>
            <w14:solidFill>
              <w14:schemeClr w14:val="tx1"/>
            </w14:solidFill>
          </w14:textFill>
        </w:rPr>
        <w:t>：</w:t>
      </w:r>
      <w:r>
        <w:rPr>
          <w:rFonts w:hint="eastAsia" w:ascii="宋体" w:hAnsi="宋体" w:cs="Times New Roman"/>
          <w:kern w:val="0"/>
          <w:sz w:val="28"/>
          <w:szCs w:val="28"/>
        </w:rPr>
        <w:t>投标方应在招标方提出定检要求后</w:t>
      </w:r>
      <w:r>
        <w:rPr>
          <w:rFonts w:hint="eastAsia" w:ascii="宋体" w:hAnsi="宋体" w:cs="Times New Roman"/>
          <w:kern w:val="0"/>
          <w:sz w:val="28"/>
          <w:szCs w:val="28"/>
          <w:lang w:val="en-US" w:eastAsia="zh-CN"/>
        </w:rPr>
        <w:t>15</w:t>
      </w:r>
      <w:r>
        <w:rPr>
          <w:rFonts w:hint="eastAsia" w:ascii="宋体" w:hAnsi="宋体" w:cs="Times New Roman"/>
          <w:kern w:val="0"/>
          <w:sz w:val="28"/>
          <w:szCs w:val="28"/>
        </w:rPr>
        <w:t>个工作日内到达现场进行服务，如遇特殊情况需向招标方说明，双方协商后再行确定现场定检时间</w:t>
      </w:r>
      <w:r>
        <w:rPr>
          <w:rFonts w:hint="eastAsia" w:ascii="宋体" w:hAnsi="宋体" w:cs="Times New Roman"/>
          <w:kern w:val="0"/>
          <w:sz w:val="28"/>
          <w:szCs w:val="28"/>
          <w:lang w:eastAsia="zh-CN"/>
        </w:rPr>
        <w:t>。</w:t>
      </w:r>
    </w:p>
    <w:p>
      <w:pPr>
        <w:pStyle w:val="19"/>
        <w:numPr>
          <w:ilvl w:val="0"/>
          <w:numId w:val="0"/>
        </w:numPr>
        <w:tabs>
          <w:tab w:val="left" w:pos="426"/>
        </w:tabs>
        <w:spacing w:beforeLines="0" w:afterLines="0" w:line="360" w:lineRule="auto"/>
        <w:rPr>
          <w:color w:val="000000" w:themeColor="text1"/>
          <w:sz w:val="28"/>
          <w:szCs w:val="28"/>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11、</w:t>
      </w:r>
      <w:r>
        <w:rPr>
          <w:rFonts w:hint="eastAsia"/>
          <w:color w:val="000000" w:themeColor="text1"/>
          <w:sz w:val="28"/>
          <w:szCs w:val="28"/>
          <w14:textFill>
            <w14:solidFill>
              <w14:schemeClr w14:val="tx1"/>
            </w14:solidFill>
          </w14:textFill>
        </w:rPr>
        <w:t>项目合同期：合同签订起一年</w:t>
      </w:r>
      <w:r>
        <w:rPr>
          <w:color w:val="000000" w:themeColor="text1"/>
          <w:sz w:val="28"/>
          <w:szCs w:val="28"/>
          <w14:textFill>
            <w14:solidFill>
              <w14:schemeClr w14:val="tx1"/>
            </w14:solidFill>
          </w14:textFill>
        </w:rPr>
        <w:t xml:space="preserve"> </w:t>
      </w:r>
    </w:p>
    <w:p>
      <w:pPr>
        <w:pStyle w:val="19"/>
        <w:numPr>
          <w:ilvl w:val="0"/>
          <w:numId w:val="0"/>
        </w:numPr>
        <w:tabs>
          <w:tab w:val="left" w:pos="426"/>
        </w:tabs>
        <w:spacing w:beforeLines="0" w:afterLines="0" w:line="360" w:lineRule="auto"/>
        <w:rPr>
          <w:color w:val="000000" w:themeColor="text1"/>
          <w:sz w:val="28"/>
          <w:szCs w:val="28"/>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12、</w:t>
      </w:r>
      <w:r>
        <w:rPr>
          <w:rFonts w:hint="eastAsia"/>
          <w:color w:val="000000" w:themeColor="text1"/>
          <w:sz w:val="28"/>
          <w:szCs w:val="28"/>
          <w14:textFill>
            <w14:solidFill>
              <w14:schemeClr w14:val="tx1"/>
            </w14:solidFill>
          </w14:textFill>
        </w:rPr>
        <w:t>定检内容：</w:t>
      </w:r>
      <w:r>
        <w:rPr>
          <w:rFonts w:hint="eastAsia" w:ascii="宋体" w:hAnsi="宋体" w:cs="Times New Roman" w:eastAsiaTheme="minorEastAsia"/>
          <w:kern w:val="0"/>
          <w:sz w:val="28"/>
          <w:szCs w:val="28"/>
          <w:lang w:val="en-US" w:eastAsia="zh-CN" w:bidi="ar-SA"/>
        </w:rPr>
        <w:t>新楼（滇池生产基地A2栋自动化机房）和老楼（云南电力大厦24楼自动化机房）自动化机房防雷接地系统实施接地电阻检测和接地装置检查。</w:t>
      </w:r>
    </w:p>
    <w:p>
      <w:pPr>
        <w:pStyle w:val="19"/>
        <w:numPr>
          <w:ilvl w:val="0"/>
          <w:numId w:val="0"/>
        </w:numPr>
        <w:spacing w:beforeLines="0" w:afterLines="0" w:line="360" w:lineRule="auto"/>
        <w:rPr>
          <w:color w:val="000000" w:themeColor="text1"/>
          <w:sz w:val="28"/>
          <w:szCs w:val="28"/>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13、</w:t>
      </w:r>
      <w:r>
        <w:rPr>
          <w:rFonts w:hint="eastAsia"/>
          <w:color w:val="000000" w:themeColor="text1"/>
          <w:sz w:val="28"/>
          <w:szCs w:val="28"/>
          <w14:textFill>
            <w14:solidFill>
              <w14:schemeClr w14:val="tx1"/>
            </w14:solidFill>
          </w14:textFill>
        </w:rPr>
        <w:t>合同期内，投标方负责对进行每</w:t>
      </w:r>
      <w:r>
        <w:rPr>
          <w:rFonts w:hint="eastAsia"/>
          <w:color w:val="000000" w:themeColor="text1"/>
          <w:sz w:val="28"/>
          <w:szCs w:val="28"/>
          <w:lang w:eastAsia="zh-CN"/>
          <w14:textFill>
            <w14:solidFill>
              <w14:schemeClr w14:val="tx1"/>
            </w14:solidFill>
          </w14:textFill>
        </w:rPr>
        <w:t>月</w:t>
      </w:r>
      <w:r>
        <w:rPr>
          <w:rFonts w:hint="eastAsia"/>
          <w:color w:val="000000" w:themeColor="text1"/>
          <w:sz w:val="28"/>
          <w:szCs w:val="28"/>
          <w14:textFill>
            <w14:solidFill>
              <w14:schemeClr w14:val="tx1"/>
            </w14:solidFill>
          </w14:textFill>
        </w:rPr>
        <w:t>度定检维护工作，并形成书面定检报告递交招标方存档。</w:t>
      </w:r>
    </w:p>
    <w:p>
      <w:pPr>
        <w:pStyle w:val="19"/>
        <w:numPr>
          <w:ilvl w:val="0"/>
          <w:numId w:val="0"/>
        </w:numPr>
        <w:spacing w:beforeLines="0" w:afterLines="0" w:line="360" w:lineRule="auto"/>
        <w:rPr>
          <w:color w:val="000000" w:themeColor="text1"/>
          <w:sz w:val="28"/>
          <w:szCs w:val="28"/>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14、</w:t>
      </w:r>
      <w:r>
        <w:rPr>
          <w:rFonts w:hint="eastAsia"/>
          <w:color w:val="000000" w:themeColor="text1"/>
          <w:sz w:val="28"/>
          <w:szCs w:val="28"/>
          <w14:textFill>
            <w14:solidFill>
              <w14:schemeClr w14:val="tx1"/>
            </w14:solidFill>
          </w14:textFill>
        </w:rPr>
        <w:t>合同期内，投标方应负责对招标方的消防系统设备在定检维护中发现的问题进行解决，并告知招标方具体技术细节。</w:t>
      </w:r>
    </w:p>
    <w:p>
      <w:pPr>
        <w:pStyle w:val="19"/>
        <w:numPr>
          <w:ilvl w:val="0"/>
          <w:numId w:val="0"/>
        </w:numPr>
        <w:spacing w:beforeLines="0" w:afterLines="0" w:line="360" w:lineRule="auto"/>
        <w:rPr>
          <w:rFonts w:hint="eastAsia"/>
          <w:color w:val="000000" w:themeColor="text1"/>
          <w:sz w:val="28"/>
          <w:szCs w:val="28"/>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15、</w:t>
      </w:r>
      <w:r>
        <w:rPr>
          <w:rFonts w:hint="eastAsia"/>
          <w:color w:val="000000" w:themeColor="text1"/>
          <w:sz w:val="28"/>
          <w:szCs w:val="28"/>
          <w14:textFill>
            <w14:solidFill>
              <w14:schemeClr w14:val="tx1"/>
            </w14:solidFill>
          </w14:textFill>
        </w:rPr>
        <w:t>如果因为投标方技术人员能力不足，导致软件平台长时间瘫痪，投标方应负责由此产生的一切后果，并进行经济赔偿。</w:t>
      </w:r>
    </w:p>
    <w:p>
      <w:pPr>
        <w:pStyle w:val="3"/>
        <w:numPr>
          <w:ilvl w:val="1"/>
          <w:numId w:val="0"/>
        </w:numPr>
        <w:ind w:leftChars="0"/>
        <w:jc w:val="left"/>
        <w:rPr>
          <w:rFonts w:hint="eastAsia" w:ascii="宋体" w:hAnsi="宋体"/>
          <w:highlight w:val="none"/>
          <w:lang w:val="en-US" w:eastAsia="zh-CN"/>
        </w:rPr>
      </w:pPr>
      <w:bookmarkStart w:id="17" w:name="_Toc17801"/>
      <w:r>
        <w:rPr>
          <w:rFonts w:hint="eastAsia" w:ascii="宋体" w:hAnsi="宋体"/>
          <w:highlight w:val="none"/>
          <w:lang w:val="en-US" w:eastAsia="zh-CN"/>
        </w:rPr>
        <w:t>五、工器具配置要求</w:t>
      </w:r>
      <w:bookmarkEnd w:id="17"/>
    </w:p>
    <w:p>
      <w:pPr>
        <w:pStyle w:val="4"/>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投标方必须</w:t>
      </w:r>
      <w:bookmarkStart w:id="22" w:name="_GoBack"/>
      <w:bookmarkEnd w:id="22"/>
      <w:r>
        <w:rPr>
          <w:rFonts w:hint="eastAsia"/>
          <w:color w:val="000000" w:themeColor="text1"/>
          <w:sz w:val="28"/>
          <w:szCs w:val="28"/>
          <w14:textFill>
            <w14:solidFill>
              <w14:schemeClr w14:val="tx1"/>
            </w14:solidFill>
          </w14:textFill>
        </w:rPr>
        <w:t>承诺为运行维护配备必要的具有仪器仪表、工器具，以保证本项目的</w:t>
      </w:r>
      <w:r>
        <w:rPr>
          <w:rFonts w:hint="eastAsia"/>
          <w:color w:val="000000" w:themeColor="text1"/>
          <w:sz w:val="28"/>
          <w:szCs w:val="28"/>
          <w:lang w:val="en-US" w:eastAsia="zh-CN"/>
          <w14:textFill>
            <w14:solidFill>
              <w14:schemeClr w14:val="tx1"/>
            </w14:solidFill>
          </w14:textFill>
        </w:rPr>
        <w:t>接地</w:t>
      </w:r>
      <w:r>
        <w:rPr>
          <w:rFonts w:hint="eastAsia"/>
          <w:color w:val="000000" w:themeColor="text1"/>
          <w:sz w:val="28"/>
          <w:szCs w:val="28"/>
          <w14:textFill>
            <w14:solidFill>
              <w14:schemeClr w14:val="tx1"/>
            </w14:solidFill>
          </w14:textFill>
        </w:rPr>
        <w:t>系统可靠性、稳定性、实时性</w:t>
      </w:r>
      <w:r>
        <w:rPr>
          <w:rFonts w:hint="eastAsia"/>
          <w:color w:val="000000" w:themeColor="text1"/>
          <w:sz w:val="28"/>
          <w:szCs w:val="28"/>
          <w:lang w:eastAsia="zh-CN"/>
          <w14:textFill>
            <w14:solidFill>
              <w14:schemeClr w14:val="tx1"/>
            </w14:solidFill>
          </w14:textFill>
        </w:rPr>
        <w:t>。</w:t>
      </w:r>
    </w:p>
    <w:p>
      <w:pPr>
        <w:pStyle w:val="3"/>
        <w:numPr>
          <w:ilvl w:val="1"/>
          <w:numId w:val="0"/>
        </w:numPr>
        <w:ind w:leftChars="0"/>
        <w:jc w:val="left"/>
        <w:rPr>
          <w:rFonts w:hint="eastAsia"/>
          <w:highlight w:val="none"/>
          <w:lang w:val="en-US" w:eastAsia="zh-CN"/>
        </w:rPr>
      </w:pPr>
      <w:bookmarkStart w:id="18" w:name="_Toc24696"/>
      <w:bookmarkStart w:id="19" w:name="_Toc19525"/>
      <w:r>
        <w:rPr>
          <w:rFonts w:hint="eastAsia" w:ascii="宋体" w:hAnsi="宋体"/>
          <w:highlight w:val="none"/>
          <w:lang w:val="en-US" w:eastAsia="zh-CN"/>
        </w:rPr>
        <w:t>六、组织管理要求</w:t>
      </w:r>
      <w:bookmarkEnd w:id="18"/>
      <w:bookmarkEnd w:id="19"/>
    </w:p>
    <w:p>
      <w:pPr>
        <w:pStyle w:val="4"/>
        <w:rPr>
          <w:rFonts w:hint="eastAsia"/>
          <w:color w:val="000000" w:themeColor="text1"/>
          <w:sz w:val="28"/>
          <w:szCs w:val="28"/>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1、须成立项目管理机构，明确各部门职责，确保项目按期、优质完成。</w:t>
      </w:r>
    </w:p>
    <w:p>
      <w:pPr>
        <w:pStyle w:val="4"/>
        <w:rPr>
          <w:rFonts w:hint="eastAsia"/>
          <w:color w:val="000000" w:themeColor="text1"/>
          <w:sz w:val="28"/>
          <w:szCs w:val="28"/>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2、须建立现场工作安全保障措施，配置</w:t>
      </w:r>
      <w:r>
        <w:rPr>
          <w:rFonts w:hint="eastAsia"/>
          <w:color w:val="000000" w:themeColor="text1"/>
          <w:sz w:val="28"/>
          <w:szCs w:val="28"/>
          <w14:textFill>
            <w14:solidFill>
              <w14:schemeClr w14:val="tx1"/>
            </w14:solidFill>
          </w14:textFill>
        </w:rPr>
        <w:t>安全防护设施、安全用具</w:t>
      </w:r>
      <w:r>
        <w:rPr>
          <w:rFonts w:hint="eastAsia"/>
          <w:color w:val="000000" w:themeColor="text1"/>
          <w:sz w:val="28"/>
          <w:szCs w:val="28"/>
          <w:lang w:val="en-US" w:eastAsia="zh-CN"/>
          <w14:textFill>
            <w14:solidFill>
              <w14:schemeClr w14:val="tx1"/>
            </w14:solidFill>
          </w14:textFill>
        </w:rPr>
        <w:t>及</w:t>
      </w:r>
      <w:r>
        <w:rPr>
          <w:rFonts w:hint="eastAsia"/>
          <w:color w:val="000000" w:themeColor="text1"/>
          <w:sz w:val="28"/>
          <w:szCs w:val="28"/>
          <w14:textFill>
            <w14:solidFill>
              <w14:schemeClr w14:val="tx1"/>
            </w14:solidFill>
          </w14:textFill>
        </w:rPr>
        <w:t>安全管理人员</w:t>
      </w:r>
      <w:r>
        <w:rPr>
          <w:rFonts w:hint="eastAsia"/>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提供</w:t>
      </w:r>
      <w:r>
        <w:rPr>
          <w:rFonts w:hint="eastAsia"/>
          <w:color w:val="000000" w:themeColor="text1"/>
          <w:sz w:val="28"/>
          <w:szCs w:val="28"/>
          <w14:textFill>
            <w14:solidFill>
              <w14:schemeClr w14:val="tx1"/>
            </w14:solidFill>
          </w14:textFill>
        </w:rPr>
        <w:t>近3年安全施工记录</w:t>
      </w:r>
      <w:r>
        <w:rPr>
          <w:rFonts w:hint="eastAsia"/>
          <w:color w:val="000000" w:themeColor="text1"/>
          <w:sz w:val="28"/>
          <w:szCs w:val="28"/>
          <w:lang w:val="en-US" w:eastAsia="zh-CN"/>
          <w14:textFill>
            <w14:solidFill>
              <w14:schemeClr w14:val="tx1"/>
            </w14:solidFill>
          </w14:textFill>
        </w:rPr>
        <w:t>。</w:t>
      </w:r>
    </w:p>
    <w:p>
      <w:pPr>
        <w:pStyle w:val="4"/>
        <w:rPr>
          <w:rFonts w:hint="eastAsia"/>
          <w:color w:val="000000" w:themeColor="text1"/>
          <w:sz w:val="28"/>
          <w:szCs w:val="28"/>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3、建立满足招标人需求及相关规章制度的实施计划，包括但不限于前期准备，施工计划，资料提交等。</w:t>
      </w:r>
    </w:p>
    <w:p>
      <w:pPr>
        <w:pStyle w:val="4"/>
        <w:rPr>
          <w:rFonts w:hint="eastAsia"/>
          <w:color w:val="000000" w:themeColor="text1"/>
          <w:sz w:val="28"/>
          <w:szCs w:val="28"/>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4、建立现场服务质量保障措施、现场服务人员管理考核措施。</w:t>
      </w:r>
    </w:p>
    <w:p>
      <w:pPr>
        <w:pStyle w:val="3"/>
        <w:numPr>
          <w:ilvl w:val="1"/>
          <w:numId w:val="0"/>
        </w:numPr>
        <w:ind w:leftChars="0"/>
        <w:jc w:val="left"/>
        <w:rPr>
          <w:rFonts w:hint="default" w:ascii="宋体" w:hAnsi="宋体"/>
          <w:highlight w:val="none"/>
          <w:lang w:val="en-US" w:eastAsia="zh-CN"/>
        </w:rPr>
      </w:pPr>
      <w:bookmarkStart w:id="20" w:name="_Toc20070"/>
      <w:bookmarkStart w:id="21" w:name="_Toc9893"/>
      <w:r>
        <w:rPr>
          <w:rFonts w:hint="eastAsia" w:ascii="宋体" w:hAnsi="宋体"/>
          <w:highlight w:val="none"/>
          <w:lang w:val="en-US" w:eastAsia="zh-CN"/>
        </w:rPr>
        <w:t>七、业绩要求</w:t>
      </w:r>
      <w:bookmarkEnd w:id="20"/>
      <w:bookmarkEnd w:id="21"/>
    </w:p>
    <w:p>
      <w:pPr>
        <w:numPr>
          <w:ilvl w:val="0"/>
          <w:numId w:val="0"/>
        </w:numPr>
        <w:shd w:val="clear"/>
        <w:spacing w:line="360" w:lineRule="auto"/>
        <w:ind w:left="420" w:leftChars="0" w:firstLine="560" w:firstLineChars="200"/>
        <w:rPr>
          <w:rFonts w:hint="default" w:ascii="宋体" w:hAnsi="宋体"/>
          <w:color w:val="auto"/>
          <w:sz w:val="24"/>
          <w:lang w:val="en-US" w:eastAsia="zh-CN"/>
        </w:rPr>
      </w:pPr>
      <w:r>
        <w:rPr>
          <w:rFonts w:hint="eastAsia" w:ascii="ˎ̥" w:hAnsi="ˎ̥" w:eastAsiaTheme="minorEastAsia" w:cstheme="minorBidi"/>
          <w:color w:val="000000" w:themeColor="text1"/>
          <w:kern w:val="0"/>
          <w:sz w:val="28"/>
          <w:szCs w:val="28"/>
          <w:lang w:val="en-US" w:eastAsia="zh-CN" w:bidi="ar-SA"/>
          <w14:textFill>
            <w14:solidFill>
              <w14:schemeClr w14:val="tx1"/>
            </w14:solidFill>
          </w14:textFill>
        </w:rPr>
        <w:t>具有</w:t>
      </w:r>
      <w:r>
        <w:rPr>
          <w:rFonts w:hint="eastAsia"/>
          <w:color w:val="000000" w:themeColor="text1"/>
          <w:sz w:val="28"/>
          <w:szCs w:val="28"/>
          <w:lang w:val="en-US" w:eastAsia="zh-CN"/>
          <w14:textFill>
            <w14:solidFill>
              <w14:schemeClr w14:val="tx1"/>
            </w14:solidFill>
          </w14:textFill>
        </w:rPr>
        <w:t>接地</w:t>
      </w:r>
      <w:r>
        <w:rPr>
          <w:rFonts w:hint="eastAsia"/>
          <w:color w:val="000000" w:themeColor="text1"/>
          <w:sz w:val="28"/>
          <w:szCs w:val="28"/>
          <w14:textFill>
            <w14:solidFill>
              <w14:schemeClr w14:val="tx1"/>
            </w14:solidFill>
          </w14:textFill>
        </w:rPr>
        <w:t>系统</w:t>
      </w:r>
      <w:r>
        <w:rPr>
          <w:rFonts w:hint="eastAsia" w:ascii="ˎ̥" w:hAnsi="ˎ̥" w:eastAsiaTheme="minorEastAsia" w:cstheme="minorBidi"/>
          <w:color w:val="000000" w:themeColor="text1"/>
          <w:kern w:val="0"/>
          <w:sz w:val="28"/>
          <w:szCs w:val="28"/>
          <w:lang w:val="en-US" w:eastAsia="zh-CN" w:bidi="ar-SA"/>
          <w14:textFill>
            <w14:solidFill>
              <w14:schemeClr w14:val="tx1"/>
            </w14:solidFill>
          </w14:textFill>
        </w:rPr>
        <w:t>定检维护的相关业绩，并在投标文件中详细列出业绩数量，包含项目所在地业绩、省内非项目所在地业绩及省外业绩，并提供相应的合同及服务评价。</w:t>
      </w:r>
    </w:p>
    <w:p>
      <w:pPr>
        <w:pStyle w:val="19"/>
        <w:numPr>
          <w:ilvl w:val="0"/>
          <w:numId w:val="0"/>
        </w:numPr>
        <w:spacing w:beforeLines="0" w:afterLines="0" w:line="360" w:lineRule="auto"/>
        <w:rPr>
          <w:rFonts w:hint="eastAsia"/>
          <w:color w:val="000000" w:themeColor="text1"/>
          <w:sz w:val="28"/>
          <w:szCs w:val="28"/>
          <w14:textFill>
            <w14:solidFill>
              <w14:schemeClr w14:val="tx1"/>
            </w14:solidFill>
          </w14:textFill>
        </w:rPr>
      </w:pPr>
    </w:p>
    <w:p>
      <w:pPr>
        <w:numPr>
          <w:ilvl w:val="0"/>
          <w:numId w:val="0"/>
        </w:numPr>
        <w:tabs>
          <w:tab w:val="left" w:pos="420"/>
        </w:tabs>
        <w:adjustRightInd w:val="0"/>
        <w:snapToGrid w:val="0"/>
        <w:spacing w:before="156" w:line="360" w:lineRule="auto"/>
        <w:ind w:leftChars="0"/>
        <w:rPr>
          <w:rFonts w:hint="eastAsia"/>
          <w:color w:val="000000"/>
          <w:sz w:val="28"/>
          <w:szCs w:val="28"/>
          <w:u w:val="none"/>
          <w:lang w:val="en-US" w:eastAsia="zh-CN"/>
        </w:rPr>
      </w:pPr>
    </w:p>
    <w:p>
      <w:pPr>
        <w:adjustRightInd w:val="0"/>
        <w:snapToGrid w:val="0"/>
        <w:spacing w:line="360" w:lineRule="auto"/>
        <w:ind w:left="3780" w:firstLine="420"/>
        <w:rPr>
          <w:rFonts w:hint="eastAsia"/>
          <w:lang w:eastAsia="zh-CN"/>
        </w:rPr>
      </w:pP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Dialog">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16BBF"/>
    <w:multiLevelType w:val="multilevel"/>
    <w:tmpl w:val="00916BBF"/>
    <w:lvl w:ilvl="0" w:tentative="0">
      <w:start w:val="1"/>
      <w:numFmt w:val="decimal"/>
      <w:pStyle w:val="2"/>
      <w:lvlText w:val="%1"/>
      <w:lvlJc w:val="left"/>
      <w:pPr>
        <w:ind w:left="432" w:hanging="432"/>
      </w:pPr>
      <w:rPr>
        <w:rFonts w:asciiTheme="minorEastAsia" w:hAnsiTheme="minorEastAsia" w:eastAsiaTheme="minorEastAsia"/>
      </w:rPr>
    </w:lvl>
    <w:lvl w:ilvl="1" w:tentative="0">
      <w:start w:val="1"/>
      <w:numFmt w:val="decimal"/>
      <w:pStyle w:val="3"/>
      <w:lvlText w:val="%1.%2"/>
      <w:lvlJc w:val="left"/>
      <w:pPr>
        <w:ind w:left="576" w:hanging="576"/>
      </w:pPr>
      <w:rPr>
        <w:rFonts w:asciiTheme="minorEastAsia" w:hAnsiTheme="minorEastAsia" w:eastAsiaTheme="minorEastAsia"/>
        <w:sz w:val="36"/>
        <w:szCs w:val="36"/>
      </w:rPr>
    </w:lvl>
    <w:lvl w:ilvl="2" w:tentative="0">
      <w:start w:val="1"/>
      <w:numFmt w:val="decimal"/>
      <w:lvlText w:val="%1.%2.%3"/>
      <w:lvlJc w:val="left"/>
      <w:pPr>
        <w:ind w:left="720" w:hanging="720"/>
      </w:pPr>
    </w:lvl>
    <w:lvl w:ilvl="3" w:tentative="0">
      <w:start w:val="1"/>
      <w:numFmt w:val="decimal"/>
      <w:lvlText w:val="%1.%2.%3.%4"/>
      <w:lvlJc w:val="left"/>
      <w:pPr>
        <w:ind w:left="864" w:hanging="864"/>
      </w:pPr>
      <w:rPr>
        <w:b/>
        <w:sz w:val="28"/>
        <w:szCs w:val="28"/>
      </w:r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02BC6EBF"/>
    <w:multiLevelType w:val="singleLevel"/>
    <w:tmpl w:val="02BC6EBF"/>
    <w:lvl w:ilvl="0" w:tentative="0">
      <w:start w:val="3"/>
      <w:numFmt w:val="chineseCounting"/>
      <w:suff w:val="nothing"/>
      <w:lvlText w:val="%1、"/>
      <w:lvlJc w:val="left"/>
      <w:rPr>
        <w:rFonts w:hint="eastAsia"/>
      </w:rPr>
    </w:lvl>
  </w:abstractNum>
  <w:abstractNum w:abstractNumId="2">
    <w:nsid w:val="087F1E9C"/>
    <w:multiLevelType w:val="multilevel"/>
    <w:tmpl w:val="087F1E9C"/>
    <w:lvl w:ilvl="0" w:tentative="0">
      <w:start w:val="1"/>
      <w:numFmt w:val="decimal"/>
      <w:lvlText w:val="%1."/>
      <w:lvlJc w:val="left"/>
      <w:pPr>
        <w:tabs>
          <w:tab w:val="left" w:pos="900"/>
        </w:tabs>
        <w:ind w:left="900" w:hanging="420"/>
      </w:pPr>
    </w:lvl>
    <w:lvl w:ilvl="1" w:tentative="0">
      <w:start w:val="1"/>
      <w:numFmt w:val="decimal"/>
      <w:lvlText w:val="%2）"/>
      <w:lvlJc w:val="left"/>
      <w:pPr>
        <w:ind w:left="1260" w:hanging="360"/>
      </w:pPr>
      <w:rPr>
        <w:rFonts w:hint="default"/>
      </w:r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
    <w:nsid w:val="5AD5BB0B"/>
    <w:multiLevelType w:val="singleLevel"/>
    <w:tmpl w:val="5AD5BB0B"/>
    <w:lvl w:ilvl="0" w:tentative="0">
      <w:start w:val="1"/>
      <w:numFmt w:val="decimal"/>
      <w:lvlText w:val="%1."/>
      <w:lvlJc w:val="left"/>
      <w:pPr>
        <w:ind w:left="425" w:leftChars="0" w:hanging="425" w:firstLineChars="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2D4"/>
    <w:rsid w:val="0000610C"/>
    <w:rsid w:val="00014394"/>
    <w:rsid w:val="00014F49"/>
    <w:rsid w:val="00030D43"/>
    <w:rsid w:val="00032EC3"/>
    <w:rsid w:val="00055688"/>
    <w:rsid w:val="000604ED"/>
    <w:rsid w:val="0006630F"/>
    <w:rsid w:val="00082641"/>
    <w:rsid w:val="00084824"/>
    <w:rsid w:val="00085319"/>
    <w:rsid w:val="00094399"/>
    <w:rsid w:val="000A1B5E"/>
    <w:rsid w:val="000A4217"/>
    <w:rsid w:val="000C461A"/>
    <w:rsid w:val="000D06DB"/>
    <w:rsid w:val="000F1A77"/>
    <w:rsid w:val="00100A8B"/>
    <w:rsid w:val="00113D0C"/>
    <w:rsid w:val="00121340"/>
    <w:rsid w:val="001221D7"/>
    <w:rsid w:val="00123C53"/>
    <w:rsid w:val="0012536C"/>
    <w:rsid w:val="001331B8"/>
    <w:rsid w:val="00140ED2"/>
    <w:rsid w:val="001526C5"/>
    <w:rsid w:val="00163506"/>
    <w:rsid w:val="00183A49"/>
    <w:rsid w:val="001A524F"/>
    <w:rsid w:val="001B4554"/>
    <w:rsid w:val="001B5610"/>
    <w:rsid w:val="001D0BE3"/>
    <w:rsid w:val="001D7161"/>
    <w:rsid w:val="001E0828"/>
    <w:rsid w:val="001F0C6F"/>
    <w:rsid w:val="00227799"/>
    <w:rsid w:val="002410D1"/>
    <w:rsid w:val="0027312F"/>
    <w:rsid w:val="00273F44"/>
    <w:rsid w:val="00275B36"/>
    <w:rsid w:val="0028241A"/>
    <w:rsid w:val="0029398C"/>
    <w:rsid w:val="002B21D4"/>
    <w:rsid w:val="002F0517"/>
    <w:rsid w:val="003012EE"/>
    <w:rsid w:val="0031314D"/>
    <w:rsid w:val="0031502B"/>
    <w:rsid w:val="00317828"/>
    <w:rsid w:val="00332B0E"/>
    <w:rsid w:val="003375C0"/>
    <w:rsid w:val="0034303B"/>
    <w:rsid w:val="00347F16"/>
    <w:rsid w:val="0035642E"/>
    <w:rsid w:val="00377F09"/>
    <w:rsid w:val="003840AF"/>
    <w:rsid w:val="00390473"/>
    <w:rsid w:val="003A03F6"/>
    <w:rsid w:val="003A392B"/>
    <w:rsid w:val="003C2397"/>
    <w:rsid w:val="003D3C42"/>
    <w:rsid w:val="004110E6"/>
    <w:rsid w:val="00411FF9"/>
    <w:rsid w:val="00451046"/>
    <w:rsid w:val="0046504F"/>
    <w:rsid w:val="0046632D"/>
    <w:rsid w:val="004704B7"/>
    <w:rsid w:val="00482D85"/>
    <w:rsid w:val="00486A2C"/>
    <w:rsid w:val="00490506"/>
    <w:rsid w:val="00492B1B"/>
    <w:rsid w:val="004A15B1"/>
    <w:rsid w:val="004B7EA6"/>
    <w:rsid w:val="004F3974"/>
    <w:rsid w:val="004F4C09"/>
    <w:rsid w:val="00507D7C"/>
    <w:rsid w:val="00510E9A"/>
    <w:rsid w:val="005201CD"/>
    <w:rsid w:val="00524769"/>
    <w:rsid w:val="00530C41"/>
    <w:rsid w:val="00544F8A"/>
    <w:rsid w:val="005468FE"/>
    <w:rsid w:val="00550B4B"/>
    <w:rsid w:val="00563951"/>
    <w:rsid w:val="00575250"/>
    <w:rsid w:val="00577338"/>
    <w:rsid w:val="005830D3"/>
    <w:rsid w:val="005830F0"/>
    <w:rsid w:val="005A1496"/>
    <w:rsid w:val="005A2C23"/>
    <w:rsid w:val="005A64D5"/>
    <w:rsid w:val="005B01F6"/>
    <w:rsid w:val="005B4B00"/>
    <w:rsid w:val="005C06F0"/>
    <w:rsid w:val="005D369A"/>
    <w:rsid w:val="005D59E4"/>
    <w:rsid w:val="005D69E8"/>
    <w:rsid w:val="005E254E"/>
    <w:rsid w:val="005E5522"/>
    <w:rsid w:val="005F1E37"/>
    <w:rsid w:val="00610348"/>
    <w:rsid w:val="00637C1D"/>
    <w:rsid w:val="00642AFD"/>
    <w:rsid w:val="006669CE"/>
    <w:rsid w:val="00686EFF"/>
    <w:rsid w:val="006964CC"/>
    <w:rsid w:val="006973BE"/>
    <w:rsid w:val="0069746F"/>
    <w:rsid w:val="006A369C"/>
    <w:rsid w:val="006C4F07"/>
    <w:rsid w:val="006E0436"/>
    <w:rsid w:val="006F3B93"/>
    <w:rsid w:val="006F6258"/>
    <w:rsid w:val="00703B19"/>
    <w:rsid w:val="0070538D"/>
    <w:rsid w:val="007062FE"/>
    <w:rsid w:val="00746923"/>
    <w:rsid w:val="00751B3E"/>
    <w:rsid w:val="00755CAA"/>
    <w:rsid w:val="00761D74"/>
    <w:rsid w:val="0078052B"/>
    <w:rsid w:val="00780DB9"/>
    <w:rsid w:val="007843A2"/>
    <w:rsid w:val="00785F47"/>
    <w:rsid w:val="00787209"/>
    <w:rsid w:val="007A4FCD"/>
    <w:rsid w:val="007B5BF3"/>
    <w:rsid w:val="007C1115"/>
    <w:rsid w:val="007E40F4"/>
    <w:rsid w:val="007E6BA9"/>
    <w:rsid w:val="007F3899"/>
    <w:rsid w:val="007F782D"/>
    <w:rsid w:val="00800070"/>
    <w:rsid w:val="00816E53"/>
    <w:rsid w:val="008304D3"/>
    <w:rsid w:val="00835E13"/>
    <w:rsid w:val="00845B61"/>
    <w:rsid w:val="0085091E"/>
    <w:rsid w:val="00856234"/>
    <w:rsid w:val="00864CC5"/>
    <w:rsid w:val="00881635"/>
    <w:rsid w:val="00892667"/>
    <w:rsid w:val="008A1D90"/>
    <w:rsid w:val="008A27E9"/>
    <w:rsid w:val="008A3AE8"/>
    <w:rsid w:val="008B6AF0"/>
    <w:rsid w:val="008D7586"/>
    <w:rsid w:val="008E44B1"/>
    <w:rsid w:val="008F48FB"/>
    <w:rsid w:val="00914463"/>
    <w:rsid w:val="00927033"/>
    <w:rsid w:val="00944C9D"/>
    <w:rsid w:val="00952947"/>
    <w:rsid w:val="00955B91"/>
    <w:rsid w:val="0096134F"/>
    <w:rsid w:val="00962E5D"/>
    <w:rsid w:val="0097255B"/>
    <w:rsid w:val="00976044"/>
    <w:rsid w:val="0098216C"/>
    <w:rsid w:val="00984042"/>
    <w:rsid w:val="00993846"/>
    <w:rsid w:val="009A7946"/>
    <w:rsid w:val="009D047F"/>
    <w:rsid w:val="009D50F5"/>
    <w:rsid w:val="009D551C"/>
    <w:rsid w:val="009D7A65"/>
    <w:rsid w:val="009F0F0D"/>
    <w:rsid w:val="009F1B78"/>
    <w:rsid w:val="00A11F3E"/>
    <w:rsid w:val="00A12A01"/>
    <w:rsid w:val="00A13073"/>
    <w:rsid w:val="00A158E3"/>
    <w:rsid w:val="00A1642D"/>
    <w:rsid w:val="00A367F7"/>
    <w:rsid w:val="00A51E51"/>
    <w:rsid w:val="00A52BD2"/>
    <w:rsid w:val="00A56F5A"/>
    <w:rsid w:val="00A63C04"/>
    <w:rsid w:val="00A64AB4"/>
    <w:rsid w:val="00A70677"/>
    <w:rsid w:val="00A83D88"/>
    <w:rsid w:val="00A92E53"/>
    <w:rsid w:val="00AB467D"/>
    <w:rsid w:val="00AC7AA9"/>
    <w:rsid w:val="00AD114E"/>
    <w:rsid w:val="00AD3E12"/>
    <w:rsid w:val="00AD70B5"/>
    <w:rsid w:val="00AD7621"/>
    <w:rsid w:val="00AF2A3A"/>
    <w:rsid w:val="00B06ABE"/>
    <w:rsid w:val="00B11B88"/>
    <w:rsid w:val="00B15DFD"/>
    <w:rsid w:val="00B16392"/>
    <w:rsid w:val="00B341BA"/>
    <w:rsid w:val="00B645E2"/>
    <w:rsid w:val="00B82BB5"/>
    <w:rsid w:val="00B87BE0"/>
    <w:rsid w:val="00B87BE1"/>
    <w:rsid w:val="00B93F02"/>
    <w:rsid w:val="00BA4A9A"/>
    <w:rsid w:val="00BA6C4D"/>
    <w:rsid w:val="00BC2AF2"/>
    <w:rsid w:val="00BF0BA8"/>
    <w:rsid w:val="00BF34D2"/>
    <w:rsid w:val="00BF67F2"/>
    <w:rsid w:val="00C005AA"/>
    <w:rsid w:val="00C03FE8"/>
    <w:rsid w:val="00C114F6"/>
    <w:rsid w:val="00C206A7"/>
    <w:rsid w:val="00C26C24"/>
    <w:rsid w:val="00C27BD1"/>
    <w:rsid w:val="00C420DE"/>
    <w:rsid w:val="00C559B9"/>
    <w:rsid w:val="00C644A9"/>
    <w:rsid w:val="00C8668A"/>
    <w:rsid w:val="00CA395E"/>
    <w:rsid w:val="00CA4119"/>
    <w:rsid w:val="00CA6681"/>
    <w:rsid w:val="00CC78CC"/>
    <w:rsid w:val="00CE07E9"/>
    <w:rsid w:val="00CF0CF9"/>
    <w:rsid w:val="00CF3AA0"/>
    <w:rsid w:val="00D03D39"/>
    <w:rsid w:val="00D1368C"/>
    <w:rsid w:val="00D17FE9"/>
    <w:rsid w:val="00D23818"/>
    <w:rsid w:val="00D3144E"/>
    <w:rsid w:val="00D32150"/>
    <w:rsid w:val="00D347A5"/>
    <w:rsid w:val="00D53709"/>
    <w:rsid w:val="00D5568A"/>
    <w:rsid w:val="00D57421"/>
    <w:rsid w:val="00D62758"/>
    <w:rsid w:val="00D72123"/>
    <w:rsid w:val="00D85A7F"/>
    <w:rsid w:val="00D977BE"/>
    <w:rsid w:val="00DA10F9"/>
    <w:rsid w:val="00DA2029"/>
    <w:rsid w:val="00DB1E70"/>
    <w:rsid w:val="00DD292B"/>
    <w:rsid w:val="00DD7072"/>
    <w:rsid w:val="00DF5FBE"/>
    <w:rsid w:val="00E10E1F"/>
    <w:rsid w:val="00E21054"/>
    <w:rsid w:val="00E229CF"/>
    <w:rsid w:val="00E23158"/>
    <w:rsid w:val="00E238E8"/>
    <w:rsid w:val="00E264FA"/>
    <w:rsid w:val="00E367EC"/>
    <w:rsid w:val="00E550DB"/>
    <w:rsid w:val="00E63A57"/>
    <w:rsid w:val="00E844B9"/>
    <w:rsid w:val="00E86B0F"/>
    <w:rsid w:val="00E97793"/>
    <w:rsid w:val="00EA470F"/>
    <w:rsid w:val="00EB06CC"/>
    <w:rsid w:val="00EB23B8"/>
    <w:rsid w:val="00EB28AF"/>
    <w:rsid w:val="00EB4CA0"/>
    <w:rsid w:val="00EB696C"/>
    <w:rsid w:val="00ED0BAF"/>
    <w:rsid w:val="00ED5476"/>
    <w:rsid w:val="00ED6060"/>
    <w:rsid w:val="00F162D2"/>
    <w:rsid w:val="00F16536"/>
    <w:rsid w:val="00F16EB8"/>
    <w:rsid w:val="00F20C51"/>
    <w:rsid w:val="00F21D8B"/>
    <w:rsid w:val="00F34DD7"/>
    <w:rsid w:val="00F44EBF"/>
    <w:rsid w:val="00F44F8B"/>
    <w:rsid w:val="00F452D4"/>
    <w:rsid w:val="00F473F8"/>
    <w:rsid w:val="00F534FD"/>
    <w:rsid w:val="00F61FC4"/>
    <w:rsid w:val="00FC71EE"/>
    <w:rsid w:val="00FC7F92"/>
    <w:rsid w:val="00FD5AF1"/>
    <w:rsid w:val="00FD61FE"/>
    <w:rsid w:val="00FE2230"/>
    <w:rsid w:val="00FF387C"/>
    <w:rsid w:val="00FF7F74"/>
    <w:rsid w:val="00FF7FEA"/>
    <w:rsid w:val="02BC4FEC"/>
    <w:rsid w:val="04C16015"/>
    <w:rsid w:val="04FF2743"/>
    <w:rsid w:val="05706BD0"/>
    <w:rsid w:val="075F741A"/>
    <w:rsid w:val="0836570F"/>
    <w:rsid w:val="09FC5A77"/>
    <w:rsid w:val="0B0A57D3"/>
    <w:rsid w:val="0B246634"/>
    <w:rsid w:val="0BB13187"/>
    <w:rsid w:val="0C9003FD"/>
    <w:rsid w:val="0E120B06"/>
    <w:rsid w:val="12A719F4"/>
    <w:rsid w:val="12E30371"/>
    <w:rsid w:val="13097574"/>
    <w:rsid w:val="13A13B78"/>
    <w:rsid w:val="15275B41"/>
    <w:rsid w:val="165C1B5F"/>
    <w:rsid w:val="189D32DC"/>
    <w:rsid w:val="195C0ACD"/>
    <w:rsid w:val="1C606804"/>
    <w:rsid w:val="1E76393D"/>
    <w:rsid w:val="21B87E73"/>
    <w:rsid w:val="243867C3"/>
    <w:rsid w:val="253309E2"/>
    <w:rsid w:val="25C8000D"/>
    <w:rsid w:val="26713548"/>
    <w:rsid w:val="26FA60B3"/>
    <w:rsid w:val="27643578"/>
    <w:rsid w:val="279343CD"/>
    <w:rsid w:val="27C3227F"/>
    <w:rsid w:val="27D90E12"/>
    <w:rsid w:val="2A9245C8"/>
    <w:rsid w:val="2C006467"/>
    <w:rsid w:val="2CE558F1"/>
    <w:rsid w:val="2EC92D20"/>
    <w:rsid w:val="2F3A4CA6"/>
    <w:rsid w:val="318B346C"/>
    <w:rsid w:val="329B531D"/>
    <w:rsid w:val="34052BEE"/>
    <w:rsid w:val="340C5A6A"/>
    <w:rsid w:val="34914652"/>
    <w:rsid w:val="360F4F55"/>
    <w:rsid w:val="396247CD"/>
    <w:rsid w:val="399870C9"/>
    <w:rsid w:val="3A342A94"/>
    <w:rsid w:val="3CCA616B"/>
    <w:rsid w:val="3E2C1CE8"/>
    <w:rsid w:val="3F9C74D1"/>
    <w:rsid w:val="401857CD"/>
    <w:rsid w:val="447120EB"/>
    <w:rsid w:val="44B14AAB"/>
    <w:rsid w:val="44B630C8"/>
    <w:rsid w:val="456A5DEA"/>
    <w:rsid w:val="458A3C0A"/>
    <w:rsid w:val="45EA1CF7"/>
    <w:rsid w:val="47C62931"/>
    <w:rsid w:val="48445B01"/>
    <w:rsid w:val="4A302C61"/>
    <w:rsid w:val="4AE11CCA"/>
    <w:rsid w:val="4E077E93"/>
    <w:rsid w:val="4EAD744D"/>
    <w:rsid w:val="4F540A3E"/>
    <w:rsid w:val="50A7742C"/>
    <w:rsid w:val="51752600"/>
    <w:rsid w:val="51CB7F26"/>
    <w:rsid w:val="52A33952"/>
    <w:rsid w:val="52CA0F57"/>
    <w:rsid w:val="538B6F8C"/>
    <w:rsid w:val="563875D4"/>
    <w:rsid w:val="5805432E"/>
    <w:rsid w:val="59D451B3"/>
    <w:rsid w:val="5A3F3CA2"/>
    <w:rsid w:val="5C752BD0"/>
    <w:rsid w:val="5D341D96"/>
    <w:rsid w:val="5E221A28"/>
    <w:rsid w:val="5E7719BA"/>
    <w:rsid w:val="5F061D0F"/>
    <w:rsid w:val="5FD1640D"/>
    <w:rsid w:val="60BB7FFE"/>
    <w:rsid w:val="611E304A"/>
    <w:rsid w:val="66BB5D49"/>
    <w:rsid w:val="67C161C5"/>
    <w:rsid w:val="6ED328CB"/>
    <w:rsid w:val="6EF07396"/>
    <w:rsid w:val="754949C0"/>
    <w:rsid w:val="76B872D6"/>
    <w:rsid w:val="774B135D"/>
    <w:rsid w:val="77AF4BE2"/>
    <w:rsid w:val="77BD5DC0"/>
    <w:rsid w:val="78C12D76"/>
    <w:rsid w:val="78F07CCE"/>
    <w:rsid w:val="7F297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4"/>
    <w:link w:val="23"/>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customStyle="1" w:styleId="4">
    <w:name w:val="正文缩进2字符"/>
    <w:basedOn w:val="1"/>
    <w:qFormat/>
    <w:uiPriority w:val="0"/>
    <w:pPr>
      <w:widowControl/>
      <w:spacing w:before="100" w:beforeAutospacing="1" w:after="100" w:afterAutospacing="1" w:line="300" w:lineRule="auto"/>
      <w:ind w:left="357" w:firstLine="420" w:firstLineChars="200"/>
      <w:jc w:val="left"/>
    </w:pPr>
    <w:rPr>
      <w:rFonts w:ascii="ˎ̥" w:hAnsi="ˎ̥"/>
      <w:color w:val="51585D"/>
      <w:kern w:val="0"/>
      <w:sz w:val="20"/>
      <w:szCs w:val="20"/>
    </w:rPr>
  </w:style>
  <w:style w:type="paragraph" w:styleId="5">
    <w:name w:val="Date"/>
    <w:basedOn w:val="1"/>
    <w:next w:val="1"/>
    <w:link w:val="15"/>
    <w:unhideWhenUsed/>
    <w:qFormat/>
    <w:uiPriority w:val="99"/>
    <w:pPr>
      <w:ind w:left="100" w:leftChars="2500"/>
    </w:pPr>
  </w:style>
  <w:style w:type="paragraph" w:styleId="6">
    <w:name w:val="Balloon Text"/>
    <w:basedOn w:val="1"/>
    <w:link w:val="21"/>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toc 2"/>
    <w:basedOn w:val="1"/>
    <w:next w:val="1"/>
    <w:unhideWhenUsed/>
    <w:qFormat/>
    <w:uiPriority w:val="39"/>
    <w:pPr>
      <w:ind w:left="420" w:leftChars="200"/>
    </w:p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Hyperlink"/>
    <w:basedOn w:val="13"/>
    <w:unhideWhenUsed/>
    <w:qFormat/>
    <w:uiPriority w:val="99"/>
    <w:rPr>
      <w:color w:val="0000FF" w:themeColor="hyperlink"/>
      <w:u w:val="single"/>
      <w14:textFill>
        <w14:solidFill>
          <w14:schemeClr w14:val="hlink"/>
        </w14:solidFill>
      </w14:textFill>
    </w:rPr>
  </w:style>
  <w:style w:type="character" w:customStyle="1" w:styleId="15">
    <w:name w:val="日期 Char"/>
    <w:basedOn w:val="13"/>
    <w:link w:val="5"/>
    <w:semiHidden/>
    <w:qFormat/>
    <w:uiPriority w:val="99"/>
  </w:style>
  <w:style w:type="paragraph" w:customStyle="1" w:styleId="16">
    <w:name w:val="列出段落1"/>
    <w:basedOn w:val="1"/>
    <w:qFormat/>
    <w:uiPriority w:val="34"/>
    <w:pPr>
      <w:ind w:firstLine="420" w:firstLineChars="200"/>
    </w:pPr>
  </w:style>
  <w:style w:type="character" w:customStyle="1" w:styleId="17">
    <w:name w:val="页眉 Char"/>
    <w:basedOn w:val="13"/>
    <w:link w:val="8"/>
    <w:qFormat/>
    <w:uiPriority w:val="99"/>
    <w:rPr>
      <w:sz w:val="18"/>
      <w:szCs w:val="18"/>
    </w:rPr>
  </w:style>
  <w:style w:type="character" w:customStyle="1" w:styleId="18">
    <w:name w:val="页脚 Char"/>
    <w:basedOn w:val="13"/>
    <w:link w:val="7"/>
    <w:qFormat/>
    <w:uiPriority w:val="99"/>
    <w:rPr>
      <w:sz w:val="18"/>
      <w:szCs w:val="18"/>
    </w:rPr>
  </w:style>
  <w:style w:type="paragraph" w:customStyle="1" w:styleId="19">
    <w:name w:val="样式 正文首行缩进 + 段前: 0.5 行 段后: 0.5 行"/>
    <w:basedOn w:val="1"/>
    <w:qFormat/>
    <w:uiPriority w:val="0"/>
    <w:pPr>
      <w:spacing w:beforeLines="50" w:afterLines="50" w:line="480" w:lineRule="exact"/>
      <w:ind w:firstLine="420"/>
    </w:pPr>
    <w:rPr>
      <w:rFonts w:ascii="Times New Roman" w:hAnsi="Times New Roman" w:eastAsia="宋体" w:cs="宋体"/>
      <w:sz w:val="24"/>
      <w:szCs w:val="20"/>
    </w:rPr>
  </w:style>
  <w:style w:type="paragraph" w:customStyle="1" w:styleId="20">
    <w:name w:val="TOC 标题1"/>
    <w:basedOn w:val="2"/>
    <w:next w:val="1"/>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1">
    <w:name w:val="批注框文本 Char"/>
    <w:basedOn w:val="13"/>
    <w:link w:val="6"/>
    <w:semiHidden/>
    <w:qFormat/>
    <w:uiPriority w:val="99"/>
    <w:rPr>
      <w:kern w:val="2"/>
      <w:sz w:val="18"/>
      <w:szCs w:val="18"/>
    </w:rPr>
  </w:style>
  <w:style w:type="paragraph" w:customStyle="1" w:styleId="22">
    <w:name w:val="List Paragraph"/>
    <w:basedOn w:val="1"/>
    <w:qFormat/>
    <w:uiPriority w:val="34"/>
    <w:pPr>
      <w:ind w:firstLine="420" w:firstLineChars="200"/>
    </w:pPr>
  </w:style>
  <w:style w:type="character" w:customStyle="1" w:styleId="23">
    <w:name w:val="标题 2 Char"/>
    <w:basedOn w:val="13"/>
    <w:link w:val="3"/>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云南电网</Company>
  <Pages>7</Pages>
  <Words>740</Words>
  <Characters>4222</Characters>
  <Lines>35</Lines>
  <Paragraphs>9</Paragraphs>
  <TotalTime>1</TotalTime>
  <ScaleCrop>false</ScaleCrop>
  <LinksUpToDate>false</LinksUpToDate>
  <CharactersWithSpaces>4953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2017-04-07T02:43:00Z</dcterms:created>
  <dc:creator>崔晨</dc:creator>
  <cp:lastModifiedBy>黄照波</cp:lastModifiedBy>
  <dcterms:modified xsi:type="dcterms:W3CDTF">2025-09-03T06:24:19Z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73A5D764DFE24818BB34FB2465BBB232</vt:lpwstr>
  </property>
</Properties>
</file>