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8"/>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4" w:type="first"/>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68390" cy="120586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）商务技术要求文件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4.95pt;width:485.7pt;mso-position-horizontal-relative:margin;z-index:251662336;mso-width-relative:page;mso-height-relative:page;" filled="f" stroked="f" coordsize="21600,21600" o:gfxdata="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Qh+LWt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）商务技术要求文件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9"/>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sz w:val="36"/>
          <w:szCs w:val="36"/>
          <w:highlight w:val="yellow"/>
          <w:u w:val="single"/>
          <w:lang w:val="zh-CN"/>
        </w:rPr>
      </w:pPr>
      <w:r>
        <w:rPr>
          <w:rFonts w:hint="eastAsia" w:ascii="黑体" w:hAnsi="黑体" w:eastAsia="黑体" w:cs="宋体"/>
          <w:b/>
          <w:color w:val="auto"/>
          <w:sz w:val="36"/>
          <w:szCs w:val="36"/>
          <w:highlight w:val="yellow"/>
          <w:u w:val="single"/>
          <w:lang w:val="zh-CN"/>
        </w:rPr>
        <w:t>超高压输电公司昆明局2025年交流保护改造退运电缆选线仪器开发零星采购项目</w:t>
      </w:r>
    </w:p>
    <w:p>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零星</w:t>
      </w:r>
      <w:r>
        <w:rPr>
          <w:rFonts w:hint="eastAsia" w:ascii="黑体" w:hAnsi="黑体" w:eastAsia="黑体"/>
          <w:b/>
          <w:color w:val="auto"/>
          <w:sz w:val="36"/>
          <w:szCs w:val="36"/>
          <w:highlight w:val="none"/>
        </w:rPr>
        <w:t>采购</w:t>
      </w:r>
      <w:r>
        <w:rPr>
          <w:rFonts w:hint="eastAsia" w:ascii="黑体" w:hAnsi="黑体" w:eastAsia="黑体"/>
          <w:b/>
          <w:color w:val="auto"/>
          <w:sz w:val="36"/>
          <w:szCs w:val="36"/>
          <w:highlight w:val="none"/>
          <w:lang w:eastAsia="zh-CN"/>
        </w:rPr>
        <w:t>文件</w:t>
      </w:r>
    </w:p>
    <w:p>
      <w:pPr>
        <w:adjustRightInd w:val="0"/>
        <w:snapToGrid w:val="0"/>
        <w:spacing w:before="156" w:line="360" w:lineRule="auto"/>
        <w:jc w:val="center"/>
        <w:rPr>
          <w:rFonts w:hint="eastAsia" w:ascii="楷体_GB2312" w:hAnsi="楷体_GB2312" w:eastAsia="楷体_GB2312" w:cs="楷体_GB2312"/>
          <w:b/>
          <w:color w:val="auto"/>
          <w:sz w:val="36"/>
          <w:szCs w:val="36"/>
          <w:highlight w:val="yellow"/>
          <w:lang w:val="en-US" w:eastAsia="zh-CN"/>
        </w:rPr>
      </w:pPr>
      <w:r>
        <w:rPr>
          <w:rFonts w:hint="eastAsia" w:ascii="楷体_GB2312" w:hAnsi="楷体_GB2312" w:eastAsia="楷体_GB2312" w:cs="楷体_GB2312"/>
          <w:b/>
          <w:color w:val="FF0000"/>
          <w:sz w:val="36"/>
          <w:szCs w:val="36"/>
          <w:highlight w:val="none"/>
          <w:lang w:val="en-US" w:eastAsia="zh-CN"/>
        </w:rPr>
        <w:t>/*更新标黄部分内容*/</w:t>
      </w: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adjustRightInd w:val="0"/>
        <w:snapToGrid w:val="0"/>
        <w:spacing w:before="156" w:beforeLines="50" w:line="360" w:lineRule="auto"/>
        <w:outlineLvl w:val="0"/>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1、项目立项依据：〔2025专10号〕-昆明局2025年第一批职工技术创新项目立项审查会议纪要</w:t>
      </w:r>
    </w:p>
    <w:p>
      <w:pPr>
        <w:adjustRightInd w:val="0"/>
        <w:snapToGrid w:val="0"/>
        <w:spacing w:before="156" w:beforeLines="50" w:line="360" w:lineRule="auto"/>
        <w:outlineLvl w:val="0"/>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2、项目主要内容：</w:t>
      </w:r>
    </w:p>
    <w:p>
      <w:pPr>
        <w:adjustRightInd w:val="0"/>
        <w:snapToGrid w:val="0"/>
        <w:spacing w:before="156" w:beforeLines="50" w:line="360" w:lineRule="auto"/>
        <w:outlineLvl w:val="0"/>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交流保护改造退运电缆选线仪器开发加工及测试。</w:t>
      </w:r>
    </w:p>
    <w:p>
      <w:pPr>
        <w:adjustRightInd w:val="0"/>
        <w:snapToGrid w:val="0"/>
        <w:spacing w:before="156" w:beforeLines="50" w:line="360" w:lineRule="auto"/>
        <w:outlineLvl w:val="0"/>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本项目主要研究以下内容：</w:t>
      </w:r>
    </w:p>
    <w:p>
      <w:pPr>
        <w:adjustRightInd w:val="0"/>
        <w:snapToGrid w:val="0"/>
        <w:spacing w:before="156" w:beforeLines="50" w:line="360" w:lineRule="auto"/>
        <w:outlineLvl w:val="0"/>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1.研究信号发射机，通过向退运电缆注入电磁信号将电缆作为一个载流无限长直导线模型向邻近空间发射电磁波，使用电磁法代替公司《二次回路作业安全管控实施细则》中推荐的回路法；</w:t>
      </w:r>
    </w:p>
    <w:p>
      <w:pPr>
        <w:adjustRightInd w:val="0"/>
        <w:snapToGrid w:val="0"/>
        <w:spacing w:before="156" w:beforeLines="50" w:line="360" w:lineRule="auto"/>
        <w:outlineLvl w:val="0"/>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2.结合大范围、小范围查找和精确定位需求，研究适宜的天线类型，以满足电磁信号接收的灵敏度和指向性需求；</w:t>
      </w:r>
    </w:p>
    <w:p>
      <w:pPr>
        <w:adjustRightInd w:val="0"/>
        <w:snapToGrid w:val="0"/>
        <w:spacing w:before="156" w:beforeLines="50" w:line="360" w:lineRule="auto"/>
        <w:outlineLvl w:val="0"/>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3.研究电磁信号放大和信号提示功能，便于人员定位目标电缆；</w:t>
      </w:r>
    </w:p>
    <w:p>
      <w:pPr>
        <w:adjustRightInd w:val="0"/>
        <w:snapToGrid w:val="0"/>
        <w:spacing w:before="156" w:beforeLines="50" w:line="360" w:lineRule="auto"/>
        <w:outlineLvl w:val="0"/>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4.研制交流保护改造退运电缆选线仪器1套。</w:t>
      </w:r>
    </w:p>
    <w:p>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2.1实施内容：交流保护改造退运电缆选线仪器</w:t>
      </w:r>
    </w:p>
    <w:p>
      <w:pPr>
        <w:adjustRightInd w:val="0"/>
        <w:snapToGrid w:val="0"/>
        <w:spacing w:before="156" w:beforeLines="50" w:line="360" w:lineRule="auto"/>
        <w:ind w:firstLine="560" w:firstLineChars="200"/>
        <w:outlineLvl w:val="0"/>
        <w:rPr>
          <w:rFonts w:hint="eastAsia" w:ascii="宋体" w:hAnsi="宋体" w:eastAsia="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t>2.1.</w:t>
      </w:r>
      <w:r>
        <w:rPr>
          <w:rFonts w:hint="eastAsia" w:ascii="宋体" w:hAnsi="宋体" w:eastAsia="宋体" w:cs="宋体"/>
          <w:color w:val="auto"/>
          <w:sz w:val="28"/>
          <w:szCs w:val="28"/>
          <w:highlight w:val="yellow"/>
          <w:lang w:val="en-US" w:eastAsia="zh-CN"/>
        </w:rPr>
        <w:t>1.研究信号发射机，通过向退运电缆注入电磁信号将电缆作为一个载流无限长直导线模型向邻近空间发射电磁波，使用电磁法代替公司《二次回路作业安全管控实施细则》中推荐的回路法；</w:t>
      </w:r>
    </w:p>
    <w:p>
      <w:pPr>
        <w:adjustRightInd w:val="0"/>
        <w:snapToGrid w:val="0"/>
        <w:spacing w:before="156" w:beforeLines="50" w:line="360" w:lineRule="auto"/>
        <w:ind w:firstLine="560" w:firstLineChars="200"/>
        <w:outlineLvl w:val="0"/>
        <w:rPr>
          <w:rFonts w:hint="eastAsia" w:ascii="宋体" w:hAnsi="宋体" w:eastAsia="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t>2.1.</w:t>
      </w:r>
      <w:r>
        <w:rPr>
          <w:rFonts w:hint="eastAsia" w:ascii="宋体" w:hAnsi="宋体" w:eastAsia="宋体" w:cs="宋体"/>
          <w:color w:val="auto"/>
          <w:sz w:val="28"/>
          <w:szCs w:val="28"/>
          <w:highlight w:val="yellow"/>
          <w:lang w:val="en-US" w:eastAsia="zh-CN"/>
        </w:rPr>
        <w:t>2.结合大范围、小范围查找和精确定位需求，研究适宜的天线类型，以满足电磁信号接收的灵敏度和指向性需求；</w:t>
      </w:r>
    </w:p>
    <w:p>
      <w:pPr>
        <w:adjustRightInd w:val="0"/>
        <w:snapToGrid w:val="0"/>
        <w:spacing w:before="156" w:beforeLines="50" w:line="360" w:lineRule="auto"/>
        <w:ind w:firstLine="560" w:firstLineChars="200"/>
        <w:outlineLvl w:val="0"/>
        <w:rPr>
          <w:rFonts w:hint="eastAsia" w:ascii="宋体" w:hAnsi="宋体" w:eastAsia="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t>2.1.</w:t>
      </w:r>
      <w:r>
        <w:rPr>
          <w:rFonts w:hint="eastAsia" w:ascii="宋体" w:hAnsi="宋体" w:eastAsia="宋体" w:cs="宋体"/>
          <w:color w:val="auto"/>
          <w:sz w:val="28"/>
          <w:szCs w:val="28"/>
          <w:highlight w:val="yellow"/>
          <w:lang w:val="en-US" w:eastAsia="zh-CN"/>
        </w:rPr>
        <w:t>3.研究电磁信号放大和信号提示功能，便于人员定位目标电缆；</w:t>
      </w:r>
    </w:p>
    <w:p>
      <w:pPr>
        <w:pStyle w:val="2"/>
        <w:jc w:val="left"/>
        <w:rPr>
          <w:rFonts w:hint="eastAsia"/>
          <w:lang w:val="en-US" w:eastAsia="zh-CN"/>
        </w:rPr>
      </w:pPr>
      <w:r>
        <w:drawing>
          <wp:inline distT="0" distB="0" distL="114300" distR="114300">
            <wp:extent cx="2660015" cy="3705860"/>
            <wp:effectExtent l="0" t="0" r="6985" b="889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10"/>
                    <a:stretch>
                      <a:fillRect/>
                    </a:stretch>
                  </pic:blipFill>
                  <pic:spPr>
                    <a:xfrm>
                      <a:off x="0" y="0"/>
                      <a:ext cx="2660015" cy="3705860"/>
                    </a:xfrm>
                    <a:prstGeom prst="rect">
                      <a:avLst/>
                    </a:prstGeom>
                    <a:noFill/>
                    <a:ln>
                      <a:noFill/>
                    </a:ln>
                  </pic:spPr>
                </pic:pic>
              </a:graphicData>
            </a:graphic>
          </wp:inline>
        </w:drawing>
      </w:r>
      <w:r>
        <w:drawing>
          <wp:inline distT="0" distB="0" distL="114300" distR="114300">
            <wp:extent cx="1343025" cy="2513330"/>
            <wp:effectExtent l="0" t="0" r="9525" b="127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11"/>
                    <a:stretch>
                      <a:fillRect/>
                    </a:stretch>
                  </pic:blipFill>
                  <pic:spPr>
                    <a:xfrm>
                      <a:off x="0" y="0"/>
                      <a:ext cx="1343025" cy="2513330"/>
                    </a:xfrm>
                    <a:prstGeom prst="rect">
                      <a:avLst/>
                    </a:prstGeom>
                    <a:noFill/>
                    <a:ln>
                      <a:noFill/>
                    </a:ln>
                  </pic:spPr>
                </pic:pic>
              </a:graphicData>
            </a:graphic>
          </wp:inline>
        </w:drawing>
      </w:r>
    </w:p>
    <w:p>
      <w:pPr>
        <w:adjustRightInd w:val="0"/>
        <w:snapToGrid w:val="0"/>
        <w:spacing w:before="156" w:beforeLines="50" w:line="360" w:lineRule="auto"/>
        <w:ind w:firstLine="560" w:firstLineChars="200"/>
        <w:outlineLvl w:val="0"/>
        <w:rPr>
          <w:rFonts w:hint="default" w:ascii="宋体" w:hAnsi="宋体" w:eastAsia="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t>2.1.4</w:t>
      </w:r>
      <w:r>
        <w:rPr>
          <w:rFonts w:hint="eastAsia" w:ascii="宋体" w:hAnsi="宋体" w:eastAsia="宋体" w:cs="宋体"/>
          <w:color w:val="auto"/>
          <w:sz w:val="28"/>
          <w:szCs w:val="28"/>
          <w:highlight w:val="yellow"/>
          <w:lang w:val="en-US" w:eastAsia="zh-CN"/>
        </w:rPr>
        <w:t>.研制交流保护改造退运电缆选线仪器1套。</w:t>
      </w:r>
      <w:r>
        <w:rPr>
          <w:rFonts w:hint="eastAsia" w:ascii="宋体" w:hAnsi="宋体" w:cs="宋体"/>
          <w:color w:val="auto"/>
          <w:sz w:val="28"/>
          <w:szCs w:val="28"/>
          <w:highlight w:val="yellow"/>
          <w:lang w:val="en-US" w:eastAsia="zh-CN"/>
        </w:rPr>
        <w:t>包含信号发射装置1个，可以对电缆注入电磁振荡信号。包含手持式信号接收装置1个，具备大范围探测天线和分布式的探测功能。包含连接线缆及包装盒各1个。</w:t>
      </w:r>
      <w:bookmarkStart w:id="3" w:name="_GoBack"/>
      <w:bookmarkEnd w:id="3"/>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0000FF"/>
          <w:sz w:val="28"/>
          <w:szCs w:val="28"/>
          <w:highlight w:val="none"/>
          <w:lang w:val="en-US" w:eastAsia="zh-CN"/>
        </w:rPr>
      </w:pPr>
      <w:r>
        <w:rPr>
          <w:rFonts w:hint="eastAsia" w:ascii="宋体" w:hAnsi="宋体" w:eastAsia="宋体" w:cs="宋体"/>
          <w:color w:val="auto"/>
          <w:sz w:val="28"/>
          <w:szCs w:val="28"/>
          <w:highlight w:val="none"/>
          <w:lang w:val="en-US" w:eastAsia="zh-CN"/>
        </w:rPr>
        <w:t>2.2服务期限：</w:t>
      </w:r>
      <w:r>
        <w:rPr>
          <w:rFonts w:hint="eastAsia" w:ascii="宋体" w:hAnsi="宋体" w:cs="宋体"/>
          <w:b w:val="0"/>
          <w:bCs/>
          <w:color w:val="auto"/>
          <w:sz w:val="28"/>
          <w:szCs w:val="28"/>
          <w:highlight w:val="yellow"/>
          <w:u w:val="single"/>
          <w:lang w:val="en-US" w:eastAsia="zh-CN"/>
        </w:rPr>
        <w:t>2025</w:t>
      </w:r>
      <w:r>
        <w:rPr>
          <w:rFonts w:hint="eastAsia" w:ascii="宋体" w:hAnsi="宋体" w:eastAsia="宋体" w:cs="宋体"/>
          <w:b w:val="0"/>
          <w:bCs/>
          <w:color w:val="auto"/>
          <w:sz w:val="28"/>
          <w:szCs w:val="28"/>
          <w:highlight w:val="yellow"/>
          <w:u w:val="single"/>
          <w:lang w:val="en-US" w:eastAsia="zh-CN"/>
        </w:rPr>
        <w:t>年</w:t>
      </w:r>
      <w:r>
        <w:rPr>
          <w:rFonts w:hint="eastAsia" w:ascii="宋体" w:hAnsi="宋体" w:cs="宋体"/>
          <w:b w:val="0"/>
          <w:bCs/>
          <w:color w:val="auto"/>
          <w:sz w:val="28"/>
          <w:szCs w:val="28"/>
          <w:highlight w:val="yellow"/>
          <w:u w:val="single"/>
          <w:lang w:val="en-US" w:eastAsia="zh-CN"/>
        </w:rPr>
        <w:t>08</w:t>
      </w:r>
      <w:r>
        <w:rPr>
          <w:rFonts w:hint="eastAsia" w:ascii="宋体" w:hAnsi="宋体" w:eastAsia="宋体" w:cs="宋体"/>
          <w:b w:val="0"/>
          <w:bCs/>
          <w:color w:val="auto"/>
          <w:sz w:val="28"/>
          <w:szCs w:val="28"/>
          <w:highlight w:val="yellow"/>
          <w:u w:val="single"/>
          <w:lang w:val="en-US" w:eastAsia="zh-CN"/>
        </w:rPr>
        <w:t>月</w:t>
      </w:r>
      <w:r>
        <w:rPr>
          <w:rFonts w:hint="eastAsia" w:ascii="宋体" w:hAnsi="宋体" w:cs="宋体"/>
          <w:b w:val="0"/>
          <w:bCs/>
          <w:color w:val="auto"/>
          <w:sz w:val="28"/>
          <w:szCs w:val="28"/>
          <w:highlight w:val="yellow"/>
          <w:u w:val="single"/>
          <w:lang w:val="en-US" w:eastAsia="zh-CN"/>
        </w:rPr>
        <w:t>30</w:t>
      </w:r>
      <w:r>
        <w:rPr>
          <w:rFonts w:hint="eastAsia" w:ascii="宋体" w:hAnsi="宋体" w:eastAsia="宋体" w:cs="宋体"/>
          <w:b w:val="0"/>
          <w:bCs/>
          <w:color w:val="auto"/>
          <w:sz w:val="28"/>
          <w:szCs w:val="28"/>
          <w:highlight w:val="yellow"/>
          <w:u w:val="single"/>
          <w:lang w:val="en-US" w:eastAsia="zh-CN"/>
        </w:rPr>
        <w:t>日</w:t>
      </w:r>
      <w:r>
        <w:rPr>
          <w:rFonts w:hint="eastAsia" w:ascii="宋体" w:hAnsi="宋体" w:cs="宋体"/>
          <w:b w:val="0"/>
          <w:bCs/>
          <w:color w:val="auto"/>
          <w:sz w:val="28"/>
          <w:szCs w:val="28"/>
          <w:highlight w:val="yellow"/>
          <w:u w:val="single"/>
          <w:lang w:val="en-US" w:eastAsia="zh-CN"/>
        </w:rPr>
        <w:t>至2025</w:t>
      </w:r>
      <w:r>
        <w:rPr>
          <w:rFonts w:hint="eastAsia" w:ascii="宋体" w:hAnsi="宋体" w:eastAsia="宋体" w:cs="宋体"/>
          <w:b w:val="0"/>
          <w:bCs/>
          <w:color w:val="auto"/>
          <w:sz w:val="28"/>
          <w:szCs w:val="28"/>
          <w:highlight w:val="yellow"/>
          <w:u w:val="single"/>
          <w:lang w:val="en-US" w:eastAsia="zh-CN"/>
        </w:rPr>
        <w:t>年</w:t>
      </w:r>
      <w:r>
        <w:rPr>
          <w:rFonts w:hint="eastAsia" w:ascii="宋体" w:hAnsi="宋体" w:cs="宋体"/>
          <w:b w:val="0"/>
          <w:bCs/>
          <w:color w:val="auto"/>
          <w:sz w:val="28"/>
          <w:szCs w:val="28"/>
          <w:highlight w:val="yellow"/>
          <w:u w:val="single"/>
          <w:lang w:val="en-US" w:eastAsia="zh-CN"/>
        </w:rPr>
        <w:t>11</w:t>
      </w:r>
      <w:r>
        <w:rPr>
          <w:rFonts w:hint="eastAsia" w:ascii="宋体" w:hAnsi="宋体" w:eastAsia="宋体" w:cs="宋体"/>
          <w:b w:val="0"/>
          <w:bCs/>
          <w:color w:val="auto"/>
          <w:sz w:val="28"/>
          <w:szCs w:val="28"/>
          <w:highlight w:val="yellow"/>
          <w:u w:val="single"/>
          <w:lang w:val="en-US" w:eastAsia="zh-CN"/>
        </w:rPr>
        <w:t>月</w:t>
      </w:r>
      <w:r>
        <w:rPr>
          <w:rFonts w:hint="eastAsia" w:ascii="宋体" w:hAnsi="宋体" w:cs="宋体"/>
          <w:b w:val="0"/>
          <w:bCs/>
          <w:color w:val="auto"/>
          <w:sz w:val="28"/>
          <w:szCs w:val="28"/>
          <w:highlight w:val="yellow"/>
          <w:u w:val="single"/>
          <w:lang w:val="en-US" w:eastAsia="zh-CN"/>
        </w:rPr>
        <w:t>30</w:t>
      </w:r>
      <w:r>
        <w:rPr>
          <w:rFonts w:hint="eastAsia" w:ascii="宋体" w:hAnsi="宋体" w:eastAsia="宋体" w:cs="宋体"/>
          <w:b w:val="0"/>
          <w:bCs/>
          <w:color w:val="auto"/>
          <w:sz w:val="28"/>
          <w:szCs w:val="28"/>
          <w:highlight w:val="yellow"/>
          <w:u w:val="single"/>
          <w:lang w:val="en-US" w:eastAsia="zh-CN"/>
        </w:rPr>
        <w:t>日</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yellow"/>
          <w:lang w:val="en-US" w:eastAsia="zh-CN"/>
        </w:rPr>
        <w:t>若定标时间晚于起始时间，服务期限顺延</w:t>
      </w:r>
      <w:r>
        <w:rPr>
          <w:rFonts w:hint="eastAsia" w:ascii="宋体" w:hAnsi="宋体" w:cs="宋体"/>
          <w:color w:val="auto"/>
          <w:sz w:val="28"/>
          <w:szCs w:val="28"/>
          <w:highlight w:val="yellow"/>
          <w:lang w:val="en-US" w:eastAsia="zh-CN"/>
        </w:rPr>
        <w:t>，</w:t>
      </w:r>
      <w:r>
        <w:rPr>
          <w:rFonts w:hint="eastAsia" w:ascii="宋体" w:hAnsi="宋体" w:cs="宋体"/>
          <w:b w:val="0"/>
          <w:bCs/>
          <w:color w:val="auto"/>
          <w:sz w:val="28"/>
          <w:szCs w:val="28"/>
          <w:highlight w:val="yellow"/>
          <w:u w:val="single"/>
          <w:lang w:val="en-US" w:eastAsia="zh-CN"/>
        </w:rPr>
        <w:t>以双方函件为准</w:t>
      </w:r>
      <w:r>
        <w:rPr>
          <w:rFonts w:hint="eastAsia" w:ascii="宋体" w:hAnsi="宋体" w:eastAsia="宋体" w:cs="宋体"/>
          <w:b w:val="0"/>
          <w:bCs/>
          <w:color w:val="auto"/>
          <w:sz w:val="28"/>
          <w:szCs w:val="28"/>
          <w:highlight w:val="yellow"/>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2.3项目服务地点：</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云南省普洱市思茅区龙潭乡±800kV普洱换流站（位置需详细，涉及运距和价格计算）</w:t>
      </w:r>
      <w:r>
        <w:rPr>
          <w:rFonts w:hint="eastAsia" w:ascii="宋体" w:hAnsi="宋体" w:eastAsia="宋体" w:cs="宋体"/>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yellow"/>
          <w:u w:val="single"/>
          <w:lang w:val="en-US" w:eastAsia="zh-CN"/>
        </w:rPr>
      </w:pPr>
      <w:r>
        <w:rPr>
          <w:rFonts w:hint="eastAsia" w:ascii="宋体" w:hAnsi="宋体" w:eastAsia="宋体" w:cs="宋体"/>
          <w:color w:val="auto"/>
          <w:sz w:val="28"/>
          <w:szCs w:val="28"/>
          <w:highlight w:val="yellow"/>
          <w:lang w:val="en-US" w:eastAsia="zh-CN"/>
        </w:rPr>
        <w:t xml:space="preserve">2.4其他要求：  </w:t>
      </w:r>
      <w:r>
        <w:rPr>
          <w:rFonts w:hint="eastAsia" w:ascii="宋体" w:hAnsi="宋体" w:eastAsia="宋体" w:cs="宋体"/>
          <w:color w:val="auto"/>
          <w:sz w:val="28"/>
          <w:szCs w:val="28"/>
          <w:highlight w:val="yellow"/>
          <w:u w:val="single"/>
          <w:lang w:val="en-US" w:eastAsia="zh-CN"/>
        </w:rPr>
        <w:t xml:space="preserve"> </w:t>
      </w:r>
      <w:r>
        <w:rPr>
          <w:rFonts w:hint="eastAsia" w:ascii="宋体" w:hAnsi="宋体" w:cs="宋体"/>
          <w:color w:val="auto"/>
          <w:sz w:val="28"/>
          <w:szCs w:val="28"/>
          <w:highlight w:val="yellow"/>
          <w:u w:val="single"/>
          <w:lang w:val="en-US" w:eastAsia="zh-CN"/>
        </w:rPr>
        <w:t>无</w:t>
      </w:r>
      <w:r>
        <w:rPr>
          <w:rFonts w:hint="eastAsia" w:ascii="宋体" w:hAnsi="宋体" w:eastAsia="宋体" w:cs="宋体"/>
          <w:color w:val="auto"/>
          <w:sz w:val="28"/>
          <w:szCs w:val="28"/>
          <w:highlight w:val="yellow"/>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2.5采购明细详见</w:t>
      </w:r>
      <w:r>
        <w:rPr>
          <w:rFonts w:hint="eastAsia" w:ascii="宋体" w:hAnsi="宋体" w:cs="宋体"/>
          <w:b w:val="0"/>
          <w:bCs/>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r>
        <w:rPr>
          <w:rFonts w:hint="eastAsia" w:cs="Times New Roman"/>
          <w:b/>
          <w:color w:val="auto"/>
          <w:sz w:val="28"/>
          <w:szCs w:val="28"/>
          <w:highlight w:val="none"/>
          <w:lang w:val="en-US" w:eastAsia="zh-CN"/>
        </w:rPr>
        <w:t>及参数</w:t>
      </w:r>
      <w:r>
        <w:rPr>
          <w:rFonts w:hint="eastAsia" w:ascii="宋体" w:hAnsi="宋体" w:cs="宋体"/>
          <w:b w:val="0"/>
          <w:bCs/>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p>
    <w:bookmarkEnd w:id="0"/>
    <w:p>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lang w:val="en-US" w:eastAsia="zh-CN"/>
        </w:rPr>
        <w:t xml:space="preserve">三、 </w:t>
      </w:r>
      <w:r>
        <w:rPr>
          <w:rFonts w:hint="eastAsia" w:ascii="Times New Roman" w:hAnsi="Times New Roman" w:eastAsia="宋体" w:cs="Times New Roman"/>
          <w:b/>
          <w:color w:val="auto"/>
          <w:sz w:val="28"/>
          <w:szCs w:val="28"/>
          <w:highlight w:val="none"/>
        </w:rPr>
        <w:t>资质要求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pPr>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686" w:type="dxa"/>
            <w:noWrap w:val="0"/>
            <w:vAlign w:val="center"/>
          </w:tcPr>
          <w:p>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 技术及其他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4.2.1卖方应严格执行国家现行法规、规章，行业的规范，确保提供的产品或服务符合相关规定。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4.2.3卖方应妥善作好买方所提供的文件资料的保存、回收及保密工作，不得泄漏、传播与监造设备有关的技术秘密和商业秘密。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4.2.4卖方完成本次投标活动视为接受并认可本采购文件所有条款。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4.2.5卖方所提供的产品或服务应不涉及知识产权纠纷，若出现任何知识产权问题，由卖方承担全部责任。</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4.2.6其他要求</w:t>
      </w:r>
      <w:r>
        <w:rPr>
          <w:rFonts w:hint="eastAsia" w:ascii="宋体" w:hAnsi="宋体" w:eastAsia="宋体" w:cs="宋体"/>
          <w:color w:val="auto"/>
          <w:sz w:val="28"/>
          <w:szCs w:val="28"/>
          <w:highlight w:val="yellow"/>
          <w:u w:val="single"/>
          <w:lang w:val="en-US" w:eastAsia="zh-CN"/>
        </w:rPr>
        <w:t xml:space="preserve"> </w:t>
      </w:r>
      <w:r>
        <w:rPr>
          <w:rFonts w:hint="eastAsia" w:ascii="宋体" w:hAnsi="宋体" w:cs="宋体"/>
          <w:color w:val="auto"/>
          <w:sz w:val="28"/>
          <w:szCs w:val="28"/>
          <w:highlight w:val="yellow"/>
          <w:u w:val="single"/>
          <w:lang w:val="en-US" w:eastAsia="zh-CN"/>
        </w:rPr>
        <w:t>无</w:t>
      </w:r>
      <w:r>
        <w:rPr>
          <w:rFonts w:hint="eastAsia" w:ascii="宋体" w:hAnsi="宋体" w:eastAsia="宋体" w:cs="宋体"/>
          <w:color w:val="auto"/>
          <w:sz w:val="28"/>
          <w:szCs w:val="28"/>
          <w:highlight w:val="yellow"/>
          <w:u w:val="single"/>
          <w:lang w:val="en-US" w:eastAsia="zh-CN"/>
        </w:rPr>
        <w:t xml:space="preserve"> </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五、违约责任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5.2卖方若造成买方直接或间接经济损失，应全额赔偿。</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5.3卖方与买方若存在纠纷，应友好协商解决，若存在诉讼，应在买方所在地提起诉讼或仲裁。</w:t>
      </w:r>
    </w:p>
    <w:p>
      <w:pPr>
        <w:wordWrap/>
        <w:spacing w:line="360" w:lineRule="auto"/>
        <w:jc w:val="center"/>
        <w:rPr>
          <w:rFonts w:hint="eastAsia" w:ascii="宋体" w:hAnsi="宋体"/>
          <w:bCs/>
          <w:color w:val="auto"/>
          <w:spacing w:val="15"/>
          <w:szCs w:val="21"/>
          <w:highlight w:val="none"/>
          <w:lang w:eastAsia="zh-CN"/>
        </w:rPr>
      </w:pPr>
      <w:r>
        <w:rPr>
          <w:rFonts w:hint="eastAsia" w:ascii="宋体" w:hAnsi="宋体" w:cs="宋体"/>
          <w:color w:val="auto"/>
          <w:sz w:val="21"/>
          <w:szCs w:val="21"/>
          <w:highlight w:val="none"/>
          <w:lang w:val="en-US" w:eastAsia="zh-CN"/>
        </w:rPr>
        <w:t xml:space="preserve">   </w:t>
      </w:r>
    </w:p>
    <w:p>
      <w:pPr>
        <w:spacing w:line="360" w:lineRule="auto"/>
        <w:rPr>
          <w:rFonts w:hint="eastAsia" w:ascii="宋体" w:hAnsi="宋体" w:cs="宋体"/>
          <w:color w:val="auto"/>
          <w:spacing w:val="-1"/>
          <w:szCs w:val="21"/>
          <w:highlight w:val="none"/>
          <w:lang w:val="en-US" w:eastAsia="zh-CN"/>
        </w:rPr>
      </w:pP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r>
        <w:rPr>
          <w:rFonts w:hint="eastAsia" w:ascii="Times New Roman" w:hAnsi="Times New Roman" w:eastAsia="宋体" w:cs="Times New Roman"/>
          <w:b/>
          <w:color w:val="FF0000"/>
          <w:sz w:val="28"/>
          <w:szCs w:val="28"/>
          <w:highlight w:val="none"/>
          <w:lang w:val="en-US" w:eastAsia="zh-CN"/>
        </w:rPr>
        <w:t>（有设备的，例如设备修理需附图，分整体和局部，需写明所需服务内容，尽量细致）</w:t>
      </w:r>
    </w:p>
    <w:p>
      <w:pPr>
        <w:spacing w:line="360" w:lineRule="auto"/>
        <w:rPr>
          <w:rFonts w:hint="eastAsia" w:ascii="宋体" w:hAnsi="宋体" w:cs="宋体"/>
          <w:color w:val="auto"/>
          <w:spacing w:val="-1"/>
          <w:szCs w:val="21"/>
          <w:highlight w:val="none"/>
          <w:lang w:val="en-US" w:eastAsia="zh-CN"/>
        </w:rPr>
      </w:pPr>
    </w:p>
    <w:p>
      <w:pPr>
        <w:spacing w:line="360" w:lineRule="auto"/>
        <w:rPr>
          <w:rFonts w:hint="eastAsia" w:ascii="宋体" w:hAnsi="宋体" w:cs="宋体"/>
          <w:color w:val="auto"/>
          <w:spacing w:val="-1"/>
          <w:szCs w:val="21"/>
          <w:highlight w:val="none"/>
          <w:lang w:val="en-US" w:eastAsia="zh-CN"/>
        </w:rPr>
      </w:pPr>
    </w:p>
    <w:tbl>
      <w:tblPr>
        <w:tblStyle w:val="8"/>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87"/>
        <w:gridCol w:w="1075"/>
        <w:gridCol w:w="3735"/>
        <w:gridCol w:w="2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0" w:type="dxa"/>
            <w:noWrap w:val="0"/>
            <w:vAlign w:val="center"/>
          </w:tcPr>
          <w:p>
            <w:pPr>
              <w:spacing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987"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eastAsia="宋体"/>
                <w:b/>
                <w:color w:val="auto"/>
                <w:kern w:val="0"/>
                <w:sz w:val="18"/>
                <w:szCs w:val="21"/>
                <w:highlight w:val="none"/>
                <w:lang w:eastAsia="zh-CN"/>
              </w:rPr>
              <w:t>子项</w:t>
            </w:r>
            <w:r>
              <w:rPr>
                <w:rFonts w:hint="default" w:ascii="宋体" w:hAnsi="宋体" w:eastAsia="宋体"/>
                <w:b/>
                <w:color w:val="auto"/>
                <w:kern w:val="0"/>
                <w:sz w:val="18"/>
                <w:szCs w:val="21"/>
                <w:highlight w:val="none"/>
              </w:rPr>
              <w:t>名称</w:t>
            </w:r>
          </w:p>
        </w:tc>
        <w:tc>
          <w:tcPr>
            <w:tcW w:w="1075" w:type="dxa"/>
            <w:noWrap w:val="0"/>
            <w:vAlign w:val="center"/>
          </w:tcPr>
          <w:p>
            <w:pPr>
              <w:adjustRightInd w:val="0"/>
              <w:snapToGrid w:val="0"/>
              <w:spacing w:beforeLines="0" w:afterLines="0" w:line="360" w:lineRule="auto"/>
              <w:jc w:val="center"/>
              <w:rPr>
                <w:rFonts w:hint="eastAsia" w:ascii="宋体" w:hAnsi="宋体" w:eastAsia="宋体" w:cs="宋体"/>
                <w:b/>
                <w:bCs/>
                <w:color w:val="auto"/>
                <w:kern w:val="0"/>
                <w:sz w:val="18"/>
                <w:szCs w:val="20"/>
                <w:highlight w:val="none"/>
                <w:lang w:eastAsia="zh-CN"/>
              </w:rPr>
            </w:pPr>
            <w:r>
              <w:rPr>
                <w:rFonts w:hint="eastAsia" w:ascii="宋体" w:hAnsi="宋体" w:eastAsia="宋体"/>
                <w:b/>
                <w:color w:val="auto"/>
                <w:kern w:val="0"/>
                <w:sz w:val="18"/>
                <w:szCs w:val="21"/>
                <w:highlight w:val="none"/>
                <w:lang w:eastAsia="zh-CN"/>
              </w:rPr>
              <w:t>型号</w:t>
            </w:r>
          </w:p>
        </w:tc>
        <w:tc>
          <w:tcPr>
            <w:tcW w:w="3735"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b/>
                <w:color w:val="auto"/>
                <w:kern w:val="0"/>
                <w:sz w:val="18"/>
                <w:szCs w:val="21"/>
                <w:highlight w:val="none"/>
                <w:lang w:val="en-US" w:eastAsia="zh-CN"/>
              </w:rPr>
              <w:t>附图</w:t>
            </w:r>
          </w:p>
        </w:tc>
        <w:tc>
          <w:tcPr>
            <w:tcW w:w="2732"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eastAsia" w:ascii="宋体" w:hAnsi="宋体" w:cs="宋体"/>
                <w:b/>
                <w:bCs/>
                <w:color w:val="auto"/>
                <w:kern w:val="0"/>
                <w:sz w:val="18"/>
                <w:szCs w:val="20"/>
                <w:highlight w:val="yellow"/>
              </w:rPr>
            </w:pPr>
            <w:r>
              <w:rPr>
                <w:rFonts w:hint="default" w:ascii="宋体" w:hAnsi="宋体" w:eastAsia="宋体"/>
                <w:color w:val="auto"/>
                <w:kern w:val="0"/>
                <w:sz w:val="18"/>
                <w:szCs w:val="21"/>
                <w:highlight w:val="yellow"/>
              </w:rPr>
              <w:t>1</w:t>
            </w:r>
          </w:p>
        </w:tc>
        <w:tc>
          <w:tcPr>
            <w:tcW w:w="1987" w:type="dxa"/>
            <w:noWrap w:val="0"/>
            <w:vAlign w:val="center"/>
          </w:tcPr>
          <w:p>
            <w:pPr>
              <w:keepNext w:val="0"/>
              <w:keepLines w:val="0"/>
              <w:widowControl/>
              <w:suppressLineNumbers w:val="0"/>
              <w:jc w:val="center"/>
              <w:textAlignment w:val="center"/>
              <w:rPr>
                <w:rFonts w:hint="eastAsia" w:ascii="宋体" w:hAnsi="宋体" w:eastAsia="宋体" w:cs="宋体"/>
                <w:b w:val="0"/>
                <w:bCs w:val="0"/>
                <w:color w:val="auto"/>
                <w:kern w:val="0"/>
                <w:sz w:val="18"/>
                <w:szCs w:val="18"/>
                <w:highlight w:val="yellow"/>
                <w:lang w:val="en-US" w:eastAsia="zh-CN"/>
              </w:rPr>
            </w:pPr>
            <w:r>
              <w:rPr>
                <w:rFonts w:hint="eastAsia" w:ascii="宋体" w:hAnsi="宋体" w:eastAsia="宋体" w:cs="宋体"/>
                <w:b w:val="0"/>
                <w:bCs w:val="0"/>
                <w:color w:val="auto"/>
                <w:kern w:val="0"/>
                <w:sz w:val="18"/>
                <w:szCs w:val="18"/>
                <w:highlight w:val="yellow"/>
                <w:lang w:val="en-US" w:eastAsia="zh-CN"/>
              </w:rPr>
              <w:t>交流保护改造退运电缆选线仪器1套</w:t>
            </w:r>
          </w:p>
        </w:tc>
        <w:tc>
          <w:tcPr>
            <w:tcW w:w="1075" w:type="dxa"/>
            <w:noWrap w:val="0"/>
            <w:vAlign w:val="center"/>
          </w:tcPr>
          <w:p>
            <w:pPr>
              <w:adjustRightInd w:val="0"/>
              <w:snapToGrid w:val="0"/>
              <w:spacing w:beforeLines="0" w:afterLines="0" w:line="360" w:lineRule="auto"/>
              <w:jc w:val="center"/>
              <w:rPr>
                <w:rFonts w:hint="default" w:ascii="宋体" w:hAnsi="宋体" w:eastAsia="宋体" w:cs="宋体"/>
                <w:b w:val="0"/>
                <w:bCs/>
                <w:i w:val="0"/>
                <w:color w:val="auto"/>
                <w:kern w:val="0"/>
                <w:sz w:val="18"/>
                <w:szCs w:val="18"/>
                <w:highlight w:val="yellow"/>
                <w:u w:val="none"/>
                <w:lang w:val="en-US" w:eastAsia="zh-CN" w:bidi="ar"/>
              </w:rPr>
            </w:pPr>
            <w:r>
              <w:rPr>
                <w:rFonts w:hint="eastAsia" w:ascii="宋体" w:hAnsi="宋体" w:cs="宋体"/>
                <w:b w:val="0"/>
                <w:bCs/>
                <w:i w:val="0"/>
                <w:color w:val="auto"/>
                <w:kern w:val="0"/>
                <w:sz w:val="18"/>
                <w:szCs w:val="18"/>
                <w:highlight w:val="yellow"/>
                <w:u w:val="none"/>
                <w:lang w:val="en-US" w:eastAsia="zh-CN" w:bidi="ar"/>
              </w:rPr>
              <w:t>定制</w:t>
            </w:r>
          </w:p>
        </w:tc>
        <w:tc>
          <w:tcPr>
            <w:tcW w:w="3735" w:type="dxa"/>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highlight w:val="yellow"/>
                <w:lang w:val="en-US" w:eastAsia="zh-CN" w:bidi="ar-SA"/>
              </w:rPr>
            </w:pPr>
          </w:p>
        </w:tc>
        <w:tc>
          <w:tcPr>
            <w:tcW w:w="2732" w:type="dxa"/>
            <w:noWrap w:val="0"/>
            <w:vAlign w:val="center"/>
          </w:tcPr>
          <w:p>
            <w:pPr>
              <w:adjustRightInd w:val="0"/>
              <w:snapToGrid w:val="0"/>
              <w:spacing w:line="360" w:lineRule="auto"/>
              <w:jc w:val="both"/>
              <w:rPr>
                <w:rFonts w:hint="eastAsia" w:ascii="宋体" w:hAnsi="宋体" w:eastAsia="宋体" w:cs="宋体"/>
                <w:b w:val="0"/>
                <w:bCs w:val="0"/>
                <w:color w:val="FF0000"/>
                <w:kern w:val="0"/>
                <w:sz w:val="18"/>
                <w:szCs w:val="18"/>
                <w:highlight w:val="yellow"/>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eastAsia" w:ascii="宋体" w:hAnsi="宋体" w:eastAsia="宋体"/>
                <w:color w:val="auto"/>
                <w:kern w:val="0"/>
                <w:sz w:val="18"/>
                <w:szCs w:val="21"/>
                <w:highlight w:val="none"/>
                <w:lang w:val="en-US" w:eastAsia="zh-CN"/>
              </w:rPr>
            </w:pPr>
          </w:p>
        </w:tc>
        <w:tc>
          <w:tcPr>
            <w:tcW w:w="1987" w:type="dxa"/>
            <w:noWrap w:val="0"/>
            <w:vAlign w:val="center"/>
          </w:tcPr>
          <w:p>
            <w:pPr>
              <w:keepNext w:val="0"/>
              <w:keepLines w:val="0"/>
              <w:widowControl/>
              <w:suppressLineNumbers w:val="0"/>
              <w:jc w:val="center"/>
              <w:textAlignment w:val="center"/>
              <w:rPr>
                <w:rFonts w:hint="eastAsia" w:ascii="宋体" w:hAnsi="宋体" w:eastAsia="宋体" w:cs="宋体"/>
                <w:b w:val="0"/>
                <w:bCs w:val="0"/>
                <w:color w:val="auto"/>
                <w:kern w:val="0"/>
                <w:sz w:val="18"/>
                <w:szCs w:val="18"/>
                <w:highlight w:val="yellow"/>
                <w:lang w:val="en-US" w:eastAsia="zh-CN"/>
              </w:rPr>
            </w:pPr>
          </w:p>
        </w:tc>
        <w:tc>
          <w:tcPr>
            <w:tcW w:w="1075" w:type="dxa"/>
            <w:noWrap w:val="0"/>
            <w:vAlign w:val="center"/>
          </w:tcPr>
          <w:p>
            <w:pPr>
              <w:adjustRightInd w:val="0"/>
              <w:snapToGrid w:val="0"/>
              <w:spacing w:beforeLines="0" w:afterLines="0" w:line="360" w:lineRule="auto"/>
              <w:jc w:val="center"/>
              <w:rPr>
                <w:rFonts w:hint="eastAsia" w:ascii="宋体" w:hAnsi="宋体" w:eastAsia="宋体" w:cs="宋体"/>
                <w:b w:val="0"/>
                <w:bCs/>
                <w:i w:val="0"/>
                <w:color w:val="auto"/>
                <w:kern w:val="0"/>
                <w:sz w:val="18"/>
                <w:szCs w:val="18"/>
                <w:highlight w:val="yellow"/>
                <w:u w:val="none"/>
                <w:lang w:val="en-US" w:eastAsia="zh-CN" w:bidi="ar"/>
              </w:rPr>
            </w:pPr>
          </w:p>
        </w:tc>
        <w:tc>
          <w:tcPr>
            <w:tcW w:w="3735" w:type="dxa"/>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highlight w:val="none"/>
                <w:lang w:val="en-US" w:eastAsia="zh-CN" w:bidi="ar-SA"/>
              </w:rPr>
            </w:pPr>
          </w:p>
        </w:tc>
        <w:tc>
          <w:tcPr>
            <w:tcW w:w="2732" w:type="dxa"/>
            <w:noWrap w:val="0"/>
            <w:vAlign w:val="center"/>
          </w:tcPr>
          <w:p>
            <w:pPr>
              <w:adjustRightInd w:val="0"/>
              <w:snapToGrid w:val="0"/>
              <w:spacing w:line="360" w:lineRule="auto"/>
              <w:jc w:val="both"/>
              <w:rPr>
                <w:rFonts w:hint="eastAsia" w:ascii="宋体" w:hAnsi="宋体" w:eastAsia="宋体" w:cs="宋体"/>
                <w:b w:val="0"/>
                <w:bCs w:val="0"/>
                <w:color w:val="FF0000"/>
                <w:kern w:val="0"/>
                <w:sz w:val="18"/>
                <w:szCs w:val="18"/>
                <w:highlight w:val="yellow"/>
                <w:lang w:val="en-US" w:eastAsia="zh-CN"/>
              </w:rPr>
            </w:pPr>
          </w:p>
        </w:tc>
      </w:tr>
    </w:tbl>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sectPr>
      <w:headerReference r:id="rId5" w:type="default"/>
      <w:footerReference r:id="rId6"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xm18iOIBAADMAwAADgAA&#10;AAAAAAABACAAAAAeAQAAZHJzL2Uyb0RvYy54bWxQSwUGAAAAAAYABgBZAQAAcgUAAAAA&#10;">
              <v:fill on="f" focussize="0,0"/>
              <v:stroke on="f"/>
              <v:imagedata o:title=""/>
              <o:lock v:ext="edit" aspectratio="f"/>
              <v:textbox inset="0mm,0mm,0mm,0mm" style="mso-fit-shape-to-text:t;">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FAKsdOIBAADMAwAADgAA&#10;AAAAAAABACAAAAAeAQAAZHJzL2Uyb0RvYy54bWxQSwUGAAAAAAYABgBZAQAAcgU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I7StquIBAADMAwAADgAA&#10;AAAAAAABACAAAAAeAQAAZHJzL2Uyb0RvYy54bWxQSwUGAAAAAAYABgBZAQAAcgU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vert="horz" wrap="square" lIns="0" tIns="0" rIns="0" bIns="0" anchor="t" anchorCtr="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nIJkC0wAAAAUBAAAPAAAAAAAAAAEAIAAAACIAAABkcnMvZG93bnJldi54bWxQSwECFAAUAAAA&#10;CACHTuJAYS3kcfMBAADXAwAADgAAAAAAAAABACAAAAAiAQAAZHJzL2Uyb0RvYy54bWxQSwUGAAAA&#10;AAYABgBZAQAAh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4C5E80"/>
    <w:rsid w:val="005306C8"/>
    <w:rsid w:val="00743E81"/>
    <w:rsid w:val="00790700"/>
    <w:rsid w:val="00A91657"/>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B87B46"/>
    <w:rsid w:val="02C45CF6"/>
    <w:rsid w:val="02CB2C26"/>
    <w:rsid w:val="02CE29E4"/>
    <w:rsid w:val="02DA3B58"/>
    <w:rsid w:val="031B0815"/>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E108F2"/>
    <w:rsid w:val="05E438A3"/>
    <w:rsid w:val="05EB68D3"/>
    <w:rsid w:val="05F24B2A"/>
    <w:rsid w:val="06090CB8"/>
    <w:rsid w:val="06107C70"/>
    <w:rsid w:val="06182AFF"/>
    <w:rsid w:val="061931AA"/>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53A8"/>
    <w:rsid w:val="0794001C"/>
    <w:rsid w:val="079C2A65"/>
    <w:rsid w:val="07A03F1C"/>
    <w:rsid w:val="07C528ED"/>
    <w:rsid w:val="07C91687"/>
    <w:rsid w:val="07CA560B"/>
    <w:rsid w:val="07E72DD6"/>
    <w:rsid w:val="07F94EE1"/>
    <w:rsid w:val="07FA2483"/>
    <w:rsid w:val="080D4A07"/>
    <w:rsid w:val="08136BE6"/>
    <w:rsid w:val="082A084F"/>
    <w:rsid w:val="08344D1E"/>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341B0"/>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B7951"/>
    <w:rsid w:val="0B6C711D"/>
    <w:rsid w:val="0B7F40B4"/>
    <w:rsid w:val="0B8348EE"/>
    <w:rsid w:val="0BB909EB"/>
    <w:rsid w:val="0BC87409"/>
    <w:rsid w:val="0BD33980"/>
    <w:rsid w:val="0BD62A7D"/>
    <w:rsid w:val="0BE57AEE"/>
    <w:rsid w:val="0C23558B"/>
    <w:rsid w:val="0C40504F"/>
    <w:rsid w:val="0C5B4095"/>
    <w:rsid w:val="0C6A35C6"/>
    <w:rsid w:val="0C7B6761"/>
    <w:rsid w:val="0C9E47DF"/>
    <w:rsid w:val="0CA92493"/>
    <w:rsid w:val="0CB414E2"/>
    <w:rsid w:val="0CBA1D90"/>
    <w:rsid w:val="0CE00519"/>
    <w:rsid w:val="0CF20212"/>
    <w:rsid w:val="0CF43D57"/>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F475F"/>
    <w:rsid w:val="0EE762F8"/>
    <w:rsid w:val="0EF73643"/>
    <w:rsid w:val="0EFC65D9"/>
    <w:rsid w:val="0F131D91"/>
    <w:rsid w:val="0F1B31AD"/>
    <w:rsid w:val="0F1D5631"/>
    <w:rsid w:val="0F223B6E"/>
    <w:rsid w:val="0F333741"/>
    <w:rsid w:val="0F424AA0"/>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A6A91"/>
    <w:rsid w:val="12071CFF"/>
    <w:rsid w:val="12083B9E"/>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B2FAF"/>
    <w:rsid w:val="151B19F9"/>
    <w:rsid w:val="15254C2A"/>
    <w:rsid w:val="15256A13"/>
    <w:rsid w:val="15425C88"/>
    <w:rsid w:val="15630EB7"/>
    <w:rsid w:val="15721CAF"/>
    <w:rsid w:val="157E07BB"/>
    <w:rsid w:val="159C6665"/>
    <w:rsid w:val="15A037DD"/>
    <w:rsid w:val="15CA0A70"/>
    <w:rsid w:val="15D43BA5"/>
    <w:rsid w:val="15D73A44"/>
    <w:rsid w:val="15DB5671"/>
    <w:rsid w:val="15DE22FD"/>
    <w:rsid w:val="15DF2A73"/>
    <w:rsid w:val="15F64129"/>
    <w:rsid w:val="160403C5"/>
    <w:rsid w:val="16111428"/>
    <w:rsid w:val="161D0886"/>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36043B"/>
    <w:rsid w:val="193758B9"/>
    <w:rsid w:val="19376D34"/>
    <w:rsid w:val="19560BD4"/>
    <w:rsid w:val="195D554B"/>
    <w:rsid w:val="19681BF7"/>
    <w:rsid w:val="197A656C"/>
    <w:rsid w:val="199325C4"/>
    <w:rsid w:val="19942A6D"/>
    <w:rsid w:val="19BD1C97"/>
    <w:rsid w:val="19C11458"/>
    <w:rsid w:val="19CB6B8A"/>
    <w:rsid w:val="19D3255D"/>
    <w:rsid w:val="19D40BE2"/>
    <w:rsid w:val="19D86466"/>
    <w:rsid w:val="19F64C6A"/>
    <w:rsid w:val="19FC1230"/>
    <w:rsid w:val="1A2B7516"/>
    <w:rsid w:val="1A484105"/>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1251FE"/>
    <w:rsid w:val="1C1605BF"/>
    <w:rsid w:val="1C265152"/>
    <w:rsid w:val="1C274AA7"/>
    <w:rsid w:val="1C32499B"/>
    <w:rsid w:val="1C47372B"/>
    <w:rsid w:val="1C564A30"/>
    <w:rsid w:val="1C5C130E"/>
    <w:rsid w:val="1C611DC4"/>
    <w:rsid w:val="1C636849"/>
    <w:rsid w:val="1C700667"/>
    <w:rsid w:val="1C801F96"/>
    <w:rsid w:val="1C9219D7"/>
    <w:rsid w:val="1CA04CBB"/>
    <w:rsid w:val="1CBE3A2D"/>
    <w:rsid w:val="1CCB0347"/>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42FFA"/>
    <w:rsid w:val="1EF56A38"/>
    <w:rsid w:val="1F0D3609"/>
    <w:rsid w:val="1F2A46A7"/>
    <w:rsid w:val="1F2B2180"/>
    <w:rsid w:val="1F4D3F38"/>
    <w:rsid w:val="1F722925"/>
    <w:rsid w:val="1F750F3B"/>
    <w:rsid w:val="1F9E25EF"/>
    <w:rsid w:val="1FBB56DC"/>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F5EFA"/>
    <w:rsid w:val="255749A3"/>
    <w:rsid w:val="256475B2"/>
    <w:rsid w:val="256A4358"/>
    <w:rsid w:val="2576472D"/>
    <w:rsid w:val="258C7E5E"/>
    <w:rsid w:val="259773E0"/>
    <w:rsid w:val="259A42A7"/>
    <w:rsid w:val="259E31F0"/>
    <w:rsid w:val="25C47D25"/>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0B2D03"/>
    <w:rsid w:val="2B29773C"/>
    <w:rsid w:val="2B3A41B6"/>
    <w:rsid w:val="2B4A63F8"/>
    <w:rsid w:val="2B5A0EDA"/>
    <w:rsid w:val="2B6270F5"/>
    <w:rsid w:val="2BCC724B"/>
    <w:rsid w:val="2BCE3B0C"/>
    <w:rsid w:val="2BD002D8"/>
    <w:rsid w:val="2BD50F68"/>
    <w:rsid w:val="2BE34CD1"/>
    <w:rsid w:val="2BE66D0E"/>
    <w:rsid w:val="2C0B7ACD"/>
    <w:rsid w:val="2C0E0521"/>
    <w:rsid w:val="2C242995"/>
    <w:rsid w:val="2C4513B3"/>
    <w:rsid w:val="2C763464"/>
    <w:rsid w:val="2C7A189B"/>
    <w:rsid w:val="2CF94D42"/>
    <w:rsid w:val="2D0934C2"/>
    <w:rsid w:val="2D116B63"/>
    <w:rsid w:val="2D250EF7"/>
    <w:rsid w:val="2D390EB4"/>
    <w:rsid w:val="2D3A5B72"/>
    <w:rsid w:val="2D535C04"/>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882673"/>
    <w:rsid w:val="2F9064B0"/>
    <w:rsid w:val="2FB5048E"/>
    <w:rsid w:val="2FC97E0D"/>
    <w:rsid w:val="2FCA6F3E"/>
    <w:rsid w:val="2FCC7E1F"/>
    <w:rsid w:val="300F0367"/>
    <w:rsid w:val="30226FEB"/>
    <w:rsid w:val="30282043"/>
    <w:rsid w:val="303C3683"/>
    <w:rsid w:val="303F3A7B"/>
    <w:rsid w:val="30573C0D"/>
    <w:rsid w:val="306D0D0D"/>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D600A"/>
    <w:rsid w:val="32FC50EB"/>
    <w:rsid w:val="3307035C"/>
    <w:rsid w:val="3308383B"/>
    <w:rsid w:val="33137E4C"/>
    <w:rsid w:val="332E45E5"/>
    <w:rsid w:val="332F350E"/>
    <w:rsid w:val="333E139F"/>
    <w:rsid w:val="33482178"/>
    <w:rsid w:val="33551251"/>
    <w:rsid w:val="335740CC"/>
    <w:rsid w:val="33694E45"/>
    <w:rsid w:val="33745883"/>
    <w:rsid w:val="338029CF"/>
    <w:rsid w:val="33AF5B22"/>
    <w:rsid w:val="33CB6F7C"/>
    <w:rsid w:val="33CC3712"/>
    <w:rsid w:val="33D53007"/>
    <w:rsid w:val="33DC72F3"/>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D4105"/>
    <w:rsid w:val="3671165A"/>
    <w:rsid w:val="367C313C"/>
    <w:rsid w:val="368057EB"/>
    <w:rsid w:val="368F482E"/>
    <w:rsid w:val="369340CC"/>
    <w:rsid w:val="369839AE"/>
    <w:rsid w:val="36A711F2"/>
    <w:rsid w:val="36B12354"/>
    <w:rsid w:val="36B83FD2"/>
    <w:rsid w:val="36C15E10"/>
    <w:rsid w:val="36CF11F2"/>
    <w:rsid w:val="36DB4E18"/>
    <w:rsid w:val="36EA7E1E"/>
    <w:rsid w:val="36FE1B1E"/>
    <w:rsid w:val="370E14A3"/>
    <w:rsid w:val="37172BEB"/>
    <w:rsid w:val="37274929"/>
    <w:rsid w:val="373905EC"/>
    <w:rsid w:val="37480099"/>
    <w:rsid w:val="375706D4"/>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C071B7"/>
    <w:rsid w:val="39DE25B9"/>
    <w:rsid w:val="39F57CAC"/>
    <w:rsid w:val="3A007D46"/>
    <w:rsid w:val="3A0277EE"/>
    <w:rsid w:val="3A103007"/>
    <w:rsid w:val="3A200207"/>
    <w:rsid w:val="3A451307"/>
    <w:rsid w:val="3A4726C1"/>
    <w:rsid w:val="3A4E00EA"/>
    <w:rsid w:val="3A6C46CF"/>
    <w:rsid w:val="3A7035F2"/>
    <w:rsid w:val="3A844862"/>
    <w:rsid w:val="3A944C38"/>
    <w:rsid w:val="3AA17367"/>
    <w:rsid w:val="3AC2557F"/>
    <w:rsid w:val="3AD467AB"/>
    <w:rsid w:val="3AEE7DEE"/>
    <w:rsid w:val="3B022035"/>
    <w:rsid w:val="3B0D31A1"/>
    <w:rsid w:val="3B2422FF"/>
    <w:rsid w:val="3B30014A"/>
    <w:rsid w:val="3B4C739D"/>
    <w:rsid w:val="3B6A46EB"/>
    <w:rsid w:val="3B7540E8"/>
    <w:rsid w:val="3B777D29"/>
    <w:rsid w:val="3B8E5E13"/>
    <w:rsid w:val="3BA76A1B"/>
    <w:rsid w:val="3BA94B25"/>
    <w:rsid w:val="3BB1015F"/>
    <w:rsid w:val="3BB14054"/>
    <w:rsid w:val="3BDC51B3"/>
    <w:rsid w:val="3BDE0449"/>
    <w:rsid w:val="3BE5119C"/>
    <w:rsid w:val="3C1C2743"/>
    <w:rsid w:val="3C1C6EF4"/>
    <w:rsid w:val="3C2F5C04"/>
    <w:rsid w:val="3C3138CA"/>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441E01"/>
    <w:rsid w:val="3D4D4329"/>
    <w:rsid w:val="3D52034B"/>
    <w:rsid w:val="3D5960DF"/>
    <w:rsid w:val="3DC17B99"/>
    <w:rsid w:val="3DCC4D82"/>
    <w:rsid w:val="3DE510B5"/>
    <w:rsid w:val="3DE715C7"/>
    <w:rsid w:val="3DED3480"/>
    <w:rsid w:val="3DEF67E5"/>
    <w:rsid w:val="3E043F4F"/>
    <w:rsid w:val="3E046209"/>
    <w:rsid w:val="3E4949A1"/>
    <w:rsid w:val="3E501CDF"/>
    <w:rsid w:val="3E6C336E"/>
    <w:rsid w:val="3E9827B3"/>
    <w:rsid w:val="3EAB7DE0"/>
    <w:rsid w:val="3EB42296"/>
    <w:rsid w:val="3EB80971"/>
    <w:rsid w:val="3EB91C7B"/>
    <w:rsid w:val="3EBC1583"/>
    <w:rsid w:val="3EBD55B8"/>
    <w:rsid w:val="3EC251E6"/>
    <w:rsid w:val="3EC36385"/>
    <w:rsid w:val="3EC468E3"/>
    <w:rsid w:val="3EC9292E"/>
    <w:rsid w:val="3ED72878"/>
    <w:rsid w:val="3EDC057E"/>
    <w:rsid w:val="3EF761CC"/>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3E1AC4"/>
    <w:rsid w:val="404B54E1"/>
    <w:rsid w:val="40542CAB"/>
    <w:rsid w:val="406F65B5"/>
    <w:rsid w:val="40861191"/>
    <w:rsid w:val="40880BDF"/>
    <w:rsid w:val="409B5F42"/>
    <w:rsid w:val="40A5085F"/>
    <w:rsid w:val="40B83460"/>
    <w:rsid w:val="40BD5AAF"/>
    <w:rsid w:val="40EF62F8"/>
    <w:rsid w:val="41024F8B"/>
    <w:rsid w:val="4122537B"/>
    <w:rsid w:val="41366993"/>
    <w:rsid w:val="413D5580"/>
    <w:rsid w:val="416D5F36"/>
    <w:rsid w:val="41793C8A"/>
    <w:rsid w:val="41846D32"/>
    <w:rsid w:val="4199428A"/>
    <w:rsid w:val="41A0235C"/>
    <w:rsid w:val="41BD0C14"/>
    <w:rsid w:val="41CA5C68"/>
    <w:rsid w:val="41DB145C"/>
    <w:rsid w:val="41DF41DC"/>
    <w:rsid w:val="41F71EDB"/>
    <w:rsid w:val="41FD491F"/>
    <w:rsid w:val="42012231"/>
    <w:rsid w:val="420153BA"/>
    <w:rsid w:val="42463CF2"/>
    <w:rsid w:val="424E7592"/>
    <w:rsid w:val="42745D96"/>
    <w:rsid w:val="42812AB4"/>
    <w:rsid w:val="42A70B14"/>
    <w:rsid w:val="42B14241"/>
    <w:rsid w:val="42C51575"/>
    <w:rsid w:val="4307269F"/>
    <w:rsid w:val="43253A48"/>
    <w:rsid w:val="432B47C2"/>
    <w:rsid w:val="432C1F9E"/>
    <w:rsid w:val="434945A5"/>
    <w:rsid w:val="436D627C"/>
    <w:rsid w:val="437F587F"/>
    <w:rsid w:val="43862855"/>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A94CF3"/>
    <w:rsid w:val="49AF753A"/>
    <w:rsid w:val="49B72BA8"/>
    <w:rsid w:val="49BA1045"/>
    <w:rsid w:val="49BA16A6"/>
    <w:rsid w:val="49BB1726"/>
    <w:rsid w:val="49CD1731"/>
    <w:rsid w:val="49DA41D6"/>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426161"/>
    <w:rsid w:val="4B471A81"/>
    <w:rsid w:val="4B4F562E"/>
    <w:rsid w:val="4B6F467C"/>
    <w:rsid w:val="4B74031D"/>
    <w:rsid w:val="4B76577C"/>
    <w:rsid w:val="4B936E07"/>
    <w:rsid w:val="4BA06E4E"/>
    <w:rsid w:val="4BA6126A"/>
    <w:rsid w:val="4BA83ABE"/>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5D38BA"/>
    <w:rsid w:val="4D71410F"/>
    <w:rsid w:val="4D960761"/>
    <w:rsid w:val="4D9E16BC"/>
    <w:rsid w:val="4DA0412D"/>
    <w:rsid w:val="4DAA2A71"/>
    <w:rsid w:val="4DC47E6D"/>
    <w:rsid w:val="4DCB3553"/>
    <w:rsid w:val="4DDD015A"/>
    <w:rsid w:val="4DEA0679"/>
    <w:rsid w:val="4E220374"/>
    <w:rsid w:val="4E321855"/>
    <w:rsid w:val="4E3F4C54"/>
    <w:rsid w:val="4E712D50"/>
    <w:rsid w:val="4E7F0172"/>
    <w:rsid w:val="4E810DFB"/>
    <w:rsid w:val="4E861861"/>
    <w:rsid w:val="4E867E26"/>
    <w:rsid w:val="4E8F0453"/>
    <w:rsid w:val="4E9248C8"/>
    <w:rsid w:val="4EF862D1"/>
    <w:rsid w:val="4F036332"/>
    <w:rsid w:val="4F204EBC"/>
    <w:rsid w:val="4F311BA0"/>
    <w:rsid w:val="4F38154C"/>
    <w:rsid w:val="4F5B22DB"/>
    <w:rsid w:val="4F78441D"/>
    <w:rsid w:val="4F915257"/>
    <w:rsid w:val="4F9417ED"/>
    <w:rsid w:val="4FB108B4"/>
    <w:rsid w:val="4FB258F9"/>
    <w:rsid w:val="4FBA7055"/>
    <w:rsid w:val="4FBD1311"/>
    <w:rsid w:val="4FC54CEB"/>
    <w:rsid w:val="4FDA24A7"/>
    <w:rsid w:val="4FE24569"/>
    <w:rsid w:val="4FE52FA9"/>
    <w:rsid w:val="50342AA1"/>
    <w:rsid w:val="505B4514"/>
    <w:rsid w:val="506538F2"/>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B371B0"/>
    <w:rsid w:val="51CC1389"/>
    <w:rsid w:val="51E062F9"/>
    <w:rsid w:val="51E73256"/>
    <w:rsid w:val="51E94D7F"/>
    <w:rsid w:val="51EF26F7"/>
    <w:rsid w:val="520869DA"/>
    <w:rsid w:val="52087701"/>
    <w:rsid w:val="520A2B76"/>
    <w:rsid w:val="521F62AA"/>
    <w:rsid w:val="52270CB0"/>
    <w:rsid w:val="522E12B4"/>
    <w:rsid w:val="525A5607"/>
    <w:rsid w:val="5260289E"/>
    <w:rsid w:val="529963E1"/>
    <w:rsid w:val="52A62AD5"/>
    <w:rsid w:val="52AA14B9"/>
    <w:rsid w:val="52AF7893"/>
    <w:rsid w:val="52EE7217"/>
    <w:rsid w:val="52F94230"/>
    <w:rsid w:val="52FA0E63"/>
    <w:rsid w:val="530C4990"/>
    <w:rsid w:val="533A3E61"/>
    <w:rsid w:val="533C0F95"/>
    <w:rsid w:val="534F4AF8"/>
    <w:rsid w:val="535055D9"/>
    <w:rsid w:val="53523FF7"/>
    <w:rsid w:val="536A4B68"/>
    <w:rsid w:val="536C5FE3"/>
    <w:rsid w:val="537D5A7D"/>
    <w:rsid w:val="53807BD9"/>
    <w:rsid w:val="53820F43"/>
    <w:rsid w:val="53896DD9"/>
    <w:rsid w:val="539A2B8B"/>
    <w:rsid w:val="53F11A8D"/>
    <w:rsid w:val="53F8401A"/>
    <w:rsid w:val="54006754"/>
    <w:rsid w:val="540B3869"/>
    <w:rsid w:val="54147CEB"/>
    <w:rsid w:val="542441BC"/>
    <w:rsid w:val="542C110E"/>
    <w:rsid w:val="543B3CC9"/>
    <w:rsid w:val="543E164A"/>
    <w:rsid w:val="54586003"/>
    <w:rsid w:val="545D0932"/>
    <w:rsid w:val="545F1B52"/>
    <w:rsid w:val="5468342F"/>
    <w:rsid w:val="54A00546"/>
    <w:rsid w:val="54AD2461"/>
    <w:rsid w:val="54B722BA"/>
    <w:rsid w:val="54B83459"/>
    <w:rsid w:val="54B9376F"/>
    <w:rsid w:val="54BA7F0D"/>
    <w:rsid w:val="54C66634"/>
    <w:rsid w:val="54CF4FA8"/>
    <w:rsid w:val="54D72587"/>
    <w:rsid w:val="54E1404F"/>
    <w:rsid w:val="54FC0A73"/>
    <w:rsid w:val="54FE397E"/>
    <w:rsid w:val="54FF5920"/>
    <w:rsid w:val="550E35D1"/>
    <w:rsid w:val="552B01BA"/>
    <w:rsid w:val="554C6A03"/>
    <w:rsid w:val="5564200D"/>
    <w:rsid w:val="55842B5D"/>
    <w:rsid w:val="55884349"/>
    <w:rsid w:val="55974162"/>
    <w:rsid w:val="55A35523"/>
    <w:rsid w:val="55C37936"/>
    <w:rsid w:val="55C969EE"/>
    <w:rsid w:val="55F928FF"/>
    <w:rsid w:val="560754C9"/>
    <w:rsid w:val="56217029"/>
    <w:rsid w:val="5638544B"/>
    <w:rsid w:val="56405859"/>
    <w:rsid w:val="56444220"/>
    <w:rsid w:val="564C5F98"/>
    <w:rsid w:val="564D11AF"/>
    <w:rsid w:val="56857CE0"/>
    <w:rsid w:val="56D03E60"/>
    <w:rsid w:val="56D11CEF"/>
    <w:rsid w:val="56DF4C9C"/>
    <w:rsid w:val="56EF724A"/>
    <w:rsid w:val="56F624D0"/>
    <w:rsid w:val="572E17D9"/>
    <w:rsid w:val="573B6221"/>
    <w:rsid w:val="574526C2"/>
    <w:rsid w:val="574F4D30"/>
    <w:rsid w:val="576E4B41"/>
    <w:rsid w:val="57703552"/>
    <w:rsid w:val="577210B5"/>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B727D2"/>
    <w:rsid w:val="59B7353F"/>
    <w:rsid w:val="59CA4011"/>
    <w:rsid w:val="59D72AF2"/>
    <w:rsid w:val="59E76C44"/>
    <w:rsid w:val="59F034A6"/>
    <w:rsid w:val="59F43016"/>
    <w:rsid w:val="5A1E7B0E"/>
    <w:rsid w:val="5A3547C6"/>
    <w:rsid w:val="5A4F32DC"/>
    <w:rsid w:val="5A5D1513"/>
    <w:rsid w:val="5A5E1B8C"/>
    <w:rsid w:val="5A62495D"/>
    <w:rsid w:val="5A672916"/>
    <w:rsid w:val="5A7A2908"/>
    <w:rsid w:val="5A7F7766"/>
    <w:rsid w:val="5A9F4957"/>
    <w:rsid w:val="5AC667C1"/>
    <w:rsid w:val="5AE07A51"/>
    <w:rsid w:val="5AEA5BB9"/>
    <w:rsid w:val="5B197648"/>
    <w:rsid w:val="5B510484"/>
    <w:rsid w:val="5B711A98"/>
    <w:rsid w:val="5B7133CE"/>
    <w:rsid w:val="5B714BD2"/>
    <w:rsid w:val="5B762579"/>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7387C"/>
    <w:rsid w:val="5C1C13A1"/>
    <w:rsid w:val="5C3058AF"/>
    <w:rsid w:val="5C435CA8"/>
    <w:rsid w:val="5C493E9F"/>
    <w:rsid w:val="5C5C72E8"/>
    <w:rsid w:val="5C7806E2"/>
    <w:rsid w:val="5C793A2C"/>
    <w:rsid w:val="5C8401F0"/>
    <w:rsid w:val="5C9939A2"/>
    <w:rsid w:val="5C9F55FA"/>
    <w:rsid w:val="5CA10A2B"/>
    <w:rsid w:val="5CA61698"/>
    <w:rsid w:val="5CC93B7F"/>
    <w:rsid w:val="5CE03279"/>
    <w:rsid w:val="5CE81A46"/>
    <w:rsid w:val="5CFF0B78"/>
    <w:rsid w:val="5D2C56BE"/>
    <w:rsid w:val="5D2C7244"/>
    <w:rsid w:val="5D2F6940"/>
    <w:rsid w:val="5D350A87"/>
    <w:rsid w:val="5D3B38C1"/>
    <w:rsid w:val="5D440868"/>
    <w:rsid w:val="5D4B2D1B"/>
    <w:rsid w:val="5D607728"/>
    <w:rsid w:val="5D65761F"/>
    <w:rsid w:val="5D7622A6"/>
    <w:rsid w:val="5D9616AB"/>
    <w:rsid w:val="5DB46EAB"/>
    <w:rsid w:val="5DBC3BD6"/>
    <w:rsid w:val="5DBE3C41"/>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F2DFF"/>
    <w:rsid w:val="613E3197"/>
    <w:rsid w:val="6143282B"/>
    <w:rsid w:val="616D37AE"/>
    <w:rsid w:val="618E51A0"/>
    <w:rsid w:val="61904D62"/>
    <w:rsid w:val="61C232B6"/>
    <w:rsid w:val="61D11F98"/>
    <w:rsid w:val="61D6155C"/>
    <w:rsid w:val="61DA103B"/>
    <w:rsid w:val="61EA3E44"/>
    <w:rsid w:val="61F169E9"/>
    <w:rsid w:val="61FE13C0"/>
    <w:rsid w:val="62001111"/>
    <w:rsid w:val="620D063C"/>
    <w:rsid w:val="620E7C2C"/>
    <w:rsid w:val="62255802"/>
    <w:rsid w:val="623B6571"/>
    <w:rsid w:val="625F3A33"/>
    <w:rsid w:val="62745445"/>
    <w:rsid w:val="627A102D"/>
    <w:rsid w:val="629D2E88"/>
    <w:rsid w:val="62A11F0A"/>
    <w:rsid w:val="62BD413E"/>
    <w:rsid w:val="62E26A95"/>
    <w:rsid w:val="62EB5099"/>
    <w:rsid w:val="62EB5772"/>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E7F25"/>
    <w:rsid w:val="67301959"/>
    <w:rsid w:val="67430F7A"/>
    <w:rsid w:val="67436C1A"/>
    <w:rsid w:val="675D096D"/>
    <w:rsid w:val="675E415D"/>
    <w:rsid w:val="676F7492"/>
    <w:rsid w:val="67715998"/>
    <w:rsid w:val="678E63A9"/>
    <w:rsid w:val="679C261F"/>
    <w:rsid w:val="67A1713D"/>
    <w:rsid w:val="67E45C01"/>
    <w:rsid w:val="67F24AE2"/>
    <w:rsid w:val="680841F7"/>
    <w:rsid w:val="68216248"/>
    <w:rsid w:val="6832491F"/>
    <w:rsid w:val="686A5143"/>
    <w:rsid w:val="68795A22"/>
    <w:rsid w:val="687B737E"/>
    <w:rsid w:val="68865177"/>
    <w:rsid w:val="68A4304D"/>
    <w:rsid w:val="68FA6995"/>
    <w:rsid w:val="69132EF3"/>
    <w:rsid w:val="69406316"/>
    <w:rsid w:val="695C20B0"/>
    <w:rsid w:val="69624533"/>
    <w:rsid w:val="696640E7"/>
    <w:rsid w:val="697E091A"/>
    <w:rsid w:val="699A256F"/>
    <w:rsid w:val="699D197B"/>
    <w:rsid w:val="69CD0F93"/>
    <w:rsid w:val="69CE6300"/>
    <w:rsid w:val="69E24BC0"/>
    <w:rsid w:val="69FD6498"/>
    <w:rsid w:val="6A292402"/>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6304F"/>
    <w:rsid w:val="6B2C5D50"/>
    <w:rsid w:val="6B345DB3"/>
    <w:rsid w:val="6B412954"/>
    <w:rsid w:val="6B5D49E9"/>
    <w:rsid w:val="6B773B2F"/>
    <w:rsid w:val="6B7D4B3D"/>
    <w:rsid w:val="6B9769F4"/>
    <w:rsid w:val="6B994889"/>
    <w:rsid w:val="6B9C5079"/>
    <w:rsid w:val="6B9E5DA9"/>
    <w:rsid w:val="6BC63A92"/>
    <w:rsid w:val="6BDC1E93"/>
    <w:rsid w:val="6BE51391"/>
    <w:rsid w:val="6BEA02EE"/>
    <w:rsid w:val="6BFC1D45"/>
    <w:rsid w:val="6C07391E"/>
    <w:rsid w:val="6C0B0D2C"/>
    <w:rsid w:val="6C1741DA"/>
    <w:rsid w:val="6C235DEB"/>
    <w:rsid w:val="6C585147"/>
    <w:rsid w:val="6C58715E"/>
    <w:rsid w:val="6CA0671C"/>
    <w:rsid w:val="6CBE702B"/>
    <w:rsid w:val="6CCA2865"/>
    <w:rsid w:val="6CCD3E40"/>
    <w:rsid w:val="6CD4538A"/>
    <w:rsid w:val="6CF35583"/>
    <w:rsid w:val="6D372015"/>
    <w:rsid w:val="6D5A49E6"/>
    <w:rsid w:val="6D61769D"/>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D94A7F"/>
    <w:rsid w:val="6EDA001F"/>
    <w:rsid w:val="6EFB6D13"/>
    <w:rsid w:val="6EFD5BBE"/>
    <w:rsid w:val="6F211D2D"/>
    <w:rsid w:val="6F281BA4"/>
    <w:rsid w:val="6F327323"/>
    <w:rsid w:val="6F333990"/>
    <w:rsid w:val="6F4540F7"/>
    <w:rsid w:val="6F4D09C5"/>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67730"/>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9039C"/>
    <w:rsid w:val="74CC22DB"/>
    <w:rsid w:val="74F24729"/>
    <w:rsid w:val="75016EBB"/>
    <w:rsid w:val="75032CD9"/>
    <w:rsid w:val="751C200C"/>
    <w:rsid w:val="751C4B39"/>
    <w:rsid w:val="75232FBB"/>
    <w:rsid w:val="75384AEE"/>
    <w:rsid w:val="754619E4"/>
    <w:rsid w:val="754C176F"/>
    <w:rsid w:val="755F6421"/>
    <w:rsid w:val="75613442"/>
    <w:rsid w:val="75710894"/>
    <w:rsid w:val="75952898"/>
    <w:rsid w:val="759C243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F3C09"/>
    <w:rsid w:val="769B523C"/>
    <w:rsid w:val="76AA435E"/>
    <w:rsid w:val="76DD306E"/>
    <w:rsid w:val="76DE47A6"/>
    <w:rsid w:val="76E24B77"/>
    <w:rsid w:val="76E359D6"/>
    <w:rsid w:val="76FB0900"/>
    <w:rsid w:val="77095357"/>
    <w:rsid w:val="771529E6"/>
    <w:rsid w:val="77197998"/>
    <w:rsid w:val="77200066"/>
    <w:rsid w:val="772A70BA"/>
    <w:rsid w:val="773A3DD5"/>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B4CA7"/>
    <w:rsid w:val="79566F7E"/>
    <w:rsid w:val="796D7D49"/>
    <w:rsid w:val="7976514A"/>
    <w:rsid w:val="79771BA0"/>
    <w:rsid w:val="79832A24"/>
    <w:rsid w:val="79921CEE"/>
    <w:rsid w:val="79992114"/>
    <w:rsid w:val="79A42A47"/>
    <w:rsid w:val="79C63EB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760982"/>
    <w:rsid w:val="7A7A0FB7"/>
    <w:rsid w:val="7A9202CE"/>
    <w:rsid w:val="7A9579F8"/>
    <w:rsid w:val="7AA30AEA"/>
    <w:rsid w:val="7AB92960"/>
    <w:rsid w:val="7AC4522C"/>
    <w:rsid w:val="7AD77726"/>
    <w:rsid w:val="7ADC38AB"/>
    <w:rsid w:val="7AE860BA"/>
    <w:rsid w:val="7AFD3C43"/>
    <w:rsid w:val="7B112691"/>
    <w:rsid w:val="7B192531"/>
    <w:rsid w:val="7B5D7B42"/>
    <w:rsid w:val="7B9B1BC8"/>
    <w:rsid w:val="7B9B3CBB"/>
    <w:rsid w:val="7BDC0132"/>
    <w:rsid w:val="7BE02A78"/>
    <w:rsid w:val="7BE76085"/>
    <w:rsid w:val="7C036FDE"/>
    <w:rsid w:val="7C0861D3"/>
    <w:rsid w:val="7C140B9D"/>
    <w:rsid w:val="7C141C87"/>
    <w:rsid w:val="7C4910B6"/>
    <w:rsid w:val="7C5400A0"/>
    <w:rsid w:val="7C611C8A"/>
    <w:rsid w:val="7C7239A7"/>
    <w:rsid w:val="7C9D40C0"/>
    <w:rsid w:val="7CA24D05"/>
    <w:rsid w:val="7CB845D8"/>
    <w:rsid w:val="7CC1606D"/>
    <w:rsid w:val="7CC16636"/>
    <w:rsid w:val="7CE62404"/>
    <w:rsid w:val="7CEA24B7"/>
    <w:rsid w:val="7CED1CBB"/>
    <w:rsid w:val="7CFB2513"/>
    <w:rsid w:val="7D0514B5"/>
    <w:rsid w:val="7D0D6618"/>
    <w:rsid w:val="7D2B29DB"/>
    <w:rsid w:val="7D2D0AF4"/>
    <w:rsid w:val="7D477A27"/>
    <w:rsid w:val="7D496B03"/>
    <w:rsid w:val="7D557414"/>
    <w:rsid w:val="7D5E3508"/>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646BC3"/>
    <w:rsid w:val="7F7C6DD4"/>
    <w:rsid w:val="7F8E5D15"/>
    <w:rsid w:val="7F9031EA"/>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qFormat/>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1563</Words>
  <Characters>1666</Characters>
  <Lines>0</Lines>
  <Paragraphs>0</Paragraphs>
  <TotalTime>83</TotalTime>
  <ScaleCrop>false</ScaleCrop>
  <LinksUpToDate>false</LinksUpToDate>
  <CharactersWithSpaces>1681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杨铖</cp:lastModifiedBy>
  <dcterms:modified xsi:type="dcterms:W3CDTF">2025-08-28T08:43:39Z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291A538A103D478FA0897EBA1E611706</vt:lpwstr>
  </property>
  <property fmtid="{D5CDD505-2E9C-101B-9397-08002B2CF9AE}" pid="4" name="KSOTemplateDocerSaveRecord">
    <vt:lpwstr>eyJoZGlkIjoiMDJhNTViZDBlMGRkNTk1ODM1YTQ2YTQ5ODlhNmFlNDkiLCJ1c2VySWQiOiIzNTY3NjczNTgifQ==</vt:lpwstr>
  </property>
</Properties>
</file>