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</w:pPr>
      <w:r>
        <w:rPr>
          <w:rFonts w:hint="eastAsia" w:ascii="宋体" w:hAnsi="宋体" w:cs="Times New Roman"/>
          <w:b/>
          <w:sz w:val="28"/>
          <w:szCs w:val="28"/>
        </w:rPr>
        <w:t>报价文件组成：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报价单、</w:t>
      </w:r>
      <w:r>
        <w:rPr>
          <w:rFonts w:hAnsi="宋体" w:cs="Times New Roman"/>
          <w:b w:val="0"/>
          <w:bCs/>
          <w:sz w:val="28"/>
          <w:szCs w:val="28"/>
        </w:rPr>
        <w:t>技术偏离表</w:t>
      </w:r>
      <w:r>
        <w:rPr>
          <w:rFonts w:hint="eastAsia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营业执照复印件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  <w:lang w:val="en-US" w:eastAsia="zh-CN"/>
        </w:rPr>
        <w:t>过往同类产品销售业绩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。</w:t>
      </w:r>
    </w:p>
    <w:p>
      <w:pPr>
        <w:pStyle w:val="2"/>
        <w:widowControl w:val="0"/>
        <w:ind w:firstLine="562"/>
        <w:jc w:val="center"/>
        <w:rPr>
          <w:rFonts w:hint="eastAsia" w:hAnsi="宋体"/>
          <w:b/>
          <w:sz w:val="28"/>
          <w:lang w:eastAsia="zh-CN"/>
        </w:rPr>
      </w:pPr>
    </w:p>
    <w:p>
      <w:pPr>
        <w:pStyle w:val="2"/>
        <w:widowControl w:val="0"/>
        <w:ind w:firstLine="562"/>
        <w:jc w:val="center"/>
        <w:rPr>
          <w:rFonts w:hAnsi="宋体"/>
          <w:b/>
          <w:sz w:val="24"/>
        </w:rPr>
      </w:pPr>
      <w:r>
        <w:rPr>
          <w:rFonts w:hint="eastAsia" w:hAnsi="宋体"/>
          <w:b/>
          <w:sz w:val="28"/>
          <w:lang w:eastAsia="zh-CN"/>
        </w:rPr>
        <w:t>一、</w:t>
      </w:r>
      <w:r>
        <w:rPr>
          <w:rFonts w:hint="eastAsia" w:hAnsi="宋体"/>
          <w:b/>
          <w:sz w:val="28"/>
        </w:rPr>
        <w:t>报价</w:t>
      </w:r>
      <w:r>
        <w:rPr>
          <w:rFonts w:hint="eastAsia" w:hAnsi="宋体"/>
          <w:b/>
          <w:sz w:val="28"/>
          <w:lang w:eastAsia="zh-CN"/>
        </w:rPr>
        <w:t>单</w:t>
      </w:r>
    </w:p>
    <w:p>
      <w:pPr>
        <w:rPr>
          <w:rFonts w:ascii="宋体" w:hAnsi="宋体" w:cs="Times New Roman"/>
          <w:b/>
          <w:sz w:val="24"/>
        </w:rPr>
      </w:pPr>
    </w:p>
    <w:p>
      <w:pPr>
        <w:ind w:firstLine="200"/>
        <w:rPr>
          <w:rFonts w:hint="eastAsia" w:ascii="宋体" w:hAnsi="宋体" w:eastAsia="宋体" w:cs="Times New Roman"/>
          <w:color w:val="000000"/>
          <w:sz w:val="24"/>
          <w:u w:val="single"/>
          <w:shd w:val="pct10" w:color="auto" w:fill="FFFFFF"/>
          <w:lang w:eastAsia="zh-CN"/>
        </w:rPr>
      </w:pPr>
      <w:r>
        <w:rPr>
          <w:rFonts w:hint="eastAsia" w:ascii="宋体" w:hAnsi="宋体" w:cs="Times New Roman"/>
          <w:color w:val="000000"/>
          <w:sz w:val="24"/>
        </w:rPr>
        <w:t>标</w:t>
      </w:r>
      <w:r>
        <w:rPr>
          <w:rFonts w:hint="eastAsia" w:ascii="宋体" w:hAnsi="宋体" w:cs="Times New Roman"/>
          <w:color w:val="000000"/>
          <w:sz w:val="24"/>
          <w:lang w:eastAsia="zh-CN"/>
        </w:rPr>
        <w:t>的</w:t>
      </w:r>
      <w:r>
        <w:rPr>
          <w:rFonts w:hint="eastAsia" w:ascii="宋体" w:hAnsi="宋体" w:cs="Times New Roman"/>
          <w:color w:val="000000"/>
          <w:sz w:val="24"/>
        </w:rPr>
        <w:t>(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>1</w:t>
      </w:r>
      <w:r>
        <w:rPr>
          <w:rFonts w:hint="eastAsia" w:ascii="宋体" w:hAnsi="宋体" w:cs="Times New Roman"/>
          <w:color w:val="000000"/>
          <w:sz w:val="24"/>
        </w:rPr>
        <w:t>)：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  <w:lang w:eastAsia="zh-CN"/>
        </w:rPr>
        <w:t>2025年来宾供电局通信调度软交换服务器修理服务</w:t>
      </w: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1  价格总表                                            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 xml:space="preserve">            </w:t>
      </w:r>
      <w:r>
        <w:rPr>
          <w:rFonts w:hint="eastAsia" w:ascii="宋体" w:hAnsi="宋体" w:cs="Times New Roman"/>
          <w:color w:val="000000"/>
          <w:sz w:val="24"/>
        </w:rPr>
        <w:t xml:space="preserve"> 单位：元</w:t>
      </w:r>
    </w:p>
    <w:tbl>
      <w:tblPr>
        <w:tblStyle w:val="4"/>
        <w:tblW w:w="10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12"/>
        <w:gridCol w:w="1823"/>
        <w:gridCol w:w="81"/>
        <w:gridCol w:w="1437"/>
        <w:gridCol w:w="892"/>
        <w:gridCol w:w="726"/>
        <w:gridCol w:w="871"/>
        <w:gridCol w:w="1045"/>
        <w:gridCol w:w="1296"/>
        <w:gridCol w:w="1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3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序号</w:t>
            </w:r>
          </w:p>
        </w:tc>
        <w:tc>
          <w:tcPr>
            <w:tcW w:w="1823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Times New Roman"/>
                <w:sz w:val="24"/>
              </w:rPr>
              <w:t>名称</w:t>
            </w:r>
          </w:p>
        </w:tc>
        <w:tc>
          <w:tcPr>
            <w:tcW w:w="1518" w:type="dxa"/>
            <w:gridSpan w:val="2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货物名称</w:t>
            </w:r>
          </w:p>
        </w:tc>
        <w:tc>
          <w:tcPr>
            <w:tcW w:w="892" w:type="dxa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型号规格</w:t>
            </w:r>
          </w:p>
        </w:tc>
        <w:tc>
          <w:tcPr>
            <w:tcW w:w="726" w:type="dxa"/>
            <w:vAlign w:val="center"/>
          </w:tcPr>
          <w:p>
            <w:pPr>
              <w:rPr>
                <w:rFonts w:ascii="宋体" w:hAnsi="宋体" w:cs="Times New Roman"/>
                <w:color w:val="auto"/>
                <w:sz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</w:rPr>
              <w:t>数量</w:t>
            </w:r>
          </w:p>
        </w:tc>
        <w:tc>
          <w:tcPr>
            <w:tcW w:w="871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单位</w:t>
            </w:r>
          </w:p>
        </w:tc>
        <w:tc>
          <w:tcPr>
            <w:tcW w:w="1045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单价</w:t>
            </w:r>
          </w:p>
        </w:tc>
        <w:tc>
          <w:tcPr>
            <w:tcW w:w="1296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合价</w:t>
            </w:r>
          </w:p>
        </w:tc>
        <w:tc>
          <w:tcPr>
            <w:tcW w:w="1297" w:type="dxa"/>
          </w:tcPr>
          <w:p>
            <w:pPr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生产厂家或品牌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1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2025-2026年来宾供电局通信设备及仪器仪表维修项目</w:t>
            </w:r>
          </w:p>
        </w:tc>
        <w:tc>
          <w:tcPr>
            <w:tcW w:w="1518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2025年来宾供电局通信调度软交换服务器修理服务</w:t>
            </w:r>
          </w:p>
        </w:tc>
        <w:tc>
          <w:tcPr>
            <w:tcW w:w="8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SW9112</w:t>
            </w:r>
          </w:p>
        </w:tc>
        <w:tc>
          <w:tcPr>
            <w:tcW w:w="72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2</w:t>
            </w:r>
          </w:p>
        </w:tc>
        <w:tc>
          <w:tcPr>
            <w:tcW w:w="8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台</w:t>
            </w:r>
          </w:p>
        </w:tc>
        <w:tc>
          <w:tcPr>
            <w:tcW w:w="1045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296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297" w:type="dxa"/>
            <w:vAlign w:val="center"/>
          </w:tcPr>
          <w:p>
            <w:pPr>
              <w:ind w:left="146"/>
              <w:jc w:val="center"/>
              <w:rPr>
                <w:rFonts w:hint="default" w:ascii="宋体" w:hAnsi="宋体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  <w:tc>
          <w:tcPr>
            <w:tcW w:w="8171" w:type="dxa"/>
            <w:gridSpan w:val="8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总报</w:t>
            </w:r>
            <w:r>
              <w:rPr>
                <w:rFonts w:hint="eastAsia" w:ascii="宋体" w:hAnsi="宋体" w:cs="Times New Roman"/>
                <w:b/>
                <w:sz w:val="24"/>
              </w:rPr>
              <w:t>价（小写）：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￥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lang w:val="en-US" w:eastAsia="zh-CN"/>
              </w:rPr>
              <w:t>XXXX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元　　　（含增值税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  <w:lang w:val="en-US" w:eastAsia="zh-CN"/>
              </w:rPr>
              <w:t>XXX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%）</w:t>
            </w:r>
          </w:p>
        </w:tc>
        <w:tc>
          <w:tcPr>
            <w:tcW w:w="1297" w:type="dxa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9468" w:type="dxa"/>
            <w:gridSpan w:val="9"/>
            <w:vAlign w:val="center"/>
          </w:tcPr>
          <w:p>
            <w:pPr>
              <w:rPr>
                <w:rFonts w:hint="default" w:ascii="宋体" w:hAnsi="宋体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总</w:t>
            </w:r>
            <w:r>
              <w:rPr>
                <w:rFonts w:hint="eastAsia" w:ascii="宋体" w:hAnsi="宋体"/>
                <w:b/>
                <w:sz w:val="24"/>
              </w:rPr>
              <w:t>报</w:t>
            </w:r>
            <w:r>
              <w:rPr>
                <w:rFonts w:hint="eastAsia" w:ascii="宋体" w:hAnsi="宋体" w:cs="Times New Roman"/>
                <w:b/>
                <w:sz w:val="24"/>
              </w:rPr>
              <w:t>价（大写）：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</w:rPr>
              <w:t>人民币</w:t>
            </w:r>
            <w:r>
              <w:rPr>
                <w:rFonts w:hint="eastAsia" w:ascii="宋体" w:hAnsi="宋体" w:cs="Times New Roman"/>
                <w:b/>
                <w:sz w:val="24"/>
                <w:highlight w:val="yellow"/>
                <w:lang w:val="en-US" w:eastAsia="zh-CN"/>
              </w:rPr>
              <w:t>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交货时间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收到成交通知书后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  <w:u w:val="single"/>
                <w:lang w:val="en-US" w:eastAsia="zh-CN"/>
              </w:rPr>
              <w:t>15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Times New Roman"/>
                <w:sz w:val="24"/>
              </w:rPr>
              <w:t>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1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交货地点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</w:tr>
    </w:tbl>
    <w:p>
      <w:pPr>
        <w:rPr>
          <w:rFonts w:ascii="宋体" w:hAnsi="宋体" w:cs="Times New Roman"/>
          <w:color w:val="000000"/>
          <w:sz w:val="24"/>
        </w:rPr>
      </w:pP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</w:rPr>
      </w:pPr>
      <w:r>
        <w:rPr>
          <w:rFonts w:hint="eastAsia" w:ascii="宋体" w:hAnsi="宋体"/>
          <w:color w:val="000000"/>
          <w:sz w:val="24"/>
          <w:highlight w:val="yellow"/>
        </w:rPr>
        <w:t>供应商</w:t>
      </w:r>
      <w:r>
        <w:rPr>
          <w:rFonts w:hint="eastAsia" w:ascii="宋体" w:hAnsi="宋体" w:cs="Times New Roman"/>
          <w:color w:val="000000"/>
          <w:sz w:val="24"/>
          <w:highlight w:val="yellow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highlight w:val="yellow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>）</w:t>
      </w: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highlight w:val="yellow"/>
          <w:u w:val="none"/>
          <w:lang w:eastAsia="zh-CN"/>
        </w:rPr>
        <w:t>联系人：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  <w:t xml:space="preserve">                                </w:t>
      </w:r>
    </w:p>
    <w:p>
      <w:pP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highlight w:val="yellow"/>
          <w:u w:val="none"/>
          <w:lang w:val="en-US" w:eastAsia="zh-CN"/>
        </w:rPr>
        <w:t>联系电话：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  <w:lang w:val="en-US" w:eastAsia="zh-CN"/>
        </w:rPr>
        <w:t xml:space="preserve">                              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注：1、表中单价为固定综合单价，含货物价格（含备品备件和专用工具）和技术资料、培训、验收检测等技术服务费用，以及货物的税费、运杂费、保险费、装卸费、监造（如有）、合同履行期间的物价上涨、企业正常的营业利润等费用。</w:t>
      </w: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2、本项目要求按不同的工程项目分别开具增值税发票。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3、必须写明所有报价设备品牌及</w:t>
      </w:r>
      <w:r>
        <w:rPr>
          <w:rFonts w:hint="eastAsia" w:ascii="宋体" w:hAnsi="宋体" w:cs="Times New Roman"/>
          <w:b/>
          <w:color w:val="FF0000"/>
          <w:sz w:val="24"/>
        </w:rPr>
        <w:t>具体产品的实际规格型号（报价</w:t>
      </w:r>
      <w:r>
        <w:rPr>
          <w:rFonts w:hint="eastAsia" w:ascii="宋体" w:hAnsi="宋体" w:cs="Times New Roman"/>
          <w:b/>
          <w:color w:val="FF0000"/>
          <w:sz w:val="24"/>
          <w:lang w:eastAsia="zh-CN"/>
        </w:rPr>
        <w:t>单</w:t>
      </w:r>
      <w:r>
        <w:rPr>
          <w:rFonts w:hint="eastAsia" w:ascii="宋体" w:hAnsi="宋体" w:cs="Times New Roman"/>
          <w:b/>
          <w:color w:val="FF0000"/>
          <w:sz w:val="24"/>
        </w:rPr>
        <w:t>型号规格填报不应出现“详见技术规范书”无具体规格型号的填报形式）</w:t>
      </w:r>
      <w:r>
        <w:rPr>
          <w:rFonts w:hint="eastAsia" w:ascii="宋体" w:hAnsi="宋体" w:cs="Times New Roman"/>
          <w:sz w:val="24"/>
        </w:rPr>
        <w:t>，交货时间需满足附件清单交货时间要求，根据自己的实际供货情况填写具体的最快交货时间。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  <w:lang w:val="en-US" w:eastAsia="zh-CN"/>
        </w:rPr>
        <w:t>4</w:t>
      </w:r>
      <w:r>
        <w:rPr>
          <w:rFonts w:hint="eastAsia" w:ascii="宋体" w:hAnsi="宋体" w:cs="Times New Roman"/>
          <w:color w:val="000000"/>
          <w:sz w:val="24"/>
        </w:rPr>
        <w:t>、若设备价格中包含备品备件、专用工具和仪器仪表、进口件的价格，则必须填写第2项－分项报价表</w:t>
      </w: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2  分项报价表：                                                单位：元</w:t>
      </w:r>
    </w:p>
    <w:tbl>
      <w:tblPr>
        <w:tblStyle w:val="4"/>
        <w:tblW w:w="9193" w:type="dxa"/>
        <w:tblInd w:w="15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1455"/>
        <w:gridCol w:w="1605"/>
        <w:gridCol w:w="1080"/>
        <w:gridCol w:w="720"/>
        <w:gridCol w:w="720"/>
        <w:gridCol w:w="1080"/>
        <w:gridCol w:w="900"/>
        <w:gridCol w:w="109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序号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工程名称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货物名称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型号规格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单位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数量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出厂单价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合价</w:t>
            </w:r>
          </w:p>
        </w:tc>
        <w:tc>
          <w:tcPr>
            <w:tcW w:w="1093" w:type="dxa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制造厂家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atLeast"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</w:rPr>
              <w:t>1</w:t>
            </w:r>
          </w:p>
        </w:tc>
        <w:tc>
          <w:tcPr>
            <w:tcW w:w="1455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2025-2026年来宾供电局通信设备及仪器仪表维修项目</w:t>
            </w:r>
          </w:p>
        </w:tc>
        <w:tc>
          <w:tcPr>
            <w:tcW w:w="1605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2025年来宾供电局通信调度软交换服务器修理服务</w:t>
            </w: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SW9112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2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台</w:t>
            </w:r>
          </w:p>
        </w:tc>
        <w:tc>
          <w:tcPr>
            <w:tcW w:w="1080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900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  <w:tc>
          <w:tcPr>
            <w:tcW w:w="1093" w:type="dxa"/>
            <w:vAlign w:val="center"/>
          </w:tcPr>
          <w:p>
            <w:pPr>
              <w:ind w:left="146" w:leftChars="0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sz w:val="24"/>
                <w:highlight w:val="yellow"/>
                <w:lang w:val="en-US" w:eastAsia="zh-CN"/>
              </w:rPr>
              <w:t>XXX</w:t>
            </w:r>
          </w:p>
        </w:tc>
      </w:tr>
    </w:tbl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注：1、本表适用于备品备件、专用工具、仪器仪表和进口件的报价。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    2、本表中的分项内容应与供货范围的分项内容一致。</w:t>
      </w:r>
    </w:p>
    <w:p>
      <w:pPr>
        <w:spacing w:line="240" w:lineRule="auto"/>
        <w:rPr>
          <w:rFonts w:ascii="宋体" w:hAnsi="宋体" w:cs="Times New Roman"/>
          <w:color w:val="000000"/>
          <w:sz w:val="24"/>
        </w:rPr>
      </w:pPr>
    </w:p>
    <w:p>
      <w:pPr>
        <w:ind w:firstLine="3840" w:firstLineChars="1600"/>
        <w:rPr>
          <w:rFonts w:ascii="宋体" w:hAnsi="宋体" w:cs="Times New Roman"/>
          <w:color w:val="000000"/>
          <w:sz w:val="24"/>
          <w:highlight w:val="yellow"/>
          <w:u w:val="single"/>
        </w:rPr>
      </w:pPr>
      <w:r>
        <w:rPr>
          <w:rFonts w:hint="eastAsia" w:ascii="宋体" w:hAnsi="宋体"/>
          <w:color w:val="000000"/>
          <w:sz w:val="24"/>
        </w:rPr>
        <w:t>供应商</w:t>
      </w:r>
      <w:r>
        <w:rPr>
          <w:rFonts w:hint="eastAsia" w:ascii="宋体" w:hAnsi="宋体" w:cs="Times New Roman"/>
          <w:color w:val="000000"/>
          <w:sz w:val="24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highlight w:val="yellow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highlight w:val="yellow"/>
          <w:u w:val="single"/>
        </w:rPr>
        <w:t>）</w:t>
      </w:r>
    </w:p>
    <w:p>
      <w:pPr>
        <w:pStyle w:val="2"/>
        <w:ind w:left="-357" w:leftChars="-170" w:firstLine="354" w:firstLineChars="147"/>
        <w:rPr>
          <w:rFonts w:hint="eastAsia" w:hAnsi="宋体" w:cs="Times New Roman"/>
          <w:b/>
          <w:sz w:val="24"/>
          <w:szCs w:val="20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ind w:left="-357" w:leftChars="-170" w:firstLine="413" w:firstLineChars="147"/>
        <w:jc w:val="center"/>
        <w:rPr>
          <w:rFonts w:hAnsi="宋体" w:cs="Times New Roman"/>
          <w:b/>
          <w:sz w:val="28"/>
          <w:szCs w:val="28"/>
        </w:rPr>
      </w:pPr>
      <w:r>
        <w:rPr>
          <w:rFonts w:hint="eastAsia" w:hAnsi="宋体" w:cs="Times New Roman"/>
          <w:b/>
          <w:sz w:val="28"/>
          <w:szCs w:val="28"/>
          <w:lang w:eastAsia="zh-CN"/>
        </w:rPr>
        <w:t>二、</w:t>
      </w:r>
      <w:r>
        <w:rPr>
          <w:rFonts w:hAnsi="宋体" w:cs="Times New Roman"/>
          <w:b/>
          <w:sz w:val="28"/>
          <w:szCs w:val="28"/>
        </w:rPr>
        <w:t>技术偏离表</w:t>
      </w:r>
    </w:p>
    <w:p>
      <w:pPr>
        <w:pStyle w:val="2"/>
        <w:ind w:firstLine="240" w:firstLineChars="10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 xml:space="preserve">  请按所投产品的实际技术参数，逐条对应采购文件的“货物需求一览表”中要求的技术规范认真填写该表，该表不能作为所投产品的技术文件，供应商应在报价文件中单独提供技术文件。</w:t>
      </w:r>
    </w:p>
    <w:tbl>
      <w:tblPr>
        <w:tblStyle w:val="4"/>
        <w:tblW w:w="95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359"/>
        <w:gridCol w:w="2410"/>
        <w:gridCol w:w="2498"/>
        <w:gridCol w:w="14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772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项号</w:t>
            </w:r>
          </w:p>
        </w:tc>
        <w:tc>
          <w:tcPr>
            <w:tcW w:w="2359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货物（服务）名称</w:t>
            </w:r>
          </w:p>
        </w:tc>
        <w:tc>
          <w:tcPr>
            <w:tcW w:w="2410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采购规格</w:t>
            </w:r>
          </w:p>
        </w:tc>
        <w:tc>
          <w:tcPr>
            <w:tcW w:w="2498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报价规格</w:t>
            </w:r>
          </w:p>
        </w:tc>
        <w:tc>
          <w:tcPr>
            <w:tcW w:w="1484" w:type="dxa"/>
            <w:vAlign w:val="center"/>
          </w:tcPr>
          <w:p>
            <w:pPr>
              <w:pStyle w:val="2"/>
              <w:spacing w:line="400" w:lineRule="exact"/>
              <w:ind w:firstLine="0" w:firstLineChars="0"/>
              <w:jc w:val="center"/>
              <w:rPr>
                <w:rFonts w:hAnsi="宋体" w:cs="Times New Roman"/>
                <w:sz w:val="24"/>
                <w:szCs w:val="24"/>
              </w:rPr>
            </w:pPr>
            <w:r>
              <w:rPr>
                <w:rFonts w:hAnsi="宋体" w:cs="Times New Roman"/>
                <w:sz w:val="24"/>
                <w:szCs w:val="24"/>
              </w:rPr>
              <w:t>偏离说明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77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59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Times New Roman"/>
                <w:sz w:val="24"/>
                <w:lang w:eastAsia="zh-CN"/>
              </w:rPr>
              <w:t>2025年来宾供电局通信</w:t>
            </w:r>
            <w:bookmarkStart w:id="0" w:name="_GoBack"/>
            <w:bookmarkEnd w:id="0"/>
            <w:r>
              <w:rPr>
                <w:rFonts w:hint="eastAsia" w:ascii="宋体" w:hAnsi="宋体" w:cs="Times New Roman"/>
                <w:sz w:val="24"/>
                <w:lang w:eastAsia="zh-CN"/>
              </w:rPr>
              <w:t>调度软交换服务器修理服务</w:t>
            </w:r>
          </w:p>
        </w:tc>
        <w:tc>
          <w:tcPr>
            <w:tcW w:w="24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249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Ansi="宋体" w:cs="Times New Roman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0" w:firstLineChars="0"/>
              <w:jc w:val="center"/>
              <w:textAlignment w:val="auto"/>
              <w:rPr>
                <w:rFonts w:hint="eastAsia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hAnsi="宋体" w:cs="Times New Roman"/>
                <w:sz w:val="24"/>
                <w:szCs w:val="24"/>
                <w:lang w:eastAsia="zh-CN"/>
              </w:rPr>
              <w:t>无偏离</w:t>
            </w:r>
          </w:p>
        </w:tc>
      </w:tr>
    </w:tbl>
    <w:p>
      <w:pPr>
        <w:pStyle w:val="2"/>
        <w:ind w:firstLine="480"/>
        <w:rPr>
          <w:rFonts w:hAnsi="宋体" w:cs="Times New Roman"/>
          <w:sz w:val="24"/>
          <w:szCs w:val="24"/>
        </w:rPr>
      </w:pPr>
      <w:r>
        <w:rPr>
          <w:rFonts w:hAnsi="宋体" w:cs="Times New Roman"/>
          <w:sz w:val="24"/>
          <w:szCs w:val="24"/>
        </w:rPr>
        <w:t>注：“偏离”系指“正偏离” 、“负偏离”或 “无偏离”。</w:t>
      </w:r>
    </w:p>
    <w:p>
      <w:pPr>
        <w:pStyle w:val="2"/>
        <w:ind w:firstLine="480"/>
        <w:rPr>
          <w:rFonts w:hAnsi="宋体" w:cs="Times New Roman"/>
          <w:sz w:val="24"/>
          <w:szCs w:val="24"/>
        </w:rPr>
      </w:pPr>
    </w:p>
    <w:p>
      <w:pPr>
        <w:spacing w:line="440" w:lineRule="exact"/>
        <w:ind w:firstLine="3480" w:firstLineChars="1450"/>
        <w:rPr>
          <w:rFonts w:ascii="宋体" w:hAnsi="宋体" w:cs="Times New Roman"/>
          <w:sz w:val="24"/>
          <w:szCs w:val="24"/>
          <w:highlight w:val="yellow"/>
          <w:u w:val="single"/>
        </w:rPr>
      </w:pPr>
      <w:r>
        <w:rPr>
          <w:rFonts w:hint="eastAsia"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</w:t>
      </w:r>
      <w:r>
        <w:rPr>
          <w:rFonts w:hint="eastAsia" w:ascii="宋体" w:hAnsi="宋体"/>
          <w:sz w:val="24"/>
          <w:szCs w:val="24"/>
          <w:highlight w:val="yellow"/>
          <w:lang w:val="en-US" w:eastAsia="zh-CN"/>
        </w:rPr>
        <w:t xml:space="preserve">  </w:t>
      </w:r>
      <w:r>
        <w:rPr>
          <w:rFonts w:ascii="宋体" w:hAnsi="宋体"/>
          <w:sz w:val="24"/>
          <w:szCs w:val="24"/>
          <w:highlight w:val="yellow"/>
        </w:rPr>
        <w:t>供应商</w:t>
      </w:r>
      <w:r>
        <w:rPr>
          <w:rFonts w:hint="eastAsia" w:ascii="宋体" w:hAnsi="宋体" w:cs="Times New Roman"/>
          <w:sz w:val="24"/>
          <w:szCs w:val="24"/>
          <w:highlight w:val="yellow"/>
        </w:rPr>
        <w:t>：</w:t>
      </w:r>
      <w:r>
        <w:rPr>
          <w:rFonts w:hint="eastAsia" w:ascii="宋体" w:hAnsi="宋体" w:cs="Times New Roman"/>
          <w:sz w:val="24"/>
          <w:szCs w:val="24"/>
          <w:highlight w:val="yellow"/>
          <w:u w:val="single"/>
        </w:rPr>
        <w:t>（单位名称）</w:t>
      </w:r>
      <w:r>
        <w:rPr>
          <w:rFonts w:ascii="宋体" w:hAnsi="宋体" w:cs="Times New Roman"/>
          <w:sz w:val="24"/>
          <w:szCs w:val="24"/>
          <w:highlight w:val="yellow"/>
          <w:u w:val="single"/>
        </w:rPr>
        <w:t>（</w:t>
      </w:r>
      <w:r>
        <w:rPr>
          <w:rFonts w:hint="eastAsia" w:hAnsi="宋体"/>
          <w:color w:val="000000"/>
          <w:sz w:val="24"/>
          <w:szCs w:val="24"/>
          <w:highlight w:val="yellow"/>
          <w:u w:val="single"/>
        </w:rPr>
        <w:t>盖章</w:t>
      </w:r>
      <w:r>
        <w:rPr>
          <w:rFonts w:ascii="宋体" w:hAnsi="宋体" w:cs="Times New Roman"/>
          <w:sz w:val="24"/>
          <w:szCs w:val="24"/>
          <w:highlight w:val="yellow"/>
          <w:u w:val="single"/>
        </w:rPr>
        <w:t>）</w:t>
      </w: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  <w:highlight w:val="yellow"/>
          <w:lang w:val="en-US" w:eastAsia="zh-CN"/>
        </w:rPr>
      </w:pPr>
      <w:r>
        <w:rPr>
          <w:rFonts w:hint="eastAsia" w:hAnsi="宋体"/>
          <w:sz w:val="24"/>
          <w:szCs w:val="24"/>
          <w:highlight w:val="yellow"/>
        </w:rPr>
        <w:t xml:space="preserve">                   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                  </w:t>
      </w:r>
    </w:p>
    <w:p>
      <w:pPr>
        <w:pStyle w:val="2"/>
        <w:tabs>
          <w:tab w:val="left" w:pos="2127"/>
        </w:tabs>
        <w:ind w:firstLine="5760" w:firstLineChars="240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highlight w:val="yellow"/>
        </w:rPr>
        <w:t xml:space="preserve"> </w:t>
      </w:r>
      <w:r>
        <w:rPr>
          <w:rFonts w:hAnsi="宋体"/>
          <w:sz w:val="24"/>
          <w:szCs w:val="24"/>
          <w:highlight w:val="yellow"/>
        </w:rPr>
        <w:t>日期: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  </w:t>
      </w:r>
      <w:r>
        <w:rPr>
          <w:rFonts w:hint="eastAsia" w:hAnsi="宋体"/>
          <w:sz w:val="24"/>
          <w:szCs w:val="24"/>
          <w:highlight w:val="yellow"/>
        </w:rPr>
        <w:t>年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</w:t>
      </w:r>
      <w:r>
        <w:rPr>
          <w:rFonts w:hint="eastAsia" w:hAnsi="宋体"/>
          <w:sz w:val="24"/>
          <w:szCs w:val="24"/>
          <w:highlight w:val="yellow"/>
        </w:rPr>
        <w:t>月</w:t>
      </w:r>
      <w:r>
        <w:rPr>
          <w:rFonts w:hint="eastAsia" w:hAnsi="宋体"/>
          <w:sz w:val="24"/>
          <w:szCs w:val="24"/>
          <w:highlight w:val="yellow"/>
          <w:lang w:val="en-US" w:eastAsia="zh-CN"/>
        </w:rPr>
        <w:t xml:space="preserve">   </w:t>
      </w:r>
      <w:r>
        <w:rPr>
          <w:rFonts w:hint="eastAsia" w:hAnsi="宋体"/>
          <w:sz w:val="24"/>
          <w:szCs w:val="24"/>
          <w:highlight w:val="yellow"/>
        </w:rPr>
        <w:t>日</w:t>
      </w: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2"/>
        <w:tabs>
          <w:tab w:val="left" w:pos="2127"/>
        </w:tabs>
        <w:ind w:firstLine="1200" w:firstLineChars="500"/>
        <w:rPr>
          <w:rFonts w:hint="eastAsia" w:hAnsi="宋体"/>
          <w:sz w:val="24"/>
          <w:szCs w:val="24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both"/>
        <w:rPr>
          <w:rFonts w:hint="eastAsia" w:hAnsi="宋体" w:cs="Times New Roman"/>
          <w:b/>
          <w:sz w:val="28"/>
          <w:szCs w:val="28"/>
          <w:lang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highlight w:val="yellow"/>
          <w:lang w:eastAsia="zh-CN"/>
        </w:rPr>
      </w:pPr>
      <w:r>
        <w:rPr>
          <w:rFonts w:hint="eastAsia" w:hAnsi="宋体" w:cs="Times New Roman"/>
          <w:b/>
          <w:sz w:val="28"/>
          <w:szCs w:val="28"/>
          <w:highlight w:val="yellow"/>
          <w:lang w:eastAsia="zh-CN"/>
        </w:rPr>
        <w:t>三、营业执照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（营业执照复印件加盖公章）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/>
          <w:bCs w:val="0"/>
          <w:sz w:val="28"/>
          <w:szCs w:val="28"/>
          <w:highlight w:val="yellow"/>
          <w:lang w:val="en-US" w:eastAsia="zh-CN"/>
        </w:rPr>
      </w:pPr>
      <w:r>
        <w:rPr>
          <w:rFonts w:hint="eastAsia" w:hAnsi="宋体" w:cs="Times New Roman"/>
          <w:b/>
          <w:bCs w:val="0"/>
          <w:sz w:val="28"/>
          <w:szCs w:val="28"/>
          <w:highlight w:val="yellow"/>
          <w:lang w:val="en-US" w:eastAsia="zh-CN"/>
        </w:rPr>
        <w:t>四、过往同类产品销售业绩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（需提供</w:t>
      </w:r>
      <w:r>
        <w:rPr>
          <w:rFonts w:hint="eastAsia" w:hAnsi="宋体" w:cs="Times New Roman"/>
          <w:b w:val="0"/>
          <w:bCs/>
          <w:color w:val="C00000"/>
          <w:sz w:val="28"/>
          <w:szCs w:val="28"/>
          <w:highlight w:val="yellow"/>
          <w:lang w:val="en-US" w:eastAsia="zh-CN"/>
        </w:rPr>
        <w:t>含销售价格</w:t>
      </w:r>
      <w:r>
        <w:rPr>
          <w:rFonts w:hint="eastAsia" w:hAnsi="宋体" w:cs="Times New Roman"/>
          <w:b w:val="0"/>
          <w:bCs/>
          <w:sz w:val="28"/>
          <w:szCs w:val="28"/>
          <w:highlight w:val="yellow"/>
          <w:lang w:val="en-US" w:eastAsia="zh-CN"/>
        </w:rPr>
        <w:t>的过往销售记录）</w:t>
      </w:r>
    </w:p>
    <w:p>
      <w:pPr>
        <w:pStyle w:val="2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B7F15"/>
    <w:rsid w:val="00165A09"/>
    <w:rsid w:val="0299795B"/>
    <w:rsid w:val="02EF4627"/>
    <w:rsid w:val="02FA382E"/>
    <w:rsid w:val="031272C5"/>
    <w:rsid w:val="03C921CB"/>
    <w:rsid w:val="03E46FDA"/>
    <w:rsid w:val="055D4F77"/>
    <w:rsid w:val="05C731CD"/>
    <w:rsid w:val="070F4EE2"/>
    <w:rsid w:val="09292D01"/>
    <w:rsid w:val="092A7E3D"/>
    <w:rsid w:val="094F17A5"/>
    <w:rsid w:val="0BF72BCF"/>
    <w:rsid w:val="0C5D35F9"/>
    <w:rsid w:val="0D8F1DB6"/>
    <w:rsid w:val="0E963413"/>
    <w:rsid w:val="0F482990"/>
    <w:rsid w:val="0FCB1378"/>
    <w:rsid w:val="107D1E52"/>
    <w:rsid w:val="109965EE"/>
    <w:rsid w:val="11EC45FF"/>
    <w:rsid w:val="12B11E98"/>
    <w:rsid w:val="12C80374"/>
    <w:rsid w:val="15095212"/>
    <w:rsid w:val="15633631"/>
    <w:rsid w:val="15EE3A12"/>
    <w:rsid w:val="161C61A0"/>
    <w:rsid w:val="16E8660F"/>
    <w:rsid w:val="16FF421A"/>
    <w:rsid w:val="173A7524"/>
    <w:rsid w:val="17F44BFF"/>
    <w:rsid w:val="19D52A44"/>
    <w:rsid w:val="1A6900C6"/>
    <w:rsid w:val="1B1517FC"/>
    <w:rsid w:val="1B323D86"/>
    <w:rsid w:val="1C6D74FA"/>
    <w:rsid w:val="1CE81F60"/>
    <w:rsid w:val="1D591C96"/>
    <w:rsid w:val="1F887136"/>
    <w:rsid w:val="212C3576"/>
    <w:rsid w:val="219957C8"/>
    <w:rsid w:val="24574448"/>
    <w:rsid w:val="24FC12F5"/>
    <w:rsid w:val="254E3853"/>
    <w:rsid w:val="255E60A7"/>
    <w:rsid w:val="25BA4FA6"/>
    <w:rsid w:val="25BF0FCC"/>
    <w:rsid w:val="25D32433"/>
    <w:rsid w:val="262D5A69"/>
    <w:rsid w:val="267A194F"/>
    <w:rsid w:val="268963CA"/>
    <w:rsid w:val="27321220"/>
    <w:rsid w:val="28CD5BC5"/>
    <w:rsid w:val="291F2332"/>
    <w:rsid w:val="29B655B9"/>
    <w:rsid w:val="2A051710"/>
    <w:rsid w:val="2AFD038A"/>
    <w:rsid w:val="2BE75A4F"/>
    <w:rsid w:val="2C8C0BE5"/>
    <w:rsid w:val="2CF445D2"/>
    <w:rsid w:val="2D147C0E"/>
    <w:rsid w:val="2EB14975"/>
    <w:rsid w:val="2EBF67D7"/>
    <w:rsid w:val="2F3F4014"/>
    <w:rsid w:val="2F7067D5"/>
    <w:rsid w:val="310B6D6E"/>
    <w:rsid w:val="319950ED"/>
    <w:rsid w:val="331B356B"/>
    <w:rsid w:val="33502238"/>
    <w:rsid w:val="33BD761D"/>
    <w:rsid w:val="34545B2E"/>
    <w:rsid w:val="360C0F61"/>
    <w:rsid w:val="36106F81"/>
    <w:rsid w:val="365916CB"/>
    <w:rsid w:val="366D63F5"/>
    <w:rsid w:val="36833F30"/>
    <w:rsid w:val="390D30BB"/>
    <w:rsid w:val="3B4B7F15"/>
    <w:rsid w:val="3B61267E"/>
    <w:rsid w:val="3B8C43AD"/>
    <w:rsid w:val="3BA96EDF"/>
    <w:rsid w:val="3BF60DAE"/>
    <w:rsid w:val="3C337A3C"/>
    <w:rsid w:val="3DFA210D"/>
    <w:rsid w:val="3E1F6FB8"/>
    <w:rsid w:val="3F7B37E3"/>
    <w:rsid w:val="3F846AB2"/>
    <w:rsid w:val="3F9F2449"/>
    <w:rsid w:val="3FF43980"/>
    <w:rsid w:val="406060BE"/>
    <w:rsid w:val="40A44603"/>
    <w:rsid w:val="41262FE2"/>
    <w:rsid w:val="41432CB6"/>
    <w:rsid w:val="42CF3029"/>
    <w:rsid w:val="42D14675"/>
    <w:rsid w:val="43713C7D"/>
    <w:rsid w:val="43BD47FA"/>
    <w:rsid w:val="43D83B3B"/>
    <w:rsid w:val="43F04581"/>
    <w:rsid w:val="44DE667A"/>
    <w:rsid w:val="451A63E4"/>
    <w:rsid w:val="45872B0C"/>
    <w:rsid w:val="47451003"/>
    <w:rsid w:val="49836528"/>
    <w:rsid w:val="499E2859"/>
    <w:rsid w:val="49EC47D8"/>
    <w:rsid w:val="4A01437B"/>
    <w:rsid w:val="4A9C45BD"/>
    <w:rsid w:val="4B454BFF"/>
    <w:rsid w:val="4B6A0187"/>
    <w:rsid w:val="4BF60D1E"/>
    <w:rsid w:val="4C505B0D"/>
    <w:rsid w:val="4C9E6977"/>
    <w:rsid w:val="4DA327C4"/>
    <w:rsid w:val="4DEA77C6"/>
    <w:rsid w:val="4E3A1611"/>
    <w:rsid w:val="4E673C2E"/>
    <w:rsid w:val="4EC40834"/>
    <w:rsid w:val="4F5048FA"/>
    <w:rsid w:val="4F922990"/>
    <w:rsid w:val="4FB539C6"/>
    <w:rsid w:val="529A00C8"/>
    <w:rsid w:val="52AE3084"/>
    <w:rsid w:val="52C1558A"/>
    <w:rsid w:val="53B516F0"/>
    <w:rsid w:val="53CB7FF4"/>
    <w:rsid w:val="553833EB"/>
    <w:rsid w:val="55CC1950"/>
    <w:rsid w:val="564373C2"/>
    <w:rsid w:val="570F7C41"/>
    <w:rsid w:val="578C7185"/>
    <w:rsid w:val="57971EEA"/>
    <w:rsid w:val="57B97E77"/>
    <w:rsid w:val="59682723"/>
    <w:rsid w:val="5AEF6ED2"/>
    <w:rsid w:val="5B01759E"/>
    <w:rsid w:val="5B2A0E57"/>
    <w:rsid w:val="5B66074B"/>
    <w:rsid w:val="5B673E95"/>
    <w:rsid w:val="5C3B36A3"/>
    <w:rsid w:val="5C6D6CBA"/>
    <w:rsid w:val="5DAB4382"/>
    <w:rsid w:val="5DEB7945"/>
    <w:rsid w:val="5E8B707F"/>
    <w:rsid w:val="5F506BBF"/>
    <w:rsid w:val="5FA244F5"/>
    <w:rsid w:val="604B0611"/>
    <w:rsid w:val="614E344B"/>
    <w:rsid w:val="62116CB7"/>
    <w:rsid w:val="62B14B54"/>
    <w:rsid w:val="62BF0B8F"/>
    <w:rsid w:val="632961ED"/>
    <w:rsid w:val="643202CE"/>
    <w:rsid w:val="6560706A"/>
    <w:rsid w:val="65A3375C"/>
    <w:rsid w:val="66307CC9"/>
    <w:rsid w:val="664F7128"/>
    <w:rsid w:val="66CC3A79"/>
    <w:rsid w:val="677C0376"/>
    <w:rsid w:val="67B43762"/>
    <w:rsid w:val="67C60282"/>
    <w:rsid w:val="685369A5"/>
    <w:rsid w:val="6A52732B"/>
    <w:rsid w:val="6ABC2183"/>
    <w:rsid w:val="6AF37C1B"/>
    <w:rsid w:val="6B8723C6"/>
    <w:rsid w:val="6E0C05B1"/>
    <w:rsid w:val="6E7D53FE"/>
    <w:rsid w:val="6FBD43FB"/>
    <w:rsid w:val="6FDA0464"/>
    <w:rsid w:val="709B48D2"/>
    <w:rsid w:val="71CE27E0"/>
    <w:rsid w:val="74F53C3A"/>
    <w:rsid w:val="757F3A75"/>
    <w:rsid w:val="75C70CB4"/>
    <w:rsid w:val="75EB59BF"/>
    <w:rsid w:val="769D3E02"/>
    <w:rsid w:val="7715410B"/>
    <w:rsid w:val="77E34B22"/>
    <w:rsid w:val="797619D1"/>
    <w:rsid w:val="79A53020"/>
    <w:rsid w:val="79FF5B24"/>
    <w:rsid w:val="7A9E5F16"/>
    <w:rsid w:val="7B151B1C"/>
    <w:rsid w:val="7C4108D6"/>
    <w:rsid w:val="7C733E3E"/>
    <w:rsid w:val="7CE4603A"/>
    <w:rsid w:val="7D0D173F"/>
    <w:rsid w:val="7D107ACE"/>
    <w:rsid w:val="7D2573CC"/>
    <w:rsid w:val="7DFE31B4"/>
    <w:rsid w:val="7E890D3E"/>
    <w:rsid w:val="7FE1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2018-04-10T00:37:00Z</dcterms:created>
  <dc:creator>zhongyihua.lb</dc:creator>
  <cp:lastModifiedBy>C24ACF0159F04C97867B14C79F2656E5</cp:lastModifiedBy>
  <cp:lastPrinted>2020-03-03T02:35:00Z</cp:lastPrinted>
  <dcterms:modified xsi:type="dcterms:W3CDTF">2025-10-11T01:34:33Z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714F04E31B3B4FE9BBFDDEE833EF7695</vt:lpwstr>
  </property>
</Properties>
</file>