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spacing w:before="340" w:after="330" w:line="576" w:lineRule="auto"/>
        <w:ind w:left="0" w:right="0" w:firstLine="0"/>
        <w:jc w:val="center"/>
        <w:rPr>
          <w:rFonts w:hint="eastAsia"/>
        </w:rPr>
      </w:pPr>
      <w:r>
        <w:rPr>
          <w:rFonts w:hint="eastAsia" w:ascii="仿宋" w:hAnsi="仿宋" w:eastAsia="仿宋" w:cs="仿宋"/>
          <w:b/>
          <w:color w:val="auto"/>
          <w:spacing w:val="0"/>
          <w:position w:val="0"/>
          <w:sz w:val="28"/>
          <w:szCs w:val="28"/>
          <w:shd w:val="clear" w:fill="auto"/>
          <w:lang w:val="en-US" w:eastAsia="zh-CN"/>
        </w:rPr>
        <w:t>2025年云南十里阳光发展</w:t>
      </w:r>
      <w:r>
        <w:rPr>
          <w:rFonts w:hint="eastAsia" w:ascii="仿宋" w:hAnsi="仿宋" w:eastAsia="仿宋" w:cs="仿宋"/>
          <w:b/>
          <w:color w:val="auto"/>
          <w:spacing w:val="0"/>
          <w:position w:val="0"/>
          <w:sz w:val="28"/>
          <w:szCs w:val="28"/>
          <w:shd w:val="clear" w:fill="auto"/>
        </w:rPr>
        <w:t>有限公司</w:t>
      </w:r>
      <w:r>
        <w:rPr>
          <w:rFonts w:hint="eastAsia" w:ascii="仿宋" w:hAnsi="仿宋" w:eastAsia="仿宋" w:cs="仿宋"/>
          <w:b/>
          <w:color w:val="auto"/>
          <w:spacing w:val="0"/>
          <w:position w:val="0"/>
          <w:sz w:val="28"/>
          <w:szCs w:val="28"/>
          <w:shd w:val="clear" w:fill="auto"/>
          <w:lang w:val="en-US" w:eastAsia="zh-CN"/>
        </w:rPr>
        <w:t>餐饮部电梯配件采购安装服务（零星采购）</w:t>
      </w:r>
      <w:r>
        <w:rPr>
          <w:rFonts w:hint="eastAsia" w:ascii="仿宋" w:hAnsi="仿宋" w:eastAsia="仿宋" w:cs="仿宋"/>
          <w:b/>
          <w:color w:val="auto"/>
          <w:spacing w:val="0"/>
          <w:position w:val="0"/>
          <w:sz w:val="28"/>
          <w:szCs w:val="28"/>
          <w:shd w:val="clear" w:fill="auto"/>
        </w:rPr>
        <w:t>项目技术规范书</w:t>
      </w:r>
    </w:p>
    <w:p>
      <w:pPr>
        <w:spacing w:before="0" w:after="0" w:line="360" w:lineRule="auto"/>
        <w:ind w:left="0" w:right="0" w:firstLine="422" w:firstLineChars="200"/>
        <w:jc w:val="left"/>
        <w:rPr>
          <w:rFonts w:hint="eastAsia" w:ascii="仿宋" w:hAnsi="仿宋" w:eastAsia="仿宋" w:cs="仿宋"/>
          <w:b/>
          <w:color w:val="auto"/>
          <w:spacing w:val="0"/>
          <w:position w:val="0"/>
          <w:sz w:val="21"/>
          <w:szCs w:val="21"/>
          <w:shd w:val="clear" w:fill="auto"/>
          <w:lang w:val="en-US" w:eastAsia="zh-CN"/>
        </w:rPr>
      </w:pPr>
      <w:r>
        <w:rPr>
          <w:rFonts w:hint="eastAsia" w:ascii="仿宋" w:hAnsi="仿宋" w:eastAsia="仿宋" w:cs="仿宋"/>
          <w:b/>
          <w:color w:val="auto"/>
          <w:spacing w:val="0"/>
          <w:position w:val="0"/>
          <w:sz w:val="21"/>
          <w:szCs w:val="21"/>
          <w:shd w:val="clear" w:fill="auto"/>
          <w:lang w:val="en-US" w:eastAsia="zh-CN"/>
        </w:rPr>
        <w:t>一、项目概要</w:t>
      </w:r>
    </w:p>
    <w:p>
      <w:pPr>
        <w:spacing w:before="0" w:after="0" w:line="360" w:lineRule="auto"/>
        <w:ind w:left="0" w:right="0" w:firstLine="420" w:firstLineChars="200"/>
        <w:jc w:val="left"/>
        <w:rPr>
          <w:rFonts w:hint="eastAsia" w:ascii="仿宋" w:hAnsi="仿宋" w:eastAsia="仿宋" w:cs="仿宋"/>
          <w:color w:val="auto"/>
          <w:spacing w:val="0"/>
          <w:position w:val="0"/>
          <w:sz w:val="21"/>
          <w:szCs w:val="21"/>
          <w:shd w:val="clear" w:fill="auto"/>
          <w:lang w:val="en-US"/>
        </w:rPr>
      </w:pPr>
      <w:r>
        <w:rPr>
          <w:rFonts w:hint="eastAsia" w:ascii="仿宋" w:hAnsi="仿宋" w:eastAsia="仿宋" w:cs="仿宋"/>
          <w:color w:val="auto"/>
          <w:spacing w:val="0"/>
          <w:position w:val="0"/>
          <w:sz w:val="21"/>
          <w:szCs w:val="21"/>
          <w:shd w:val="clear" w:fill="auto"/>
          <w:lang w:val="en-US" w:eastAsia="zh-CN"/>
        </w:rPr>
        <w:t>云南十里阳光发展</w:t>
      </w:r>
      <w:r>
        <w:rPr>
          <w:rFonts w:hint="eastAsia" w:ascii="仿宋" w:hAnsi="仿宋" w:eastAsia="仿宋" w:cs="仿宋"/>
          <w:color w:val="auto"/>
          <w:spacing w:val="0"/>
          <w:position w:val="0"/>
          <w:sz w:val="21"/>
          <w:szCs w:val="21"/>
          <w:shd w:val="clear" w:fill="auto"/>
        </w:rPr>
        <w:t>有限公司</w:t>
      </w:r>
      <w:r>
        <w:rPr>
          <w:rFonts w:hint="eastAsia" w:ascii="仿宋" w:hAnsi="仿宋" w:eastAsia="仿宋" w:cs="仿宋"/>
          <w:color w:val="auto"/>
          <w:spacing w:val="0"/>
          <w:position w:val="0"/>
          <w:sz w:val="21"/>
          <w:szCs w:val="21"/>
          <w:shd w:val="clear" w:fill="auto"/>
          <w:lang w:eastAsia="zh-CN"/>
        </w:rPr>
        <w:t>（</w:t>
      </w:r>
      <w:r>
        <w:rPr>
          <w:rFonts w:hint="eastAsia" w:ascii="仿宋" w:hAnsi="仿宋" w:eastAsia="仿宋" w:cs="仿宋"/>
          <w:color w:val="auto"/>
          <w:spacing w:val="0"/>
          <w:position w:val="0"/>
          <w:sz w:val="21"/>
          <w:szCs w:val="21"/>
          <w:shd w:val="clear" w:fill="auto"/>
          <w:lang w:val="en-US" w:eastAsia="zh-CN"/>
        </w:rPr>
        <w:t>以下简称：“公司”</w:t>
      </w:r>
      <w:r>
        <w:rPr>
          <w:rFonts w:hint="eastAsia" w:ascii="仿宋" w:hAnsi="仿宋" w:eastAsia="仿宋" w:cs="仿宋"/>
          <w:color w:val="auto"/>
          <w:spacing w:val="0"/>
          <w:position w:val="0"/>
          <w:sz w:val="21"/>
          <w:szCs w:val="21"/>
          <w:shd w:val="clear" w:fill="auto"/>
          <w:lang w:eastAsia="zh-CN"/>
        </w:rPr>
        <w:t>），</w:t>
      </w:r>
      <w:r>
        <w:rPr>
          <w:rFonts w:hint="eastAsia" w:ascii="仿宋" w:hAnsi="仿宋" w:eastAsia="仿宋" w:cs="仿宋"/>
          <w:color w:val="auto"/>
          <w:spacing w:val="0"/>
          <w:position w:val="0"/>
          <w:sz w:val="21"/>
          <w:szCs w:val="21"/>
          <w:shd w:val="clear" w:fill="auto"/>
          <w:lang w:val="en-US" w:eastAsia="zh-CN"/>
        </w:rPr>
        <w:t>公司会所2台两层奥的斯电梯，为餐厅传菜及运送餐具，由于公司现电梯频繁出现故障，造成人员及设备被困电梯，为确保我公司电梯设备正常运行，排除安全隐患需采购一家有电梯维修保养资质的单位提供相应配件并进行更换、调试工作。</w:t>
      </w:r>
    </w:p>
    <w:p>
      <w:pPr>
        <w:numPr>
          <w:ilvl w:val="0"/>
          <w:numId w:val="0"/>
        </w:numPr>
        <w:spacing w:before="0" w:after="0" w:line="360" w:lineRule="auto"/>
        <w:ind w:leftChars="0" w:right="0" w:rightChars="0" w:firstLine="422" w:firstLineChars="200"/>
        <w:jc w:val="left"/>
        <w:rPr>
          <w:rFonts w:hint="eastAsia" w:ascii="仿宋" w:hAnsi="仿宋" w:eastAsia="仿宋" w:cs="仿宋"/>
          <w:b/>
          <w:color w:val="auto"/>
          <w:spacing w:val="0"/>
          <w:position w:val="0"/>
          <w:sz w:val="21"/>
          <w:szCs w:val="21"/>
          <w:shd w:val="clear" w:fill="auto"/>
          <w:lang w:val="en-US" w:eastAsia="zh-CN"/>
        </w:rPr>
      </w:pPr>
      <w:r>
        <w:rPr>
          <w:rFonts w:hint="eastAsia" w:ascii="仿宋" w:hAnsi="仿宋" w:eastAsia="仿宋" w:cs="仿宋"/>
          <w:b/>
          <w:color w:val="auto"/>
          <w:spacing w:val="0"/>
          <w:position w:val="0"/>
          <w:sz w:val="21"/>
          <w:szCs w:val="21"/>
          <w:shd w:val="clear" w:fill="auto"/>
          <w:lang w:val="en-US" w:eastAsia="zh-CN"/>
        </w:rPr>
        <w:t>二、项目技术要求</w:t>
      </w:r>
    </w:p>
    <w:p>
      <w:pPr>
        <w:numPr>
          <w:ilvl w:val="0"/>
          <w:numId w:val="0"/>
        </w:numPr>
        <w:spacing w:before="0" w:after="0" w:line="360" w:lineRule="auto"/>
        <w:ind w:leftChars="0" w:right="0" w:rightChars="0" w:firstLine="420" w:firstLineChars="200"/>
        <w:jc w:val="left"/>
        <w:rPr>
          <w:rFonts w:hint="eastAsia" w:ascii="仿宋" w:hAnsi="仿宋" w:eastAsia="仿宋" w:cs="仿宋"/>
          <w:color w:val="auto"/>
          <w:spacing w:val="0"/>
          <w:position w:val="0"/>
          <w:sz w:val="21"/>
          <w:szCs w:val="21"/>
          <w:shd w:val="clear" w:fill="auto"/>
        </w:rPr>
      </w:pPr>
      <w:r>
        <w:rPr>
          <w:rFonts w:hint="eastAsia" w:ascii="仿宋" w:hAnsi="仿宋" w:eastAsia="仿宋" w:cs="仿宋"/>
          <w:color w:val="auto"/>
          <w:spacing w:val="0"/>
          <w:position w:val="0"/>
          <w:sz w:val="21"/>
          <w:szCs w:val="21"/>
          <w:shd w:val="clear" w:fill="auto"/>
        </w:rPr>
        <w:t>1.技术要求</w:t>
      </w:r>
    </w:p>
    <w:p>
      <w:pPr>
        <w:spacing w:before="0" w:after="0" w:line="360" w:lineRule="auto"/>
        <w:ind w:right="0" w:firstLine="420" w:firstLineChars="200"/>
        <w:jc w:val="left"/>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1.1本次采购单位需有国家电梯维护保养资质的单位；维修人员需具备电梯维护保养操作证。</w:t>
      </w:r>
    </w:p>
    <w:p>
      <w:pPr>
        <w:spacing w:before="0" w:after="0" w:line="360" w:lineRule="auto"/>
        <w:ind w:right="0" w:firstLine="420" w:firstLineChars="200"/>
        <w:jc w:val="left"/>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1.2报价单位需了解奥的斯电梯设施，熟悉现场情况，能熟悉操作电梯主机、熟练处理常见故障及应急救援处置。</w:t>
      </w:r>
    </w:p>
    <w:p>
      <w:pPr>
        <w:bidi w:val="0"/>
        <w:ind w:firstLine="420" w:firstLineChars="200"/>
        <w:jc w:val="left"/>
        <w:rPr>
          <w:rFonts w:hint="eastAsia" w:ascii="仿宋" w:hAnsi="仿宋" w:eastAsia="仿宋" w:cs="仿宋"/>
          <w:sz w:val="21"/>
          <w:szCs w:val="21"/>
          <w:lang w:val="en-US" w:eastAsia="zh-CN"/>
        </w:rPr>
      </w:pPr>
      <w:r>
        <w:rPr>
          <w:rFonts w:hint="eastAsia" w:ascii="仿宋" w:hAnsi="仿宋" w:eastAsia="仿宋" w:cs="仿宋"/>
          <w:color w:val="auto"/>
          <w:spacing w:val="0"/>
          <w:position w:val="0"/>
          <w:sz w:val="21"/>
          <w:szCs w:val="21"/>
          <w:shd w:val="clear" w:fill="auto"/>
          <w:lang w:val="en-US" w:eastAsia="zh-CN"/>
        </w:rPr>
        <w:t>1.3本次采购单位需提供材料及安装调试服务，更换门机变频器、开门导轨滑轮（6个），如故障仍未排除，需继续查找故障并排除，直至使电梯恢复正常运行；对使用人员进行安全操作培训等</w:t>
      </w:r>
      <w:r>
        <w:rPr>
          <w:rFonts w:hint="eastAsia" w:ascii="仿宋" w:hAnsi="仿宋" w:eastAsia="仿宋" w:cs="仿宋"/>
          <w:sz w:val="21"/>
          <w:szCs w:val="21"/>
          <w:lang w:val="en-US" w:eastAsia="zh-CN"/>
        </w:rPr>
        <w:t>。</w:t>
      </w:r>
    </w:p>
    <w:p>
      <w:pPr>
        <w:pStyle w:val="2"/>
        <w:rPr>
          <w:rFonts w:hint="default"/>
          <w:lang w:val="en-US" w:eastAsia="zh-CN"/>
        </w:rPr>
      </w:pPr>
      <w:r>
        <w:rPr>
          <w:rFonts w:hint="eastAsia" w:ascii="仿宋" w:hAnsi="仿宋" w:eastAsia="仿宋" w:cs="仿宋"/>
          <w:sz w:val="21"/>
          <w:szCs w:val="21"/>
          <w:lang w:val="en-US" w:eastAsia="zh-CN"/>
        </w:rPr>
        <w:t>1.4为保证本次采购配件匹配电梯主机，凡有意向参加报价的单位需到现场踏勘，踏勘地址：昆明市盘龙区昆曲高速6公里处，云南十里阳光发展有限公司会所电梯处，联系人：李福成电话13888574579</w:t>
      </w:r>
      <w:bookmarkStart w:id="0" w:name="_GoBack"/>
      <w:bookmarkEnd w:id="0"/>
    </w:p>
    <w:p>
      <w:pPr>
        <w:pStyle w:val="2"/>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1.5</w:t>
      </w:r>
      <w:r>
        <w:rPr>
          <w:rFonts w:hint="eastAsia" w:ascii="仿宋" w:hAnsi="仿宋" w:eastAsia="仿宋" w:cs="仿宋"/>
          <w:b w:val="0"/>
          <w:bCs w:val="0"/>
          <w:sz w:val="21"/>
          <w:szCs w:val="21"/>
          <w:lang w:val="en-US" w:eastAsia="zh-CN"/>
        </w:rPr>
        <w:t>提供增值税专用发票</w:t>
      </w:r>
      <w:r>
        <w:rPr>
          <w:rFonts w:hint="eastAsia" w:ascii="仿宋" w:hAnsi="仿宋" w:eastAsia="仿宋" w:cs="仿宋"/>
          <w:sz w:val="21"/>
          <w:szCs w:val="21"/>
          <w:lang w:val="en-US" w:eastAsia="zh-CN"/>
        </w:rPr>
        <w:t>。</w:t>
      </w:r>
    </w:p>
    <w:p>
      <w:pPr>
        <w:numPr>
          <w:ilvl w:val="0"/>
          <w:numId w:val="0"/>
        </w:numPr>
        <w:spacing w:before="0" w:after="0" w:line="360" w:lineRule="auto"/>
        <w:ind w:leftChars="0" w:right="0" w:rightChars="0" w:firstLine="422" w:firstLineChars="200"/>
        <w:jc w:val="left"/>
        <w:rPr>
          <w:rFonts w:hint="eastAsia" w:ascii="仿宋" w:hAnsi="仿宋" w:eastAsia="仿宋" w:cs="仿宋"/>
          <w:sz w:val="21"/>
          <w:szCs w:val="21"/>
        </w:rPr>
      </w:pPr>
      <w:r>
        <w:rPr>
          <w:rFonts w:hint="eastAsia" w:ascii="仿宋" w:hAnsi="仿宋" w:eastAsia="仿宋" w:cs="仿宋"/>
          <w:b/>
          <w:color w:val="auto"/>
          <w:spacing w:val="0"/>
          <w:position w:val="0"/>
          <w:sz w:val="21"/>
          <w:szCs w:val="21"/>
          <w:shd w:val="clear" w:fill="auto"/>
          <w:lang w:val="en-US" w:eastAsia="zh-CN"/>
        </w:rPr>
        <w:t>三、</w:t>
      </w:r>
      <w:r>
        <w:rPr>
          <w:rFonts w:hint="eastAsia" w:ascii="仿宋" w:hAnsi="仿宋" w:eastAsia="仿宋" w:cs="仿宋"/>
          <w:b/>
          <w:color w:val="auto"/>
          <w:spacing w:val="0"/>
          <w:position w:val="0"/>
          <w:sz w:val="21"/>
          <w:szCs w:val="21"/>
          <w:shd w:val="clear" w:fill="auto"/>
        </w:rPr>
        <w:t>报价方面</w:t>
      </w:r>
    </w:p>
    <w:p>
      <w:pPr>
        <w:pStyle w:val="2"/>
        <w:ind w:firstLine="630" w:firstLineChars="300"/>
        <w:rPr>
          <w:rFonts w:hint="default"/>
          <w:lang w:val="en-US" w:eastAsia="zh-CN"/>
        </w:rPr>
      </w:pPr>
    </w:p>
    <w:tbl>
      <w:tblPr>
        <w:tblStyle w:val="3"/>
        <w:tblW w:w="8241" w:type="dxa"/>
        <w:jc w:val="center"/>
        <w:tblLayout w:type="autofit"/>
        <w:tblCellMar>
          <w:top w:w="0" w:type="dxa"/>
          <w:left w:w="10" w:type="dxa"/>
          <w:bottom w:w="0" w:type="dxa"/>
          <w:right w:w="10" w:type="dxa"/>
        </w:tblCellMar>
      </w:tblPr>
      <w:tblGrid>
        <w:gridCol w:w="989"/>
        <w:gridCol w:w="2135"/>
        <w:gridCol w:w="870"/>
        <w:gridCol w:w="840"/>
        <w:gridCol w:w="1725"/>
        <w:gridCol w:w="1200"/>
        <w:gridCol w:w="482"/>
      </w:tblGrid>
      <w:tr>
        <w:tblPrEx>
          <w:tblCellMar>
            <w:top w:w="0" w:type="dxa"/>
            <w:left w:w="10" w:type="dxa"/>
            <w:bottom w:w="0" w:type="dxa"/>
            <w:right w:w="10" w:type="dxa"/>
          </w:tblCellMar>
        </w:tblPrEx>
        <w:trPr>
          <w:trHeight w:val="0" w:hRule="atLeast"/>
          <w:jc w:val="center"/>
        </w:trPr>
        <w:tc>
          <w:tcPr>
            <w:tcW w:w="98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spacing w:val="0"/>
                <w:position w:val="0"/>
                <w:sz w:val="21"/>
                <w:szCs w:val="21"/>
              </w:rPr>
            </w:pPr>
            <w:r>
              <w:rPr>
                <w:rFonts w:hint="eastAsia" w:ascii="仿宋" w:hAnsi="仿宋" w:eastAsia="仿宋" w:cs="仿宋"/>
                <w:color w:val="000000"/>
                <w:spacing w:val="0"/>
                <w:position w:val="0"/>
                <w:sz w:val="21"/>
                <w:szCs w:val="21"/>
                <w:shd w:val="clear" w:fill="auto"/>
              </w:rPr>
              <w:t>序号</w:t>
            </w:r>
          </w:p>
        </w:tc>
        <w:tc>
          <w:tcPr>
            <w:tcW w:w="213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spacing w:val="0"/>
                <w:position w:val="0"/>
                <w:sz w:val="21"/>
                <w:szCs w:val="21"/>
              </w:rPr>
            </w:pPr>
            <w:r>
              <w:rPr>
                <w:rFonts w:hint="eastAsia" w:ascii="仿宋" w:hAnsi="仿宋" w:eastAsia="仿宋" w:cs="仿宋"/>
                <w:color w:val="000000"/>
                <w:spacing w:val="0"/>
                <w:position w:val="0"/>
                <w:sz w:val="21"/>
                <w:szCs w:val="21"/>
                <w:shd w:val="clear" w:fill="auto"/>
              </w:rPr>
              <w:t>名称</w:t>
            </w:r>
          </w:p>
        </w:tc>
        <w:tc>
          <w:tcPr>
            <w:tcW w:w="87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spacing w:val="0"/>
                <w:position w:val="0"/>
                <w:sz w:val="21"/>
                <w:szCs w:val="21"/>
              </w:rPr>
            </w:pPr>
            <w:r>
              <w:rPr>
                <w:rFonts w:hint="eastAsia" w:ascii="仿宋" w:hAnsi="仿宋" w:eastAsia="仿宋" w:cs="仿宋"/>
                <w:color w:val="000000"/>
                <w:spacing w:val="0"/>
                <w:position w:val="0"/>
                <w:sz w:val="21"/>
                <w:szCs w:val="21"/>
                <w:shd w:val="clear" w:fill="auto"/>
              </w:rPr>
              <w:t>数量</w:t>
            </w:r>
          </w:p>
        </w:tc>
        <w:tc>
          <w:tcPr>
            <w:tcW w:w="84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spacing w:val="0"/>
                <w:position w:val="0"/>
                <w:sz w:val="21"/>
                <w:szCs w:val="21"/>
              </w:rPr>
            </w:pPr>
            <w:r>
              <w:rPr>
                <w:rFonts w:hint="eastAsia" w:ascii="仿宋" w:hAnsi="仿宋" w:eastAsia="仿宋" w:cs="仿宋"/>
                <w:color w:val="000000"/>
                <w:spacing w:val="0"/>
                <w:position w:val="0"/>
                <w:sz w:val="21"/>
                <w:szCs w:val="21"/>
                <w:shd w:val="clear" w:fill="auto"/>
              </w:rPr>
              <w:t>单位</w:t>
            </w:r>
          </w:p>
        </w:tc>
        <w:tc>
          <w:tcPr>
            <w:tcW w:w="172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spacing w:val="0"/>
                <w:position w:val="0"/>
                <w:sz w:val="21"/>
                <w:szCs w:val="21"/>
              </w:rPr>
            </w:pPr>
            <w:r>
              <w:rPr>
                <w:rFonts w:hint="eastAsia" w:ascii="仿宋" w:hAnsi="仿宋" w:eastAsia="仿宋" w:cs="仿宋"/>
                <w:color w:val="000000"/>
                <w:spacing w:val="0"/>
                <w:position w:val="0"/>
                <w:sz w:val="21"/>
                <w:szCs w:val="21"/>
                <w:shd w:val="clear" w:fill="auto"/>
              </w:rPr>
              <w:t>报价（元）</w:t>
            </w:r>
          </w:p>
        </w:tc>
        <w:tc>
          <w:tcPr>
            <w:tcW w:w="120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spacing w:val="0"/>
                <w:position w:val="0"/>
                <w:sz w:val="21"/>
                <w:szCs w:val="21"/>
              </w:rPr>
            </w:pPr>
            <w:r>
              <w:rPr>
                <w:rFonts w:hint="eastAsia" w:ascii="仿宋" w:hAnsi="仿宋" w:eastAsia="仿宋" w:cs="仿宋"/>
                <w:color w:val="000000"/>
                <w:spacing w:val="0"/>
                <w:position w:val="0"/>
                <w:sz w:val="21"/>
                <w:szCs w:val="21"/>
                <w:shd w:val="clear" w:fill="auto"/>
              </w:rPr>
              <w:t>备   注</w:t>
            </w:r>
          </w:p>
        </w:tc>
        <w:tc>
          <w:tcPr>
            <w:tcW w:w="48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000000"/>
                <w:spacing w:val="0"/>
                <w:position w:val="0"/>
                <w:sz w:val="21"/>
                <w:szCs w:val="21"/>
                <w:shd w:val="clear" w:fill="auto"/>
              </w:rPr>
            </w:pPr>
          </w:p>
        </w:tc>
      </w:tr>
      <w:tr>
        <w:tblPrEx>
          <w:tblCellMar>
            <w:top w:w="0" w:type="dxa"/>
            <w:left w:w="10" w:type="dxa"/>
            <w:bottom w:w="0" w:type="dxa"/>
            <w:right w:w="10" w:type="dxa"/>
          </w:tblCellMar>
        </w:tblPrEx>
        <w:trPr>
          <w:trHeight w:val="0" w:hRule="atLeast"/>
          <w:jc w:val="center"/>
        </w:trPr>
        <w:tc>
          <w:tcPr>
            <w:tcW w:w="98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auto"/>
                <w:spacing w:val="0"/>
                <w:position w:val="0"/>
                <w:sz w:val="21"/>
                <w:szCs w:val="21"/>
                <w:lang w:val="en-US" w:eastAsia="zh-CN"/>
              </w:rPr>
            </w:pPr>
            <w:r>
              <w:rPr>
                <w:rFonts w:hint="eastAsia" w:ascii="仿宋" w:hAnsi="仿宋" w:eastAsia="仿宋" w:cs="仿宋"/>
                <w:color w:val="auto"/>
                <w:spacing w:val="0"/>
                <w:position w:val="0"/>
                <w:sz w:val="21"/>
                <w:szCs w:val="21"/>
                <w:lang w:val="en-US" w:eastAsia="zh-CN"/>
              </w:rPr>
              <w:t>1</w:t>
            </w:r>
          </w:p>
        </w:tc>
        <w:tc>
          <w:tcPr>
            <w:tcW w:w="213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lang w:val="en-US" w:eastAsia="zh-CN"/>
              </w:rPr>
            </w:pPr>
            <w:r>
              <w:rPr>
                <w:rFonts w:hint="eastAsia" w:ascii="仿宋" w:hAnsi="仿宋" w:eastAsia="仿宋" w:cs="仿宋"/>
                <w:i w:val="0"/>
                <w:iCs w:val="0"/>
                <w:color w:val="000000"/>
                <w:sz w:val="21"/>
                <w:szCs w:val="21"/>
                <w:u w:val="none"/>
                <w:lang w:val="en-US" w:eastAsia="zh-CN"/>
              </w:rPr>
              <w:t>电梯门机控制器</w:t>
            </w:r>
          </w:p>
        </w:tc>
        <w:tc>
          <w:tcPr>
            <w:tcW w:w="87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b w:val="0"/>
                <w:bCs/>
                <w:color w:val="auto"/>
                <w:spacing w:val="0"/>
                <w:position w:val="0"/>
                <w:sz w:val="21"/>
                <w:szCs w:val="21"/>
                <w:shd w:val="clear" w:fill="auto"/>
                <w:lang w:val="en-US" w:eastAsia="zh-CN"/>
              </w:rPr>
            </w:pPr>
            <w:r>
              <w:rPr>
                <w:rFonts w:hint="eastAsia" w:ascii="仿宋" w:hAnsi="仿宋" w:eastAsia="仿宋" w:cs="仿宋"/>
                <w:b w:val="0"/>
                <w:bCs/>
                <w:color w:val="auto"/>
                <w:spacing w:val="0"/>
                <w:position w:val="0"/>
                <w:sz w:val="21"/>
                <w:szCs w:val="21"/>
                <w:shd w:val="clear" w:fill="auto"/>
                <w:lang w:val="en-US" w:eastAsia="zh-CN"/>
              </w:rPr>
              <w:t>1</w:t>
            </w:r>
          </w:p>
        </w:tc>
        <w:tc>
          <w:tcPr>
            <w:tcW w:w="84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kern w:val="0"/>
                <w:sz w:val="20"/>
                <w:szCs w:val="20"/>
                <w:u w:val="none"/>
                <w:lang w:val="en-US" w:eastAsia="zh-CN" w:bidi="ar"/>
              </w:rPr>
              <w:t>套</w:t>
            </w:r>
          </w:p>
        </w:tc>
        <w:tc>
          <w:tcPr>
            <w:tcW w:w="172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rPr>
            </w:pPr>
          </w:p>
        </w:tc>
        <w:tc>
          <w:tcPr>
            <w:tcW w:w="120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rPr>
            </w:pPr>
          </w:p>
        </w:tc>
        <w:tc>
          <w:tcPr>
            <w:tcW w:w="48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rPr>
            </w:pPr>
          </w:p>
        </w:tc>
      </w:tr>
      <w:tr>
        <w:tblPrEx>
          <w:tblCellMar>
            <w:top w:w="0" w:type="dxa"/>
            <w:left w:w="10" w:type="dxa"/>
            <w:bottom w:w="0" w:type="dxa"/>
            <w:right w:w="10" w:type="dxa"/>
          </w:tblCellMar>
        </w:tblPrEx>
        <w:trPr>
          <w:trHeight w:val="0" w:hRule="atLeast"/>
          <w:jc w:val="center"/>
        </w:trPr>
        <w:tc>
          <w:tcPr>
            <w:tcW w:w="98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auto"/>
                <w:spacing w:val="0"/>
                <w:position w:val="0"/>
                <w:sz w:val="21"/>
                <w:szCs w:val="21"/>
                <w:lang w:val="en-US" w:eastAsia="zh-CN"/>
              </w:rPr>
            </w:pPr>
            <w:r>
              <w:rPr>
                <w:rFonts w:hint="eastAsia" w:ascii="仿宋" w:hAnsi="仿宋" w:eastAsia="仿宋" w:cs="仿宋"/>
                <w:color w:val="auto"/>
                <w:spacing w:val="0"/>
                <w:position w:val="0"/>
                <w:sz w:val="21"/>
                <w:szCs w:val="21"/>
                <w:lang w:val="en-US" w:eastAsia="zh-CN"/>
              </w:rPr>
              <w:t>2</w:t>
            </w:r>
          </w:p>
        </w:tc>
        <w:tc>
          <w:tcPr>
            <w:tcW w:w="213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default" w:ascii="仿宋" w:hAnsi="仿宋" w:eastAsia="仿宋" w:cs="仿宋"/>
                <w:i w:val="0"/>
                <w:iCs w:val="0"/>
                <w:color w:val="000000"/>
                <w:sz w:val="21"/>
                <w:szCs w:val="21"/>
                <w:u w:val="none"/>
                <w:lang w:val="en-US" w:eastAsia="zh-CN"/>
              </w:rPr>
            </w:pPr>
            <w:r>
              <w:rPr>
                <w:rFonts w:hint="eastAsia" w:ascii="仿宋" w:hAnsi="仿宋" w:eastAsia="仿宋" w:cs="仿宋"/>
                <w:i w:val="0"/>
                <w:iCs w:val="0"/>
                <w:color w:val="000000"/>
                <w:sz w:val="21"/>
                <w:szCs w:val="21"/>
                <w:u w:val="none"/>
                <w:lang w:val="en-US" w:eastAsia="zh-CN"/>
              </w:rPr>
              <w:t>电梯轨道滑轮</w:t>
            </w:r>
          </w:p>
        </w:tc>
        <w:tc>
          <w:tcPr>
            <w:tcW w:w="87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b w:val="0"/>
                <w:bCs/>
                <w:color w:val="auto"/>
                <w:spacing w:val="0"/>
                <w:position w:val="0"/>
                <w:sz w:val="21"/>
                <w:szCs w:val="21"/>
                <w:shd w:val="clear" w:fill="auto"/>
                <w:lang w:val="en-US" w:eastAsia="zh-CN"/>
              </w:rPr>
            </w:pPr>
            <w:r>
              <w:rPr>
                <w:rFonts w:hint="eastAsia" w:ascii="仿宋" w:hAnsi="仿宋" w:eastAsia="仿宋" w:cs="仿宋"/>
                <w:b w:val="0"/>
                <w:bCs/>
                <w:color w:val="auto"/>
                <w:spacing w:val="0"/>
                <w:position w:val="0"/>
                <w:sz w:val="21"/>
                <w:szCs w:val="21"/>
                <w:shd w:val="clear" w:fill="auto"/>
                <w:lang w:val="en-US" w:eastAsia="zh-CN"/>
              </w:rPr>
              <w:t>1</w:t>
            </w:r>
          </w:p>
        </w:tc>
        <w:tc>
          <w:tcPr>
            <w:tcW w:w="84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套</w:t>
            </w:r>
          </w:p>
        </w:tc>
        <w:tc>
          <w:tcPr>
            <w:tcW w:w="172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rPr>
            </w:pPr>
          </w:p>
        </w:tc>
        <w:tc>
          <w:tcPr>
            <w:tcW w:w="120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rPr>
            </w:pPr>
          </w:p>
        </w:tc>
        <w:tc>
          <w:tcPr>
            <w:tcW w:w="48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rPr>
            </w:pPr>
          </w:p>
        </w:tc>
      </w:tr>
    </w:tbl>
    <w:p>
      <w:pPr>
        <w:spacing w:before="0" w:after="0" w:line="360" w:lineRule="auto"/>
        <w:ind w:left="0" w:right="0" w:firstLine="0"/>
        <w:jc w:val="both"/>
        <w:rPr>
          <w:rFonts w:hint="eastAsia" w:ascii="仿宋" w:hAnsi="仿宋" w:eastAsia="仿宋" w:cs="仿宋"/>
          <w:color w:val="auto"/>
          <w:spacing w:val="0"/>
          <w:position w:val="0"/>
          <w:sz w:val="21"/>
          <w:szCs w:val="21"/>
          <w:shd w:val="clear" w:fill="auto"/>
        </w:rPr>
      </w:pPr>
      <w:r>
        <w:rPr>
          <w:rFonts w:hint="eastAsia" w:ascii="仿宋" w:hAnsi="仿宋" w:eastAsia="仿宋" w:cs="仿宋"/>
          <w:color w:val="auto"/>
          <w:spacing w:val="0"/>
          <w:position w:val="0"/>
          <w:sz w:val="21"/>
          <w:szCs w:val="21"/>
          <w:shd w:val="clear" w:fill="auto"/>
        </w:rPr>
        <w:t>注：具体税率以税法规定的为主。</w:t>
      </w:r>
    </w:p>
    <w:p>
      <w:pPr>
        <w:bidi w:val="0"/>
        <w:rPr>
          <w:rFonts w:hint="eastAsia" w:asciiTheme="minorHAnsi" w:hAnsiTheme="minorHAnsi" w:eastAsiaTheme="minorEastAsia" w:cstheme="minorBidi"/>
          <w:sz w:val="21"/>
          <w:szCs w:val="22"/>
        </w:rPr>
      </w:pPr>
    </w:p>
    <w:p>
      <w:pPr>
        <w:bidi w:val="0"/>
        <w:rPr>
          <w:rFonts w:hint="eastAsia"/>
        </w:rPr>
      </w:pPr>
    </w:p>
    <w:p>
      <w:pPr>
        <w:bidi w:val="0"/>
        <w:rPr>
          <w:rFonts w:hint="eastAsia"/>
        </w:rPr>
      </w:pPr>
    </w:p>
    <w:p>
      <w:pPr>
        <w:bidi w:val="0"/>
        <w:rPr>
          <w:rFonts w:hint="eastAsia"/>
        </w:rPr>
      </w:pPr>
    </w:p>
    <w:p>
      <w:pPr>
        <w:bidi w:val="0"/>
        <w:ind w:firstLine="493" w:firstLineChars="0"/>
        <w:jc w:val="left"/>
        <w:rPr>
          <w:rFonts w:hint="eastAsia"/>
        </w:rPr>
      </w:pPr>
    </w:p>
    <w:sectPr>
      <w:pgSz w:w="11906" w:h="16838"/>
      <w:pgMar w:top="1043" w:right="1463" w:bottom="986" w:left="1463" w:header="720" w:footer="72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isplayHorizontalDrawingGridEvery w:val="1"/>
  <w:displayVerticalDrawingGridEvery w:val="1"/>
  <w:noPunctuationKerning w:val="1"/>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9111B0"/>
    <w:rsid w:val="01B5121B"/>
    <w:rsid w:val="01BD0D1C"/>
    <w:rsid w:val="035A360D"/>
    <w:rsid w:val="045E1060"/>
    <w:rsid w:val="045E43C8"/>
    <w:rsid w:val="04F16BCC"/>
    <w:rsid w:val="050F7DF0"/>
    <w:rsid w:val="05471293"/>
    <w:rsid w:val="067B659F"/>
    <w:rsid w:val="06F10931"/>
    <w:rsid w:val="075959FA"/>
    <w:rsid w:val="0805253B"/>
    <w:rsid w:val="08352FB8"/>
    <w:rsid w:val="09513EE3"/>
    <w:rsid w:val="096A6D80"/>
    <w:rsid w:val="097442CF"/>
    <w:rsid w:val="0B6A61F5"/>
    <w:rsid w:val="0CC863AF"/>
    <w:rsid w:val="0E1A7397"/>
    <w:rsid w:val="0E4C5D78"/>
    <w:rsid w:val="0E75758C"/>
    <w:rsid w:val="0EB949B3"/>
    <w:rsid w:val="0ECB39D4"/>
    <w:rsid w:val="0F046CDA"/>
    <w:rsid w:val="0F5B069B"/>
    <w:rsid w:val="0F753E32"/>
    <w:rsid w:val="102C0118"/>
    <w:rsid w:val="10A64130"/>
    <w:rsid w:val="128A53F1"/>
    <w:rsid w:val="13320E18"/>
    <w:rsid w:val="13843CE3"/>
    <w:rsid w:val="16285F1D"/>
    <w:rsid w:val="186D4742"/>
    <w:rsid w:val="1A1D1812"/>
    <w:rsid w:val="1C7C366F"/>
    <w:rsid w:val="1E322697"/>
    <w:rsid w:val="1E9706AD"/>
    <w:rsid w:val="1FFE4804"/>
    <w:rsid w:val="226F6E08"/>
    <w:rsid w:val="22E85C3E"/>
    <w:rsid w:val="257E779B"/>
    <w:rsid w:val="27067569"/>
    <w:rsid w:val="2717598A"/>
    <w:rsid w:val="2A925ADB"/>
    <w:rsid w:val="2AA34A50"/>
    <w:rsid w:val="2B22232D"/>
    <w:rsid w:val="2BDF04CD"/>
    <w:rsid w:val="2BF31469"/>
    <w:rsid w:val="2C671F04"/>
    <w:rsid w:val="2CD608A9"/>
    <w:rsid w:val="30594760"/>
    <w:rsid w:val="30642AF1"/>
    <w:rsid w:val="31607511"/>
    <w:rsid w:val="32865274"/>
    <w:rsid w:val="337201F6"/>
    <w:rsid w:val="33F7044F"/>
    <w:rsid w:val="361A26D3"/>
    <w:rsid w:val="37306998"/>
    <w:rsid w:val="37D31A24"/>
    <w:rsid w:val="384813FC"/>
    <w:rsid w:val="386C444C"/>
    <w:rsid w:val="396A5588"/>
    <w:rsid w:val="39933C03"/>
    <w:rsid w:val="3A274309"/>
    <w:rsid w:val="3AA008BD"/>
    <w:rsid w:val="3B3616F8"/>
    <w:rsid w:val="3B7B3AA4"/>
    <w:rsid w:val="3DBD54D1"/>
    <w:rsid w:val="3DEB5278"/>
    <w:rsid w:val="3EE60898"/>
    <w:rsid w:val="409A440B"/>
    <w:rsid w:val="40DF6F7E"/>
    <w:rsid w:val="41AB1BA0"/>
    <w:rsid w:val="42B2153C"/>
    <w:rsid w:val="42BA1E87"/>
    <w:rsid w:val="43377922"/>
    <w:rsid w:val="449A10F2"/>
    <w:rsid w:val="44AE216B"/>
    <w:rsid w:val="44BE4F4C"/>
    <w:rsid w:val="44C5163B"/>
    <w:rsid w:val="450622AA"/>
    <w:rsid w:val="46084AF2"/>
    <w:rsid w:val="463203E3"/>
    <w:rsid w:val="4679071D"/>
    <w:rsid w:val="47333E80"/>
    <w:rsid w:val="4B5A26CF"/>
    <w:rsid w:val="4C4E0498"/>
    <w:rsid w:val="4DC90F22"/>
    <w:rsid w:val="4EB877D8"/>
    <w:rsid w:val="4F64032B"/>
    <w:rsid w:val="50465DC1"/>
    <w:rsid w:val="50D217A5"/>
    <w:rsid w:val="53E35DBF"/>
    <w:rsid w:val="54F30A9A"/>
    <w:rsid w:val="5516400D"/>
    <w:rsid w:val="554E3280"/>
    <w:rsid w:val="57CA1BBE"/>
    <w:rsid w:val="584A0ED7"/>
    <w:rsid w:val="59DD43AC"/>
    <w:rsid w:val="5A0A4770"/>
    <w:rsid w:val="5CA96F3A"/>
    <w:rsid w:val="5CCD452C"/>
    <w:rsid w:val="5D751597"/>
    <w:rsid w:val="5DBE573A"/>
    <w:rsid w:val="5ECA2050"/>
    <w:rsid w:val="5F261328"/>
    <w:rsid w:val="5FE56175"/>
    <w:rsid w:val="60785BD4"/>
    <w:rsid w:val="636B5B38"/>
    <w:rsid w:val="63CD54CF"/>
    <w:rsid w:val="655B2D8B"/>
    <w:rsid w:val="65680AED"/>
    <w:rsid w:val="65CF16D5"/>
    <w:rsid w:val="66E24AD6"/>
    <w:rsid w:val="67206A22"/>
    <w:rsid w:val="684A320C"/>
    <w:rsid w:val="68DC54AF"/>
    <w:rsid w:val="69251483"/>
    <w:rsid w:val="6AAD50E8"/>
    <w:rsid w:val="6ADA7BDA"/>
    <w:rsid w:val="6B085B8A"/>
    <w:rsid w:val="6B144D07"/>
    <w:rsid w:val="6B6028C3"/>
    <w:rsid w:val="6CF14DE3"/>
    <w:rsid w:val="70D40319"/>
    <w:rsid w:val="70D511A9"/>
    <w:rsid w:val="7315034C"/>
    <w:rsid w:val="761015B5"/>
    <w:rsid w:val="764A508B"/>
    <w:rsid w:val="76AC22B9"/>
    <w:rsid w:val="77047750"/>
    <w:rsid w:val="7822165B"/>
    <w:rsid w:val="78284504"/>
    <w:rsid w:val="796039A4"/>
    <w:rsid w:val="7AC100E3"/>
    <w:rsid w:val="7B2F5C13"/>
    <w:rsid w:val="7CD5595C"/>
    <w:rsid w:val="7DDA14B9"/>
    <w:rsid w:val="7E37256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sz w:val="21"/>
      <w:szCs w:val="22"/>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2">
    <w:name w:val="NormalIndent"/>
    <w:basedOn w:val="1"/>
    <w:qFormat/>
    <w:uiPriority w:val="0"/>
    <w:pPr>
      <w:ind w:firstLine="420" w:firstLineChars="200"/>
    </w:pPr>
  </w:style>
  <w:style w:type="character" w:customStyle="1" w:styleId="5">
    <w:name w:val="font91"/>
    <w:basedOn w:val="4"/>
    <w:qFormat/>
    <w:uiPriority w:val="0"/>
    <w:rPr>
      <w:rFonts w:hint="default" w:ascii="Times New Roman" w:hAnsi="Times New Roman" w:cs="Times New Roman"/>
      <w:color w:val="000000"/>
      <w:sz w:val="20"/>
      <w:szCs w:val="20"/>
      <w:u w:val="none"/>
    </w:rPr>
  </w:style>
  <w:style w:type="character" w:customStyle="1" w:styleId="6">
    <w:name w:val="font81"/>
    <w:basedOn w:val="4"/>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Pages>
  <TotalTime>29</TotalTime>
  <ScaleCrop>false</ScaleCrop>
  <LinksUpToDate>false</LinksUpToDate>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2023-05-12T01:56:00Z</dcterms:created>
  <dc:creator>Lenovo</dc:creator>
  <cp:lastModifiedBy>李福成</cp:lastModifiedBy>
  <dcterms:modified xsi:type="dcterms:W3CDTF">2025-10-11T07:48:33Z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0AF98599E5BF4FF59F72A6A5C3C1FC31</vt:lpwstr>
  </property>
</Properties>
</file>