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rFonts w:eastAsia="黑体"/>
          <w:sz w:val="30"/>
        </w:rPr>
      </w:pPr>
    </w:p>
    <w:p>
      <w:pPr>
        <w:ind w:firstLine="0" w:firstLineChars="0"/>
        <w:jc w:val="both"/>
        <w:rPr>
          <w:rFonts w:hint="default" w:eastAsia="宋体"/>
          <w:b/>
          <w:sz w:val="44"/>
          <w:szCs w:val="44"/>
          <w:lang w:val="en-US" w:eastAsia="zh-CN"/>
        </w:rPr>
      </w:pPr>
    </w:p>
    <w:p>
      <w:pPr>
        <w:ind w:firstLine="0" w:firstLineChars="0"/>
        <w:jc w:val="center"/>
        <w:rPr>
          <w:rFonts w:hint="eastAsia"/>
          <w:b/>
          <w:sz w:val="44"/>
          <w:szCs w:val="44"/>
          <w:lang w:val="en-US" w:eastAsia="zh-CN"/>
        </w:rPr>
      </w:pPr>
      <w:r>
        <w:rPr>
          <w:rFonts w:hint="eastAsia"/>
          <w:b/>
          <w:sz w:val="44"/>
          <w:szCs w:val="44"/>
          <w:lang w:val="en-US" w:eastAsia="zh-CN"/>
        </w:rPr>
        <w:t>云南送变电工程有限公司土建精细化算量服务</w:t>
      </w:r>
    </w:p>
    <w:p>
      <w:pPr>
        <w:ind w:firstLine="0" w:firstLineChars="0"/>
        <w:jc w:val="center"/>
        <w:rPr>
          <w:rFonts w:eastAsia="黑体"/>
          <w:sz w:val="20"/>
          <w:szCs w:val="16"/>
        </w:rPr>
      </w:pPr>
      <w:r>
        <w:rPr>
          <w:rFonts w:hint="eastAsia"/>
          <w:b/>
          <w:sz w:val="44"/>
          <w:szCs w:val="44"/>
          <w:lang w:val="en-US" w:eastAsia="zh-CN"/>
        </w:rPr>
        <w:t>（正版）</w:t>
      </w:r>
      <w:r>
        <w:rPr>
          <w:b/>
          <w:sz w:val="44"/>
          <w:szCs w:val="44"/>
        </w:rPr>
        <w:t>技术规范书</w:t>
      </w:r>
    </w:p>
    <w:p>
      <w:pPr>
        <w:ind w:firstLine="0" w:firstLineChars="0"/>
        <w:jc w:val="center"/>
        <w:rPr>
          <w:b/>
          <w:sz w:val="44"/>
          <w:szCs w:val="44"/>
        </w:rPr>
      </w:pPr>
    </w:p>
    <w:p>
      <w:pPr>
        <w:ind w:firstLine="0" w:firstLineChars="0"/>
        <w:jc w:val="center"/>
        <w:rPr>
          <w:rFonts w:eastAsia="黑体"/>
          <w:b/>
          <w:sz w:val="52"/>
        </w:rPr>
      </w:pPr>
    </w:p>
    <w:p>
      <w:pPr>
        <w:ind w:firstLine="0" w:firstLineChars="0"/>
        <w:jc w:val="center"/>
        <w:rPr>
          <w:rFonts w:eastAsia="黑体"/>
          <w:b/>
          <w:sz w:val="52"/>
        </w:rPr>
      </w:pPr>
    </w:p>
    <w:p>
      <w:pPr>
        <w:ind w:firstLine="0" w:firstLineChars="0"/>
        <w:jc w:val="center"/>
        <w:rPr>
          <w:rFonts w:eastAsia="黑体"/>
          <w:b/>
          <w:sz w:val="44"/>
          <w:szCs w:val="44"/>
        </w:rPr>
      </w:pPr>
    </w:p>
    <w:p>
      <w:pPr>
        <w:ind w:firstLine="0" w:firstLineChars="0"/>
        <w:jc w:val="center"/>
        <w:rPr>
          <w:rFonts w:eastAsia="黑体"/>
          <w:b/>
          <w:sz w:val="52"/>
        </w:rPr>
      </w:pPr>
    </w:p>
    <w:p>
      <w:pPr>
        <w:ind w:firstLine="0" w:firstLineChars="0"/>
        <w:jc w:val="center"/>
        <w:rPr>
          <w:rFonts w:eastAsia="黑体"/>
          <w:b/>
          <w:sz w:val="52"/>
        </w:rPr>
      </w:pPr>
      <w:bookmarkStart w:id="32" w:name="_GoBack"/>
      <w:bookmarkEnd w:id="32"/>
    </w:p>
    <w:p>
      <w:pPr>
        <w:ind w:firstLine="0" w:firstLineChars="0"/>
        <w:jc w:val="center"/>
        <w:rPr>
          <w:rFonts w:eastAsia="黑体"/>
          <w:b/>
          <w:sz w:val="52"/>
        </w:rPr>
      </w:pPr>
    </w:p>
    <w:p>
      <w:pPr>
        <w:ind w:firstLine="0" w:firstLineChars="0"/>
        <w:jc w:val="center"/>
        <w:rPr>
          <w:rFonts w:eastAsia="黑体"/>
          <w:b/>
          <w:sz w:val="52"/>
        </w:rPr>
      </w:pPr>
    </w:p>
    <w:p>
      <w:pPr>
        <w:ind w:firstLine="0" w:firstLineChars="0"/>
        <w:jc w:val="center"/>
        <w:rPr>
          <w:rFonts w:eastAsia="黑体"/>
          <w:b/>
          <w:sz w:val="52"/>
        </w:rPr>
      </w:pPr>
    </w:p>
    <w:p>
      <w:pPr>
        <w:ind w:firstLine="0" w:firstLineChars="0"/>
        <w:jc w:val="center"/>
        <w:rPr>
          <w:rFonts w:eastAsia="黑体"/>
          <w:b/>
          <w:sz w:val="52"/>
        </w:rPr>
      </w:pPr>
    </w:p>
    <w:p>
      <w:pPr>
        <w:ind w:firstLine="0" w:firstLineChars="0"/>
        <w:jc w:val="center"/>
        <w:rPr>
          <w:rFonts w:eastAsia="黑体"/>
          <w:b/>
          <w:sz w:val="52"/>
        </w:rPr>
      </w:pPr>
    </w:p>
    <w:p>
      <w:pPr>
        <w:spacing w:before="100" w:beforeAutospacing="1" w:after="100" w:afterAutospacing="1"/>
        <w:ind w:firstLine="640"/>
        <w:jc w:val="center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>云南送变电工程有限公司</w:t>
      </w:r>
    </w:p>
    <w:p>
      <w:pPr>
        <w:spacing w:before="100" w:beforeAutospacing="1" w:after="100" w:afterAutospacing="1"/>
        <w:ind w:firstLine="640"/>
        <w:jc w:val="center"/>
        <w:rPr>
          <w:sz w:val="32"/>
        </w:rPr>
      </w:pPr>
      <w:r>
        <w:rPr>
          <w:sz w:val="32"/>
        </w:rPr>
        <w:t>20</w:t>
      </w:r>
      <w:r>
        <w:rPr>
          <w:rFonts w:hint="eastAsia"/>
          <w:sz w:val="32"/>
          <w:lang w:val="en-US" w:eastAsia="zh-CN"/>
        </w:rPr>
        <w:t>25</w:t>
      </w:r>
      <w:r>
        <w:rPr>
          <w:sz w:val="32"/>
        </w:rPr>
        <w:t>年</w:t>
      </w:r>
      <w:r>
        <w:rPr>
          <w:rFonts w:hint="eastAsia"/>
          <w:sz w:val="32"/>
          <w:lang w:val="en-US" w:eastAsia="zh-CN"/>
        </w:rPr>
        <w:t>9</w:t>
      </w:r>
      <w:r>
        <w:rPr>
          <w:sz w:val="32"/>
        </w:rPr>
        <w:t>月</w:t>
      </w:r>
    </w:p>
    <w:p>
      <w:p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134" w:right="1134" w:bottom="1134" w:left="1134" w:header="851" w:footer="992" w:gutter="0"/>
          <w:pgNumType w:start="0"/>
          <w:cols w:space="720" w:num="1"/>
          <w:titlePg/>
          <w:docGrid w:type="lines" w:linePitch="312" w:charSpace="0"/>
        </w:sectPr>
      </w:pPr>
      <w:bookmarkStart w:id="0" w:name="_Toc212863397"/>
    </w:p>
    <w:bookmarkEnd w:id="0"/>
    <w:p>
      <w:pPr>
        <w:pStyle w:val="23"/>
        <w:numPr>
          <w:ilvl w:val="0"/>
          <w:numId w:val="0"/>
        </w:numPr>
        <w:tabs>
          <w:tab w:val="left" w:pos="501"/>
          <w:tab w:val="clear" w:pos="360"/>
        </w:tabs>
        <w:ind w:firstLine="442" w:firstLineChars="100"/>
        <w:rPr>
          <w:rStyle w:val="24"/>
          <w:b/>
          <w:bCs/>
          <w:color w:val="000000"/>
          <w:lang w:val="en-US" w:eastAsia="zh-CN"/>
        </w:rPr>
      </w:pPr>
      <w:bookmarkStart w:id="1" w:name="_Toc31497"/>
      <w:bookmarkStart w:id="2" w:name="_Toc410262344"/>
      <w:bookmarkStart w:id="3" w:name="_Toc350000270"/>
      <w:r>
        <w:rPr>
          <w:rStyle w:val="24"/>
          <w:rFonts w:hint="eastAsia" w:ascii="宋体" w:hAnsi="宋体" w:eastAsia="宋体" w:cs="宋体"/>
          <w:b/>
          <w:bCs/>
          <w:color w:val="000000"/>
          <w:lang w:val="en-US" w:eastAsia="zh-CN"/>
        </w:rPr>
        <w:t>1</w:t>
      </w:r>
      <w:r>
        <w:rPr>
          <w:rStyle w:val="24"/>
          <w:rFonts w:hint="eastAsia" w:ascii="宋体" w:hAnsi="宋体" w:cs="宋体"/>
          <w:b/>
          <w:bCs/>
          <w:color w:val="000000"/>
          <w:lang w:val="en-US" w:eastAsia="zh-CN"/>
        </w:rPr>
        <w:t>.</w:t>
      </w:r>
      <w:r>
        <w:rPr>
          <w:rStyle w:val="24"/>
          <w:rFonts w:hint="eastAsia"/>
          <w:b/>
          <w:bCs/>
          <w:color w:val="000000"/>
          <w:lang w:val="en-US" w:eastAsia="zh-CN"/>
        </w:rPr>
        <w:t>项目</w:t>
      </w:r>
      <w:bookmarkEnd w:id="1"/>
      <w:bookmarkEnd w:id="2"/>
      <w:bookmarkEnd w:id="3"/>
      <w:r>
        <w:rPr>
          <w:rStyle w:val="24"/>
          <w:rFonts w:hint="eastAsia"/>
          <w:b/>
          <w:bCs/>
          <w:color w:val="000000"/>
          <w:lang w:val="en-US" w:eastAsia="zh-CN"/>
        </w:rPr>
        <w:t>内容</w:t>
      </w:r>
    </w:p>
    <w:p>
      <w:pPr>
        <w:pStyle w:val="25"/>
        <w:ind w:left="512" w:hanging="92"/>
        <w:rPr>
          <w:bCs/>
          <w:kern w:val="44"/>
          <w:sz w:val="30"/>
          <w:szCs w:val="32"/>
          <w:highlight w:val="none"/>
          <w:lang w:eastAsia="zh-CN"/>
        </w:rPr>
      </w:pPr>
      <w:bookmarkStart w:id="4" w:name="_Toc14645"/>
      <w:bookmarkStart w:id="5" w:name="_Toc410262345"/>
      <w:bookmarkStart w:id="6" w:name="OLE_LINK2"/>
      <w:bookmarkStart w:id="7" w:name="OLE_LINK4"/>
      <w:bookmarkStart w:id="8" w:name="OLE_LINK1"/>
      <w:r>
        <w:rPr>
          <w:rFonts w:hint="eastAsia"/>
          <w:bCs/>
          <w:kern w:val="44"/>
          <w:sz w:val="30"/>
          <w:szCs w:val="32"/>
          <w:highlight w:val="none"/>
          <w:lang w:eastAsia="zh-CN"/>
        </w:rPr>
        <w:t>项目概述</w:t>
      </w:r>
      <w:bookmarkEnd w:id="4"/>
      <w:bookmarkEnd w:id="5"/>
    </w:p>
    <w:p>
      <w:pPr>
        <w:ind w:firstLine="480"/>
        <w:rPr>
          <w:rFonts w:hint="default" w:eastAsia="宋体"/>
          <w:bCs/>
          <w:color w:val="auto"/>
          <w:sz w:val="24"/>
          <w:highlight w:val="none"/>
          <w:lang w:val="en-US" w:eastAsia="zh-CN"/>
        </w:rPr>
      </w:pPr>
      <w:r>
        <w:rPr>
          <w:rFonts w:hint="eastAsia"/>
          <w:bCs/>
          <w:color w:val="auto"/>
          <w:sz w:val="24"/>
          <w:highlight w:val="none"/>
          <w:lang w:val="en-US" w:eastAsia="zh-CN"/>
        </w:rPr>
        <w:t>因我单位设计院工程造价工作必需的</w:t>
      </w:r>
      <w:r>
        <w:rPr>
          <w:rFonts w:hint="eastAsia"/>
          <w:color w:val="auto"/>
          <w:sz w:val="24"/>
          <w:lang w:val="en-US" w:eastAsia="zh-CN"/>
        </w:rPr>
        <w:t>土建精细化算量服务（正版）</w:t>
      </w:r>
      <w:r>
        <w:rPr>
          <w:rFonts w:hint="eastAsia"/>
          <w:bCs/>
          <w:color w:val="auto"/>
          <w:sz w:val="24"/>
          <w:highlight w:val="none"/>
          <w:lang w:val="en-US" w:eastAsia="zh-CN"/>
        </w:rPr>
        <w:t>即将到期，为了满足工作需要，现需对原有的2套</w:t>
      </w:r>
      <w:r>
        <w:rPr>
          <w:rFonts w:hint="eastAsia"/>
          <w:color w:val="auto"/>
          <w:sz w:val="24"/>
          <w:lang w:val="en-US" w:eastAsia="zh-CN"/>
        </w:rPr>
        <w:t>土建精细化算量服务（正版）续费</w:t>
      </w:r>
      <w:r>
        <w:rPr>
          <w:rFonts w:hint="eastAsia"/>
          <w:bCs/>
          <w:color w:val="auto"/>
          <w:sz w:val="24"/>
          <w:highlight w:val="none"/>
          <w:lang w:val="en-US" w:eastAsia="zh-CN"/>
        </w:rPr>
        <w:t>。</w:t>
      </w:r>
    </w:p>
    <w:p>
      <w:pPr>
        <w:pStyle w:val="25"/>
        <w:ind w:left="512" w:hanging="92"/>
        <w:rPr>
          <w:bCs/>
          <w:kern w:val="44"/>
          <w:sz w:val="30"/>
          <w:szCs w:val="32"/>
          <w:highlight w:val="none"/>
          <w:lang w:eastAsia="zh-CN"/>
        </w:rPr>
      </w:pPr>
      <w:bookmarkStart w:id="9" w:name="_Toc7307"/>
      <w:bookmarkStart w:id="10" w:name="_Toc410262346"/>
      <w:r>
        <w:rPr>
          <w:rFonts w:hint="eastAsia"/>
          <w:bCs/>
          <w:kern w:val="44"/>
          <w:sz w:val="30"/>
          <w:szCs w:val="32"/>
          <w:highlight w:val="none"/>
          <w:lang w:eastAsia="zh-CN"/>
        </w:rPr>
        <w:t>项目目标</w:t>
      </w:r>
      <w:bookmarkEnd w:id="9"/>
      <w:bookmarkEnd w:id="10"/>
    </w:p>
    <w:p>
      <w:pPr>
        <w:numPr>
          <w:ilvl w:val="0"/>
          <w:numId w:val="0"/>
        </w:numPr>
        <w:ind w:firstLine="480" w:firstLineChars="200"/>
        <w:rPr>
          <w:rFonts w:hint="default"/>
          <w:bCs/>
          <w:color w:val="auto"/>
          <w:sz w:val="24"/>
          <w:highlight w:val="none"/>
          <w:lang w:val="en-US"/>
        </w:rPr>
      </w:pPr>
      <w:r>
        <w:rPr>
          <w:rFonts w:hint="eastAsia"/>
          <w:bCs/>
          <w:color w:val="auto"/>
          <w:sz w:val="24"/>
          <w:highlight w:val="none"/>
        </w:rPr>
        <w:t>拟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通过端·云·大数据产品形态，旨在解决造价作业效率低、企业数据应用难等问题，助力实现作业高效化、数据标准化、应用智能化，达成造价数字化管理的目标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通过大数据、BIM、云技术等为国内造价领域提供估概算、招投标预算、施工过程、竣工结算全过程、全场景、全流程（算量、 提量、检查、审核）的精细化算量服务</w:t>
      </w:r>
      <w:r>
        <w:rPr>
          <w:rFonts w:hint="eastAsia"/>
          <w:bCs/>
          <w:color w:val="auto"/>
          <w:sz w:val="24"/>
          <w:highlight w:val="none"/>
          <w:lang w:val="en-US" w:eastAsia="zh-CN"/>
        </w:rPr>
        <w:t>。</w:t>
      </w:r>
    </w:p>
    <w:p>
      <w:pPr>
        <w:pStyle w:val="25"/>
        <w:ind w:left="512" w:hanging="92"/>
        <w:rPr>
          <w:rFonts w:ascii="宋体" w:hAnsi="宋体"/>
          <w:sz w:val="28"/>
          <w:szCs w:val="28"/>
          <w:lang w:val="en-US" w:eastAsia="zh-CN"/>
        </w:rPr>
      </w:pPr>
      <w:bookmarkStart w:id="11" w:name="_Toc8939"/>
      <w:bookmarkStart w:id="12" w:name="_Toc410262352"/>
      <w:r>
        <w:rPr>
          <w:rFonts w:hint="eastAsia"/>
          <w:bCs/>
          <w:kern w:val="44"/>
          <w:sz w:val="30"/>
          <w:szCs w:val="32"/>
          <w:lang w:eastAsia="zh-CN"/>
        </w:rPr>
        <w:t>项目</w:t>
      </w:r>
      <w:bookmarkEnd w:id="11"/>
      <w:bookmarkEnd w:id="12"/>
      <w:r>
        <w:rPr>
          <w:rFonts w:hint="eastAsia"/>
          <w:bCs/>
          <w:kern w:val="44"/>
          <w:sz w:val="30"/>
          <w:szCs w:val="32"/>
          <w:lang w:val="en-US" w:eastAsia="zh-CN"/>
        </w:rPr>
        <w:t>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480" w:firstLineChars="200"/>
        <w:jc w:val="both"/>
        <w:textAlignment w:val="auto"/>
        <w:rPr>
          <w:rFonts w:hint="default"/>
          <w:bCs/>
          <w:color w:val="auto"/>
          <w:sz w:val="24"/>
          <w:highlight w:val="none"/>
          <w:lang w:val="en-US" w:eastAsia="zh-CN"/>
        </w:rPr>
      </w:pPr>
      <w:r>
        <w:rPr>
          <w:rFonts w:hint="eastAsia"/>
          <w:color w:val="auto"/>
          <w:sz w:val="24"/>
          <w:lang w:val="en-US" w:eastAsia="zh-CN"/>
        </w:rPr>
        <w:t>土建精细化算量服务（正版）应包含BIM土建计量平台、云计价平台（包括云计价、企业材料管理服务平台、成本大数据服务、指标信息服务平台、指标数据管理服务平台、数字新成本平台（施工成本测算）、数字新成本平台成本测算、材料信息服务平台、造价云管理平台）等服务功能。</w:t>
      </w:r>
    </w:p>
    <w:p>
      <w:pPr>
        <w:pStyle w:val="26"/>
        <w:numPr>
          <w:ilvl w:val="2"/>
          <w:numId w:val="0"/>
        </w:numPr>
        <w:tabs>
          <w:tab w:val="left" w:pos="501"/>
          <w:tab w:val="left" w:pos="709"/>
          <w:tab w:val="left" w:pos="1134"/>
          <w:tab w:val="clear" w:pos="1080"/>
          <w:tab w:val="clear" w:pos="1440"/>
        </w:tabs>
        <w:spacing w:before="60"/>
        <w:ind w:firstLine="562" w:firstLineChars="200"/>
        <w:outlineLvl w:val="1"/>
        <w:rPr>
          <w:rFonts w:ascii="宋体" w:hAnsi="宋体"/>
          <w:sz w:val="28"/>
          <w:szCs w:val="28"/>
          <w:lang w:val="en-US" w:eastAsia="zh-CN"/>
        </w:rPr>
      </w:pPr>
      <w:bookmarkStart w:id="13" w:name="_Toc19829"/>
      <w:r>
        <w:rPr>
          <w:rFonts w:hint="eastAsia" w:ascii="宋体" w:hAnsi="宋体"/>
          <w:sz w:val="28"/>
          <w:szCs w:val="28"/>
          <w:lang w:val="en-US" w:eastAsia="zh-CN"/>
        </w:rPr>
        <w:t>1.3.1应用范围</w:t>
      </w:r>
      <w:bookmarkEnd w:id="13"/>
    </w:p>
    <w:p>
      <w:pPr>
        <w:ind w:left="0" w:leftChars="0"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云南送变电工程有限公司设计院</w:t>
      </w:r>
      <w:r>
        <w:rPr>
          <w:rFonts w:hint="eastAsia" w:ascii="宋体" w:hAnsi="宋体"/>
          <w:sz w:val="24"/>
        </w:rPr>
        <w:t>。</w:t>
      </w:r>
    </w:p>
    <w:bookmarkEnd w:id="6"/>
    <w:bookmarkEnd w:id="7"/>
    <w:bookmarkEnd w:id="8"/>
    <w:p>
      <w:pPr>
        <w:pStyle w:val="26"/>
        <w:numPr>
          <w:ilvl w:val="2"/>
          <w:numId w:val="0"/>
        </w:numPr>
        <w:tabs>
          <w:tab w:val="left" w:pos="501"/>
          <w:tab w:val="left" w:pos="709"/>
          <w:tab w:val="left" w:pos="1134"/>
          <w:tab w:val="clear" w:pos="1080"/>
          <w:tab w:val="clear" w:pos="1440"/>
        </w:tabs>
        <w:spacing w:before="60"/>
        <w:ind w:firstLine="562" w:firstLineChars="200"/>
        <w:outlineLvl w:val="1"/>
        <w:rPr>
          <w:rFonts w:ascii="宋体" w:hAnsi="宋体"/>
          <w:sz w:val="28"/>
          <w:szCs w:val="28"/>
          <w:lang w:val="en-US" w:eastAsia="zh-CN"/>
        </w:rPr>
      </w:pPr>
      <w:bookmarkStart w:id="14" w:name="_Toc2098"/>
      <w:bookmarkStart w:id="15" w:name="_Toc518912048"/>
      <w:r>
        <w:rPr>
          <w:rFonts w:hint="eastAsia" w:ascii="宋体" w:hAnsi="宋体"/>
          <w:sz w:val="28"/>
          <w:szCs w:val="28"/>
          <w:lang w:val="en-US" w:eastAsia="zh-CN"/>
        </w:rPr>
        <w:t>1.3.2项目服务周期要求</w:t>
      </w:r>
      <w:bookmarkEnd w:id="14"/>
      <w:bookmarkEnd w:id="15"/>
    </w:p>
    <w:p>
      <w:pPr>
        <w:ind w:left="0" w:leftChars="0"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本项目的服务周期为：</w:t>
      </w:r>
      <w:r>
        <w:rPr>
          <w:rFonts w:hint="eastAsia" w:ascii="宋体" w:hAnsi="宋体"/>
          <w:sz w:val="24"/>
          <w:lang w:val="en-US" w:eastAsia="zh-CN"/>
        </w:rPr>
        <w:t>2025年11月至2026年11月</w:t>
      </w:r>
      <w:r>
        <w:rPr>
          <w:rFonts w:hint="eastAsia" w:ascii="宋体" w:hAnsi="宋体"/>
          <w:sz w:val="24"/>
        </w:rPr>
        <w:t>。</w:t>
      </w:r>
      <w:bookmarkStart w:id="16" w:name="_Toc213331616"/>
      <w:bookmarkStart w:id="17" w:name="_Toc213331647"/>
    </w:p>
    <w:p>
      <w:pPr>
        <w:ind w:left="0" w:leftChars="0" w:firstLine="442" w:firstLineChars="100"/>
        <w:rPr>
          <w:rStyle w:val="24"/>
          <w:rFonts w:ascii="宋体" w:hAnsi="宋体"/>
          <w:b/>
          <w:bCs w:val="0"/>
          <w:kern w:val="28"/>
          <w:szCs w:val="20"/>
          <w:lang w:val="en-US" w:eastAsia="zh-CN"/>
        </w:rPr>
      </w:pPr>
      <w:r>
        <w:rPr>
          <w:rStyle w:val="24"/>
          <w:rFonts w:hint="eastAsia" w:ascii="宋体" w:hAnsi="宋体"/>
          <w:b/>
          <w:bCs w:val="0"/>
          <w:kern w:val="28"/>
          <w:szCs w:val="20"/>
          <w:lang w:val="en-US" w:eastAsia="zh-CN"/>
        </w:rPr>
        <w:t>2.技术要求</w:t>
      </w:r>
    </w:p>
    <w:bookmarkEnd w:id="16"/>
    <w:bookmarkEnd w:id="17"/>
    <w:p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总体要求：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满足国标清单及市场清单两种业务模式，覆盖了民建工程造价全专业、全岗位、全过程的计价业务场景，通过端·云·大数据产品形态，旨在解决造价作业效率低、企业数据应用难等问题，助力实现作业高效化、数据标准化、应用智能化，达成造价数字化管理的目标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通过大数据、BIM、云技术等为国内造价领域提供估概算、招投标预算、施工过程、竣工结算全过程、全场景、全流程（算量、 提量、检查、审核）的精细化算量服务</w:t>
      </w:r>
    </w:p>
    <w:p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技术要求：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概预结审全业务覆盖，各阶段工程数据互通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丶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智能组价、智能提量、在线报表为组价、提量、成果文件输出等各阶段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单位工程快速新建、全费用与非全费用一键转换、定额换算一目了然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支持全国所有地区计价规范，支持各业务阶段专业费用的计算</w:t>
      </w:r>
    </w:p>
    <w:p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/>
        <w:ind w:left="0" w:leftChars="0" w:right="0"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安全性：保证项目实施安全性，需要同时满足数据的传输安全、数据的存储安全、数据的访问安全和数据的管理安全等四个方面。</w:t>
      </w:r>
      <w:bookmarkStart w:id="18" w:name="_Toc494374760"/>
      <w:bookmarkStart w:id="19" w:name="_Toc3648"/>
    </w:p>
    <w:p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/>
        <w:ind w:left="0" w:leftChars="0" w:right="0" w:firstLine="442" w:firstLineChars="100"/>
        <w:rPr>
          <w:rStyle w:val="24"/>
          <w:rFonts w:ascii="宋体" w:hAnsi="宋体"/>
          <w:b/>
          <w:bCs w:val="0"/>
          <w:kern w:val="28"/>
          <w:szCs w:val="20"/>
          <w:lang w:val="en-US" w:eastAsia="zh-CN"/>
        </w:rPr>
      </w:pPr>
      <w:r>
        <w:rPr>
          <w:rStyle w:val="24"/>
          <w:rFonts w:hint="eastAsia" w:ascii="宋体" w:hAnsi="宋体"/>
          <w:b/>
          <w:bCs w:val="0"/>
          <w:kern w:val="28"/>
          <w:szCs w:val="20"/>
          <w:lang w:val="en-US" w:eastAsia="zh-CN"/>
        </w:rPr>
        <w:t>3.其他要求</w:t>
      </w:r>
      <w:bookmarkEnd w:id="18"/>
      <w:bookmarkEnd w:id="19"/>
    </w:p>
    <w:p>
      <w:pPr>
        <w:widowControl w:val="0"/>
        <w:numPr>
          <w:ilvl w:val="0"/>
          <w:numId w:val="0"/>
        </w:numPr>
        <w:tabs>
          <w:tab w:val="left" w:pos="900"/>
        </w:tabs>
        <w:spacing w:line="360" w:lineRule="auto"/>
        <w:ind w:firstLine="480" w:firstLineChars="200"/>
        <w:jc w:val="both"/>
        <w:rPr>
          <w:rFonts w:hint="eastAsia" w:ascii="宋体" w:hAnsi="宋体" w:cs="Times New Roman"/>
          <w:sz w:val="24"/>
        </w:rPr>
      </w:pPr>
      <w:bookmarkStart w:id="20" w:name="_Toc50253462"/>
      <w:bookmarkStart w:id="21" w:name="_Toc368234627"/>
      <w:bookmarkStart w:id="22" w:name="_Toc460416402"/>
      <w:bookmarkStart w:id="23" w:name="_Toc459297925"/>
      <w:bookmarkStart w:id="24" w:name="_Toc171280398"/>
      <w:bookmarkStart w:id="25" w:name="_Toc494374762"/>
      <w:r>
        <w:rPr>
          <w:rFonts w:hint="eastAsia" w:ascii="宋体" w:hAnsi="宋体"/>
          <w:sz w:val="24"/>
          <w:lang w:val="en-US" w:eastAsia="zh-CN"/>
        </w:rPr>
        <w:t>成交单位须指派在线联系工作人员一人。负责协调和沟通等工作，并配合采购方工作。另外指派线下工作人员一人，在需要时赴现场进行技术指导。</w:t>
      </w:r>
    </w:p>
    <w:bookmarkEnd w:id="20"/>
    <w:bookmarkEnd w:id="21"/>
    <w:bookmarkEnd w:id="22"/>
    <w:bookmarkEnd w:id="23"/>
    <w:bookmarkEnd w:id="24"/>
    <w:bookmarkEnd w:id="25"/>
    <w:p>
      <w:pPr>
        <w:pStyle w:val="23"/>
        <w:tabs>
          <w:tab w:val="left" w:pos="501"/>
        </w:tabs>
        <w:ind w:left="210" w:leftChars="0" w:right="-13" w:rightChars="-6" w:firstLine="0" w:firstLineChars="0"/>
        <w:rPr>
          <w:rStyle w:val="24"/>
          <w:rFonts w:ascii="宋体" w:hAnsi="宋体"/>
          <w:b/>
          <w:bCs w:val="0"/>
          <w:kern w:val="28"/>
          <w:szCs w:val="20"/>
          <w:lang w:val="en-US" w:eastAsia="zh-CN"/>
        </w:rPr>
      </w:pPr>
      <w:bookmarkStart w:id="26" w:name="_Toc19827"/>
      <w:bookmarkStart w:id="27" w:name="_Toc368234642"/>
      <w:bookmarkStart w:id="28" w:name="_Toc494374764"/>
      <w:bookmarkStart w:id="29" w:name="_Toc382573400"/>
      <w:bookmarkStart w:id="30" w:name="_Toc379746260"/>
      <w:bookmarkStart w:id="31" w:name="_Toc350356083"/>
      <w:r>
        <w:rPr>
          <w:rStyle w:val="24"/>
          <w:rFonts w:hint="eastAsia" w:ascii="宋体" w:hAnsi="宋体"/>
          <w:b/>
          <w:bCs w:val="0"/>
          <w:kern w:val="28"/>
          <w:szCs w:val="20"/>
          <w:lang w:val="en-US" w:eastAsia="zh-CN"/>
        </w:rPr>
        <w:t>保密要求</w:t>
      </w:r>
      <w:bookmarkEnd w:id="26"/>
      <w:bookmarkEnd w:id="27"/>
      <w:bookmarkEnd w:id="28"/>
      <w:bookmarkEnd w:id="29"/>
      <w:bookmarkEnd w:id="30"/>
    </w:p>
    <w:p>
      <w:pPr>
        <w:ind w:firstLine="48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鉴于</w:t>
      </w:r>
      <w:r>
        <w:rPr>
          <w:rFonts w:hint="eastAsia" w:ascii="宋体" w:hAnsi="宋体"/>
          <w:sz w:val="24"/>
          <w:lang w:eastAsia="zh-CN"/>
        </w:rPr>
        <w:t>成交单位</w:t>
      </w:r>
      <w:r>
        <w:rPr>
          <w:rFonts w:ascii="宋体" w:hAnsi="宋体"/>
          <w:sz w:val="24"/>
        </w:rPr>
        <w:t>在提供服务期间，需要开放信息系统的访问权限，为加强信息系统的信息安全管理，提出以下保密要求：</w:t>
      </w:r>
    </w:p>
    <w:p>
      <w:pPr>
        <w:ind w:firstLine="48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成交单位</w:t>
      </w:r>
      <w:r>
        <w:rPr>
          <w:rFonts w:ascii="宋体" w:hAnsi="宋体"/>
          <w:sz w:val="24"/>
        </w:rPr>
        <w:t>在访问信息系统期间，负有保护企业的网络安全、信息安全和系统数据的义务和责任；负有保护所持有、接触的属于或涉及企业商业秘密的信息安全的义务和责任。</w:t>
      </w:r>
    </w:p>
    <w:p>
      <w:pPr>
        <w:ind w:firstLine="48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商业秘密是指因其信息泄露会影响企业生产和发展、影响企业营销活动、影响企业技术进步、使企业在商业竞争中处于被动或不利地位、使企业经济利益受到损害、影响企业对外交流和商业谈判顺利进行、影响企业稳定和安全、影响企业对外承担保密义务的事项。</w:t>
      </w:r>
      <w:bookmarkEnd w:id="31"/>
    </w:p>
    <w:p>
      <w:pPr>
        <w:rPr>
          <w:rFonts w:ascii="宋体" w:hAnsi="宋体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rPr>
          <w:rFonts w:ascii="宋体" w:hAnsi="宋体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rPr>
          <w:rFonts w:ascii="宋体" w:hAnsi="宋体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rPr>
          <w:rFonts w:ascii="宋体" w:hAnsi="宋体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rPr>
          <w:rFonts w:ascii="宋体" w:hAnsi="宋体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rPr>
          <w:rFonts w:ascii="宋体" w:hAnsi="宋体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rPr>
          <w:rFonts w:ascii="宋体" w:hAnsi="宋体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jc w:val="center"/>
        <w:rPr>
          <w:lang w:val="en-US" w:eastAsia="zh-CN"/>
        </w:rPr>
      </w:pPr>
    </w:p>
    <w:p>
      <w:pPr>
        <w:pStyle w:val="23"/>
        <w:tabs>
          <w:tab w:val="left" w:pos="501"/>
        </w:tabs>
        <w:ind w:left="210" w:leftChars="0" w:right="-13" w:rightChars="-6" w:firstLine="0" w:firstLineChars="0"/>
        <w:rPr>
          <w:rStyle w:val="24"/>
          <w:rFonts w:hint="eastAsia" w:ascii="宋体" w:hAnsi="宋体"/>
          <w:b/>
          <w:bCs w:val="0"/>
          <w:kern w:val="28"/>
          <w:szCs w:val="20"/>
          <w:lang w:val="en-US" w:eastAsia="zh-CN"/>
        </w:rPr>
      </w:pPr>
      <w:r>
        <w:rPr>
          <w:rStyle w:val="24"/>
          <w:rFonts w:hint="eastAsia" w:ascii="宋体" w:hAnsi="宋体"/>
          <w:b/>
          <w:bCs w:val="0"/>
          <w:kern w:val="28"/>
          <w:szCs w:val="20"/>
          <w:lang w:val="en-US" w:eastAsia="zh-CN"/>
        </w:rPr>
        <w:t>团队及人员资质要求</w:t>
      </w:r>
    </w:p>
    <w:p>
      <w:pPr>
        <w:numPr>
          <w:ilvl w:val="0"/>
          <w:numId w:val="0"/>
        </w:numPr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成交单位指派联系的团队人员需具备相应的技术实力。</w:t>
      </w:r>
    </w:p>
    <w:sectPr>
      <w:headerReference r:id="rId11" w:type="default"/>
      <w:footerReference r:id="rId12" w:type="default"/>
      <w:pgSz w:w="11906" w:h="16838"/>
      <w:pgMar w:top="1440" w:right="1440" w:bottom="1440" w:left="1440" w:header="851" w:footer="680" w:gutter="0"/>
      <w:cols w:space="72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framePr w:wrap="around" w:vAnchor="text" w:hAnchor="margin" w:xAlign="right" w:y="1"/>
      <w:ind w:firstLine="360"/>
      <w:rPr>
        <w:rStyle w:val="20"/>
        <w:rFonts w:hint="eastAsia"/>
      </w:rPr>
    </w:pPr>
    <w:r>
      <w:rPr>
        <w:rFonts w:hint="eastAsia"/>
      </w:rPr>
      <w:fldChar w:fldCharType="begin"/>
    </w:r>
    <w:r>
      <w:rPr>
        <w:rStyle w:val="20"/>
        <w:rFonts w:hint="eastAsia"/>
      </w:rPr>
      <w:instrText xml:space="preserve">PAGE  </w:instrText>
    </w:r>
    <w:r>
      <w:rPr>
        <w:rFonts w:hint="eastAsia"/>
      </w:rPr>
      <w:fldChar w:fldCharType="separate"/>
    </w:r>
    <w:r>
      <w:rPr>
        <w:rStyle w:val="20"/>
        <w:rFonts w:hint="eastAsia"/>
      </w:rPr>
      <w:t>1</w:t>
    </w:r>
    <w:r>
      <w:rPr>
        <w:rFonts w:hint="eastAsia"/>
      </w:rPr>
      <w:fldChar w:fldCharType="end"/>
    </w:r>
  </w:p>
  <w:p>
    <w:pPr>
      <w:pStyle w:val="11"/>
      <w:ind w:right="360" w:firstLine="0" w:firstLineChars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framePr w:wrap="around" w:vAnchor="text" w:hAnchor="margin" w:xAlign="right" w:y="1"/>
      <w:ind w:firstLine="360"/>
      <w:rPr>
        <w:rStyle w:val="20"/>
        <w:rFonts w:hint="eastAsia"/>
      </w:rPr>
    </w:pPr>
    <w:r>
      <w:rPr>
        <w:rFonts w:hint="eastAsia"/>
      </w:rPr>
      <w:fldChar w:fldCharType="begin"/>
    </w:r>
    <w:r>
      <w:rPr>
        <w:rStyle w:val="20"/>
        <w:rFonts w:hint="eastAsia"/>
      </w:rPr>
      <w:instrText xml:space="preserve">PAGE  </w:instrText>
    </w:r>
    <w:r>
      <w:rPr>
        <w:rFonts w:hint="eastAsia"/>
      </w:rPr>
      <w:fldChar w:fldCharType="end"/>
    </w:r>
  </w:p>
  <w:p>
    <w:pPr>
      <w:pStyle w:val="11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firstLine="36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ind w:firstLine="0" w:firstLineChars="0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  <w:r>
      <w:pict>
        <v:shape id="PowerPlusWaterMarkObject26015844" o:spid="_x0000_s4099" o:spt="136" type="#_x0000_t136" style="position:absolute;left:0pt;height:226.45pt;width:452.95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 text="f"/>
          <v:textpath on="t" fitshape="t" fitpath="t" trim="t" xscale="f" string="保密" style="font-family:隶书;font-size:8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single" w:color="auto" w:sz="4" w:space="1"/>
      </w:pBdr>
      <w:ind w:firstLine="0" w:firstLineChars="0"/>
      <w:jc w:val="right"/>
      <w:rPr>
        <w:rFonts w:ascii="宋体" w:hAnsi="宋体"/>
      </w:rPr>
    </w:pPr>
    <w:r>
      <w:rPr>
        <w:rFonts w:ascii="宋体" w:hAnsi="宋体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-13970</wp:posOffset>
          </wp:positionH>
          <wp:positionV relativeFrom="paragraph">
            <wp:posOffset>-235585</wp:posOffset>
          </wp:positionV>
          <wp:extent cx="1656080" cy="400050"/>
          <wp:effectExtent l="0" t="0" r="1270" b="0"/>
          <wp:wrapNone/>
          <wp:docPr id="1" name="图片 1" descr="南方电网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南方电网黑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6080" cy="400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774351"/>
    <w:multiLevelType w:val="multilevel"/>
    <w:tmpl w:val="4F774351"/>
    <w:lvl w:ilvl="0" w:tentative="0">
      <w:start w:val="1"/>
      <w:numFmt w:val="decimal"/>
      <w:pStyle w:val="4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6"/>
      <w:lvlText w:val="%1.%2"/>
      <w:lvlJc w:val="left"/>
      <w:pPr>
        <w:ind w:left="1144" w:hanging="576"/>
      </w:pPr>
      <w:rPr>
        <w:rFonts w:hint="eastAsia"/>
      </w:rPr>
    </w:lvl>
    <w:lvl w:ilvl="2" w:tentative="0">
      <w:start w:val="1"/>
      <w:numFmt w:val="decimal"/>
      <w:pStyle w:val="7"/>
      <w:suff w:val="space"/>
      <w:lvlText w:val="%1.%2.%3"/>
      <w:lvlJc w:val="left"/>
      <w:pPr>
        <w:ind w:left="1004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>
    <w:nsid w:val="68804DFB"/>
    <w:multiLevelType w:val="multilevel"/>
    <w:tmpl w:val="68804DFB"/>
    <w:lvl w:ilvl="0" w:tentative="0">
      <w:start w:val="1"/>
      <w:numFmt w:val="decimal"/>
      <w:pStyle w:val="23"/>
      <w:lvlText w:val="%1."/>
      <w:lvlJc w:val="left"/>
      <w:pPr>
        <w:tabs>
          <w:tab w:val="left" w:pos="360"/>
        </w:tabs>
        <w:ind w:left="210" w:hanging="360"/>
      </w:pPr>
    </w:lvl>
    <w:lvl w:ilvl="1" w:tentative="0">
      <w:start w:val="1"/>
      <w:numFmt w:val="decimal"/>
      <w:pStyle w:val="25"/>
      <w:lvlText w:val="%1.%2."/>
      <w:lvlJc w:val="left"/>
      <w:pPr>
        <w:tabs>
          <w:tab w:val="left" w:pos="1080"/>
        </w:tabs>
        <w:ind w:left="720" w:hanging="360"/>
      </w:pPr>
    </w:lvl>
    <w:lvl w:ilvl="2" w:tentative="0">
      <w:start w:val="1"/>
      <w:numFmt w:val="decimal"/>
      <w:pStyle w:val="26"/>
      <w:lvlText w:val="%1.%2.%3."/>
      <w:lvlJc w:val="left"/>
      <w:pPr>
        <w:tabs>
          <w:tab w:val="left" w:pos="1440"/>
        </w:tabs>
        <w:ind w:left="1080" w:hanging="360"/>
      </w:pPr>
    </w:lvl>
    <w:lvl w:ilvl="3" w:tentative="0">
      <w:start w:val="1"/>
      <w:numFmt w:val="decimal"/>
      <w:lvlText w:val="%1.%2.%3.%4."/>
      <w:lvlJc w:val="left"/>
      <w:pPr>
        <w:tabs>
          <w:tab w:val="left" w:pos="216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mNjM0MGUxMmFmMmMzMzgwMThiNGU1YTY5MDE4MjIifQ=="/>
  </w:docVars>
  <w:rsids>
    <w:rsidRoot w:val="75CF22BB"/>
    <w:rsid w:val="00271B58"/>
    <w:rsid w:val="00367FA3"/>
    <w:rsid w:val="00412F27"/>
    <w:rsid w:val="004A535B"/>
    <w:rsid w:val="006B1C06"/>
    <w:rsid w:val="00756EC9"/>
    <w:rsid w:val="00A7747B"/>
    <w:rsid w:val="00B84950"/>
    <w:rsid w:val="00F86FC7"/>
    <w:rsid w:val="011A0991"/>
    <w:rsid w:val="0140123F"/>
    <w:rsid w:val="01877260"/>
    <w:rsid w:val="01B841E6"/>
    <w:rsid w:val="01D96AA7"/>
    <w:rsid w:val="02774EDB"/>
    <w:rsid w:val="0289064B"/>
    <w:rsid w:val="02D34087"/>
    <w:rsid w:val="02D46F12"/>
    <w:rsid w:val="030A6D48"/>
    <w:rsid w:val="031F0FB9"/>
    <w:rsid w:val="03341C77"/>
    <w:rsid w:val="03EC590E"/>
    <w:rsid w:val="066C36E8"/>
    <w:rsid w:val="068C334B"/>
    <w:rsid w:val="06D615F9"/>
    <w:rsid w:val="06E16F2A"/>
    <w:rsid w:val="06F219D5"/>
    <w:rsid w:val="06FD2810"/>
    <w:rsid w:val="07B05960"/>
    <w:rsid w:val="07BB17A8"/>
    <w:rsid w:val="07F7533D"/>
    <w:rsid w:val="07FA4B52"/>
    <w:rsid w:val="08005EB1"/>
    <w:rsid w:val="081B4119"/>
    <w:rsid w:val="08202431"/>
    <w:rsid w:val="087745AC"/>
    <w:rsid w:val="08AD0C1B"/>
    <w:rsid w:val="09024A32"/>
    <w:rsid w:val="098039F5"/>
    <w:rsid w:val="099F5C8C"/>
    <w:rsid w:val="0A0705C5"/>
    <w:rsid w:val="0A556EAE"/>
    <w:rsid w:val="0A722BB7"/>
    <w:rsid w:val="0AAF707B"/>
    <w:rsid w:val="0B067685"/>
    <w:rsid w:val="0B2A0513"/>
    <w:rsid w:val="0B77777C"/>
    <w:rsid w:val="0B93003D"/>
    <w:rsid w:val="0B976BA1"/>
    <w:rsid w:val="0BE51DA6"/>
    <w:rsid w:val="0BE75A49"/>
    <w:rsid w:val="0C1873DA"/>
    <w:rsid w:val="0C405504"/>
    <w:rsid w:val="0D5E3167"/>
    <w:rsid w:val="0DD54453"/>
    <w:rsid w:val="0E2B2E8F"/>
    <w:rsid w:val="0E5D00BB"/>
    <w:rsid w:val="0EC45361"/>
    <w:rsid w:val="0F475B2D"/>
    <w:rsid w:val="0F555E26"/>
    <w:rsid w:val="0F723A60"/>
    <w:rsid w:val="0F8E226E"/>
    <w:rsid w:val="0F9D44E1"/>
    <w:rsid w:val="0FB4545F"/>
    <w:rsid w:val="0FF327D1"/>
    <w:rsid w:val="101221FA"/>
    <w:rsid w:val="103C0574"/>
    <w:rsid w:val="10587564"/>
    <w:rsid w:val="10E3078B"/>
    <w:rsid w:val="1122356B"/>
    <w:rsid w:val="11294E6A"/>
    <w:rsid w:val="11835E2C"/>
    <w:rsid w:val="11CA5616"/>
    <w:rsid w:val="1264101E"/>
    <w:rsid w:val="128C1EEB"/>
    <w:rsid w:val="12FD6EA8"/>
    <w:rsid w:val="13EC4F7B"/>
    <w:rsid w:val="14C658BF"/>
    <w:rsid w:val="152C06F3"/>
    <w:rsid w:val="15392F80"/>
    <w:rsid w:val="15691454"/>
    <w:rsid w:val="15AC6E17"/>
    <w:rsid w:val="15C62B68"/>
    <w:rsid w:val="165858C7"/>
    <w:rsid w:val="16897E69"/>
    <w:rsid w:val="169D59E0"/>
    <w:rsid w:val="16D37BB0"/>
    <w:rsid w:val="16E42A0C"/>
    <w:rsid w:val="17760D83"/>
    <w:rsid w:val="18707915"/>
    <w:rsid w:val="187B1B7E"/>
    <w:rsid w:val="188D5DAB"/>
    <w:rsid w:val="18FB5B27"/>
    <w:rsid w:val="1924680F"/>
    <w:rsid w:val="19675567"/>
    <w:rsid w:val="19736517"/>
    <w:rsid w:val="199F2701"/>
    <w:rsid w:val="19B850F1"/>
    <w:rsid w:val="19CE7845"/>
    <w:rsid w:val="19DF3F9B"/>
    <w:rsid w:val="1A2F613F"/>
    <w:rsid w:val="1AA175CF"/>
    <w:rsid w:val="1AA30C0E"/>
    <w:rsid w:val="1AF03780"/>
    <w:rsid w:val="1B84190D"/>
    <w:rsid w:val="1B997FAF"/>
    <w:rsid w:val="1BA3389F"/>
    <w:rsid w:val="1C3E568E"/>
    <w:rsid w:val="1C7C38DF"/>
    <w:rsid w:val="1CE92B9F"/>
    <w:rsid w:val="1EB3600A"/>
    <w:rsid w:val="1F09675E"/>
    <w:rsid w:val="1F5C1443"/>
    <w:rsid w:val="1F5C58CA"/>
    <w:rsid w:val="1F6962E1"/>
    <w:rsid w:val="1FBB2B00"/>
    <w:rsid w:val="1FC36594"/>
    <w:rsid w:val="1FD661E6"/>
    <w:rsid w:val="1FDF0B84"/>
    <w:rsid w:val="200F09BB"/>
    <w:rsid w:val="20355204"/>
    <w:rsid w:val="207249FA"/>
    <w:rsid w:val="208013CF"/>
    <w:rsid w:val="214A133B"/>
    <w:rsid w:val="215109E1"/>
    <w:rsid w:val="216143B1"/>
    <w:rsid w:val="21914BAA"/>
    <w:rsid w:val="21C1459A"/>
    <w:rsid w:val="21DB6E71"/>
    <w:rsid w:val="22273D41"/>
    <w:rsid w:val="225A5F04"/>
    <w:rsid w:val="22DD355D"/>
    <w:rsid w:val="232212E2"/>
    <w:rsid w:val="23341EFC"/>
    <w:rsid w:val="235C4C2B"/>
    <w:rsid w:val="237E04F5"/>
    <w:rsid w:val="23B458E3"/>
    <w:rsid w:val="23C2266C"/>
    <w:rsid w:val="243009E2"/>
    <w:rsid w:val="24764276"/>
    <w:rsid w:val="24890627"/>
    <w:rsid w:val="24AC1670"/>
    <w:rsid w:val="24FE744F"/>
    <w:rsid w:val="259E4E53"/>
    <w:rsid w:val="25D405C1"/>
    <w:rsid w:val="260C7EFA"/>
    <w:rsid w:val="26C14AC7"/>
    <w:rsid w:val="26C235C0"/>
    <w:rsid w:val="26D10329"/>
    <w:rsid w:val="26E729EF"/>
    <w:rsid w:val="26F169C7"/>
    <w:rsid w:val="26FA3D7B"/>
    <w:rsid w:val="274672A7"/>
    <w:rsid w:val="27627F39"/>
    <w:rsid w:val="27882695"/>
    <w:rsid w:val="279D6479"/>
    <w:rsid w:val="27E86D24"/>
    <w:rsid w:val="27EE608E"/>
    <w:rsid w:val="27F50CDB"/>
    <w:rsid w:val="28250404"/>
    <w:rsid w:val="28614719"/>
    <w:rsid w:val="28925461"/>
    <w:rsid w:val="29661048"/>
    <w:rsid w:val="29AF36DD"/>
    <w:rsid w:val="29D525BD"/>
    <w:rsid w:val="29DD3F3B"/>
    <w:rsid w:val="29F174FF"/>
    <w:rsid w:val="2A07655C"/>
    <w:rsid w:val="2A153D83"/>
    <w:rsid w:val="2A405AB6"/>
    <w:rsid w:val="2ABE78F3"/>
    <w:rsid w:val="2B0C2218"/>
    <w:rsid w:val="2B4F702A"/>
    <w:rsid w:val="2B5C4322"/>
    <w:rsid w:val="2B812C77"/>
    <w:rsid w:val="2C462FBC"/>
    <w:rsid w:val="2C517075"/>
    <w:rsid w:val="2CF9483B"/>
    <w:rsid w:val="2DB06C58"/>
    <w:rsid w:val="2DED7B57"/>
    <w:rsid w:val="2E316C84"/>
    <w:rsid w:val="2EB658F6"/>
    <w:rsid w:val="2EB87B9C"/>
    <w:rsid w:val="2EC152EB"/>
    <w:rsid w:val="2EDC03E6"/>
    <w:rsid w:val="2EFD3306"/>
    <w:rsid w:val="2F12655C"/>
    <w:rsid w:val="2F553822"/>
    <w:rsid w:val="308855B4"/>
    <w:rsid w:val="31144929"/>
    <w:rsid w:val="311939BA"/>
    <w:rsid w:val="31311993"/>
    <w:rsid w:val="31EB799A"/>
    <w:rsid w:val="31F65B3C"/>
    <w:rsid w:val="325F6CE0"/>
    <w:rsid w:val="3260227F"/>
    <w:rsid w:val="32A745CE"/>
    <w:rsid w:val="33252D48"/>
    <w:rsid w:val="3406085B"/>
    <w:rsid w:val="34384B93"/>
    <w:rsid w:val="34740406"/>
    <w:rsid w:val="347C07EF"/>
    <w:rsid w:val="349F600E"/>
    <w:rsid w:val="35425E5B"/>
    <w:rsid w:val="35854B48"/>
    <w:rsid w:val="358A4B64"/>
    <w:rsid w:val="35C3046E"/>
    <w:rsid w:val="36932048"/>
    <w:rsid w:val="36960735"/>
    <w:rsid w:val="36AF7D28"/>
    <w:rsid w:val="36D53C6A"/>
    <w:rsid w:val="370C589B"/>
    <w:rsid w:val="372123F1"/>
    <w:rsid w:val="37256210"/>
    <w:rsid w:val="373D53B8"/>
    <w:rsid w:val="37F8301E"/>
    <w:rsid w:val="38001B40"/>
    <w:rsid w:val="38460B5C"/>
    <w:rsid w:val="39684DEF"/>
    <w:rsid w:val="399B6976"/>
    <w:rsid w:val="39E210F9"/>
    <w:rsid w:val="39E73E4A"/>
    <w:rsid w:val="3A4A28E9"/>
    <w:rsid w:val="3AA55861"/>
    <w:rsid w:val="3B197B48"/>
    <w:rsid w:val="3B983E44"/>
    <w:rsid w:val="3BF427AC"/>
    <w:rsid w:val="3C133F72"/>
    <w:rsid w:val="3C5425E1"/>
    <w:rsid w:val="3C7A3F3B"/>
    <w:rsid w:val="3CAD1E92"/>
    <w:rsid w:val="3CB9232D"/>
    <w:rsid w:val="3CC641BB"/>
    <w:rsid w:val="3CF63249"/>
    <w:rsid w:val="3D982C46"/>
    <w:rsid w:val="3E113F65"/>
    <w:rsid w:val="3E621B9F"/>
    <w:rsid w:val="3E92127E"/>
    <w:rsid w:val="3E9B3363"/>
    <w:rsid w:val="3F1876B2"/>
    <w:rsid w:val="3F5C05EE"/>
    <w:rsid w:val="3F5F75F9"/>
    <w:rsid w:val="41402C39"/>
    <w:rsid w:val="41BC703E"/>
    <w:rsid w:val="41F76F0C"/>
    <w:rsid w:val="420A273C"/>
    <w:rsid w:val="422B7AD4"/>
    <w:rsid w:val="42641245"/>
    <w:rsid w:val="42756972"/>
    <w:rsid w:val="42997141"/>
    <w:rsid w:val="42A81C8B"/>
    <w:rsid w:val="42D346A3"/>
    <w:rsid w:val="42DE3B83"/>
    <w:rsid w:val="43290342"/>
    <w:rsid w:val="43496AA5"/>
    <w:rsid w:val="43706616"/>
    <w:rsid w:val="43A56D67"/>
    <w:rsid w:val="440B7779"/>
    <w:rsid w:val="446C62EA"/>
    <w:rsid w:val="449A7D44"/>
    <w:rsid w:val="454C13C3"/>
    <w:rsid w:val="45F866F2"/>
    <w:rsid w:val="464C3FF8"/>
    <w:rsid w:val="46AE7484"/>
    <w:rsid w:val="46D81628"/>
    <w:rsid w:val="46E1079D"/>
    <w:rsid w:val="46FE14C9"/>
    <w:rsid w:val="4706372C"/>
    <w:rsid w:val="471F2852"/>
    <w:rsid w:val="47442867"/>
    <w:rsid w:val="47551D7A"/>
    <w:rsid w:val="47E4249D"/>
    <w:rsid w:val="47EB5628"/>
    <w:rsid w:val="4858591B"/>
    <w:rsid w:val="4895371B"/>
    <w:rsid w:val="48BB3930"/>
    <w:rsid w:val="48FE01F6"/>
    <w:rsid w:val="49016D6B"/>
    <w:rsid w:val="49036126"/>
    <w:rsid w:val="49284544"/>
    <w:rsid w:val="4987159A"/>
    <w:rsid w:val="4A612B5D"/>
    <w:rsid w:val="4A721F1E"/>
    <w:rsid w:val="4AD96F61"/>
    <w:rsid w:val="4C26391F"/>
    <w:rsid w:val="4C683269"/>
    <w:rsid w:val="4CC34DBA"/>
    <w:rsid w:val="4DC90E55"/>
    <w:rsid w:val="4DF77DA6"/>
    <w:rsid w:val="4E341889"/>
    <w:rsid w:val="4E4B382F"/>
    <w:rsid w:val="4ECB25CE"/>
    <w:rsid w:val="4EE05BE0"/>
    <w:rsid w:val="4F5A553B"/>
    <w:rsid w:val="4FA84B71"/>
    <w:rsid w:val="4FC31187"/>
    <w:rsid w:val="501F62F7"/>
    <w:rsid w:val="505C6634"/>
    <w:rsid w:val="50612D2C"/>
    <w:rsid w:val="507364BA"/>
    <w:rsid w:val="50BE206B"/>
    <w:rsid w:val="51607AE0"/>
    <w:rsid w:val="51E20210"/>
    <w:rsid w:val="52115225"/>
    <w:rsid w:val="52360122"/>
    <w:rsid w:val="52517B31"/>
    <w:rsid w:val="525B3856"/>
    <w:rsid w:val="529D5237"/>
    <w:rsid w:val="52F52DFF"/>
    <w:rsid w:val="52FA3EBA"/>
    <w:rsid w:val="534129B6"/>
    <w:rsid w:val="539976BA"/>
    <w:rsid w:val="539D700F"/>
    <w:rsid w:val="54004CD7"/>
    <w:rsid w:val="547C64B1"/>
    <w:rsid w:val="55190476"/>
    <w:rsid w:val="55223C2C"/>
    <w:rsid w:val="5553334C"/>
    <w:rsid w:val="556424EA"/>
    <w:rsid w:val="55B03515"/>
    <w:rsid w:val="55CC22A8"/>
    <w:rsid w:val="55D13889"/>
    <w:rsid w:val="55D56F38"/>
    <w:rsid w:val="55F06F86"/>
    <w:rsid w:val="56064E74"/>
    <w:rsid w:val="560C25F8"/>
    <w:rsid w:val="56B1349A"/>
    <w:rsid w:val="56BD0126"/>
    <w:rsid w:val="56BD3212"/>
    <w:rsid w:val="56C371CA"/>
    <w:rsid w:val="572F5526"/>
    <w:rsid w:val="57B721F2"/>
    <w:rsid w:val="57D73346"/>
    <w:rsid w:val="587E5497"/>
    <w:rsid w:val="58B57A66"/>
    <w:rsid w:val="598A4294"/>
    <w:rsid w:val="59C42DE4"/>
    <w:rsid w:val="59E740E4"/>
    <w:rsid w:val="5B235B3A"/>
    <w:rsid w:val="5B914163"/>
    <w:rsid w:val="5C160718"/>
    <w:rsid w:val="5C3C0DE5"/>
    <w:rsid w:val="5D0A0A2A"/>
    <w:rsid w:val="5D0C66BB"/>
    <w:rsid w:val="5D1072E7"/>
    <w:rsid w:val="5D7663E0"/>
    <w:rsid w:val="5E486493"/>
    <w:rsid w:val="5EE71F5E"/>
    <w:rsid w:val="5F9B745C"/>
    <w:rsid w:val="6007003D"/>
    <w:rsid w:val="6008460A"/>
    <w:rsid w:val="605F56F8"/>
    <w:rsid w:val="60792FD6"/>
    <w:rsid w:val="60A31868"/>
    <w:rsid w:val="60A52E05"/>
    <w:rsid w:val="61691149"/>
    <w:rsid w:val="618E06E3"/>
    <w:rsid w:val="61F831AE"/>
    <w:rsid w:val="62632515"/>
    <w:rsid w:val="62A275F4"/>
    <w:rsid w:val="62C8329F"/>
    <w:rsid w:val="63262075"/>
    <w:rsid w:val="632C5010"/>
    <w:rsid w:val="63960B31"/>
    <w:rsid w:val="63A8571A"/>
    <w:rsid w:val="63D61D21"/>
    <w:rsid w:val="63E57276"/>
    <w:rsid w:val="63F41FD1"/>
    <w:rsid w:val="63F82F0D"/>
    <w:rsid w:val="6478798C"/>
    <w:rsid w:val="64AC79AA"/>
    <w:rsid w:val="655451C2"/>
    <w:rsid w:val="65744951"/>
    <w:rsid w:val="65883BF7"/>
    <w:rsid w:val="66110641"/>
    <w:rsid w:val="6635199D"/>
    <w:rsid w:val="66E91AC7"/>
    <w:rsid w:val="671534F2"/>
    <w:rsid w:val="67173014"/>
    <w:rsid w:val="67D049DF"/>
    <w:rsid w:val="67F07A40"/>
    <w:rsid w:val="68216989"/>
    <w:rsid w:val="683B72E1"/>
    <w:rsid w:val="693C5330"/>
    <w:rsid w:val="695A29A6"/>
    <w:rsid w:val="69CD232C"/>
    <w:rsid w:val="6A793D33"/>
    <w:rsid w:val="6A7F3229"/>
    <w:rsid w:val="6A847AFE"/>
    <w:rsid w:val="6AB80C2B"/>
    <w:rsid w:val="6AE53B2A"/>
    <w:rsid w:val="6AE91C20"/>
    <w:rsid w:val="6B197093"/>
    <w:rsid w:val="6B2E59DC"/>
    <w:rsid w:val="6BDB61B1"/>
    <w:rsid w:val="6C266D39"/>
    <w:rsid w:val="6C720354"/>
    <w:rsid w:val="6D01385E"/>
    <w:rsid w:val="6D666005"/>
    <w:rsid w:val="6D890FD1"/>
    <w:rsid w:val="6DF6057A"/>
    <w:rsid w:val="6E172736"/>
    <w:rsid w:val="6E456C0A"/>
    <w:rsid w:val="6E53216C"/>
    <w:rsid w:val="6E605A17"/>
    <w:rsid w:val="6EC056B0"/>
    <w:rsid w:val="6F15311B"/>
    <w:rsid w:val="6F2D524F"/>
    <w:rsid w:val="6F8977AE"/>
    <w:rsid w:val="6F936B31"/>
    <w:rsid w:val="6FC74C12"/>
    <w:rsid w:val="70172AE7"/>
    <w:rsid w:val="702A6430"/>
    <w:rsid w:val="706D0B20"/>
    <w:rsid w:val="709D0B8C"/>
    <w:rsid w:val="71FC251C"/>
    <w:rsid w:val="72387A54"/>
    <w:rsid w:val="7282736D"/>
    <w:rsid w:val="72A9590B"/>
    <w:rsid w:val="72AF572A"/>
    <w:rsid w:val="72BB1BD8"/>
    <w:rsid w:val="72F359DB"/>
    <w:rsid w:val="7336484F"/>
    <w:rsid w:val="735278ED"/>
    <w:rsid w:val="73754963"/>
    <w:rsid w:val="744C61B3"/>
    <w:rsid w:val="74951F66"/>
    <w:rsid w:val="74AE42B3"/>
    <w:rsid w:val="74CF0912"/>
    <w:rsid w:val="74D27DE5"/>
    <w:rsid w:val="750359E8"/>
    <w:rsid w:val="754040CB"/>
    <w:rsid w:val="75483DE2"/>
    <w:rsid w:val="756F0F02"/>
    <w:rsid w:val="75CB0623"/>
    <w:rsid w:val="75CF22BB"/>
    <w:rsid w:val="76064BD0"/>
    <w:rsid w:val="76490F77"/>
    <w:rsid w:val="77334FD1"/>
    <w:rsid w:val="777C22C9"/>
    <w:rsid w:val="77933457"/>
    <w:rsid w:val="77FC4D6C"/>
    <w:rsid w:val="78194B0E"/>
    <w:rsid w:val="781F41A7"/>
    <w:rsid w:val="7851796F"/>
    <w:rsid w:val="78771967"/>
    <w:rsid w:val="78A43F93"/>
    <w:rsid w:val="795A3EC9"/>
    <w:rsid w:val="798E0746"/>
    <w:rsid w:val="7ABE338B"/>
    <w:rsid w:val="7AF63C26"/>
    <w:rsid w:val="7B4A177B"/>
    <w:rsid w:val="7B5B676A"/>
    <w:rsid w:val="7BE820AF"/>
    <w:rsid w:val="7C246D09"/>
    <w:rsid w:val="7C263E1C"/>
    <w:rsid w:val="7CED03FA"/>
    <w:rsid w:val="7D183BFB"/>
    <w:rsid w:val="7D1E3A36"/>
    <w:rsid w:val="7D3875DE"/>
    <w:rsid w:val="7D6E4277"/>
    <w:rsid w:val="7DC071B5"/>
    <w:rsid w:val="7E557995"/>
    <w:rsid w:val="7E5B6533"/>
    <w:rsid w:val="7EBC1CA0"/>
    <w:rsid w:val="7EE02DE6"/>
    <w:rsid w:val="7F052AFA"/>
    <w:rsid w:val="7F264C43"/>
    <w:rsid w:val="7F2854B3"/>
    <w:rsid w:val="7F487196"/>
    <w:rsid w:val="7F74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5"/>
    <w:qFormat/>
    <w:uiPriority w:val="0"/>
    <w:pPr>
      <w:keepNext/>
      <w:keepLines/>
      <w:pageBreakBefore/>
      <w:numPr>
        <w:ilvl w:val="0"/>
        <w:numId w:val="1"/>
      </w:numPr>
      <w:pBdr>
        <w:bottom w:val="inset" w:color="C0C0C0" w:sz="6" w:space="1"/>
      </w:pBdr>
      <w:tabs>
        <w:tab w:val="left" w:pos="284"/>
      </w:tabs>
      <w:spacing w:before="340" w:after="330"/>
      <w:ind w:firstLine="0" w:firstLineChars="0"/>
      <w:outlineLvl w:val="0"/>
    </w:pPr>
    <w:rPr>
      <w:rFonts w:ascii="宋体" w:hAnsi="宋体"/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/>
      <w:ind w:left="567" w:firstLine="0" w:firstLineChars="0"/>
      <w:outlineLvl w:val="1"/>
    </w:pPr>
    <w:rPr>
      <w:rFonts w:ascii="宋体" w:hAnsi="宋体"/>
      <w:b/>
      <w:bCs/>
      <w:kern w:val="44"/>
      <w:sz w:val="32"/>
      <w:szCs w:val="32"/>
    </w:rPr>
  </w:style>
  <w:style w:type="paragraph" w:styleId="7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ind w:firstLine="0" w:firstLineChars="0"/>
      <w:outlineLvl w:val="2"/>
    </w:pPr>
    <w:rPr>
      <w:b/>
      <w:bCs/>
      <w:sz w:val="28"/>
      <w:szCs w:val="32"/>
    </w:rPr>
  </w:style>
  <w:style w:type="paragraph" w:styleId="8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customStyle="1" w:styleId="5">
    <w:name w:val="正文缩进2字符"/>
    <w:basedOn w:val="1"/>
    <w:qFormat/>
    <w:uiPriority w:val="0"/>
    <w:pPr>
      <w:widowControl/>
      <w:spacing w:before="100" w:beforeAutospacing="1" w:after="100" w:afterAutospacing="1" w:line="300" w:lineRule="auto"/>
      <w:ind w:left="357"/>
      <w:jc w:val="left"/>
    </w:pPr>
    <w:rPr>
      <w:rFonts w:ascii="ˎ̥" w:hAnsi="ˎ̥"/>
      <w:color w:val="51585D"/>
      <w:kern w:val="0"/>
      <w:sz w:val="20"/>
      <w:szCs w:val="20"/>
    </w:rPr>
  </w:style>
  <w:style w:type="paragraph" w:styleId="9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0">
    <w:name w:val="Plain Text"/>
    <w:basedOn w:val="1"/>
    <w:qFormat/>
    <w:uiPriority w:val="99"/>
    <w:pPr>
      <w:widowControl/>
      <w:spacing w:before="120" w:after="120" w:line="288" w:lineRule="auto"/>
      <w:ind w:firstLine="454"/>
      <w:jc w:val="left"/>
    </w:pPr>
    <w:rPr>
      <w:rFonts w:ascii="Courier New" w:hAnsi="Courier New"/>
      <w:kern w:val="0"/>
      <w:sz w:val="20"/>
      <w:szCs w:val="20"/>
      <w:lang w:eastAsia="en-US"/>
    </w:rPr>
  </w:style>
  <w:style w:type="paragraph" w:styleId="11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1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left" w:pos="420"/>
        <w:tab w:val="right" w:leader="dot" w:pos="8296"/>
      </w:tabs>
      <w:ind w:firstLine="0" w:firstLineChars="0"/>
      <w:jc w:val="left"/>
    </w:pPr>
    <w:rPr>
      <w:b/>
      <w:sz w:val="24"/>
      <w:szCs w:val="21"/>
    </w:rPr>
  </w:style>
  <w:style w:type="paragraph" w:styleId="14">
    <w:name w:val="toc 2"/>
    <w:basedOn w:val="1"/>
    <w:next w:val="1"/>
    <w:unhideWhenUsed/>
    <w:qFormat/>
    <w:uiPriority w:val="39"/>
    <w:pPr>
      <w:tabs>
        <w:tab w:val="right" w:leader="dot" w:pos="8296"/>
      </w:tabs>
    </w:pPr>
  </w:style>
  <w:style w:type="paragraph" w:styleId="1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Verdana" w:hAnsi="Verdana"/>
      <w:color w:val="000000"/>
      <w:kern w:val="0"/>
      <w:sz w:val="18"/>
      <w:szCs w:val="18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page number"/>
    <w:qFormat/>
    <w:uiPriority w:val="0"/>
    <w:rPr>
      <w:rFonts w:ascii="ˎ̥" w:hAnsi="ˎ̥" w:eastAsia="宋体" w:cs="宋体"/>
      <w:color w:val="51585D"/>
      <w:sz w:val="21"/>
      <w:szCs w:val="18"/>
      <w:lang w:val="en-US" w:eastAsia="zh-CN" w:bidi="ar-SA"/>
    </w:rPr>
  </w:style>
  <w:style w:type="character" w:styleId="21">
    <w:name w:val="Emphasis"/>
    <w:basedOn w:val="18"/>
    <w:qFormat/>
    <w:uiPriority w:val="0"/>
    <w:rPr>
      <w:i/>
    </w:rPr>
  </w:style>
  <w:style w:type="paragraph" w:customStyle="1" w:styleId="22">
    <w:name w:val="目录"/>
    <w:basedOn w:val="1"/>
    <w:next w:val="1"/>
    <w:qFormat/>
    <w:uiPriority w:val="99"/>
    <w:pPr>
      <w:widowControl/>
      <w:spacing w:afterLines="50"/>
      <w:jc w:val="center"/>
    </w:pPr>
    <w:rPr>
      <w:rFonts w:ascii="Arial" w:hAnsi="Arial" w:eastAsia="黑体"/>
      <w:b/>
      <w:kern w:val="0"/>
      <w:sz w:val="32"/>
      <w:szCs w:val="20"/>
    </w:rPr>
  </w:style>
  <w:style w:type="paragraph" w:customStyle="1" w:styleId="23">
    <w:name w:val="Numbered list 2.1"/>
    <w:basedOn w:val="4"/>
    <w:next w:val="1"/>
    <w:qFormat/>
    <w:uiPriority w:val="99"/>
    <w:pPr>
      <w:keepLines w:val="0"/>
      <w:widowControl/>
      <w:numPr>
        <w:numId w:val="2"/>
      </w:numPr>
      <w:pBdr>
        <w:bottom w:val="none" w:color="auto" w:sz="0" w:space="0"/>
      </w:pBdr>
      <w:tabs>
        <w:tab w:val="left" w:pos="360"/>
        <w:tab w:val="left" w:pos="720"/>
      </w:tabs>
      <w:spacing w:before="240" w:after="60"/>
      <w:jc w:val="left"/>
    </w:pPr>
    <w:rPr>
      <w:rFonts w:ascii="Arial" w:hAnsi="Arial"/>
      <w:bCs w:val="0"/>
      <w:kern w:val="28"/>
      <w:sz w:val="28"/>
      <w:szCs w:val="20"/>
      <w:lang w:val="en-GB" w:eastAsia="en-US"/>
    </w:rPr>
  </w:style>
  <w:style w:type="character" w:customStyle="1" w:styleId="24">
    <w:name w:val="标题 1 Char1"/>
    <w:qFormat/>
    <w:uiPriority w:val="0"/>
    <w:rPr>
      <w:rFonts w:ascii="Times New Roman" w:hAnsi="Times New Roman"/>
      <w:b/>
      <w:bCs/>
      <w:kern w:val="44"/>
      <w:sz w:val="44"/>
      <w:szCs w:val="44"/>
    </w:rPr>
  </w:style>
  <w:style w:type="paragraph" w:customStyle="1" w:styleId="25">
    <w:name w:val="Numbered list 2.2"/>
    <w:basedOn w:val="6"/>
    <w:next w:val="1"/>
    <w:qFormat/>
    <w:uiPriority w:val="99"/>
    <w:pPr>
      <w:keepLines w:val="0"/>
      <w:widowControl/>
      <w:numPr>
        <w:numId w:val="2"/>
      </w:numPr>
      <w:tabs>
        <w:tab w:val="left" w:pos="360"/>
        <w:tab w:val="left" w:pos="720"/>
        <w:tab w:val="left" w:pos="1080"/>
      </w:tabs>
      <w:spacing w:before="240" w:after="60"/>
      <w:jc w:val="left"/>
    </w:pPr>
    <w:rPr>
      <w:bCs w:val="0"/>
      <w:kern w:val="0"/>
      <w:sz w:val="24"/>
      <w:szCs w:val="20"/>
      <w:lang w:val="en-GB" w:eastAsia="en-US"/>
    </w:rPr>
  </w:style>
  <w:style w:type="paragraph" w:customStyle="1" w:styleId="26">
    <w:name w:val="Numbered list 2.3"/>
    <w:basedOn w:val="7"/>
    <w:next w:val="1"/>
    <w:qFormat/>
    <w:uiPriority w:val="99"/>
    <w:pPr>
      <w:keepLines w:val="0"/>
      <w:widowControl/>
      <w:numPr>
        <w:numId w:val="2"/>
      </w:numPr>
      <w:tabs>
        <w:tab w:val="left" w:pos="360"/>
        <w:tab w:val="left" w:pos="1080"/>
        <w:tab w:val="left" w:pos="1440"/>
      </w:tabs>
      <w:spacing w:before="240" w:after="60" w:line="360" w:lineRule="auto"/>
      <w:jc w:val="left"/>
    </w:pPr>
    <w:rPr>
      <w:rFonts w:ascii="Arial" w:hAnsi="Arial"/>
      <w:bCs w:val="0"/>
      <w:kern w:val="0"/>
      <w:sz w:val="22"/>
      <w:szCs w:val="20"/>
      <w:lang w:val="en-GB" w:eastAsia="en-US"/>
    </w:rPr>
  </w:style>
  <w:style w:type="paragraph" w:customStyle="1" w:styleId="27">
    <w:name w:val="列出段落11"/>
    <w:basedOn w:val="1"/>
    <w:qFormat/>
    <w:uiPriority w:val="34"/>
    <w:pPr>
      <w:spacing w:line="240" w:lineRule="auto"/>
    </w:pPr>
    <w:rPr>
      <w:rFonts w:ascii="Calibri" w:hAnsi="Calibri"/>
      <w:szCs w:val="22"/>
    </w:rPr>
  </w:style>
  <w:style w:type="paragraph" w:customStyle="1" w:styleId="28">
    <w:name w:val="列表段落1"/>
    <w:basedOn w:val="1"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9">
    <w:name w:val="Style1"/>
    <w:basedOn w:val="6"/>
    <w:qFormat/>
    <w:uiPriority w:val="0"/>
    <w:pPr>
      <w:widowControl/>
      <w:numPr>
        <w:ilvl w:val="0"/>
        <w:numId w:val="0"/>
      </w:numPr>
      <w:tabs>
        <w:tab w:val="left" w:pos="360"/>
      </w:tabs>
      <w:spacing w:afterLines="50" w:line="415" w:lineRule="auto"/>
    </w:pPr>
    <w:rPr>
      <w:rFonts w:ascii="Calibri" w:hAnsi="Calibri" w:eastAsia="黑体" w:cs="Calibri"/>
      <w:spacing w:val="20"/>
    </w:rPr>
  </w:style>
  <w:style w:type="character" w:customStyle="1" w:styleId="30">
    <w:name w:val="内容正文 Char"/>
    <w:link w:val="31"/>
    <w:qFormat/>
    <w:uiPriority w:val="0"/>
    <w:rPr>
      <w:rFonts w:ascii="Arial" w:hAnsi="Arial"/>
      <w:kern w:val="2"/>
      <w:sz w:val="21"/>
      <w:szCs w:val="21"/>
    </w:rPr>
  </w:style>
  <w:style w:type="paragraph" w:customStyle="1" w:styleId="31">
    <w:name w:val="内容正文"/>
    <w:basedOn w:val="1"/>
    <w:link w:val="30"/>
    <w:qFormat/>
    <w:uiPriority w:val="0"/>
    <w:pPr>
      <w:spacing w:beforeLines="50" w:afterLines="50"/>
    </w:pPr>
    <w:rPr>
      <w:rFonts w:ascii="Arial" w:hAnsi="Arial"/>
      <w:szCs w:val="21"/>
    </w:rPr>
  </w:style>
  <w:style w:type="paragraph" w:customStyle="1" w:styleId="32">
    <w:name w:val="_Style 1"/>
    <w:basedOn w:val="1"/>
    <w:qFormat/>
    <w:uiPriority w:val="34"/>
    <w:pPr>
      <w:spacing w:line="240" w:lineRule="auto"/>
    </w:pPr>
    <w:rPr>
      <w:rFonts w:ascii="Calibri" w:hAnsi="Calibri"/>
      <w:szCs w:val="22"/>
    </w:rPr>
  </w:style>
  <w:style w:type="character" w:customStyle="1" w:styleId="33">
    <w:name w:val="font41"/>
    <w:qFormat/>
    <w:uiPriority w:val="0"/>
    <w:rPr>
      <w:rFonts w:hint="eastAsia" w:ascii="宋体" w:hAnsi="宋体" w:eastAsia="宋体" w:cs="宋体"/>
      <w:i/>
      <w:color w:val="FF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远信科技</Company>
  <Pages>5</Pages>
  <Words>1159</Words>
  <Characters>1177</Characters>
  <Lines>44</Lines>
  <Paragraphs>12</Paragraphs>
  <TotalTime>21</TotalTime>
  <ScaleCrop>false</ScaleCrop>
  <LinksUpToDate>false</LinksUpToDate>
  <CharactersWithSpaces>1179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2019-04-22T07:40:00Z</dcterms:created>
  <dc:creator>Administrator</dc:creator>
  <cp:lastModifiedBy>陈奇</cp:lastModifiedBy>
  <dcterms:modified xsi:type="dcterms:W3CDTF">2025-10-16T09:23:52Z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A6EB509006DC46B3B0E7403BD1A9B342_13</vt:lpwstr>
  </property>
  <property fmtid="{D5CDD505-2E9C-101B-9397-08002B2CF9AE}" pid="4" name="KSOTemplateDocerSaveRecord">
    <vt:lpwstr>eyJoZGlkIjoiOTAyN2U3MTk3NTMxYzg3NGU4ZmUwZmRjNTliMzU2OGIiLCJ1c2VySWQiOiIyNDc5ODA4NTIifQ==</vt:lpwstr>
  </property>
</Properties>
</file>