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61BD9">
      <w:pPr>
        <w:spacing w:line="751" w:lineRule="exact"/>
        <w:ind w:firstLine="398" w:firstLineChars="100"/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南方电网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广西</w:t>
      </w: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eastAsia="zh-CN"/>
        </w:rPr>
        <w:t>电动汽车服务有限公司2025年</w:t>
      </w:r>
    </w:p>
    <w:p w14:paraId="76F357E7">
      <w:pPr>
        <w:spacing w:line="751" w:lineRule="exact"/>
        <w:ind w:firstLine="398" w:firstLineChars="100"/>
        <w:jc w:val="center"/>
        <w:rPr>
          <w:rFonts w:hint="eastAsia" w:ascii="方正小标宋_GBK" w:hAnsi="方正小标宋_GBK" w:eastAsia="方正小标宋_GBK" w:cs="方正小标宋_GBK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自主运维车辆GPS设</w:t>
      </w:r>
      <w:bookmarkStart w:id="2" w:name="_GoBack"/>
      <w:bookmarkEnd w:id="2"/>
      <w:r>
        <w:rPr>
          <w:rFonts w:hint="eastAsia" w:ascii="方正小标宋_GBK" w:hAnsi="方正小标宋_GBK" w:eastAsia="方正小标宋_GBK" w:cs="方正小标宋_GBK"/>
          <w:b/>
          <w:bCs/>
          <w:color w:val="auto"/>
          <w:w w:val="90"/>
          <w:sz w:val="44"/>
          <w:szCs w:val="44"/>
          <w:lang w:val="en-US" w:eastAsia="zh-CN"/>
        </w:rPr>
        <w:t>备及服务技术规范书</w:t>
      </w:r>
    </w:p>
    <w:p w14:paraId="75C909E9">
      <w:pPr>
        <w:spacing w:line="200" w:lineRule="exact"/>
        <w:rPr>
          <w:lang w:eastAsia="zh-CN"/>
        </w:rPr>
      </w:pPr>
    </w:p>
    <w:p w14:paraId="0CC7DC62">
      <w:pPr>
        <w:spacing w:line="200" w:lineRule="exact"/>
        <w:rPr>
          <w:lang w:eastAsia="zh-CN"/>
        </w:rPr>
      </w:pPr>
    </w:p>
    <w:p w14:paraId="3E13A6DE">
      <w:pPr>
        <w:spacing w:line="200" w:lineRule="exact"/>
        <w:rPr>
          <w:lang w:eastAsia="zh-CN"/>
        </w:rPr>
      </w:pPr>
    </w:p>
    <w:p w14:paraId="2E6E2EF2">
      <w:pPr>
        <w:spacing w:line="200" w:lineRule="exact"/>
        <w:rPr>
          <w:lang w:eastAsia="zh-CN"/>
        </w:rPr>
      </w:pPr>
    </w:p>
    <w:p w14:paraId="4AE396AE">
      <w:pPr>
        <w:spacing w:line="200" w:lineRule="exact"/>
        <w:rPr>
          <w:lang w:eastAsia="zh-CN"/>
        </w:rPr>
      </w:pPr>
    </w:p>
    <w:p w14:paraId="2C83B401">
      <w:pPr>
        <w:spacing w:line="200" w:lineRule="exact"/>
        <w:rPr>
          <w:lang w:eastAsia="zh-CN"/>
        </w:rPr>
      </w:pPr>
    </w:p>
    <w:p w14:paraId="07261C29">
      <w:pPr>
        <w:spacing w:line="200" w:lineRule="exact"/>
        <w:rPr>
          <w:lang w:eastAsia="zh-CN"/>
        </w:rPr>
      </w:pPr>
    </w:p>
    <w:p w14:paraId="23C1C354">
      <w:pPr>
        <w:spacing w:line="200" w:lineRule="exact"/>
        <w:rPr>
          <w:lang w:eastAsia="zh-CN"/>
        </w:rPr>
      </w:pPr>
    </w:p>
    <w:p w14:paraId="1762B1FA">
      <w:pPr>
        <w:spacing w:line="200" w:lineRule="exact"/>
        <w:rPr>
          <w:lang w:eastAsia="zh-CN"/>
        </w:rPr>
      </w:pPr>
    </w:p>
    <w:p w14:paraId="4E2E3AA2">
      <w:pPr>
        <w:spacing w:line="200" w:lineRule="exact"/>
        <w:rPr>
          <w:lang w:eastAsia="zh-CN"/>
        </w:rPr>
      </w:pPr>
    </w:p>
    <w:p w14:paraId="61E90CFD">
      <w:pPr>
        <w:spacing w:line="200" w:lineRule="exact"/>
        <w:rPr>
          <w:lang w:eastAsia="zh-CN"/>
        </w:rPr>
      </w:pPr>
    </w:p>
    <w:p w14:paraId="7BE5760D">
      <w:pPr>
        <w:spacing w:line="200" w:lineRule="exact"/>
        <w:rPr>
          <w:lang w:eastAsia="zh-CN"/>
        </w:rPr>
      </w:pPr>
    </w:p>
    <w:p w14:paraId="6F568A92">
      <w:pPr>
        <w:spacing w:line="200" w:lineRule="exact"/>
        <w:rPr>
          <w:lang w:eastAsia="zh-CN"/>
        </w:rPr>
      </w:pPr>
    </w:p>
    <w:p w14:paraId="13F6FE7D">
      <w:pPr>
        <w:spacing w:line="200" w:lineRule="exact"/>
        <w:rPr>
          <w:lang w:eastAsia="zh-CN"/>
        </w:rPr>
      </w:pPr>
    </w:p>
    <w:p w14:paraId="6B976162">
      <w:pPr>
        <w:spacing w:line="200" w:lineRule="exact"/>
        <w:rPr>
          <w:lang w:eastAsia="zh-CN"/>
        </w:rPr>
      </w:pPr>
    </w:p>
    <w:p w14:paraId="50CF6D81">
      <w:pPr>
        <w:spacing w:line="200" w:lineRule="exact"/>
        <w:rPr>
          <w:lang w:eastAsia="zh-CN"/>
        </w:rPr>
      </w:pPr>
    </w:p>
    <w:p w14:paraId="0F99C974">
      <w:pPr>
        <w:spacing w:line="200" w:lineRule="exact"/>
        <w:rPr>
          <w:lang w:eastAsia="zh-CN"/>
        </w:rPr>
      </w:pPr>
    </w:p>
    <w:p w14:paraId="3C7C1159"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 w14:paraId="292FD164">
      <w:pPr>
        <w:spacing w:line="200" w:lineRule="exact"/>
        <w:rPr>
          <w:rFonts w:eastAsia="宋体"/>
          <w:lang w:eastAsia="zh-CN"/>
        </w:rPr>
      </w:pPr>
    </w:p>
    <w:p w14:paraId="5B2EF201">
      <w:pPr>
        <w:spacing w:line="200" w:lineRule="exact"/>
        <w:rPr>
          <w:lang w:eastAsia="zh-CN"/>
        </w:rPr>
      </w:pPr>
    </w:p>
    <w:p w14:paraId="3998FC99">
      <w:pPr>
        <w:spacing w:line="200" w:lineRule="exact"/>
        <w:rPr>
          <w:lang w:eastAsia="zh-CN"/>
        </w:rPr>
      </w:pPr>
    </w:p>
    <w:p w14:paraId="27B5DB0C">
      <w:pPr>
        <w:spacing w:line="200" w:lineRule="exact"/>
        <w:rPr>
          <w:lang w:eastAsia="zh-CN"/>
        </w:rPr>
      </w:pPr>
    </w:p>
    <w:p w14:paraId="0B1C324B">
      <w:pPr>
        <w:spacing w:line="200" w:lineRule="exact"/>
        <w:rPr>
          <w:lang w:eastAsia="zh-CN"/>
        </w:rPr>
      </w:pPr>
    </w:p>
    <w:p w14:paraId="1C08DF53">
      <w:pPr>
        <w:spacing w:line="200" w:lineRule="exact"/>
        <w:rPr>
          <w:lang w:eastAsia="zh-CN"/>
        </w:rPr>
      </w:pPr>
    </w:p>
    <w:p w14:paraId="6AA2BB4F">
      <w:pPr>
        <w:spacing w:line="200" w:lineRule="exact"/>
        <w:rPr>
          <w:lang w:eastAsia="zh-CN"/>
        </w:rPr>
      </w:pPr>
    </w:p>
    <w:p w14:paraId="101674DB">
      <w:pPr>
        <w:spacing w:line="200" w:lineRule="exact"/>
        <w:rPr>
          <w:lang w:eastAsia="zh-CN"/>
        </w:rPr>
      </w:pPr>
    </w:p>
    <w:p w14:paraId="3AEBACFB">
      <w:pPr>
        <w:spacing w:line="200" w:lineRule="exact"/>
        <w:rPr>
          <w:lang w:eastAsia="zh-CN"/>
        </w:rPr>
      </w:pPr>
    </w:p>
    <w:p w14:paraId="30E6F0DA">
      <w:pPr>
        <w:spacing w:line="200" w:lineRule="exact"/>
        <w:rPr>
          <w:lang w:eastAsia="zh-CN"/>
        </w:rPr>
      </w:pPr>
    </w:p>
    <w:p w14:paraId="2422F655">
      <w:pPr>
        <w:spacing w:line="200" w:lineRule="exact"/>
        <w:rPr>
          <w:lang w:eastAsia="zh-CN"/>
        </w:rPr>
      </w:pPr>
    </w:p>
    <w:p w14:paraId="7BA9CA9D">
      <w:pPr>
        <w:spacing w:line="200" w:lineRule="exact"/>
        <w:rPr>
          <w:lang w:eastAsia="zh-CN"/>
        </w:rPr>
      </w:pPr>
    </w:p>
    <w:p w14:paraId="5ED358A9">
      <w:pPr>
        <w:spacing w:line="200" w:lineRule="exact"/>
        <w:rPr>
          <w:lang w:eastAsia="zh-CN"/>
        </w:rPr>
      </w:pPr>
    </w:p>
    <w:p w14:paraId="57E94C62">
      <w:pPr>
        <w:spacing w:line="200" w:lineRule="exact"/>
        <w:rPr>
          <w:lang w:eastAsia="zh-CN"/>
        </w:rPr>
      </w:pPr>
    </w:p>
    <w:p w14:paraId="456EFD8D">
      <w:pPr>
        <w:spacing w:line="200" w:lineRule="exact"/>
        <w:rPr>
          <w:lang w:eastAsia="zh-CN"/>
        </w:rPr>
      </w:pPr>
    </w:p>
    <w:p w14:paraId="2D1A44DE">
      <w:pPr>
        <w:spacing w:line="200" w:lineRule="exact"/>
        <w:rPr>
          <w:lang w:eastAsia="zh-CN"/>
        </w:rPr>
      </w:pPr>
    </w:p>
    <w:p w14:paraId="41946892">
      <w:pPr>
        <w:spacing w:line="200" w:lineRule="exact"/>
        <w:rPr>
          <w:lang w:eastAsia="zh-CN"/>
        </w:rPr>
      </w:pPr>
    </w:p>
    <w:p w14:paraId="5B812B31">
      <w:pPr>
        <w:spacing w:line="200" w:lineRule="exact"/>
        <w:rPr>
          <w:lang w:eastAsia="zh-CN"/>
        </w:rPr>
      </w:pPr>
    </w:p>
    <w:p w14:paraId="7C077BF2">
      <w:pPr>
        <w:spacing w:line="200" w:lineRule="exact"/>
        <w:rPr>
          <w:lang w:eastAsia="zh-CN"/>
        </w:rPr>
      </w:pPr>
    </w:p>
    <w:p w14:paraId="62BAEE29">
      <w:pPr>
        <w:spacing w:line="200" w:lineRule="exact"/>
        <w:rPr>
          <w:lang w:eastAsia="zh-CN"/>
        </w:rPr>
      </w:pPr>
    </w:p>
    <w:p w14:paraId="2C16FA7D">
      <w:pPr>
        <w:spacing w:line="200" w:lineRule="exact"/>
        <w:rPr>
          <w:lang w:eastAsia="zh-CN"/>
        </w:rPr>
      </w:pPr>
    </w:p>
    <w:p w14:paraId="2D4FDE9F">
      <w:pPr>
        <w:spacing w:line="200" w:lineRule="exact"/>
        <w:rPr>
          <w:lang w:eastAsia="zh-CN"/>
        </w:rPr>
      </w:pPr>
    </w:p>
    <w:p w14:paraId="623F5D5A">
      <w:pPr>
        <w:spacing w:line="200" w:lineRule="exact"/>
        <w:rPr>
          <w:lang w:eastAsia="zh-CN"/>
        </w:rPr>
      </w:pPr>
    </w:p>
    <w:p w14:paraId="234323BC">
      <w:pPr>
        <w:spacing w:line="200" w:lineRule="exact"/>
        <w:rPr>
          <w:lang w:eastAsia="zh-CN"/>
        </w:rPr>
      </w:pPr>
    </w:p>
    <w:p w14:paraId="264AEE62">
      <w:pPr>
        <w:spacing w:line="200" w:lineRule="exact"/>
        <w:rPr>
          <w:lang w:eastAsia="zh-CN"/>
        </w:rPr>
      </w:pPr>
    </w:p>
    <w:p w14:paraId="684A2C77">
      <w:pPr>
        <w:spacing w:line="200" w:lineRule="exact"/>
        <w:rPr>
          <w:lang w:eastAsia="zh-CN"/>
        </w:rPr>
      </w:pPr>
    </w:p>
    <w:p w14:paraId="7589260C">
      <w:pPr>
        <w:spacing w:line="200" w:lineRule="exact"/>
        <w:rPr>
          <w:lang w:eastAsia="zh-CN"/>
        </w:rPr>
      </w:pPr>
    </w:p>
    <w:p w14:paraId="20BBFD62">
      <w:pPr>
        <w:spacing w:line="200" w:lineRule="exact"/>
        <w:rPr>
          <w:lang w:eastAsia="zh-CN"/>
        </w:rPr>
      </w:pPr>
    </w:p>
    <w:p w14:paraId="263E551D">
      <w:pPr>
        <w:spacing w:line="200" w:lineRule="exact"/>
        <w:rPr>
          <w:lang w:eastAsia="zh-CN"/>
        </w:rPr>
      </w:pPr>
    </w:p>
    <w:p w14:paraId="1A17D3FC">
      <w:pPr>
        <w:spacing w:line="200" w:lineRule="exact"/>
        <w:rPr>
          <w:lang w:eastAsia="zh-CN"/>
        </w:rPr>
      </w:pPr>
    </w:p>
    <w:p w14:paraId="56790D6B">
      <w:pPr>
        <w:spacing w:line="200" w:lineRule="exact"/>
        <w:rPr>
          <w:lang w:eastAsia="zh-CN"/>
        </w:rPr>
      </w:pPr>
    </w:p>
    <w:p w14:paraId="3501CB0E">
      <w:pPr>
        <w:spacing w:line="200" w:lineRule="exact"/>
        <w:rPr>
          <w:lang w:eastAsia="zh-CN"/>
        </w:rPr>
      </w:pPr>
    </w:p>
    <w:p w14:paraId="4765F0BC">
      <w:pPr>
        <w:spacing w:line="200" w:lineRule="exact"/>
        <w:rPr>
          <w:lang w:eastAsia="zh-CN"/>
        </w:rPr>
      </w:pPr>
    </w:p>
    <w:p w14:paraId="3B03C429">
      <w:pPr>
        <w:spacing w:line="200" w:lineRule="exact"/>
        <w:rPr>
          <w:lang w:eastAsia="zh-CN"/>
        </w:rPr>
      </w:pPr>
    </w:p>
    <w:p w14:paraId="1960089C">
      <w:pPr>
        <w:spacing w:line="257" w:lineRule="exact"/>
        <w:rPr>
          <w:lang w:eastAsia="zh-CN"/>
        </w:rPr>
      </w:pPr>
    </w:p>
    <w:p w14:paraId="13C7C7BD">
      <w:pPr>
        <w:spacing w:line="32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</w:t>
      </w:r>
    </w:p>
    <w:p w14:paraId="3AE2ABCE">
      <w:pPr>
        <w:spacing w:line="320" w:lineRule="exact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</w:p>
    <w:p w14:paraId="35CBAE6E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104C2D40">
      <w:pPr>
        <w:spacing w:line="229" w:lineRule="exact"/>
        <w:rPr>
          <w:sz w:val="20"/>
          <w:szCs w:val="20"/>
          <w:lang w:eastAsia="zh-CN"/>
        </w:rPr>
      </w:pPr>
      <w:bookmarkStart w:id="0" w:name="page2"/>
      <w:bookmarkEnd w:id="0"/>
    </w:p>
    <w:p w14:paraId="385EDB14"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 w14:paraId="4665037D"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192137FA"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5F74F4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 w14:paraId="4B4B1F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本技术规范书适用于南方电网广西电动汽车服务有限公司2025年自主运维车辆GPS设备及服务项目。本技术规范书提出了项目范围和内容，规范书的所有解释权归南方电网广西电动汽车服务有限公司所有。</w:t>
      </w:r>
    </w:p>
    <w:p w14:paraId="30AA71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、项目概况</w:t>
      </w:r>
    </w:p>
    <w:p w14:paraId="6A97EA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满足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自主运维车辆用车规范管理需求，加强自主运维车辆规范管理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固定单价*实际使用数量结算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方式采购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GPS设备及GPS系统使用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服务。</w:t>
      </w:r>
    </w:p>
    <w:p w14:paraId="34BA3523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 w14:paraId="17389F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（一）采购范围</w:t>
      </w:r>
    </w:p>
    <w:tbl>
      <w:tblPr>
        <w:tblStyle w:val="4"/>
        <w:tblpPr w:leftFromText="180" w:rightFromText="180" w:vertAnchor="text" w:tblpXSpec="center" w:tblpY="52"/>
        <w:tblOverlap w:val="never"/>
        <w:tblW w:w="8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365"/>
      </w:tblGrid>
      <w:tr w14:paraId="1E3EE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55718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49A09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54D5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总价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（元）</w:t>
            </w:r>
          </w:p>
        </w:tc>
        <w:tc>
          <w:tcPr>
            <w:tcW w:w="1365" w:type="dxa"/>
            <w:vAlign w:val="center"/>
          </w:tcPr>
          <w:p w14:paraId="534F4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服务期</w:t>
            </w:r>
          </w:p>
        </w:tc>
      </w:tr>
      <w:tr w14:paraId="080D4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21" w:type="dxa"/>
            <w:vAlign w:val="center"/>
          </w:tcPr>
          <w:p w14:paraId="219E0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18FD7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both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南方电网广西电动汽车服务有限公司2025年自主运维车辆GPS设备及服务项目</w:t>
            </w:r>
          </w:p>
        </w:tc>
        <w:tc>
          <w:tcPr>
            <w:tcW w:w="1643" w:type="dxa"/>
            <w:vAlign w:val="center"/>
          </w:tcPr>
          <w:p w14:paraId="7E4DF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45000</w:t>
            </w:r>
          </w:p>
        </w:tc>
        <w:tc>
          <w:tcPr>
            <w:tcW w:w="1365" w:type="dxa"/>
            <w:vAlign w:val="center"/>
          </w:tcPr>
          <w:p w14:paraId="353F8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年</w:t>
            </w:r>
          </w:p>
        </w:tc>
      </w:tr>
    </w:tbl>
    <w:p w14:paraId="074BB20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）报价方式</w:t>
      </w:r>
    </w:p>
    <w:p w14:paraId="7A34B41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单价含税报价，不高于技术规范书所列的详细含税单价。</w:t>
      </w:r>
    </w:p>
    <w:p w14:paraId="06F4FB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）服务期限</w:t>
      </w:r>
    </w:p>
    <w:p w14:paraId="19EECD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1" w:name="page2_1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1.GPS配套系统服务2年。</w:t>
      </w:r>
    </w:p>
    <w:p w14:paraId="13D828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2.GPS设备安装及保养服务2年</w:t>
      </w:r>
    </w:p>
    <w:p w14:paraId="04DBF4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（四）服务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区域</w:t>
      </w:r>
    </w:p>
    <w:p w14:paraId="31AB01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广西区域</w:t>
      </w:r>
    </w:p>
    <w:p w14:paraId="5D9285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设备主要功能及参数</w:t>
      </w:r>
    </w:p>
    <w:p w14:paraId="2A85B19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支持标准车载OBD接口取电，9-90V宽电压输入范围，可广泛用于汽车、货车等车辆位置监管；内置25*25mm大尺寸卫星天线，具备良好的搜星能力，信号接收能力强，定位精准；支持JT/T808协议接入，主要功能点如下：</w:t>
      </w:r>
    </w:p>
    <w:p w14:paraId="2463C767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精准定位，支持快速辅助卫星定位跟踪、同步授时；</w:t>
      </w:r>
    </w:p>
    <w:p w14:paraId="0FFDD6C8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支持车辆运动状态检测、怠速检测，支持震动、断电、越界、低电、拆除、电子围栏、碰撞、超速告警提醒，支持急加速、急减速、急转弯、急刹车状态检测及上报；</w:t>
      </w:r>
    </w:p>
    <w:p w14:paraId="257C7267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支持高准确度里程统计统计功能（误差≤1%）；</w:t>
      </w:r>
    </w:p>
    <w:p w14:paraId="204F0933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设备掉电主动上传掉电报警，及时发现设备异常或恶意破坏设备；</w:t>
      </w:r>
    </w:p>
    <w:p w14:paraId="187EA90F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支持离线数据储存，盲区数据补传；</w:t>
      </w:r>
    </w:p>
    <w:p w14:paraId="6E73AC61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支持OTA在线远程升级，远程配置产品参数；</w:t>
      </w:r>
    </w:p>
    <w:p w14:paraId="3652232B">
      <w:pPr>
        <w:numPr>
          <w:ilvl w:val="0"/>
          <w:numId w:val="1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休眠模式：支持低功耗节能模式，支持智能休眠和唤醒机制，降低系统整体评价功耗；</w:t>
      </w:r>
    </w:p>
    <w:p w14:paraId="19629DE3">
      <w:pPr>
        <w:numPr>
          <w:ilvl w:val="0"/>
          <w:numId w:val="1"/>
        </w:num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数据检测：支持电压、电量数据检测，及时上报，SIM卡自动识别；</w:t>
      </w:r>
    </w:p>
    <w:p w14:paraId="05A65C26">
      <w:pPr>
        <w:numPr>
          <w:ilvl w:val="0"/>
          <w:numId w:val="1"/>
        </w:numPr>
        <w:ind w:left="0" w:leftChars="0"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支拐点补偿：判断车辆拐弯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根据拐弯角度和速度补偿数据，轨迹点更贴近实际道路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 w14:paraId="33C9963F">
      <w:pPr>
        <w:numPr>
          <w:ilvl w:val="0"/>
          <w:numId w:val="0"/>
        </w:numPr>
        <w:ind w:left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84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20"/>
        <w:gridCol w:w="2120"/>
        <w:gridCol w:w="4640"/>
      </w:tblGrid>
      <w:tr w14:paraId="421F7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3840" w:type="dxa"/>
            <w:gridSpan w:val="2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548DD4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1B3F530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ascii="微软雅黑" w:hAnsi="微软雅黑" w:eastAsia="微软雅黑" w:cs="微软雅黑"/>
                <w:b/>
                <w:bCs/>
                <w:color w:val="FFFFFF"/>
                <w:sz w:val="18"/>
                <w:szCs w:val="18"/>
              </w:rPr>
              <w:t>型号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548DD4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2F60AA7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</w:rPr>
              <w:t>定位终端</w:t>
            </w:r>
          </w:p>
        </w:tc>
      </w:tr>
      <w:tr w14:paraId="69896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494CC17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外观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1D14D8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材质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53FEC09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ABS+PC塑胶</w:t>
            </w:r>
          </w:p>
        </w:tc>
      </w:tr>
      <w:tr w14:paraId="55D4E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510A3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0BD40F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尺寸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7FD4FB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86*45*14mm</w:t>
            </w:r>
          </w:p>
        </w:tc>
      </w:tr>
      <w:tr w14:paraId="72DD7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4762801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E3ACA0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指示灯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D18371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电源指示灯、GSM指示灯、GPS指示灯</w:t>
            </w:r>
          </w:p>
        </w:tc>
      </w:tr>
      <w:tr w14:paraId="44B6F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76B805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FB444A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电源开关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9C565A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电池开关</w:t>
            </w:r>
          </w:p>
        </w:tc>
      </w:tr>
      <w:tr w14:paraId="3E2BA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CDA432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FCEEDC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接口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76BA6A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电源正负极、ACC线、relay线，OBD取电转接线</w:t>
            </w:r>
          </w:p>
        </w:tc>
      </w:tr>
      <w:tr w14:paraId="09B95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9E4315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无线通信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712E8F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通信制式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0C6624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4G Cat1.</w:t>
            </w:r>
          </w:p>
        </w:tc>
      </w:tr>
      <w:tr w14:paraId="3F539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043238D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2BDD7BD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频段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19E6982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LTE-TDD：Band34/38/39/40/41</w:t>
            </w:r>
          </w:p>
        </w:tc>
      </w:tr>
      <w:tr w14:paraId="231E9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533623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306277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Cell-ID获取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A0D6DC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51244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5B0050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84B3E7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SIM卡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4564C11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插拔卡（兼容2*2贴片卡）</w:t>
            </w:r>
          </w:p>
        </w:tc>
      </w:tr>
      <w:tr w14:paraId="0A4AF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769C25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卫星定位 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73BABC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定位方式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8B3D9E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单北斗定位</w:t>
            </w:r>
          </w:p>
        </w:tc>
      </w:tr>
      <w:tr w14:paraId="55A64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A3FF60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FBBA03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型号接收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4376587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BDS-B1II，BDS-B1C</w:t>
            </w:r>
          </w:p>
        </w:tc>
      </w:tr>
      <w:tr w14:paraId="12C18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264EBD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D301D2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灵敏度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031073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捕获 &lt; -158dBm、跟踪 &lt; -161dBm</w:t>
            </w:r>
          </w:p>
        </w:tc>
      </w:tr>
      <w:tr w14:paraId="5154B2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7E89A8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A8A48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AGPS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1D6EED9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5FBC2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8FC76B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07C498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冷启动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0A4272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普通方式：&lt;120秒、AGPS方式：&lt;35秒</w:t>
            </w:r>
          </w:p>
        </w:tc>
      </w:tr>
      <w:tr w14:paraId="61CCF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2587CD9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855CA1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热启动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0F638D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&lt;1秒</w:t>
            </w:r>
          </w:p>
        </w:tc>
      </w:tr>
      <w:tr w14:paraId="214C6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7BD51C2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电源、电池、充电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E4DC40B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工作电压范围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090782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11.5V-90V</w:t>
            </w:r>
          </w:p>
        </w:tc>
      </w:tr>
      <w:tr w14:paraId="25DD5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23B4155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0FFDCE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工作电流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F0F100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满电情况下，休眠：&lt;1mA@12V；工作：&lt;80mA@12V</w:t>
            </w:r>
          </w:p>
        </w:tc>
      </w:tr>
      <w:tr w14:paraId="07E2D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F8D4C5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BC6A86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保险丝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E45380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12A</w:t>
            </w:r>
          </w:p>
        </w:tc>
      </w:tr>
      <w:tr w14:paraId="4997C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D812B8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7B21FB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电池容量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2BB252C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default" w:ascii="微软雅黑" w:hAnsi="微软雅黑" w:eastAsia="微软雅黑" w:cs="微软雅黑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55mAh</w:t>
            </w: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  <w:lang w:val="en-US" w:eastAsia="zh-CN"/>
              </w:rPr>
              <w:t>及以上</w:t>
            </w:r>
          </w:p>
        </w:tc>
      </w:tr>
      <w:tr w14:paraId="6AAEA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78C07B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7A24E1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类型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CA286F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聚合物锂电池</w:t>
            </w:r>
          </w:p>
        </w:tc>
      </w:tr>
      <w:tr w14:paraId="71A3E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A4FB70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EB2F9A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电压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00E4ED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3.7V</w:t>
            </w:r>
          </w:p>
        </w:tc>
      </w:tr>
      <w:tr w14:paraId="3949E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44BC18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B7BCB7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充电时间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34D488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&lt;2小时</w:t>
            </w:r>
          </w:p>
        </w:tc>
      </w:tr>
      <w:tr w14:paraId="712CF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0C6822F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F37833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充电次数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580DB41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&gt;500</w:t>
            </w:r>
          </w:p>
        </w:tc>
      </w:tr>
      <w:tr w14:paraId="0C736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20ED955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环境可靠性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C08558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存储温度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3287EA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-40℃– 80℃</w:t>
            </w:r>
          </w:p>
        </w:tc>
      </w:tr>
      <w:tr w14:paraId="6E7EE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2E14354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0E5BFE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工作温度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54999D3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-20℃– 60℃</w:t>
            </w:r>
          </w:p>
        </w:tc>
      </w:tr>
      <w:tr w14:paraId="7EABD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F5C11F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告警功能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44460E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震动提醒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D1B116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64551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C857B6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9464AB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断电提醒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3EB30806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094BB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7141974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E11297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移位提醒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59C92AE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51367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E89CEB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AE2CC40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内部电池低电提醒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5788FB7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4A3F4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B90044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8567B3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蓄电池低电提醒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42A7DB67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756C2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41095DB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ACC3AD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拆除提醒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1A87748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支持（姿态+断外电）</w:t>
            </w:r>
          </w:p>
        </w:tc>
      </w:tr>
      <w:tr w14:paraId="5D2DD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1909268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17AE089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电子围栏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23DAFF7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15E88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C0AD11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FEB137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碰撞提醒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11216C2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15992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FF5DC8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9AFEACA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超速提醒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069868B5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13831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restart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35ED7B7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支持功能</w:t>
            </w: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8F24ABC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ACC设防撤防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F6EC5C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70747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69E5EAA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5B9992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远程定位跟踪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79AB740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7FF6C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401789E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86B7F0E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行程轨迹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2E2735DD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支持盲点补传</w:t>
            </w:r>
          </w:p>
        </w:tc>
      </w:tr>
      <w:tr w14:paraId="46875F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4851292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71E9A02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里程统计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1DACA534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里程统计</w:t>
            </w:r>
          </w:p>
        </w:tc>
      </w:tr>
      <w:tr w14:paraId="2C236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5878242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76B57C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808协议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64A6AC18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支持</w:t>
            </w:r>
          </w:p>
        </w:tc>
      </w:tr>
      <w:tr w14:paraId="6B849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720" w:type="dxa"/>
            <w:vMerge w:val="continue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0" w:type="dxa"/>
            </w:tcMar>
            <w:vAlign w:val="center"/>
          </w:tcPr>
          <w:p w14:paraId="701D99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2E4F1CF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远程升级</w:t>
            </w:r>
          </w:p>
        </w:tc>
        <w:tc>
          <w:tcPr>
            <w:tcW w:w="4640" w:type="dxa"/>
            <w:tcBorders>
              <w:top w:val="single" w:color="080000" w:sz="4" w:space="0"/>
              <w:left w:val="single" w:color="080000" w:sz="4" w:space="0"/>
              <w:bottom w:val="single" w:color="080000" w:sz="4" w:space="0"/>
              <w:right w:val="single" w:color="080000" w:sz="4" w:space="0"/>
            </w:tcBorders>
            <w:shd w:val="clear" w:color="auto" w:fill="FFFFFF"/>
            <w:tcMar>
              <w:top w:w="60" w:type="dxa"/>
              <w:left w:w="210" w:type="dxa"/>
              <w:bottom w:w="60" w:type="dxa"/>
              <w:right w:w="15" w:type="dxa"/>
            </w:tcMar>
            <w:vAlign w:val="center"/>
          </w:tcPr>
          <w:p w14:paraId="6BF6C141">
            <w:pPr>
              <w:pStyle w:val="2"/>
              <w:keepNext w:val="0"/>
              <w:keepLines w:val="0"/>
              <w:widowControl/>
              <w:suppressLineNumbers w:val="0"/>
              <w:kinsoku/>
              <w:wordWrap/>
              <w:overflowPunct/>
              <w:jc w:val="center"/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z w:val="18"/>
                <w:szCs w:val="18"/>
              </w:rPr>
              <w:t>OTA</w:t>
            </w:r>
          </w:p>
        </w:tc>
      </w:tr>
    </w:tbl>
    <w:p w14:paraId="1E4D0D95"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 w14:paraId="34D9C815">
      <w:pPr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（六）服务及售后内容</w:t>
      </w:r>
    </w:p>
    <w:p w14:paraId="27D12582">
      <w:pPr>
        <w:spacing w:before="156" w:beforeLines="50" w:after="156" w:afterLines="50"/>
        <w:ind w:firstLine="4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1、本次采购项目内容包含硬件设备、设备安装调试、2年平台免费接入以及2年售后维保服务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。采购后设备会邮寄到安装所在地地市相关人员手上，并匹配当地的安装合作门店到指定门店进行安装调试。</w:t>
      </w:r>
    </w:p>
    <w:p w14:paraId="43E4F582">
      <w:pPr>
        <w:spacing w:before="156" w:beforeLines="50" w:after="156" w:afterLines="50"/>
        <w:ind w:firstLine="640" w:firstLineChars="20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2、有售后支撑客服团队，提供客服热线，支持买方及买方客户咨询、投诉、满意度回访、双方合作中的疑问解答等。</w:t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612B34FF-34C0-4F24-A09F-DDC2A5AE683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3EE14C59-D34D-4E1D-8B09-1743A71F48F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FC7478FA-9374-43D7-B37F-1E411119B123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C9E3EF"/>
    <w:multiLevelType w:val="singleLevel"/>
    <w:tmpl w:val="D4C9E3E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93C2A"/>
    <w:rsid w:val="00BB1461"/>
    <w:rsid w:val="00C9241A"/>
    <w:rsid w:val="00CA2A55"/>
    <w:rsid w:val="013B3F63"/>
    <w:rsid w:val="01D05B0D"/>
    <w:rsid w:val="025A6C04"/>
    <w:rsid w:val="037262BA"/>
    <w:rsid w:val="03827479"/>
    <w:rsid w:val="05B74771"/>
    <w:rsid w:val="068E3B66"/>
    <w:rsid w:val="072764A5"/>
    <w:rsid w:val="07500864"/>
    <w:rsid w:val="07926EDC"/>
    <w:rsid w:val="07DE7D68"/>
    <w:rsid w:val="091273FA"/>
    <w:rsid w:val="0ADB7398"/>
    <w:rsid w:val="0B1B4E9F"/>
    <w:rsid w:val="0B3E3A9A"/>
    <w:rsid w:val="0D1302A2"/>
    <w:rsid w:val="0D3005FB"/>
    <w:rsid w:val="0DB13AD8"/>
    <w:rsid w:val="0E02296D"/>
    <w:rsid w:val="0EC56195"/>
    <w:rsid w:val="0F870469"/>
    <w:rsid w:val="10A75CBA"/>
    <w:rsid w:val="11C80677"/>
    <w:rsid w:val="11CF1B67"/>
    <w:rsid w:val="127C300E"/>
    <w:rsid w:val="136046DE"/>
    <w:rsid w:val="13C12381"/>
    <w:rsid w:val="14FD0079"/>
    <w:rsid w:val="15E8637F"/>
    <w:rsid w:val="160B17F4"/>
    <w:rsid w:val="168227FD"/>
    <w:rsid w:val="19994B83"/>
    <w:rsid w:val="1A5B175B"/>
    <w:rsid w:val="1A722BCA"/>
    <w:rsid w:val="1CA478F2"/>
    <w:rsid w:val="1D2D4C5B"/>
    <w:rsid w:val="1DAF24FC"/>
    <w:rsid w:val="1E373BC3"/>
    <w:rsid w:val="203A4055"/>
    <w:rsid w:val="213D3949"/>
    <w:rsid w:val="21924A2D"/>
    <w:rsid w:val="22017E7D"/>
    <w:rsid w:val="22547A81"/>
    <w:rsid w:val="246057D0"/>
    <w:rsid w:val="25835508"/>
    <w:rsid w:val="263404C4"/>
    <w:rsid w:val="26A45974"/>
    <w:rsid w:val="27027697"/>
    <w:rsid w:val="27420C7A"/>
    <w:rsid w:val="27DE7716"/>
    <w:rsid w:val="28670FF6"/>
    <w:rsid w:val="28ED6E43"/>
    <w:rsid w:val="292827B1"/>
    <w:rsid w:val="296F777A"/>
    <w:rsid w:val="2AAE5541"/>
    <w:rsid w:val="2BAB03D4"/>
    <w:rsid w:val="2DE051B2"/>
    <w:rsid w:val="2EBB13D0"/>
    <w:rsid w:val="2F0F0A9F"/>
    <w:rsid w:val="2F996FA3"/>
    <w:rsid w:val="303B7C0D"/>
    <w:rsid w:val="30883239"/>
    <w:rsid w:val="335740A1"/>
    <w:rsid w:val="33E1511F"/>
    <w:rsid w:val="346A38C2"/>
    <w:rsid w:val="3475620A"/>
    <w:rsid w:val="351A453A"/>
    <w:rsid w:val="35357321"/>
    <w:rsid w:val="359E080A"/>
    <w:rsid w:val="368A2987"/>
    <w:rsid w:val="377A733E"/>
    <w:rsid w:val="37A3652C"/>
    <w:rsid w:val="38F33B5D"/>
    <w:rsid w:val="39D266CC"/>
    <w:rsid w:val="39E11784"/>
    <w:rsid w:val="3A1E01E9"/>
    <w:rsid w:val="3A9A5EF5"/>
    <w:rsid w:val="3ADC2450"/>
    <w:rsid w:val="3AEA378B"/>
    <w:rsid w:val="3AF936F1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15F5CE4"/>
    <w:rsid w:val="435C7492"/>
    <w:rsid w:val="44191A5F"/>
    <w:rsid w:val="443E2003"/>
    <w:rsid w:val="44890DFE"/>
    <w:rsid w:val="45280308"/>
    <w:rsid w:val="459D0CC6"/>
    <w:rsid w:val="4650193A"/>
    <w:rsid w:val="46684A41"/>
    <w:rsid w:val="46F179F6"/>
    <w:rsid w:val="48C93BFF"/>
    <w:rsid w:val="48FD4B4F"/>
    <w:rsid w:val="49A61540"/>
    <w:rsid w:val="4A2E1CF6"/>
    <w:rsid w:val="4AF40D36"/>
    <w:rsid w:val="4C9B3793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5B6EC0"/>
    <w:rsid w:val="539E4BBE"/>
    <w:rsid w:val="57596A47"/>
    <w:rsid w:val="57D1104A"/>
    <w:rsid w:val="57D34F8E"/>
    <w:rsid w:val="58095E9E"/>
    <w:rsid w:val="582624F5"/>
    <w:rsid w:val="58263B33"/>
    <w:rsid w:val="597B335B"/>
    <w:rsid w:val="59E146C5"/>
    <w:rsid w:val="59FF13B5"/>
    <w:rsid w:val="5ADB2963"/>
    <w:rsid w:val="5C642423"/>
    <w:rsid w:val="5ED81A8D"/>
    <w:rsid w:val="5F85205D"/>
    <w:rsid w:val="601A502E"/>
    <w:rsid w:val="602760F8"/>
    <w:rsid w:val="60463066"/>
    <w:rsid w:val="607362D2"/>
    <w:rsid w:val="60DF3EFC"/>
    <w:rsid w:val="61AA75FB"/>
    <w:rsid w:val="629D1A5E"/>
    <w:rsid w:val="62F0280B"/>
    <w:rsid w:val="63CF6D0D"/>
    <w:rsid w:val="64A37553"/>
    <w:rsid w:val="64D13754"/>
    <w:rsid w:val="64EA6203"/>
    <w:rsid w:val="65DA53F3"/>
    <w:rsid w:val="66D71736"/>
    <w:rsid w:val="679715F1"/>
    <w:rsid w:val="67C831C2"/>
    <w:rsid w:val="68346129"/>
    <w:rsid w:val="6A2F4413"/>
    <w:rsid w:val="6AA53035"/>
    <w:rsid w:val="6AE622DC"/>
    <w:rsid w:val="6CBC13F4"/>
    <w:rsid w:val="6CE15CFC"/>
    <w:rsid w:val="6D271805"/>
    <w:rsid w:val="6D2B1985"/>
    <w:rsid w:val="6DC53E25"/>
    <w:rsid w:val="6F6B5B5E"/>
    <w:rsid w:val="708C1A0F"/>
    <w:rsid w:val="70A3492C"/>
    <w:rsid w:val="70E055B2"/>
    <w:rsid w:val="71920D35"/>
    <w:rsid w:val="72345596"/>
    <w:rsid w:val="72B8133A"/>
    <w:rsid w:val="737F6B89"/>
    <w:rsid w:val="74390974"/>
    <w:rsid w:val="743E5CC3"/>
    <w:rsid w:val="74CF5D3A"/>
    <w:rsid w:val="74EC5F5A"/>
    <w:rsid w:val="76726534"/>
    <w:rsid w:val="798930D3"/>
    <w:rsid w:val="7C3F770A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1767</Words>
  <Characters>2005</Characters>
  <Lines>7</Lines>
  <Paragraphs>2</Paragraphs>
  <TotalTime>36</TotalTime>
  <ScaleCrop>false</ScaleCrop>
  <LinksUpToDate>false</LinksUpToDate>
  <CharactersWithSpaces>2035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雨寂</cp:lastModifiedBy>
  <dcterms:modified xsi:type="dcterms:W3CDTF">2025-10-23T09:13:09Z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584D7E4F8D3340FF87F2D961DEB5E073_13</vt:lpwstr>
  </property>
  <property fmtid="{D5CDD505-2E9C-101B-9397-08002B2CF9AE}" pid="4" name="KSOTemplateDocerSaveRecord">
    <vt:lpwstr>eyJoZGlkIjoiYWVkM2ZiZTQ0Yzg1NGNjMmZhNjhkMTM0NjViMmEyMzMiLCJ1c2VySWQiOiIyNDUzMDI5NDUifQ==</vt:lpwstr>
  </property>
</Properties>
</file>