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ind w:left="0" w:leftChars="0" w:firstLine="0" w:firstLineChars="0"/>
        <w:rPr>
          <w:rFonts w:hint="eastAsia"/>
          <w:lang w:val="en-US" w:eastAsia="zh-CN"/>
        </w:rPr>
      </w:pPr>
      <w:bookmarkStart w:id="0" w:name="_Toc499716096"/>
      <w:bookmarkStart w:id="1" w:name="_Toc21240"/>
      <w:bookmarkStart w:id="2" w:name="_Toc28598"/>
    </w:p>
    <w:p>
      <w:pPr>
        <w:spacing w:before="100" w:beforeAutospacing="1" w:after="100" w:afterAutospacing="1"/>
        <w:jc w:val="center"/>
        <w:rPr>
          <w:rFonts w:hint="eastAsia" w:ascii="仿宋_GB2312" w:hAnsi="仿宋" w:eastAsia="仿宋_GB2312"/>
          <w:b/>
          <w:sz w:val="44"/>
          <w:szCs w:val="72"/>
          <w:lang w:val="en-US" w:eastAsia="zh-CN"/>
        </w:rPr>
      </w:pPr>
      <w:r>
        <w:rPr>
          <w:rFonts w:hint="eastAsia" w:ascii="仿宋_GB2312" w:hAnsi="仿宋" w:eastAsia="仿宋_GB2312"/>
          <w:b/>
          <w:sz w:val="44"/>
          <w:szCs w:val="72"/>
          <w:lang w:val="en-US" w:eastAsia="zh-CN"/>
        </w:rPr>
        <w:t>数字电网科技公司</w:t>
      </w:r>
    </w:p>
    <w:p>
      <w:pPr>
        <w:spacing w:before="100" w:beforeAutospacing="1" w:after="100" w:afterAutospacing="1"/>
        <w:jc w:val="center"/>
        <w:rPr>
          <w:rFonts w:hint="default" w:ascii="仿宋_GB2312" w:hAnsi="仿宋" w:eastAsia="仿宋_GB2312"/>
          <w:b/>
          <w:sz w:val="44"/>
          <w:szCs w:val="72"/>
          <w:lang w:val="en-US" w:eastAsia="zh-CN"/>
        </w:rPr>
      </w:pPr>
      <w:r>
        <w:rPr>
          <w:rFonts w:hint="eastAsia" w:ascii="仿宋_GB2312" w:hAnsi="仿宋" w:eastAsia="仿宋_GB2312"/>
          <w:b/>
          <w:sz w:val="44"/>
          <w:szCs w:val="72"/>
          <w:lang w:val="en-US" w:eastAsia="zh-CN"/>
        </w:rPr>
        <w:t>2025年第三方安全防护评估测评项目</w:t>
      </w:r>
    </w:p>
    <w:p>
      <w:pPr>
        <w:jc w:val="center"/>
        <w:rPr>
          <w:rFonts w:ascii="仿宋_GB2312" w:hAnsi="仿宋" w:eastAsia="仿宋_GB2312"/>
          <w:b/>
          <w:color w:val="000000"/>
          <w:sz w:val="44"/>
        </w:rPr>
      </w:pPr>
    </w:p>
    <w:p>
      <w:pPr>
        <w:jc w:val="center"/>
        <w:rPr>
          <w:rFonts w:hint="eastAsia" w:ascii="仿宋_GB2312" w:hAnsi="仿宋" w:eastAsia="仿宋_GB2312"/>
          <w:b/>
          <w:color w:val="000000"/>
          <w:sz w:val="44"/>
        </w:rPr>
      </w:pPr>
      <w:r>
        <w:rPr>
          <w:rFonts w:hint="eastAsia" w:ascii="仿宋_GB2312" w:hAnsi="仿宋" w:eastAsia="仿宋_GB2312"/>
          <w:b/>
          <w:color w:val="000000"/>
          <w:sz w:val="44"/>
        </w:rPr>
        <w:t>技术规范书</w:t>
      </w:r>
    </w:p>
    <w:p>
      <w:pPr>
        <w:pStyle w:val="12"/>
        <w:rPr>
          <w:rFonts w:hint="eastAsia" w:ascii="仿宋_GB2312" w:hAnsi="仿宋" w:eastAsia="仿宋_GB2312"/>
          <w:b/>
          <w:color w:val="000000"/>
          <w:sz w:val="44"/>
        </w:rPr>
      </w:pPr>
    </w:p>
    <w:p>
      <w:pPr>
        <w:pStyle w:val="12"/>
        <w:ind w:left="0" w:leftChars="0" w:firstLine="0" w:firstLineChars="0"/>
        <w:rPr>
          <w:rFonts w:hint="eastAsia" w:ascii="仿宋_GB2312" w:hAnsi="仿宋" w:eastAsia="仿宋_GB2312"/>
          <w:b/>
          <w:color w:val="000000"/>
          <w:sz w:val="44"/>
        </w:rPr>
      </w:pPr>
    </w:p>
    <w:p>
      <w:pPr>
        <w:jc w:val="center"/>
        <w:rPr>
          <w:rFonts w:ascii="黑体" w:eastAsia="黑体"/>
          <w:b/>
          <w:color w:val="000000"/>
          <w:sz w:val="52"/>
        </w:rPr>
      </w:pPr>
    </w:p>
    <w:p>
      <w:pPr>
        <w:jc w:val="center"/>
        <w:rPr>
          <w:rFonts w:ascii="黑体" w:eastAsia="黑体"/>
          <w:b/>
          <w:color w:val="000000"/>
          <w:sz w:val="52"/>
        </w:rPr>
      </w:pPr>
    </w:p>
    <w:p>
      <w:pPr>
        <w:pStyle w:val="12"/>
        <w:rPr>
          <w:rFonts w:ascii="黑体" w:eastAsia="黑体"/>
          <w:b/>
          <w:color w:val="000000"/>
          <w:sz w:val="52"/>
        </w:rPr>
      </w:pPr>
    </w:p>
    <w:p>
      <w:pPr>
        <w:pStyle w:val="12"/>
        <w:rPr>
          <w:rFonts w:ascii="黑体" w:eastAsia="黑体"/>
          <w:b/>
          <w:color w:val="000000"/>
          <w:sz w:val="52"/>
        </w:rPr>
      </w:pPr>
    </w:p>
    <w:p>
      <w:pPr>
        <w:pStyle w:val="12"/>
        <w:rPr>
          <w:rFonts w:ascii="黑体" w:eastAsia="黑体"/>
          <w:b/>
          <w:color w:val="000000"/>
          <w:sz w:val="52"/>
        </w:rPr>
      </w:pPr>
    </w:p>
    <w:p>
      <w:pPr>
        <w:pStyle w:val="12"/>
        <w:rPr>
          <w:rFonts w:ascii="黑体" w:eastAsia="黑体"/>
          <w:b/>
          <w:color w:val="000000"/>
          <w:sz w:val="52"/>
        </w:rPr>
      </w:pPr>
    </w:p>
    <w:p>
      <w:pPr>
        <w:pStyle w:val="12"/>
        <w:rPr>
          <w:rFonts w:ascii="黑体" w:eastAsia="黑体"/>
          <w:b/>
          <w:color w:val="000000"/>
          <w:sz w:val="52"/>
        </w:rPr>
      </w:pPr>
    </w:p>
    <w:p>
      <w:pPr>
        <w:jc w:val="center"/>
        <w:rPr>
          <w:rFonts w:ascii="黑体" w:eastAsia="黑体"/>
          <w:b/>
          <w:color w:val="000000"/>
          <w:sz w:val="52"/>
        </w:rPr>
      </w:pPr>
    </w:p>
    <w:p>
      <w:pPr>
        <w:jc w:val="center"/>
        <w:rPr>
          <w:rFonts w:ascii="仿宋_GB2312" w:hAnsi="仿宋" w:eastAsia="仿宋_GB2312"/>
          <w:color w:val="000000"/>
          <w:sz w:val="28"/>
        </w:rPr>
      </w:pPr>
      <w:r>
        <w:rPr>
          <w:rFonts w:hint="eastAsia" w:ascii="仿宋_GB2312" w:hAnsi="仿宋_GB2312" w:eastAsia="仿宋_GB2312" w:cs="仿宋_GB2312"/>
          <w:color w:val="000000"/>
          <w:sz w:val="28"/>
          <w:lang w:val="en-US" w:eastAsia="zh-CN"/>
        </w:rPr>
        <w:t>2025</w:t>
      </w:r>
      <w:r>
        <w:rPr>
          <w:rFonts w:hint="eastAsia" w:ascii="仿宋_GB2312" w:hAnsi="仿宋_GB2312" w:eastAsia="仿宋_GB2312" w:cs="仿宋_GB2312"/>
          <w:color w:val="000000"/>
          <w:sz w:val="28"/>
        </w:rPr>
        <w:t>年</w:t>
      </w:r>
      <w:r>
        <w:rPr>
          <w:rFonts w:hint="eastAsia" w:ascii="仿宋_GB2312" w:hAnsi="仿宋_GB2312" w:eastAsia="仿宋_GB2312" w:cs="仿宋_GB2312"/>
          <w:color w:val="000000"/>
          <w:sz w:val="28"/>
          <w:lang w:val="en-US" w:eastAsia="zh-CN"/>
        </w:rPr>
        <w:t>10</w:t>
      </w:r>
      <w:r>
        <w:rPr>
          <w:rFonts w:hint="eastAsia" w:ascii="仿宋_GB2312" w:hAnsi="仿宋_GB2312" w:eastAsia="仿宋_GB2312" w:cs="仿宋_GB2312"/>
          <w:color w:val="000000"/>
          <w:sz w:val="28"/>
        </w:rPr>
        <w:t>月</w:t>
      </w:r>
    </w:p>
    <w:p>
      <w:pPr>
        <w:pStyle w:val="12"/>
        <w:rPr>
          <w:rFonts w:hint="eastAsia" w:ascii="仿宋_GB2312" w:hAnsi="仿宋" w:eastAsia="仿宋_GB2312"/>
          <w:b/>
          <w:color w:val="000000"/>
          <w:sz w:val="44"/>
        </w:rPr>
      </w:pPr>
      <w:r>
        <w:rPr>
          <w:rFonts w:hint="eastAsia" w:ascii="仿宋_GB2312" w:hAnsi="仿宋" w:eastAsia="仿宋_GB2312"/>
          <w:b/>
          <w:color w:val="000000"/>
          <w:sz w:val="44"/>
        </w:rPr>
        <w:br w:type="page"/>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right="0" w:rightChars="0" w:hanging="425" w:firstLineChars="0"/>
        <w:jc w:val="both"/>
        <w:textAlignment w:val="auto"/>
        <w:outlineLvl w:val="0"/>
        <w:rPr>
          <w:rFonts w:hint="eastAsia" w:asciiTheme="minorEastAsia" w:hAnsiTheme="minorEastAsia" w:eastAsiaTheme="minorEastAsia" w:cstheme="minorEastAsia"/>
          <w:b/>
          <w:sz w:val="21"/>
          <w:szCs w:val="21"/>
          <w:highlight w:val="none"/>
        </w:rPr>
      </w:pPr>
      <w:bookmarkStart w:id="3" w:name="_Toc730"/>
      <w:bookmarkStart w:id="4" w:name="_Toc7891"/>
      <w:r>
        <w:rPr>
          <w:rFonts w:hint="eastAsia" w:asciiTheme="minorEastAsia" w:hAnsiTheme="minorEastAsia" w:eastAsiaTheme="minorEastAsia" w:cstheme="minorEastAsia"/>
          <w:b/>
          <w:sz w:val="21"/>
          <w:szCs w:val="21"/>
          <w:highlight w:val="none"/>
        </w:rPr>
        <w:t>项目概况</w:t>
      </w:r>
      <w:bookmarkEnd w:id="3"/>
      <w:bookmarkEnd w:id="4"/>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rPr>
      </w:pPr>
      <w:bookmarkStart w:id="5" w:name="_Toc2198"/>
      <w:bookmarkStart w:id="6" w:name="_Toc18713"/>
      <w:r>
        <w:rPr>
          <w:rFonts w:hint="eastAsia" w:asciiTheme="minorEastAsia" w:hAnsiTheme="minorEastAsia" w:eastAsiaTheme="minorEastAsia" w:cstheme="minorEastAsia"/>
          <w:b/>
          <w:sz w:val="21"/>
          <w:szCs w:val="21"/>
          <w:highlight w:val="none"/>
        </w:rPr>
        <w:t>项目背景</w:t>
      </w:r>
      <w:bookmarkEnd w:id="5"/>
      <w:bookmarkEnd w:id="6"/>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南方电网公司把握第四次工业革命机遇，将数字化作为公司战略转型的重要路径，围绕数字电网、数字运营和数字能源生态推进“数字南网”建设。云南电网公司展开全景可视化电网防灾减灾管理平台建设，一期建设虽有成果，但当前平台存在诸多不足。同时，网公司发布相关文件要求开展防灾减灾中心建设，推动电网防灾抗灾转变。在此背景下，云南电网公司和电力科学研究院决定开展云南电网防灾减灾全景可视化系统上云改造项目，强化业务系统整合，提升防灾减灾能力。此外，输电线路高压工况系统也存在类似问题，如采用非国产软件存在数据安全风险、系统稳定性和资源利用率有缺陷等，也需进行上云改造以提高系统性能、推进数字化转型。</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default" w:eastAsia="宋体" w:cs="Times New Roman"/>
          <w:lang w:val="en-US" w:eastAsia="zh-CN"/>
        </w:rPr>
      </w:pPr>
      <w:r>
        <w:rPr>
          <w:rFonts w:hint="eastAsia" w:eastAsia="宋体" w:cs="Times New Roman"/>
          <w:lang w:val="en-US" w:eastAsia="zh-CN"/>
        </w:rPr>
        <w:t>防灾减灾系统和输电线路高压工况系统采用部分模块改造架构重新构建并重新部署，基于南网云云南分节点的计算、存储及网络资源。将现有的应用服务迁移至南网云服务器，同时将现有的服务器操作系统和业务系统中数据库、中间件、业务逻辑等涉及非国产软件的模块进行国产化改造和适配，以及存量数据迁移至国产化达梦数据库；将现有的应用程序和中间件进行IPV6适配改造，并将同步业务系统中的访问请求进行IPV6改造；完成输电线路防灾减灾系统和输电线路高压工况系统在南网云云南分节点的部署。防灾减灾系统上云和输电线路高压工况系统上云改造后，提高系统运行稳定性和性能。同时加快推进数字化转型，实现资源集中、统一管控，强化网络本质安全能力，全面提升网络安全防护水平，提高资源利用效能。本采购将对防灾减灾系统和输电线路高压工况系统开展网络安全安全防护评估。</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rPr>
      </w:pPr>
      <w:bookmarkStart w:id="7" w:name="_Toc26916"/>
      <w:bookmarkStart w:id="8" w:name="_Toc3515"/>
      <w:r>
        <w:rPr>
          <w:rFonts w:hint="eastAsia" w:asciiTheme="minorEastAsia" w:hAnsiTheme="minorEastAsia" w:eastAsiaTheme="minorEastAsia" w:cstheme="minorEastAsia"/>
          <w:b/>
          <w:sz w:val="21"/>
          <w:szCs w:val="21"/>
          <w:highlight w:val="none"/>
          <w:lang w:val="en-US" w:eastAsia="zh-CN"/>
        </w:rPr>
        <w:t>测试内容</w:t>
      </w:r>
      <w:bookmarkEnd w:id="7"/>
      <w:bookmarkEnd w:id="8"/>
    </w:p>
    <w:tbl>
      <w:tblPr>
        <w:tblStyle w:val="13"/>
        <w:tblW w:w="73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297"/>
        <w:gridCol w:w="3255"/>
        <w:gridCol w:w="11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668"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2297"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sz w:val="21"/>
                <w:szCs w:val="21"/>
                <w:highlight w:val="none"/>
                <w:lang w:val="en-US" w:eastAsia="zh-CN"/>
              </w:rPr>
              <w:t>采购项</w:t>
            </w:r>
          </w:p>
        </w:tc>
        <w:tc>
          <w:tcPr>
            <w:tcW w:w="3255"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r>
              <w:rPr>
                <w:rFonts w:hint="eastAsia" w:asciiTheme="minorEastAsia" w:hAnsiTheme="minorEastAsia" w:eastAsiaTheme="minorEastAsia" w:cstheme="minorEastAsia"/>
                <w:color w:val="auto"/>
                <w:kern w:val="0"/>
                <w:sz w:val="21"/>
                <w:szCs w:val="21"/>
                <w:highlight w:val="none"/>
                <w:lang w:val="en-US" w:eastAsia="zh-CN"/>
              </w:rPr>
              <w:t>说明</w:t>
            </w:r>
          </w:p>
        </w:tc>
        <w:tc>
          <w:tcPr>
            <w:tcW w:w="1147"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kern w:val="0"/>
                <w:sz w:val="21"/>
                <w:szCs w:val="21"/>
                <w:highlight w:val="none"/>
              </w:rPr>
            </w:pPr>
            <w:r>
              <w:rPr>
                <w:rFonts w:hint="eastAsia" w:asciiTheme="minorEastAsia" w:hAnsiTheme="minorEastAsia" w:eastAsiaTheme="minorEastAsia" w:cstheme="minorEastAsia"/>
                <w:color w:val="auto"/>
                <w:kern w:val="0"/>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8" w:type="dxa"/>
            <w:vAlign w:val="center"/>
          </w:tcPr>
          <w:p>
            <w:pPr>
              <w:keepNext w:val="0"/>
              <w:keepLines w:val="0"/>
              <w:pageBreakBefore w:val="0"/>
              <w:kinsoku/>
              <w:wordWrap/>
              <w:overflowPunct/>
              <w:topLinePunct w:val="0"/>
              <w:autoSpaceDE/>
              <w:autoSpaceDN/>
              <w:bidi w:val="0"/>
              <w:spacing w:line="360" w:lineRule="auto"/>
              <w:ind w:left="0" w:leftChars="0" w:right="0" w:rightChars="0" w:firstLine="0" w:firstLineChars="0"/>
              <w:jc w:val="center"/>
              <w:textAlignment w:val="auto"/>
              <w:rPr>
                <w:rFonts w:asciiTheme="minorEastAsia" w:hAnsiTheme="minorEastAsia" w:eastAsiaTheme="minorEastAsia" w:cstheme="minorEastAsia"/>
                <w:color w:val="auto"/>
                <w:sz w:val="21"/>
                <w:szCs w:val="21"/>
                <w:highlight w:val="none"/>
                <w:lang w:val="de-DE"/>
              </w:rPr>
            </w:pPr>
            <w:r>
              <w:rPr>
                <w:rFonts w:hint="eastAsia" w:asciiTheme="minorEastAsia" w:hAnsiTheme="minorEastAsia" w:eastAsiaTheme="minorEastAsia" w:cstheme="minorEastAsia"/>
                <w:color w:val="auto"/>
                <w:sz w:val="21"/>
                <w:szCs w:val="21"/>
                <w:highlight w:val="none"/>
                <w:lang w:val="de-DE"/>
              </w:rPr>
              <w:t>1</w:t>
            </w:r>
          </w:p>
        </w:tc>
        <w:tc>
          <w:tcPr>
            <w:tcW w:w="2297" w:type="dxa"/>
            <w:vAlign w:val="center"/>
          </w:tcPr>
          <w:p>
            <w:pPr>
              <w:pStyle w:val="29"/>
              <w:keepNext w:val="0"/>
              <w:keepLines w:val="0"/>
              <w:pageBreakBefore w:val="0"/>
              <w:kinsoku/>
              <w:wordWrap/>
              <w:overflowPunct/>
              <w:topLinePunct w:val="0"/>
              <w:autoSpaceDE/>
              <w:autoSpaceDN/>
              <w:bidi w:val="0"/>
              <w:spacing w:line="360" w:lineRule="auto"/>
              <w:ind w:left="0" w:leftChars="0" w:right="0" w:rightChars="0"/>
              <w:textAlignment w:val="auto"/>
              <w:rPr>
                <w:rFonts w:hint="default" w:asciiTheme="minorEastAsia" w:hAnsiTheme="minorEastAsia" w:eastAsiaTheme="minorEastAsia" w:cstheme="minorEastAsia"/>
                <w:color w:val="auto"/>
                <w:sz w:val="21"/>
                <w:szCs w:val="21"/>
                <w:highlight w:val="none"/>
                <w:lang w:val="en-US" w:eastAsia="zh-CN"/>
              </w:rPr>
            </w:pPr>
            <w:r>
              <w:rPr>
                <w:rFonts w:hint="eastAsia" w:cs="Times New Roman"/>
                <w:lang w:val="en-US" w:eastAsia="zh-CN"/>
              </w:rPr>
              <w:t>防灾减灾</w:t>
            </w:r>
            <w:r>
              <w:rPr>
                <w:rFonts w:hint="eastAsia" w:eastAsia="宋体" w:cs="Times New Roman"/>
                <w:lang w:val="en-US" w:eastAsia="zh-CN"/>
              </w:rPr>
              <w:t>网络安全安全防护评估</w:t>
            </w:r>
          </w:p>
        </w:tc>
        <w:tc>
          <w:tcPr>
            <w:tcW w:w="3255"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default" w:asciiTheme="minorEastAsia" w:hAnsiTheme="minorEastAsia" w:eastAsiaTheme="minorEastAsia" w:cstheme="minorEastAsia"/>
                <w:color w:val="auto"/>
                <w:kern w:val="0"/>
                <w:sz w:val="21"/>
                <w:szCs w:val="21"/>
                <w:highlight w:val="none"/>
                <w:lang w:val="en-US" w:eastAsia="zh-CN"/>
              </w:rPr>
            </w:pPr>
            <w:r>
              <w:rPr>
                <w:rFonts w:hint="eastAsia" w:ascii="Times New Roman" w:hAnsi="Times New Roman" w:eastAsia="宋体" w:cs="Times New Roman"/>
                <w:kern w:val="2"/>
                <w:sz w:val="21"/>
                <w:szCs w:val="24"/>
                <w:lang w:val="en-US" w:eastAsia="zh-CN" w:bidi="ar-SA"/>
              </w:rPr>
              <w:t>根据</w:t>
            </w:r>
            <w:r>
              <w:rPr>
                <w:rFonts w:hint="eastAsia" w:cs="Times New Roman"/>
                <w:kern w:val="2"/>
                <w:sz w:val="21"/>
                <w:szCs w:val="24"/>
                <w:lang w:val="en-US" w:eastAsia="zh-CN" w:bidi="ar-SA"/>
              </w:rPr>
              <w:t>防灾减灾</w:t>
            </w:r>
            <w:r>
              <w:rPr>
                <w:rFonts w:hint="eastAsia" w:ascii="Times New Roman" w:hAnsi="Times New Roman" w:eastAsia="宋体" w:cs="Times New Roman"/>
                <w:kern w:val="2"/>
                <w:sz w:val="21"/>
                <w:szCs w:val="24"/>
                <w:lang w:val="en-US" w:eastAsia="zh-CN" w:bidi="ar-SA"/>
              </w:rPr>
              <w:t>安全防护评估相关标准，安全防护评估应包含但不限于以下内容：资产评估、威胁评估、脆弱性评估。</w:t>
            </w:r>
          </w:p>
        </w:tc>
        <w:tc>
          <w:tcPr>
            <w:tcW w:w="1147"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68" w:type="dxa"/>
            <w:vAlign w:val="center"/>
          </w:tcPr>
          <w:p>
            <w:pPr>
              <w:keepNext w:val="0"/>
              <w:keepLines w:val="0"/>
              <w:pageBreakBefore w:val="0"/>
              <w:kinsoku/>
              <w:wordWrap/>
              <w:overflowPunct/>
              <w:topLinePunct w:val="0"/>
              <w:autoSpaceDE/>
              <w:autoSpaceDN/>
              <w:bidi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w:t>
            </w:r>
          </w:p>
        </w:tc>
        <w:tc>
          <w:tcPr>
            <w:tcW w:w="2297" w:type="dxa"/>
            <w:vAlign w:val="center"/>
          </w:tcPr>
          <w:p>
            <w:pPr>
              <w:pStyle w:val="29"/>
              <w:keepNext w:val="0"/>
              <w:keepLines w:val="0"/>
              <w:pageBreakBefore w:val="0"/>
              <w:kinsoku/>
              <w:wordWrap/>
              <w:overflowPunct/>
              <w:topLinePunct w:val="0"/>
              <w:autoSpaceDE/>
              <w:autoSpaceDN/>
              <w:bidi w:val="0"/>
              <w:spacing w:line="360" w:lineRule="auto"/>
              <w:ind w:left="0" w:leftChars="0" w:right="0" w:rightChars="0"/>
              <w:textAlignment w:val="auto"/>
              <w:rPr>
                <w:rFonts w:hint="eastAsia" w:eastAsia="宋体" w:cs="Times New Roman"/>
                <w:lang w:val="en-US" w:eastAsia="zh-CN"/>
              </w:rPr>
            </w:pPr>
            <w:r>
              <w:rPr>
                <w:rFonts w:hint="eastAsia" w:cs="Times New Roman"/>
                <w:lang w:val="en-US" w:eastAsia="zh-CN"/>
              </w:rPr>
              <w:t>高压工况</w:t>
            </w:r>
            <w:r>
              <w:rPr>
                <w:rFonts w:hint="eastAsia" w:eastAsia="宋体" w:cs="Times New Roman"/>
                <w:lang w:val="en-US" w:eastAsia="zh-CN"/>
              </w:rPr>
              <w:t>网络安全安全防护评估</w:t>
            </w:r>
          </w:p>
        </w:tc>
        <w:tc>
          <w:tcPr>
            <w:tcW w:w="3255"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420" w:firstLineChars="200"/>
              <w:textAlignment w:val="auto"/>
              <w:rPr>
                <w:rFonts w:hint="eastAsia"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t>根据</w:t>
            </w:r>
            <w:r>
              <w:rPr>
                <w:rFonts w:hint="eastAsia" w:cs="Times New Roman"/>
                <w:kern w:val="2"/>
                <w:sz w:val="21"/>
                <w:szCs w:val="24"/>
                <w:lang w:val="en-US" w:eastAsia="zh-CN" w:bidi="ar-SA"/>
              </w:rPr>
              <w:t>高压工况</w:t>
            </w:r>
            <w:r>
              <w:rPr>
                <w:rFonts w:hint="eastAsia" w:ascii="Times New Roman" w:hAnsi="Times New Roman" w:eastAsia="宋体" w:cs="Times New Roman"/>
                <w:kern w:val="2"/>
                <w:sz w:val="21"/>
                <w:szCs w:val="24"/>
                <w:lang w:val="en-US" w:eastAsia="zh-CN" w:bidi="ar-SA"/>
              </w:rPr>
              <w:t>安全防护评估相关标准，安全防护评估应包含但不限于以下内容：资产评估、威胁评估、脆弱性评估。</w:t>
            </w:r>
          </w:p>
        </w:tc>
        <w:tc>
          <w:tcPr>
            <w:tcW w:w="1147" w:type="dxa"/>
            <w:vAlign w:val="center"/>
          </w:tcPr>
          <w:p>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0"/>
                <w:sz w:val="21"/>
                <w:szCs w:val="21"/>
                <w:highlight w:val="none"/>
                <w:lang w:val="en-US" w:eastAsia="zh-CN"/>
              </w:rPr>
            </w:pPr>
          </w:p>
        </w:tc>
      </w:tr>
    </w:tbl>
    <w:p>
      <w:pPr>
        <w:pStyle w:val="11"/>
        <w:keepNext w:val="0"/>
        <w:keepLines w:val="0"/>
        <w:pageBreakBefore w:val="0"/>
        <w:tabs>
          <w:tab w:val="right" w:leader="dot" w:pos="8296"/>
        </w:tabs>
        <w:kinsoku/>
        <w:wordWrap/>
        <w:overflowPunct/>
        <w:topLinePunct w:val="0"/>
        <w:autoSpaceDE/>
        <w:autoSpaceDN/>
        <w:bidi w:val="0"/>
        <w:spacing w:line="360" w:lineRule="auto"/>
        <w:ind w:left="0" w:leftChars="0" w:right="0" w:rightChars="0" w:firstLine="0" w:firstLineChars="0"/>
        <w:jc w:val="left"/>
        <w:textAlignment w:val="auto"/>
        <w:rPr>
          <w:rFonts w:asciiTheme="minorEastAsia" w:hAnsiTheme="minorEastAsia" w:eastAsiaTheme="minorEastAsia" w:cstheme="minorEastAsia"/>
          <w:color w:val="FF0000"/>
          <w:sz w:val="21"/>
          <w:szCs w:val="21"/>
          <w:highlight w:val="none"/>
        </w:rPr>
      </w:pP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right="0" w:rightChars="0" w:hanging="425" w:firstLineChars="0"/>
        <w:jc w:val="both"/>
        <w:textAlignment w:val="auto"/>
        <w:outlineLvl w:val="0"/>
        <w:rPr>
          <w:rFonts w:hint="eastAsia" w:asciiTheme="minorEastAsia" w:hAnsiTheme="minorEastAsia" w:eastAsiaTheme="minorEastAsia" w:cstheme="minorEastAsia"/>
          <w:b/>
          <w:sz w:val="21"/>
          <w:szCs w:val="21"/>
          <w:highlight w:val="none"/>
          <w:lang w:val="en-US" w:eastAsia="zh-CN"/>
        </w:rPr>
      </w:pPr>
      <w:bookmarkStart w:id="9" w:name="_Toc17072"/>
      <w:bookmarkStart w:id="10" w:name="_Toc12636"/>
      <w:r>
        <w:rPr>
          <w:rFonts w:hint="eastAsia" w:asciiTheme="minorEastAsia" w:hAnsiTheme="minorEastAsia" w:eastAsiaTheme="minorEastAsia" w:cstheme="minorEastAsia"/>
          <w:b/>
          <w:sz w:val="21"/>
          <w:szCs w:val="21"/>
          <w:highlight w:val="none"/>
          <w:lang w:val="en-US" w:eastAsia="zh-CN"/>
        </w:rPr>
        <w:t>测试要求</w:t>
      </w:r>
      <w:bookmarkEnd w:id="9"/>
      <w:bookmarkEnd w:id="10"/>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lang w:val="en-US" w:eastAsia="zh-CN"/>
        </w:rPr>
      </w:pPr>
      <w:bookmarkStart w:id="11" w:name="_Toc3909"/>
      <w:r>
        <w:rPr>
          <w:rFonts w:hint="eastAsia" w:asciiTheme="minorEastAsia" w:hAnsiTheme="minorEastAsia" w:eastAsiaTheme="minorEastAsia" w:cstheme="minorEastAsia"/>
          <w:b/>
          <w:sz w:val="21"/>
          <w:szCs w:val="21"/>
          <w:highlight w:val="none"/>
          <w:lang w:val="en-US" w:eastAsia="zh-CN"/>
        </w:rPr>
        <w:t>资产评估</w:t>
      </w:r>
      <w:bookmarkEnd w:id="11"/>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资产评估对象包括但不限于：网络、主机、安全防护措施、应用系统等。根据安全防护评估有关技术要求，主要考虑两个方面的内容：一是信息系统中所存储、处理、传输的主要信息，二是信息系统所提供的主要服务。通过对每一类信息和服务等级的分析，最终确定信息系统的重要性级别。资产评估具体步骤包括：资产数据整理与核实、资产重要程度分析。其中，资产数据整理与核实是根据被评估单位前期提交的资料，进行资产数据的真实性的查证与确认。资产重要程度分析是根据资产承载的数据、提供的服务，判定资产重要程度的过程。</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lang w:val="en-US" w:eastAsia="zh-CN"/>
        </w:rPr>
      </w:pPr>
      <w:bookmarkStart w:id="12" w:name="_Toc5633"/>
      <w:r>
        <w:rPr>
          <w:rFonts w:hint="eastAsia" w:asciiTheme="minorEastAsia" w:hAnsiTheme="minorEastAsia" w:eastAsiaTheme="minorEastAsia" w:cstheme="minorEastAsia"/>
          <w:b/>
          <w:sz w:val="21"/>
          <w:szCs w:val="21"/>
          <w:highlight w:val="none"/>
          <w:lang w:val="en-US" w:eastAsia="zh-CN"/>
        </w:rPr>
        <w:t>威胁评估</w:t>
      </w:r>
      <w:bookmarkEnd w:id="12"/>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对被评估单位业务系统、网络与信息系统面临的威胁进行分析。威胁评估依据《电力监控系统安全防护评估规范》提供的威胁列表，以运行与管理人员访谈的方式进行。如被评估单位能够提供历史信息安全事件统计，也可作为威胁评估的补充内容。通过威胁评估，要达到明确被评估单位信息系统面临的主要威胁，以及这些威胁的等级的目的。</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脆弱性评估</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对生产控制大区电力监控系统资产及防护措施存在的不足进行评估，包括脆弱性识别和赋值两个步骤。脆弱性识别应从技术和管理两方面进行综合分析，技术方面的脆弱性识别主要采用工具审计和人工审计结合的方式进行，管理方面的脆弱性主要通过访谈和调查问卷来识别，并对以往安全事件的统计和分。脆弱性赋值包含严重程度和对系统安全属性的影响两部分内容，即确定脆弱性对电力监控系统资产的暴露程度（包括被威胁利用的可能性和难易程度）和脆弱性对安全属性的哪方面产生了破坏。</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right="0" w:rightChars="0" w:hanging="425" w:firstLineChars="0"/>
        <w:jc w:val="both"/>
        <w:textAlignment w:val="auto"/>
        <w:outlineLvl w:val="0"/>
        <w:rPr>
          <w:rFonts w:hint="default" w:asciiTheme="minorEastAsia" w:hAnsiTheme="minorEastAsia" w:eastAsiaTheme="minorEastAsia" w:cstheme="minorEastAsia"/>
          <w:b/>
          <w:sz w:val="21"/>
          <w:szCs w:val="21"/>
          <w:highlight w:val="none"/>
          <w:lang w:val="en-US" w:eastAsia="zh-CN"/>
        </w:rPr>
      </w:pPr>
      <w:bookmarkStart w:id="13" w:name="_Toc23150"/>
      <w:r>
        <w:rPr>
          <w:rFonts w:hint="eastAsia" w:asciiTheme="minorEastAsia" w:hAnsiTheme="minorEastAsia" w:eastAsiaTheme="minorEastAsia" w:cstheme="minorEastAsia"/>
          <w:b/>
          <w:sz w:val="21"/>
          <w:szCs w:val="21"/>
          <w:highlight w:val="none"/>
          <w:lang w:val="en-US" w:eastAsia="zh-CN"/>
        </w:rPr>
        <w:t>技术服务要求</w:t>
      </w:r>
      <w:bookmarkEnd w:id="13"/>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lang w:val="en-US" w:eastAsia="zh-CN"/>
        </w:rPr>
      </w:pPr>
      <w:bookmarkStart w:id="14" w:name="_Toc5789"/>
      <w:bookmarkStart w:id="15" w:name="_Toc22827"/>
      <w:bookmarkStart w:id="16" w:name="_Toc311015402"/>
      <w:bookmarkStart w:id="17" w:name="_Toc27692"/>
      <w:bookmarkStart w:id="18" w:name="_Toc21337"/>
      <w:r>
        <w:rPr>
          <w:rFonts w:hint="eastAsia" w:asciiTheme="minorEastAsia" w:hAnsiTheme="minorEastAsia" w:eastAsiaTheme="minorEastAsia" w:cstheme="minorEastAsia"/>
          <w:b/>
          <w:sz w:val="21"/>
          <w:szCs w:val="21"/>
          <w:highlight w:val="none"/>
          <w:lang w:val="en-US" w:eastAsia="zh-CN"/>
        </w:rPr>
        <w:t>测评及评估原则</w:t>
      </w:r>
      <w:bookmarkEnd w:id="14"/>
      <w:bookmarkEnd w:id="15"/>
      <w:bookmarkEnd w:id="16"/>
      <w:bookmarkEnd w:id="17"/>
      <w:bookmarkEnd w:id="18"/>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本项目实施方案设计与具体实施应满足以下原则：</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1）保密性原则：项目实施方应与招标方签订保密协议，对安全防护评估的过程数据和结果数据严格保密，未经授权不得泄露给任何单位和个人，不得利用此数据侵害采购方的权益，否则采购方有权追究投标方的责任。</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（2）标准性原则：安全防护评估方案的设计与实施应依据国家及行业的相关标准进行。</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（3）规范性原则：项目实施方工作中的过程和文档，应具有规范性，便于项目跟踪和控制。</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（4）可控性原则：项目的进度应符合进度安排，保证招标方对工作的可控性。</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（5）整体性原则：安全防护评估的范围和内容应系统、全面、规范，满足国家及行业的相关标准要求。</w:t>
      </w:r>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（6）最小影响原则：安全防护评估工作不能对现有运行系统及网络造成影响。</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lang w:val="en-US" w:eastAsia="zh-CN"/>
        </w:rPr>
      </w:pPr>
      <w:r>
        <w:rPr>
          <w:rFonts w:hint="eastAsia" w:asciiTheme="minorEastAsia" w:hAnsiTheme="minorEastAsia" w:eastAsiaTheme="minorEastAsia" w:cstheme="minorEastAsia"/>
          <w:b/>
          <w:sz w:val="21"/>
          <w:szCs w:val="21"/>
          <w:highlight w:val="none"/>
          <w:lang w:val="en-US" w:eastAsia="zh-CN"/>
        </w:rPr>
        <w:t>资质要求</w:t>
      </w:r>
    </w:p>
    <w:p>
      <w:pPr>
        <w:pStyle w:val="2"/>
        <w:ind w:firstLine="420" w:firstLineChars="200"/>
        <w:rPr>
          <w:rFonts w:hint="default" w:ascii="Arial" w:hAnsi="Arial" w:eastAsia="宋体" w:cs="Times New Roman"/>
          <w:kern w:val="2"/>
          <w:sz w:val="21"/>
          <w:szCs w:val="21"/>
          <w:lang w:val="en-US" w:eastAsia="zh-CN" w:bidi="ar-SA"/>
        </w:rPr>
      </w:pPr>
      <w:r>
        <w:rPr>
          <w:rFonts w:hint="eastAsia" w:ascii="Arial" w:hAnsi="Arial" w:cs="Times New Roman"/>
          <w:kern w:val="2"/>
          <w:sz w:val="21"/>
          <w:szCs w:val="21"/>
          <w:lang w:val="en-US" w:eastAsia="zh-CN" w:bidi="ar-SA"/>
        </w:rPr>
        <w:t>报价方至少须具有下列资质：</w:t>
      </w:r>
    </w:p>
    <w:p>
      <w:pPr>
        <w:pStyle w:val="2"/>
        <w:ind w:firstLine="630" w:firstLineChars="300"/>
        <w:rPr>
          <w:rFonts w:hint="eastAsia" w:ascii="Arial" w:hAnsi="Arial" w:eastAsia="宋体" w:cs="Times New Roman"/>
          <w:kern w:val="2"/>
          <w:sz w:val="21"/>
          <w:szCs w:val="21"/>
          <w:lang w:val="en-US" w:eastAsia="zh-CN" w:bidi="ar-SA"/>
        </w:rPr>
      </w:pPr>
      <w:r>
        <w:rPr>
          <w:rFonts w:hint="eastAsia" w:ascii="Arial" w:hAnsi="Arial" w:eastAsia="宋体" w:cs="Times New Roman"/>
          <w:kern w:val="2"/>
          <w:sz w:val="21"/>
          <w:szCs w:val="21"/>
          <w:lang w:val="en-US" w:eastAsia="zh-CN" w:bidi="ar-SA"/>
        </w:rPr>
        <w:t>（1）具有国家相关部门或机构认可的网络安全等级测评与检测评估机构服务认证证书。</w:t>
      </w:r>
    </w:p>
    <w:p>
      <w:pPr>
        <w:pStyle w:val="3"/>
        <w:ind w:firstLine="630" w:firstLineChars="300"/>
        <w:jc w:val="left"/>
        <w:rPr>
          <w:rFonts w:hint="default" w:ascii="Arial" w:hAnsi="Arial" w:eastAsia="宋体" w:cs="Times New Roman"/>
          <w:kern w:val="2"/>
          <w:sz w:val="21"/>
          <w:szCs w:val="21"/>
          <w:lang w:val="en-US" w:eastAsia="zh-CN" w:bidi="ar-SA"/>
        </w:rPr>
      </w:pPr>
      <w:r>
        <w:rPr>
          <w:rFonts w:hint="eastAsia" w:ascii="Arial" w:hAnsi="Arial" w:eastAsia="宋体" w:cs="Times New Roman"/>
          <w:kern w:val="2"/>
          <w:sz w:val="21"/>
          <w:szCs w:val="21"/>
          <w:lang w:val="en-US" w:eastAsia="zh-CN" w:bidi="ar-SA"/>
        </w:rPr>
        <w:t>（2）具有国家相关部门或机构认可的信息安全服务（风险评估）资质证书。</w:t>
      </w:r>
    </w:p>
    <w:p>
      <w:pPr>
        <w:ind w:firstLine="630" w:firstLineChars="300"/>
        <w:rPr>
          <w:rFonts w:hint="default" w:ascii="Arial" w:hAnsi="Arial" w:cs="Times New Roman"/>
          <w:kern w:val="2"/>
          <w:sz w:val="21"/>
          <w:szCs w:val="21"/>
          <w:lang w:val="en-US" w:eastAsia="zh-CN" w:bidi="ar-SA"/>
        </w:rPr>
      </w:pPr>
      <w:r>
        <w:rPr>
          <w:rFonts w:hint="eastAsia" w:ascii="Arial" w:hAnsi="Arial" w:cs="Times New Roman"/>
          <w:kern w:val="2"/>
          <w:sz w:val="21"/>
          <w:szCs w:val="21"/>
          <w:lang w:val="en-US" w:eastAsia="zh-CN" w:bidi="ar-SA"/>
        </w:rPr>
        <w:t>（3）具有质量管理体系认证证书（IS09001）、信息安全管理体系认证证书（IS0/ 27001）。</w:t>
      </w:r>
    </w:p>
    <w:p>
      <w:pPr>
        <w:pStyle w:val="2"/>
        <w:ind w:firstLine="630" w:firstLineChars="300"/>
        <w:rPr>
          <w:rFonts w:hint="eastAsia" w:eastAsia="宋体" w:cs="Times New Roman"/>
          <w:lang w:val="en-US" w:eastAsia="zh-CN"/>
        </w:rPr>
      </w:pPr>
      <w:r>
        <w:rPr>
          <w:rFonts w:hint="eastAsia" w:ascii="Arial" w:hAnsi="Arial" w:cs="Times New Roman"/>
          <w:kern w:val="2"/>
          <w:sz w:val="21"/>
          <w:szCs w:val="21"/>
          <w:lang w:val="en-US" w:eastAsia="zh-CN" w:bidi="ar-SA"/>
        </w:rPr>
        <w:t>（4）项目经理需具备同时具备网络安全等级测评师证书+软件评测师（软考中级），提供扫描件，原件备查。</w:t>
      </w:r>
      <w:bookmarkStart w:id="33" w:name="_GoBack"/>
      <w:bookmarkEnd w:id="33"/>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right="0" w:rightChars="0" w:hanging="425" w:firstLineChars="0"/>
        <w:jc w:val="both"/>
        <w:textAlignment w:val="auto"/>
        <w:outlineLvl w:val="0"/>
        <w:rPr>
          <w:rFonts w:hint="eastAsia" w:asciiTheme="minorEastAsia" w:hAnsiTheme="minorEastAsia" w:eastAsiaTheme="minorEastAsia" w:cstheme="minorEastAsia"/>
          <w:b/>
          <w:sz w:val="21"/>
          <w:szCs w:val="21"/>
          <w:highlight w:val="none"/>
        </w:rPr>
      </w:pPr>
      <w:bookmarkStart w:id="19" w:name="_Toc21466"/>
      <w:bookmarkStart w:id="20" w:name="_Toc1396"/>
      <w:r>
        <w:rPr>
          <w:rFonts w:hint="eastAsia" w:asciiTheme="minorEastAsia" w:hAnsiTheme="minorEastAsia" w:eastAsiaTheme="minorEastAsia" w:cstheme="minorEastAsia"/>
          <w:b/>
          <w:sz w:val="21"/>
          <w:szCs w:val="21"/>
          <w:highlight w:val="none"/>
        </w:rPr>
        <w:t>项目实施保证</w:t>
      </w:r>
      <w:bookmarkEnd w:id="19"/>
      <w:bookmarkEnd w:id="20"/>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rPr>
      </w:pPr>
      <w:bookmarkStart w:id="21" w:name="_Toc2094"/>
      <w:bookmarkStart w:id="22" w:name="_Toc18761"/>
      <w:r>
        <w:rPr>
          <w:rFonts w:hint="eastAsia" w:asciiTheme="minorEastAsia" w:hAnsiTheme="minorEastAsia" w:eastAsiaTheme="minorEastAsia" w:cstheme="minorEastAsia"/>
          <w:b/>
          <w:sz w:val="21"/>
          <w:szCs w:val="21"/>
          <w:highlight w:val="none"/>
        </w:rPr>
        <w:t>组织保证</w:t>
      </w:r>
      <w:bookmarkEnd w:id="21"/>
      <w:bookmarkEnd w:id="22"/>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成交人应有相应的组织保证，提供安全防护评估的技术支持和服务能力，包括售前咨询、部署和实施、售后支持等。</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color w:val="auto"/>
          <w:sz w:val="21"/>
          <w:szCs w:val="21"/>
          <w:highlight w:val="none"/>
        </w:rPr>
      </w:pPr>
      <w:bookmarkStart w:id="23" w:name="_Toc7199"/>
      <w:bookmarkStart w:id="24" w:name="_Toc5055"/>
      <w:r>
        <w:rPr>
          <w:rFonts w:hint="eastAsia" w:asciiTheme="minorEastAsia" w:hAnsiTheme="minorEastAsia" w:eastAsiaTheme="minorEastAsia" w:cstheme="minorEastAsia"/>
          <w:b/>
          <w:color w:val="auto"/>
          <w:sz w:val="21"/>
          <w:szCs w:val="21"/>
          <w:highlight w:val="none"/>
        </w:rPr>
        <w:t>进度</w:t>
      </w:r>
      <w:r>
        <w:rPr>
          <w:rFonts w:hint="eastAsia" w:asciiTheme="minorEastAsia" w:hAnsiTheme="minorEastAsia" w:eastAsiaTheme="minorEastAsia" w:cstheme="minorEastAsia"/>
          <w:b/>
          <w:sz w:val="21"/>
          <w:szCs w:val="21"/>
          <w:highlight w:val="none"/>
        </w:rPr>
        <w:t>保证</w:t>
      </w:r>
      <w:bookmarkEnd w:id="23"/>
      <w:bookmarkEnd w:id="24"/>
    </w:p>
    <w:p>
      <w:pPr>
        <w:pStyle w:val="28"/>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eastAsia="宋体" w:cs="Times New Roman"/>
          <w:lang w:val="en-US" w:eastAsia="zh-CN"/>
        </w:rPr>
      </w:pPr>
      <w:r>
        <w:rPr>
          <w:rFonts w:hint="eastAsia" w:eastAsia="宋体" w:cs="Times New Roman"/>
          <w:lang w:val="en-US" w:eastAsia="zh-CN"/>
        </w:rPr>
        <w:t>制定详细的测试计划和测试方案，合同签订后15个工作日完成，保证系统安全防护评估的交付进度。</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right="0" w:rightChars="0" w:hanging="425" w:firstLineChars="0"/>
        <w:jc w:val="both"/>
        <w:textAlignment w:val="auto"/>
        <w:outlineLvl w:val="0"/>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项目实施保证</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color w:val="auto"/>
          <w:sz w:val="21"/>
          <w:szCs w:val="21"/>
          <w:highlight w:val="none"/>
        </w:rPr>
      </w:pPr>
      <w:bookmarkStart w:id="25" w:name="_Toc31288"/>
      <w:bookmarkStart w:id="26" w:name="_Toc15874"/>
      <w:r>
        <w:rPr>
          <w:rFonts w:hint="eastAsia" w:asciiTheme="minorEastAsia" w:hAnsiTheme="minorEastAsia" w:eastAsiaTheme="minorEastAsia" w:cstheme="minorEastAsia"/>
          <w:b/>
          <w:color w:val="auto"/>
          <w:sz w:val="21"/>
          <w:szCs w:val="21"/>
          <w:highlight w:val="none"/>
        </w:rPr>
        <w:t>交付</w:t>
      </w:r>
      <w:bookmarkEnd w:id="25"/>
      <w:bookmarkEnd w:id="26"/>
      <w:r>
        <w:rPr>
          <w:rFonts w:hint="eastAsia" w:asciiTheme="minorEastAsia" w:hAnsiTheme="minorEastAsia" w:eastAsiaTheme="minorEastAsia" w:cstheme="minorEastAsia"/>
          <w:b/>
          <w:sz w:val="21"/>
          <w:szCs w:val="21"/>
          <w:highlight w:val="none"/>
          <w:lang w:val="en-US" w:eastAsia="zh-CN"/>
        </w:rPr>
        <w:t>物</w:t>
      </w:r>
    </w:p>
    <w:p>
      <w:pPr>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lang w:val="en-US" w:eastAsia="zh-CN"/>
        </w:rPr>
      </w:pPr>
      <w:r>
        <w:rPr>
          <w:rFonts w:hint="eastAsia" w:cs="Times New Roman"/>
          <w:lang w:val="en-US" w:eastAsia="zh-CN"/>
        </w:rPr>
        <w:t>防灾减灾</w:t>
      </w:r>
      <w:r>
        <w:rPr>
          <w:rFonts w:hint="eastAsia" w:eastAsia="宋体" w:cs="Times New Roman"/>
          <w:lang w:val="en-US" w:eastAsia="zh-CN"/>
        </w:rPr>
        <w:t>网络安全安全防护评估</w:t>
      </w:r>
      <w:r>
        <w:rPr>
          <w:rFonts w:hint="eastAsia" w:cs="Times New Roman"/>
          <w:lang w:val="en-US" w:eastAsia="zh-CN"/>
        </w:rPr>
        <w:t>报告</w:t>
      </w:r>
      <w:r>
        <w:rPr>
          <w:rFonts w:hint="eastAsia" w:ascii="Times New Roman" w:hAnsi="Times New Roman" w:cs="Times New Roman"/>
          <w:lang w:val="en-US" w:eastAsia="zh-CN"/>
        </w:rPr>
        <w:t>1份（包括</w:t>
      </w:r>
      <w:r>
        <w:rPr>
          <w:rFonts w:hint="eastAsia" w:cs="Times New Roman"/>
          <w:lang w:val="en-US" w:eastAsia="zh-CN"/>
        </w:rPr>
        <w:t>测评</w:t>
      </w:r>
      <w:r>
        <w:rPr>
          <w:rFonts w:hint="eastAsia" w:ascii="Times New Roman" w:hAnsi="Times New Roman" w:cs="Times New Roman"/>
          <w:lang w:val="en-US" w:eastAsia="zh-CN"/>
        </w:rPr>
        <w:t>概述</w:t>
      </w:r>
      <w:r>
        <w:rPr>
          <w:rFonts w:hint="eastAsia" w:cs="Times New Roman"/>
          <w:lang w:val="en-US" w:eastAsia="zh-CN"/>
        </w:rPr>
        <w:t>、测评</w:t>
      </w:r>
      <w:r>
        <w:rPr>
          <w:rFonts w:hint="eastAsia" w:ascii="Times New Roman" w:hAnsi="Times New Roman" w:cs="Times New Roman"/>
          <w:lang w:val="en-US" w:eastAsia="zh-CN"/>
        </w:rPr>
        <w:t>结果、问题汇总、改进建议等内容）</w:t>
      </w:r>
      <w:r>
        <w:rPr>
          <w:rFonts w:hint="eastAsia" w:cs="Times New Roman"/>
          <w:lang w:val="en-US" w:eastAsia="zh-CN"/>
        </w:rPr>
        <w:t>；高压工况</w:t>
      </w:r>
      <w:r>
        <w:rPr>
          <w:rFonts w:hint="eastAsia" w:eastAsia="宋体" w:cs="Times New Roman"/>
          <w:lang w:val="en-US" w:eastAsia="zh-CN"/>
        </w:rPr>
        <w:t>网络安全安全防护评估</w:t>
      </w:r>
      <w:r>
        <w:rPr>
          <w:rFonts w:hint="eastAsia" w:cs="Times New Roman"/>
          <w:lang w:val="en-US" w:eastAsia="zh-CN"/>
        </w:rPr>
        <w:t>报告</w:t>
      </w:r>
      <w:r>
        <w:rPr>
          <w:rFonts w:hint="eastAsia" w:ascii="Times New Roman" w:hAnsi="Times New Roman" w:cs="Times New Roman"/>
          <w:lang w:val="en-US" w:eastAsia="zh-CN"/>
        </w:rPr>
        <w:t>1份（包括</w:t>
      </w:r>
      <w:r>
        <w:rPr>
          <w:rFonts w:hint="eastAsia" w:cs="Times New Roman"/>
          <w:lang w:val="en-US" w:eastAsia="zh-CN"/>
        </w:rPr>
        <w:t>测评</w:t>
      </w:r>
      <w:r>
        <w:rPr>
          <w:rFonts w:hint="eastAsia" w:ascii="Times New Roman" w:hAnsi="Times New Roman" w:cs="Times New Roman"/>
          <w:lang w:val="en-US" w:eastAsia="zh-CN"/>
        </w:rPr>
        <w:t>概述</w:t>
      </w:r>
      <w:r>
        <w:rPr>
          <w:rFonts w:hint="eastAsia" w:cs="Times New Roman"/>
          <w:lang w:val="en-US" w:eastAsia="zh-CN"/>
        </w:rPr>
        <w:t>、测评</w:t>
      </w:r>
      <w:r>
        <w:rPr>
          <w:rFonts w:hint="eastAsia" w:ascii="Times New Roman" w:hAnsi="Times New Roman" w:cs="Times New Roman"/>
          <w:lang w:val="en-US" w:eastAsia="zh-CN"/>
        </w:rPr>
        <w:t>结果、问题汇总、改进建议等内容）。</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425" w:leftChars="0" w:right="0" w:rightChars="0" w:hanging="425" w:firstLineChars="0"/>
        <w:jc w:val="both"/>
        <w:textAlignment w:val="auto"/>
        <w:outlineLvl w:val="0"/>
        <w:rPr>
          <w:rFonts w:hint="eastAsia" w:asciiTheme="minorEastAsia" w:hAnsiTheme="minorEastAsia" w:eastAsiaTheme="minorEastAsia" w:cstheme="minorEastAsia"/>
          <w:b/>
          <w:sz w:val="21"/>
          <w:szCs w:val="21"/>
          <w:highlight w:val="none"/>
        </w:rPr>
      </w:pPr>
      <w:bookmarkStart w:id="27" w:name="_Toc17796"/>
      <w:bookmarkStart w:id="28" w:name="_Toc12965"/>
      <w:r>
        <w:rPr>
          <w:rFonts w:hint="eastAsia" w:asciiTheme="minorEastAsia" w:hAnsiTheme="minorEastAsia" w:eastAsiaTheme="minorEastAsia" w:cstheme="minorEastAsia"/>
          <w:b/>
          <w:sz w:val="21"/>
          <w:szCs w:val="21"/>
          <w:highlight w:val="none"/>
        </w:rPr>
        <w:t>验收</w:t>
      </w:r>
      <w:bookmarkEnd w:id="27"/>
      <w:bookmarkEnd w:id="28"/>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rPr>
      </w:pPr>
      <w:bookmarkStart w:id="29" w:name="_Toc31656"/>
      <w:bookmarkStart w:id="30" w:name="_Toc7433"/>
      <w:r>
        <w:rPr>
          <w:rFonts w:hint="eastAsia" w:asciiTheme="minorEastAsia" w:hAnsiTheme="minorEastAsia" w:eastAsiaTheme="minorEastAsia" w:cstheme="minorEastAsia"/>
          <w:b/>
          <w:sz w:val="21"/>
          <w:szCs w:val="21"/>
          <w:highlight w:val="none"/>
        </w:rPr>
        <w:t>验收标准</w:t>
      </w:r>
      <w:bookmarkEnd w:id="29"/>
      <w:bookmarkEnd w:id="30"/>
    </w:p>
    <w:p>
      <w:pPr>
        <w:keepNext w:val="0"/>
        <w:keepLines w:val="0"/>
        <w:pageBreakBefore w:val="0"/>
        <w:kinsoku/>
        <w:wordWrap/>
        <w:overflowPunct/>
        <w:topLinePunct w:val="0"/>
        <w:autoSpaceDE/>
        <w:autoSpaceDN/>
        <w:bidi w:val="0"/>
        <w:spacing w:line="360" w:lineRule="auto"/>
        <w:ind w:left="0" w:leftChars="0" w:right="0" w:rightChars="0" w:firstLine="560"/>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rPr>
        <w:t>评估</w:t>
      </w:r>
      <w:r>
        <w:rPr>
          <w:rFonts w:hint="eastAsia" w:ascii="Times New Roman" w:hAnsi="Times New Roman" w:cs="Times New Roman"/>
          <w:lang w:val="en-US" w:eastAsia="zh-CN"/>
        </w:rPr>
        <w:t>报告</w:t>
      </w:r>
      <w:r>
        <w:rPr>
          <w:rFonts w:hint="eastAsia" w:asciiTheme="minorEastAsia" w:hAnsiTheme="minorEastAsia" w:eastAsiaTheme="minorEastAsia" w:cstheme="minorEastAsia"/>
          <w:color w:val="auto"/>
          <w:sz w:val="21"/>
          <w:szCs w:val="21"/>
          <w:highlight w:val="none"/>
        </w:rPr>
        <w:t>符合采购合同和技术规范</w:t>
      </w:r>
      <w:r>
        <w:rPr>
          <w:rFonts w:hint="eastAsia" w:asciiTheme="minorEastAsia" w:hAnsiTheme="minorEastAsia" w:eastAsiaTheme="minorEastAsia" w:cstheme="minorEastAsia"/>
          <w:color w:val="auto"/>
          <w:sz w:val="21"/>
          <w:szCs w:val="21"/>
          <w:highlight w:val="none"/>
          <w:lang w:val="en-US" w:eastAsia="zh-CN"/>
        </w:rPr>
        <w:t>书</w:t>
      </w:r>
      <w:r>
        <w:rPr>
          <w:rFonts w:hint="eastAsia" w:asciiTheme="minorEastAsia" w:hAnsiTheme="minorEastAsia" w:eastAsiaTheme="minorEastAsia" w:cstheme="minorEastAsia"/>
          <w:color w:val="auto"/>
          <w:sz w:val="21"/>
          <w:szCs w:val="21"/>
          <w:highlight w:val="none"/>
        </w:rPr>
        <w:t>要求</w:t>
      </w:r>
      <w:r>
        <w:rPr>
          <w:rFonts w:hint="eastAsia" w:asciiTheme="minorEastAsia" w:hAnsiTheme="minorEastAsia" w:eastAsiaTheme="minorEastAsia" w:cstheme="minorEastAsia"/>
          <w:color w:val="auto"/>
          <w:sz w:val="21"/>
          <w:szCs w:val="21"/>
          <w:highlight w:val="none"/>
          <w:lang w:eastAsia="zh-CN"/>
        </w:rPr>
        <w:t>。</w:t>
      </w:r>
    </w:p>
    <w:p>
      <w:pPr>
        <w:keepNext w:val="0"/>
        <w:keepLines w:val="0"/>
        <w:pageBreakBefore w:val="0"/>
        <w:widowControl w:val="0"/>
        <w:numPr>
          <w:ilvl w:val="1"/>
          <w:numId w:val="2"/>
        </w:numPr>
        <w:kinsoku/>
        <w:wordWrap/>
        <w:overflowPunct/>
        <w:topLinePunct w:val="0"/>
        <w:autoSpaceDE/>
        <w:autoSpaceDN/>
        <w:bidi w:val="0"/>
        <w:adjustRightInd/>
        <w:snapToGrid/>
        <w:spacing w:line="360" w:lineRule="auto"/>
        <w:ind w:left="850" w:leftChars="0" w:right="0" w:rightChars="0" w:hanging="453" w:firstLineChars="0"/>
        <w:jc w:val="both"/>
        <w:textAlignment w:val="auto"/>
        <w:outlineLvl w:val="1"/>
        <w:rPr>
          <w:rFonts w:hint="eastAsia" w:asciiTheme="minorEastAsia" w:hAnsiTheme="minorEastAsia" w:eastAsiaTheme="minorEastAsia" w:cstheme="minorEastAsia"/>
          <w:b/>
          <w:sz w:val="21"/>
          <w:szCs w:val="21"/>
          <w:highlight w:val="none"/>
        </w:rPr>
      </w:pPr>
      <w:bookmarkStart w:id="31" w:name="_Toc17492"/>
      <w:bookmarkStart w:id="32" w:name="_Toc19860"/>
      <w:r>
        <w:rPr>
          <w:rFonts w:hint="eastAsia" w:asciiTheme="minorEastAsia" w:hAnsiTheme="minorEastAsia" w:eastAsiaTheme="minorEastAsia" w:cstheme="minorEastAsia"/>
          <w:b/>
          <w:sz w:val="21"/>
          <w:szCs w:val="21"/>
          <w:highlight w:val="none"/>
        </w:rPr>
        <w:t>验收时间与地点</w:t>
      </w:r>
      <w:bookmarkEnd w:id="31"/>
      <w:bookmarkEnd w:id="32"/>
    </w:p>
    <w:p>
      <w:pPr>
        <w:keepNext w:val="0"/>
        <w:keepLines w:val="0"/>
        <w:pageBreakBefore w:val="0"/>
        <w:kinsoku/>
        <w:wordWrap/>
        <w:overflowPunct/>
        <w:topLinePunct w:val="0"/>
        <w:autoSpaceDE/>
        <w:autoSpaceDN/>
        <w:bidi w:val="0"/>
        <w:spacing w:line="360" w:lineRule="auto"/>
        <w:ind w:left="0" w:leftChars="0" w:right="0" w:rightChars="0" w:firstLine="560"/>
        <w:textAlignment w:val="auto"/>
        <w:rPr>
          <w:rFonts w:asciiTheme="minorEastAsia" w:hAnsiTheme="minorEastAsia" w:eastAsiaTheme="minorEastAsia" w:cstheme="minorEastAsia"/>
          <w:b w:val="0"/>
          <w:color w:val="auto"/>
          <w:sz w:val="21"/>
          <w:szCs w:val="21"/>
          <w:highlight w:val="none"/>
        </w:rPr>
      </w:pPr>
      <w:r>
        <w:rPr>
          <w:rFonts w:hint="eastAsia" w:asciiTheme="minorEastAsia" w:hAnsiTheme="minorEastAsia" w:eastAsiaTheme="minorEastAsia" w:cstheme="minorEastAsia"/>
          <w:b w:val="0"/>
          <w:color w:val="auto"/>
          <w:sz w:val="21"/>
          <w:szCs w:val="21"/>
          <w:highlight w:val="none"/>
          <w:lang w:eastAsia="zh-CN"/>
        </w:rPr>
        <w:t>采购人</w:t>
      </w:r>
      <w:r>
        <w:rPr>
          <w:rFonts w:hint="eastAsia" w:asciiTheme="minorEastAsia" w:hAnsiTheme="minorEastAsia" w:eastAsiaTheme="minorEastAsia" w:cstheme="minorEastAsia"/>
          <w:b w:val="0"/>
          <w:color w:val="auto"/>
          <w:sz w:val="21"/>
          <w:szCs w:val="21"/>
          <w:highlight w:val="none"/>
        </w:rPr>
        <w:t>另行指定。</w:t>
      </w:r>
    </w:p>
    <w:p>
      <w:pPr>
        <w:ind w:firstLine="560"/>
        <w:rPr>
          <w:rFonts w:asciiTheme="minorEastAsia" w:hAnsiTheme="minorEastAsia" w:eastAsiaTheme="minorEastAsia" w:cstheme="minorEastAsia"/>
          <w:sz w:val="21"/>
          <w:szCs w:val="21"/>
          <w:highlight w:val="none"/>
        </w:rPr>
      </w:pPr>
    </w:p>
    <w:p>
      <w:pPr>
        <w:pStyle w:val="12"/>
        <w:ind w:left="0" w:leftChars="0" w:firstLine="0" w:firstLineChars="0"/>
        <w:rPr>
          <w:rFonts w:hint="eastAsia"/>
          <w:sz w:val="21"/>
          <w:szCs w:val="21"/>
          <w:highlight w:val="none"/>
          <w:lang w:val="en-US" w:eastAsia="zh-CN"/>
        </w:rPr>
      </w:pPr>
    </w:p>
    <w:bookmarkEnd w:id="0"/>
    <w:bookmarkEnd w:id="1"/>
    <w:bookmarkEnd w:id="2"/>
    <w:p>
      <w:pPr>
        <w:pStyle w:val="12"/>
        <w:ind w:left="0" w:leftChars="0" w:firstLine="0" w:firstLineChars="0"/>
        <w:rPr>
          <w:rFonts w:hint="eastAsia"/>
          <w:lang w:val="en-US" w:eastAsia="zh-CN"/>
        </w:rPr>
      </w:pPr>
    </w:p>
    <w:sectPr>
      <w:footerReference r:id="rId3" w:type="default"/>
      <w:pgSz w:w="11907" w:h="16839"/>
      <w:pgMar w:top="1440" w:right="1797" w:bottom="1440" w:left="1797" w:header="850" w:footer="850" w:gutter="0"/>
      <w:pgNumType w:fmt="decimal"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黑体简体">
    <w:altName w:val="微软雅黑"/>
    <w:panose1 w:val="00000000000000000000"/>
    <w:charset w:val="86"/>
    <w:family w:val="roma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0B1A9C"/>
    <w:multiLevelType w:val="multilevel"/>
    <w:tmpl w:val="470B1A9C"/>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1">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suff w:val="nothing"/>
      <w:lvlText w:val="%1%2　"/>
      <w:lvlJc w:val="left"/>
      <w:pPr>
        <w:ind w:left="0"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pStyle w:val="9"/>
      <w:suff w:val="nothing"/>
      <w:lvlText w:val="%1%2.%3.%4.%5.%6.%7　"/>
      <w:lvlJc w:val="left"/>
      <w:pPr>
        <w:ind w:left="3119"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E4MWRlNjI5YTA2NDI4MzU1MzdmZTcwNmI3Mzk3ZWEifQ=="/>
  </w:docVars>
  <w:rsids>
    <w:rsidRoot w:val="00000000"/>
    <w:rsid w:val="00303AED"/>
    <w:rsid w:val="006C6E2F"/>
    <w:rsid w:val="00903179"/>
    <w:rsid w:val="00AB566F"/>
    <w:rsid w:val="00AE387F"/>
    <w:rsid w:val="00C52A2F"/>
    <w:rsid w:val="00C83F38"/>
    <w:rsid w:val="00CC3C30"/>
    <w:rsid w:val="00DE2057"/>
    <w:rsid w:val="0100714E"/>
    <w:rsid w:val="010F07B1"/>
    <w:rsid w:val="013A7CB1"/>
    <w:rsid w:val="013C736E"/>
    <w:rsid w:val="01687D74"/>
    <w:rsid w:val="01726041"/>
    <w:rsid w:val="0176049E"/>
    <w:rsid w:val="01962831"/>
    <w:rsid w:val="01965485"/>
    <w:rsid w:val="01B30CF8"/>
    <w:rsid w:val="01BB4E65"/>
    <w:rsid w:val="01FF31D6"/>
    <w:rsid w:val="02076205"/>
    <w:rsid w:val="020D13EC"/>
    <w:rsid w:val="025A5856"/>
    <w:rsid w:val="02672D80"/>
    <w:rsid w:val="02924F8E"/>
    <w:rsid w:val="02C6585D"/>
    <w:rsid w:val="02CF7E05"/>
    <w:rsid w:val="02D24201"/>
    <w:rsid w:val="02D8286D"/>
    <w:rsid w:val="032B3EA7"/>
    <w:rsid w:val="033B244A"/>
    <w:rsid w:val="0361681B"/>
    <w:rsid w:val="038E1E95"/>
    <w:rsid w:val="03931EAD"/>
    <w:rsid w:val="03A80914"/>
    <w:rsid w:val="03B75D0D"/>
    <w:rsid w:val="03E34467"/>
    <w:rsid w:val="03EC5962"/>
    <w:rsid w:val="03ED1B1C"/>
    <w:rsid w:val="04043C8E"/>
    <w:rsid w:val="04122DBB"/>
    <w:rsid w:val="0431568D"/>
    <w:rsid w:val="0436539C"/>
    <w:rsid w:val="04412392"/>
    <w:rsid w:val="04474228"/>
    <w:rsid w:val="04501E1A"/>
    <w:rsid w:val="045E1BE6"/>
    <w:rsid w:val="0488539D"/>
    <w:rsid w:val="048E4B0D"/>
    <w:rsid w:val="04BC5B91"/>
    <w:rsid w:val="04E67884"/>
    <w:rsid w:val="04F00872"/>
    <w:rsid w:val="050126C3"/>
    <w:rsid w:val="056C2FF3"/>
    <w:rsid w:val="056E152F"/>
    <w:rsid w:val="05AD1CED"/>
    <w:rsid w:val="05E2559E"/>
    <w:rsid w:val="06096535"/>
    <w:rsid w:val="06110BC2"/>
    <w:rsid w:val="06125C5C"/>
    <w:rsid w:val="061F50E7"/>
    <w:rsid w:val="064F2EB4"/>
    <w:rsid w:val="06640FDB"/>
    <w:rsid w:val="066929FA"/>
    <w:rsid w:val="066C1E8C"/>
    <w:rsid w:val="06986EB9"/>
    <w:rsid w:val="069C1ED5"/>
    <w:rsid w:val="06AF2E48"/>
    <w:rsid w:val="06CB4FCC"/>
    <w:rsid w:val="06DE1C86"/>
    <w:rsid w:val="06E3686F"/>
    <w:rsid w:val="06EE5F84"/>
    <w:rsid w:val="06F454C9"/>
    <w:rsid w:val="07396E51"/>
    <w:rsid w:val="074C4EF5"/>
    <w:rsid w:val="07735980"/>
    <w:rsid w:val="07915DF8"/>
    <w:rsid w:val="07C42E16"/>
    <w:rsid w:val="07E041E3"/>
    <w:rsid w:val="07EF7FC3"/>
    <w:rsid w:val="080B3E1E"/>
    <w:rsid w:val="082C20CA"/>
    <w:rsid w:val="085A1C52"/>
    <w:rsid w:val="08644FFA"/>
    <w:rsid w:val="08A73043"/>
    <w:rsid w:val="08B062D5"/>
    <w:rsid w:val="08B538FE"/>
    <w:rsid w:val="08F7425F"/>
    <w:rsid w:val="091D153B"/>
    <w:rsid w:val="09341E77"/>
    <w:rsid w:val="093F6C43"/>
    <w:rsid w:val="09500754"/>
    <w:rsid w:val="098438A3"/>
    <w:rsid w:val="09887C51"/>
    <w:rsid w:val="099B5235"/>
    <w:rsid w:val="09A84704"/>
    <w:rsid w:val="09D27504"/>
    <w:rsid w:val="0A0E5314"/>
    <w:rsid w:val="0A5D3C5E"/>
    <w:rsid w:val="0A872947"/>
    <w:rsid w:val="0A894FD9"/>
    <w:rsid w:val="0AA12BB2"/>
    <w:rsid w:val="0AB633AB"/>
    <w:rsid w:val="0ABA0EC3"/>
    <w:rsid w:val="0AD219D7"/>
    <w:rsid w:val="0AFF1DB7"/>
    <w:rsid w:val="0B49555F"/>
    <w:rsid w:val="0B4B7E79"/>
    <w:rsid w:val="0B51119F"/>
    <w:rsid w:val="0B565FB4"/>
    <w:rsid w:val="0B5B6211"/>
    <w:rsid w:val="0B694092"/>
    <w:rsid w:val="0B6A4056"/>
    <w:rsid w:val="0B717BCC"/>
    <w:rsid w:val="0B7633C3"/>
    <w:rsid w:val="0B934C11"/>
    <w:rsid w:val="0B960CFA"/>
    <w:rsid w:val="0BA50FDA"/>
    <w:rsid w:val="0BB50C62"/>
    <w:rsid w:val="0BC67224"/>
    <w:rsid w:val="0BCE7613"/>
    <w:rsid w:val="0C0E5B97"/>
    <w:rsid w:val="0C13779A"/>
    <w:rsid w:val="0C1B5117"/>
    <w:rsid w:val="0C1D7555"/>
    <w:rsid w:val="0C232414"/>
    <w:rsid w:val="0C3C0CD7"/>
    <w:rsid w:val="0C507825"/>
    <w:rsid w:val="0C5A5898"/>
    <w:rsid w:val="0C6329E2"/>
    <w:rsid w:val="0C786603"/>
    <w:rsid w:val="0C937218"/>
    <w:rsid w:val="0C942024"/>
    <w:rsid w:val="0C966E21"/>
    <w:rsid w:val="0C9F20CC"/>
    <w:rsid w:val="0CA14D52"/>
    <w:rsid w:val="0CAA67D0"/>
    <w:rsid w:val="0CB606FB"/>
    <w:rsid w:val="0CC46729"/>
    <w:rsid w:val="0CCF0249"/>
    <w:rsid w:val="0CE8253A"/>
    <w:rsid w:val="0CED2AC4"/>
    <w:rsid w:val="0CF43DCE"/>
    <w:rsid w:val="0CFA4F4B"/>
    <w:rsid w:val="0D0E7206"/>
    <w:rsid w:val="0D1D1CC0"/>
    <w:rsid w:val="0D2174EF"/>
    <w:rsid w:val="0D3B5542"/>
    <w:rsid w:val="0D3E2F48"/>
    <w:rsid w:val="0D4B2288"/>
    <w:rsid w:val="0D671ACC"/>
    <w:rsid w:val="0D920AC9"/>
    <w:rsid w:val="0D926276"/>
    <w:rsid w:val="0DC23FE4"/>
    <w:rsid w:val="0DF60DA5"/>
    <w:rsid w:val="0DFD2872"/>
    <w:rsid w:val="0E0B49EF"/>
    <w:rsid w:val="0E22229F"/>
    <w:rsid w:val="0E2637EB"/>
    <w:rsid w:val="0E477F23"/>
    <w:rsid w:val="0E5C209B"/>
    <w:rsid w:val="0E6B2294"/>
    <w:rsid w:val="0E730F13"/>
    <w:rsid w:val="0E731BE4"/>
    <w:rsid w:val="0E904584"/>
    <w:rsid w:val="0E9F1980"/>
    <w:rsid w:val="0EA113DE"/>
    <w:rsid w:val="0EA64B66"/>
    <w:rsid w:val="0EAB4CF6"/>
    <w:rsid w:val="0EAB63EA"/>
    <w:rsid w:val="0F3D0DBC"/>
    <w:rsid w:val="0F802E3F"/>
    <w:rsid w:val="0FA85E6D"/>
    <w:rsid w:val="0FB9772B"/>
    <w:rsid w:val="0FCA3226"/>
    <w:rsid w:val="0FD0634C"/>
    <w:rsid w:val="0FD9458B"/>
    <w:rsid w:val="0FED7151"/>
    <w:rsid w:val="0FF860F6"/>
    <w:rsid w:val="0FFE4AD0"/>
    <w:rsid w:val="10102D63"/>
    <w:rsid w:val="10174669"/>
    <w:rsid w:val="10227A54"/>
    <w:rsid w:val="103069CC"/>
    <w:rsid w:val="1032274C"/>
    <w:rsid w:val="103B4C3B"/>
    <w:rsid w:val="104205CD"/>
    <w:rsid w:val="106F43AF"/>
    <w:rsid w:val="10971D12"/>
    <w:rsid w:val="10A97C33"/>
    <w:rsid w:val="10B32304"/>
    <w:rsid w:val="10C93B8B"/>
    <w:rsid w:val="10FC16EA"/>
    <w:rsid w:val="1128739F"/>
    <w:rsid w:val="114058F3"/>
    <w:rsid w:val="114917E9"/>
    <w:rsid w:val="116F5980"/>
    <w:rsid w:val="11734E88"/>
    <w:rsid w:val="11C663F5"/>
    <w:rsid w:val="11EA1373"/>
    <w:rsid w:val="12017730"/>
    <w:rsid w:val="123D2D11"/>
    <w:rsid w:val="12471CB1"/>
    <w:rsid w:val="125B1C03"/>
    <w:rsid w:val="127367A1"/>
    <w:rsid w:val="1296359D"/>
    <w:rsid w:val="129D0BA0"/>
    <w:rsid w:val="12C24DBE"/>
    <w:rsid w:val="12E904A7"/>
    <w:rsid w:val="12F02547"/>
    <w:rsid w:val="12FA11B0"/>
    <w:rsid w:val="12FE59B8"/>
    <w:rsid w:val="1303262E"/>
    <w:rsid w:val="130E7B6C"/>
    <w:rsid w:val="133463E0"/>
    <w:rsid w:val="13573AC8"/>
    <w:rsid w:val="138843FF"/>
    <w:rsid w:val="13896916"/>
    <w:rsid w:val="13A72E6C"/>
    <w:rsid w:val="13EB6F42"/>
    <w:rsid w:val="14324B0F"/>
    <w:rsid w:val="1480232D"/>
    <w:rsid w:val="148E572D"/>
    <w:rsid w:val="14B70D36"/>
    <w:rsid w:val="14E216B3"/>
    <w:rsid w:val="151300CA"/>
    <w:rsid w:val="15475F99"/>
    <w:rsid w:val="157942A1"/>
    <w:rsid w:val="157D10E7"/>
    <w:rsid w:val="1582093B"/>
    <w:rsid w:val="15BA302A"/>
    <w:rsid w:val="15CF527F"/>
    <w:rsid w:val="15D13F13"/>
    <w:rsid w:val="15E36674"/>
    <w:rsid w:val="160C294D"/>
    <w:rsid w:val="161A585A"/>
    <w:rsid w:val="166340FA"/>
    <w:rsid w:val="16824432"/>
    <w:rsid w:val="168730D7"/>
    <w:rsid w:val="16922F95"/>
    <w:rsid w:val="16990D90"/>
    <w:rsid w:val="16A64C36"/>
    <w:rsid w:val="16B350FA"/>
    <w:rsid w:val="16BB4159"/>
    <w:rsid w:val="16C35AF2"/>
    <w:rsid w:val="17110BE4"/>
    <w:rsid w:val="1713631D"/>
    <w:rsid w:val="172F6FCB"/>
    <w:rsid w:val="17753AE3"/>
    <w:rsid w:val="178A0E8C"/>
    <w:rsid w:val="17C44B5A"/>
    <w:rsid w:val="17C805C3"/>
    <w:rsid w:val="17D45EB7"/>
    <w:rsid w:val="17D548A6"/>
    <w:rsid w:val="17E91510"/>
    <w:rsid w:val="17F534AE"/>
    <w:rsid w:val="18013D6E"/>
    <w:rsid w:val="18092C92"/>
    <w:rsid w:val="180B62EF"/>
    <w:rsid w:val="182150BE"/>
    <w:rsid w:val="18417784"/>
    <w:rsid w:val="184522A9"/>
    <w:rsid w:val="187E4E71"/>
    <w:rsid w:val="18801586"/>
    <w:rsid w:val="18CE6600"/>
    <w:rsid w:val="18CE70DE"/>
    <w:rsid w:val="18E90EEB"/>
    <w:rsid w:val="18E97056"/>
    <w:rsid w:val="18F72FA1"/>
    <w:rsid w:val="193842CA"/>
    <w:rsid w:val="195071FC"/>
    <w:rsid w:val="197705D1"/>
    <w:rsid w:val="198540F1"/>
    <w:rsid w:val="199F384B"/>
    <w:rsid w:val="19C63E21"/>
    <w:rsid w:val="19CF5B0D"/>
    <w:rsid w:val="1A00285D"/>
    <w:rsid w:val="1A1C3866"/>
    <w:rsid w:val="1A2C380F"/>
    <w:rsid w:val="1A2D3B01"/>
    <w:rsid w:val="1A59011D"/>
    <w:rsid w:val="1A7154EF"/>
    <w:rsid w:val="1A776734"/>
    <w:rsid w:val="1A814763"/>
    <w:rsid w:val="1A8851BF"/>
    <w:rsid w:val="1A9A604F"/>
    <w:rsid w:val="1AD54D57"/>
    <w:rsid w:val="1AE2232B"/>
    <w:rsid w:val="1B17281A"/>
    <w:rsid w:val="1B615F5B"/>
    <w:rsid w:val="1B790DAA"/>
    <w:rsid w:val="1B7F4F57"/>
    <w:rsid w:val="1B8E49BC"/>
    <w:rsid w:val="1B9667CE"/>
    <w:rsid w:val="1BC41184"/>
    <w:rsid w:val="1BCA3668"/>
    <w:rsid w:val="1BE953FE"/>
    <w:rsid w:val="1C112A1C"/>
    <w:rsid w:val="1C3B5737"/>
    <w:rsid w:val="1C446ACF"/>
    <w:rsid w:val="1C4C5C20"/>
    <w:rsid w:val="1C532931"/>
    <w:rsid w:val="1C655DF3"/>
    <w:rsid w:val="1C6B487E"/>
    <w:rsid w:val="1C905D20"/>
    <w:rsid w:val="1C9E1804"/>
    <w:rsid w:val="1D984134"/>
    <w:rsid w:val="1DA426D1"/>
    <w:rsid w:val="1DE30F68"/>
    <w:rsid w:val="1DE94821"/>
    <w:rsid w:val="1DF16736"/>
    <w:rsid w:val="1E03219B"/>
    <w:rsid w:val="1E0509DF"/>
    <w:rsid w:val="1E151D82"/>
    <w:rsid w:val="1E1665EA"/>
    <w:rsid w:val="1E2040C5"/>
    <w:rsid w:val="1E3B04EA"/>
    <w:rsid w:val="1E5C0517"/>
    <w:rsid w:val="1E683B48"/>
    <w:rsid w:val="1E892F4E"/>
    <w:rsid w:val="1E9751DA"/>
    <w:rsid w:val="1E9C6A12"/>
    <w:rsid w:val="1EB504B3"/>
    <w:rsid w:val="1EC96243"/>
    <w:rsid w:val="1EDA1B4A"/>
    <w:rsid w:val="1EF4360F"/>
    <w:rsid w:val="1F3F52BA"/>
    <w:rsid w:val="1F547688"/>
    <w:rsid w:val="1F5C199A"/>
    <w:rsid w:val="1F617725"/>
    <w:rsid w:val="1F806B6E"/>
    <w:rsid w:val="1FA71853"/>
    <w:rsid w:val="20046EAB"/>
    <w:rsid w:val="20092E53"/>
    <w:rsid w:val="200E3C20"/>
    <w:rsid w:val="201354FC"/>
    <w:rsid w:val="201D5552"/>
    <w:rsid w:val="20325029"/>
    <w:rsid w:val="20453C43"/>
    <w:rsid w:val="204B6885"/>
    <w:rsid w:val="20570EC4"/>
    <w:rsid w:val="208A0FEC"/>
    <w:rsid w:val="208A110D"/>
    <w:rsid w:val="20A67EBE"/>
    <w:rsid w:val="20B63E4A"/>
    <w:rsid w:val="20DC2256"/>
    <w:rsid w:val="20DD0B2A"/>
    <w:rsid w:val="20E66C96"/>
    <w:rsid w:val="20F43A87"/>
    <w:rsid w:val="210D2AB1"/>
    <w:rsid w:val="210E2B64"/>
    <w:rsid w:val="211941E3"/>
    <w:rsid w:val="217B6247"/>
    <w:rsid w:val="219F65C5"/>
    <w:rsid w:val="21A84153"/>
    <w:rsid w:val="21C85B94"/>
    <w:rsid w:val="21CA4314"/>
    <w:rsid w:val="21D17011"/>
    <w:rsid w:val="21F95C31"/>
    <w:rsid w:val="220B3A7E"/>
    <w:rsid w:val="225651FD"/>
    <w:rsid w:val="22601AC4"/>
    <w:rsid w:val="226977BC"/>
    <w:rsid w:val="227D1866"/>
    <w:rsid w:val="22A27868"/>
    <w:rsid w:val="22C921F4"/>
    <w:rsid w:val="22D34EBD"/>
    <w:rsid w:val="22F42C65"/>
    <w:rsid w:val="231B6789"/>
    <w:rsid w:val="237A41C3"/>
    <w:rsid w:val="238D67F5"/>
    <w:rsid w:val="2398331D"/>
    <w:rsid w:val="23AD4498"/>
    <w:rsid w:val="23E8365B"/>
    <w:rsid w:val="23F2576D"/>
    <w:rsid w:val="24120D42"/>
    <w:rsid w:val="24332B4D"/>
    <w:rsid w:val="24344A48"/>
    <w:rsid w:val="245F131C"/>
    <w:rsid w:val="245F60B4"/>
    <w:rsid w:val="24726959"/>
    <w:rsid w:val="247F624E"/>
    <w:rsid w:val="2498760B"/>
    <w:rsid w:val="249E6AB4"/>
    <w:rsid w:val="24E8068C"/>
    <w:rsid w:val="24E8352E"/>
    <w:rsid w:val="24F87EB7"/>
    <w:rsid w:val="25100B9B"/>
    <w:rsid w:val="25186261"/>
    <w:rsid w:val="2571437F"/>
    <w:rsid w:val="259522C5"/>
    <w:rsid w:val="25A01A96"/>
    <w:rsid w:val="25AA7CDA"/>
    <w:rsid w:val="25C833D9"/>
    <w:rsid w:val="25CF64A1"/>
    <w:rsid w:val="25FD3EE1"/>
    <w:rsid w:val="25FF7297"/>
    <w:rsid w:val="2610005A"/>
    <w:rsid w:val="26120603"/>
    <w:rsid w:val="26162AAC"/>
    <w:rsid w:val="26185506"/>
    <w:rsid w:val="26390411"/>
    <w:rsid w:val="26441AC8"/>
    <w:rsid w:val="2658545C"/>
    <w:rsid w:val="267220A5"/>
    <w:rsid w:val="268571FE"/>
    <w:rsid w:val="26AB0117"/>
    <w:rsid w:val="26BE5321"/>
    <w:rsid w:val="26F15D35"/>
    <w:rsid w:val="26FE575F"/>
    <w:rsid w:val="27145112"/>
    <w:rsid w:val="271C65EE"/>
    <w:rsid w:val="27216E82"/>
    <w:rsid w:val="2724103D"/>
    <w:rsid w:val="27295BCD"/>
    <w:rsid w:val="27380F17"/>
    <w:rsid w:val="27844B34"/>
    <w:rsid w:val="27903611"/>
    <w:rsid w:val="27D47895"/>
    <w:rsid w:val="27F47B7D"/>
    <w:rsid w:val="28216AB1"/>
    <w:rsid w:val="283172AF"/>
    <w:rsid w:val="284A6C2C"/>
    <w:rsid w:val="284E557C"/>
    <w:rsid w:val="285A533D"/>
    <w:rsid w:val="28660E58"/>
    <w:rsid w:val="286C17A5"/>
    <w:rsid w:val="28794E38"/>
    <w:rsid w:val="289B1F7C"/>
    <w:rsid w:val="28AF3BC5"/>
    <w:rsid w:val="28B20749"/>
    <w:rsid w:val="28D27BC0"/>
    <w:rsid w:val="28DE1ED5"/>
    <w:rsid w:val="29013BAD"/>
    <w:rsid w:val="291640F4"/>
    <w:rsid w:val="292C05D1"/>
    <w:rsid w:val="29600121"/>
    <w:rsid w:val="29AB0F01"/>
    <w:rsid w:val="29F6157D"/>
    <w:rsid w:val="2A10101C"/>
    <w:rsid w:val="2A146146"/>
    <w:rsid w:val="2A232B80"/>
    <w:rsid w:val="2A5F3B30"/>
    <w:rsid w:val="2A802565"/>
    <w:rsid w:val="2A921DA8"/>
    <w:rsid w:val="2AAD2679"/>
    <w:rsid w:val="2AD33076"/>
    <w:rsid w:val="2AE94FAF"/>
    <w:rsid w:val="2AF97F03"/>
    <w:rsid w:val="2AFA317E"/>
    <w:rsid w:val="2B156D4D"/>
    <w:rsid w:val="2B227518"/>
    <w:rsid w:val="2B2B571F"/>
    <w:rsid w:val="2B606C35"/>
    <w:rsid w:val="2B77500B"/>
    <w:rsid w:val="2B8374C4"/>
    <w:rsid w:val="2B8509F5"/>
    <w:rsid w:val="2B8A6E0F"/>
    <w:rsid w:val="2B917993"/>
    <w:rsid w:val="2BAE278C"/>
    <w:rsid w:val="2BCC38F0"/>
    <w:rsid w:val="2BFF4F64"/>
    <w:rsid w:val="2C5106C1"/>
    <w:rsid w:val="2C7502FD"/>
    <w:rsid w:val="2C867A42"/>
    <w:rsid w:val="2CD022CC"/>
    <w:rsid w:val="2CDC2135"/>
    <w:rsid w:val="2CEE0F94"/>
    <w:rsid w:val="2CFF0019"/>
    <w:rsid w:val="2D1443BD"/>
    <w:rsid w:val="2D237C95"/>
    <w:rsid w:val="2D2F49BA"/>
    <w:rsid w:val="2D3E6B75"/>
    <w:rsid w:val="2D780E25"/>
    <w:rsid w:val="2DB463C6"/>
    <w:rsid w:val="2E171BC7"/>
    <w:rsid w:val="2E304614"/>
    <w:rsid w:val="2E3131E7"/>
    <w:rsid w:val="2E343254"/>
    <w:rsid w:val="2E604D2D"/>
    <w:rsid w:val="2E655995"/>
    <w:rsid w:val="2E7C64C0"/>
    <w:rsid w:val="2EBF60FF"/>
    <w:rsid w:val="2ED57520"/>
    <w:rsid w:val="2EDF21C9"/>
    <w:rsid w:val="2EEA3285"/>
    <w:rsid w:val="2F080926"/>
    <w:rsid w:val="2F0C123B"/>
    <w:rsid w:val="2F291C47"/>
    <w:rsid w:val="2F604549"/>
    <w:rsid w:val="2F6A07AA"/>
    <w:rsid w:val="2F7065E3"/>
    <w:rsid w:val="2F8B6CFE"/>
    <w:rsid w:val="2FA06B1C"/>
    <w:rsid w:val="2FA104BD"/>
    <w:rsid w:val="2FEA49F4"/>
    <w:rsid w:val="301960BA"/>
    <w:rsid w:val="30224F67"/>
    <w:rsid w:val="30302653"/>
    <w:rsid w:val="30531BCC"/>
    <w:rsid w:val="306C3A49"/>
    <w:rsid w:val="307634AB"/>
    <w:rsid w:val="308A4F2F"/>
    <w:rsid w:val="30AD269A"/>
    <w:rsid w:val="30C74D94"/>
    <w:rsid w:val="30EA3BFF"/>
    <w:rsid w:val="310A2818"/>
    <w:rsid w:val="31134EC8"/>
    <w:rsid w:val="31225219"/>
    <w:rsid w:val="31233A4D"/>
    <w:rsid w:val="313D22CF"/>
    <w:rsid w:val="315B757B"/>
    <w:rsid w:val="317B6D9E"/>
    <w:rsid w:val="31964414"/>
    <w:rsid w:val="31CE1669"/>
    <w:rsid w:val="31CE447F"/>
    <w:rsid w:val="31D2781C"/>
    <w:rsid w:val="31E5227C"/>
    <w:rsid w:val="32280697"/>
    <w:rsid w:val="323414AB"/>
    <w:rsid w:val="32604EB6"/>
    <w:rsid w:val="3269132D"/>
    <w:rsid w:val="326E2C35"/>
    <w:rsid w:val="32902617"/>
    <w:rsid w:val="329A05CC"/>
    <w:rsid w:val="32A001FB"/>
    <w:rsid w:val="32C020DA"/>
    <w:rsid w:val="32D469CD"/>
    <w:rsid w:val="32E6121A"/>
    <w:rsid w:val="32F14B12"/>
    <w:rsid w:val="32F83838"/>
    <w:rsid w:val="333A30CB"/>
    <w:rsid w:val="333B0F19"/>
    <w:rsid w:val="335F0CBD"/>
    <w:rsid w:val="336124DA"/>
    <w:rsid w:val="339A10EE"/>
    <w:rsid w:val="33C33832"/>
    <w:rsid w:val="33D9363E"/>
    <w:rsid w:val="33FF0AE5"/>
    <w:rsid w:val="3431638F"/>
    <w:rsid w:val="344E35E8"/>
    <w:rsid w:val="344F1379"/>
    <w:rsid w:val="348B684B"/>
    <w:rsid w:val="34905316"/>
    <w:rsid w:val="349214B2"/>
    <w:rsid w:val="34A7569A"/>
    <w:rsid w:val="34C51DA1"/>
    <w:rsid w:val="34D02BEA"/>
    <w:rsid w:val="34DC6401"/>
    <w:rsid w:val="34EE4AE8"/>
    <w:rsid w:val="350B6C92"/>
    <w:rsid w:val="35240A5E"/>
    <w:rsid w:val="352663DA"/>
    <w:rsid w:val="352D16ED"/>
    <w:rsid w:val="3533588D"/>
    <w:rsid w:val="35400F17"/>
    <w:rsid w:val="354E4284"/>
    <w:rsid w:val="35675330"/>
    <w:rsid w:val="359B0DAF"/>
    <w:rsid w:val="35BA5740"/>
    <w:rsid w:val="35C93F02"/>
    <w:rsid w:val="35CD05F5"/>
    <w:rsid w:val="35F7165A"/>
    <w:rsid w:val="36061440"/>
    <w:rsid w:val="36300FF3"/>
    <w:rsid w:val="365B3088"/>
    <w:rsid w:val="36647E1E"/>
    <w:rsid w:val="366827D2"/>
    <w:rsid w:val="36CB3CB4"/>
    <w:rsid w:val="36CB427E"/>
    <w:rsid w:val="375553A2"/>
    <w:rsid w:val="37991538"/>
    <w:rsid w:val="37AE21A9"/>
    <w:rsid w:val="37BA58BB"/>
    <w:rsid w:val="37C03BC6"/>
    <w:rsid w:val="37C06287"/>
    <w:rsid w:val="37C664F4"/>
    <w:rsid w:val="37D9523B"/>
    <w:rsid w:val="37DB1DA5"/>
    <w:rsid w:val="37F4339D"/>
    <w:rsid w:val="3824376E"/>
    <w:rsid w:val="38807699"/>
    <w:rsid w:val="3884454D"/>
    <w:rsid w:val="38927B24"/>
    <w:rsid w:val="389707DA"/>
    <w:rsid w:val="389A249F"/>
    <w:rsid w:val="38A73703"/>
    <w:rsid w:val="38CD0FA6"/>
    <w:rsid w:val="38EF14E0"/>
    <w:rsid w:val="3902020C"/>
    <w:rsid w:val="39286FEF"/>
    <w:rsid w:val="393B0C7E"/>
    <w:rsid w:val="397E5DB7"/>
    <w:rsid w:val="399D7D96"/>
    <w:rsid w:val="39EE76CF"/>
    <w:rsid w:val="3A081C32"/>
    <w:rsid w:val="3A2931AB"/>
    <w:rsid w:val="3A540FAF"/>
    <w:rsid w:val="3A5E137A"/>
    <w:rsid w:val="3A5F5EFD"/>
    <w:rsid w:val="3A632EE8"/>
    <w:rsid w:val="3A655DC4"/>
    <w:rsid w:val="3A767909"/>
    <w:rsid w:val="3AC243EB"/>
    <w:rsid w:val="3AE26CAB"/>
    <w:rsid w:val="3AF84598"/>
    <w:rsid w:val="3B0B741E"/>
    <w:rsid w:val="3B595985"/>
    <w:rsid w:val="3B603379"/>
    <w:rsid w:val="3B654989"/>
    <w:rsid w:val="3B7A2D02"/>
    <w:rsid w:val="3B851640"/>
    <w:rsid w:val="3B89594A"/>
    <w:rsid w:val="3B9A527C"/>
    <w:rsid w:val="3BE478AD"/>
    <w:rsid w:val="3BEE06B5"/>
    <w:rsid w:val="3BFD25C3"/>
    <w:rsid w:val="3C041BE3"/>
    <w:rsid w:val="3C1037D6"/>
    <w:rsid w:val="3C2D55C2"/>
    <w:rsid w:val="3C634538"/>
    <w:rsid w:val="3C6A70F8"/>
    <w:rsid w:val="3C713DC5"/>
    <w:rsid w:val="3C8B1EB8"/>
    <w:rsid w:val="3CD82F62"/>
    <w:rsid w:val="3CDE0D8E"/>
    <w:rsid w:val="3CDF4A8F"/>
    <w:rsid w:val="3CE3121F"/>
    <w:rsid w:val="3CE87274"/>
    <w:rsid w:val="3D14297A"/>
    <w:rsid w:val="3D1D5F17"/>
    <w:rsid w:val="3D3B6A6C"/>
    <w:rsid w:val="3D467AB8"/>
    <w:rsid w:val="3D497E03"/>
    <w:rsid w:val="3D4C20BE"/>
    <w:rsid w:val="3D5521CA"/>
    <w:rsid w:val="3D7E370C"/>
    <w:rsid w:val="3D910C10"/>
    <w:rsid w:val="3DBA4867"/>
    <w:rsid w:val="3DE13B6E"/>
    <w:rsid w:val="3DED132A"/>
    <w:rsid w:val="3DF42FE6"/>
    <w:rsid w:val="3DF50034"/>
    <w:rsid w:val="3DFB2FE3"/>
    <w:rsid w:val="3E0A08BA"/>
    <w:rsid w:val="3E12530C"/>
    <w:rsid w:val="3E1B5D3E"/>
    <w:rsid w:val="3E5B60DB"/>
    <w:rsid w:val="3E682718"/>
    <w:rsid w:val="3E6F2FAE"/>
    <w:rsid w:val="3E95608C"/>
    <w:rsid w:val="3EBE1841"/>
    <w:rsid w:val="3ECB60DC"/>
    <w:rsid w:val="3EE06334"/>
    <w:rsid w:val="3EFA796D"/>
    <w:rsid w:val="3F2775F7"/>
    <w:rsid w:val="3F365ED0"/>
    <w:rsid w:val="3F435B1C"/>
    <w:rsid w:val="3F5E3714"/>
    <w:rsid w:val="3F8C04E0"/>
    <w:rsid w:val="3F922C3C"/>
    <w:rsid w:val="3F95091D"/>
    <w:rsid w:val="3F9864D0"/>
    <w:rsid w:val="3FD27F7D"/>
    <w:rsid w:val="3FEF2FDC"/>
    <w:rsid w:val="3FF62CA5"/>
    <w:rsid w:val="3FF64F9A"/>
    <w:rsid w:val="402551EC"/>
    <w:rsid w:val="404232C9"/>
    <w:rsid w:val="4053214A"/>
    <w:rsid w:val="40806112"/>
    <w:rsid w:val="40846367"/>
    <w:rsid w:val="40C31AFE"/>
    <w:rsid w:val="40CF36B9"/>
    <w:rsid w:val="40E200D7"/>
    <w:rsid w:val="40ED7B1A"/>
    <w:rsid w:val="40FA47AB"/>
    <w:rsid w:val="410F5DE8"/>
    <w:rsid w:val="412E2D5B"/>
    <w:rsid w:val="413B7D59"/>
    <w:rsid w:val="41472B32"/>
    <w:rsid w:val="41510E36"/>
    <w:rsid w:val="415A31C5"/>
    <w:rsid w:val="419A72CB"/>
    <w:rsid w:val="41CA6CFC"/>
    <w:rsid w:val="41E73E7E"/>
    <w:rsid w:val="42130E56"/>
    <w:rsid w:val="421D3964"/>
    <w:rsid w:val="42410052"/>
    <w:rsid w:val="425A43EC"/>
    <w:rsid w:val="42687565"/>
    <w:rsid w:val="42803E9C"/>
    <w:rsid w:val="42A36A6A"/>
    <w:rsid w:val="42B92207"/>
    <w:rsid w:val="432602A9"/>
    <w:rsid w:val="43332E63"/>
    <w:rsid w:val="43820E36"/>
    <w:rsid w:val="43AB2A94"/>
    <w:rsid w:val="43AF41EE"/>
    <w:rsid w:val="43B908AC"/>
    <w:rsid w:val="43C942D6"/>
    <w:rsid w:val="43F1253A"/>
    <w:rsid w:val="43F4792C"/>
    <w:rsid w:val="443E1868"/>
    <w:rsid w:val="445057A1"/>
    <w:rsid w:val="4453525B"/>
    <w:rsid w:val="447D0245"/>
    <w:rsid w:val="448A36AA"/>
    <w:rsid w:val="448F70D5"/>
    <w:rsid w:val="44B1581F"/>
    <w:rsid w:val="44DD28D5"/>
    <w:rsid w:val="44F149C5"/>
    <w:rsid w:val="4518512F"/>
    <w:rsid w:val="451A7AC8"/>
    <w:rsid w:val="45597769"/>
    <w:rsid w:val="457F57FF"/>
    <w:rsid w:val="458E64AD"/>
    <w:rsid w:val="45F72659"/>
    <w:rsid w:val="45FE41E2"/>
    <w:rsid w:val="461E1439"/>
    <w:rsid w:val="46211A8F"/>
    <w:rsid w:val="46405192"/>
    <w:rsid w:val="469B2ACC"/>
    <w:rsid w:val="469F36B2"/>
    <w:rsid w:val="46A03B46"/>
    <w:rsid w:val="46AA20FD"/>
    <w:rsid w:val="46EC6E3C"/>
    <w:rsid w:val="470A28FF"/>
    <w:rsid w:val="4737263C"/>
    <w:rsid w:val="478A28D4"/>
    <w:rsid w:val="478A61DF"/>
    <w:rsid w:val="47945559"/>
    <w:rsid w:val="47CB143C"/>
    <w:rsid w:val="47F23719"/>
    <w:rsid w:val="482C6EEC"/>
    <w:rsid w:val="4832536D"/>
    <w:rsid w:val="484B345D"/>
    <w:rsid w:val="48807003"/>
    <w:rsid w:val="488F5A0E"/>
    <w:rsid w:val="489F4809"/>
    <w:rsid w:val="48C651E6"/>
    <w:rsid w:val="48D3326E"/>
    <w:rsid w:val="48F64179"/>
    <w:rsid w:val="491D0285"/>
    <w:rsid w:val="493122B9"/>
    <w:rsid w:val="494248DF"/>
    <w:rsid w:val="49486BBC"/>
    <w:rsid w:val="495223C4"/>
    <w:rsid w:val="496837E0"/>
    <w:rsid w:val="497B27B2"/>
    <w:rsid w:val="497D7E3E"/>
    <w:rsid w:val="49935612"/>
    <w:rsid w:val="49A87448"/>
    <w:rsid w:val="49AC39B0"/>
    <w:rsid w:val="49FF73D0"/>
    <w:rsid w:val="4A260EA6"/>
    <w:rsid w:val="4A4B6973"/>
    <w:rsid w:val="4A5F2349"/>
    <w:rsid w:val="4A8E3980"/>
    <w:rsid w:val="4A945177"/>
    <w:rsid w:val="4A986A99"/>
    <w:rsid w:val="4AA0028E"/>
    <w:rsid w:val="4AAE20D8"/>
    <w:rsid w:val="4AEB0823"/>
    <w:rsid w:val="4B3C214A"/>
    <w:rsid w:val="4B3F0B56"/>
    <w:rsid w:val="4B3F6383"/>
    <w:rsid w:val="4B755580"/>
    <w:rsid w:val="4B82486E"/>
    <w:rsid w:val="4B911737"/>
    <w:rsid w:val="4BB15FF8"/>
    <w:rsid w:val="4BD33760"/>
    <w:rsid w:val="4BE21857"/>
    <w:rsid w:val="4BF15138"/>
    <w:rsid w:val="4BF722AF"/>
    <w:rsid w:val="4C016A77"/>
    <w:rsid w:val="4C1354FA"/>
    <w:rsid w:val="4C2904FF"/>
    <w:rsid w:val="4C3B18E6"/>
    <w:rsid w:val="4C3E0E37"/>
    <w:rsid w:val="4C461178"/>
    <w:rsid w:val="4C49188D"/>
    <w:rsid w:val="4C4A625B"/>
    <w:rsid w:val="4C4B30F1"/>
    <w:rsid w:val="4C701906"/>
    <w:rsid w:val="4C8D0C49"/>
    <w:rsid w:val="4CAB33A5"/>
    <w:rsid w:val="4CAC736B"/>
    <w:rsid w:val="4CD60726"/>
    <w:rsid w:val="4CDB2EF5"/>
    <w:rsid w:val="4D125842"/>
    <w:rsid w:val="4D1D3FAD"/>
    <w:rsid w:val="4D400B0D"/>
    <w:rsid w:val="4D4848D4"/>
    <w:rsid w:val="4D4D60F1"/>
    <w:rsid w:val="4D672568"/>
    <w:rsid w:val="4D73522E"/>
    <w:rsid w:val="4D841D87"/>
    <w:rsid w:val="4DAF3131"/>
    <w:rsid w:val="4DB60BFB"/>
    <w:rsid w:val="4DB941CD"/>
    <w:rsid w:val="4DC359AB"/>
    <w:rsid w:val="4E540F26"/>
    <w:rsid w:val="4EAF40B3"/>
    <w:rsid w:val="4EB317F1"/>
    <w:rsid w:val="4EBB043F"/>
    <w:rsid w:val="4ECA16A6"/>
    <w:rsid w:val="4ECE12F8"/>
    <w:rsid w:val="4EEC5117"/>
    <w:rsid w:val="4EFB6895"/>
    <w:rsid w:val="4F190BD2"/>
    <w:rsid w:val="4F1B7959"/>
    <w:rsid w:val="4F40727A"/>
    <w:rsid w:val="4F511461"/>
    <w:rsid w:val="4F522031"/>
    <w:rsid w:val="4F5E52CC"/>
    <w:rsid w:val="4F7C2E75"/>
    <w:rsid w:val="4FA65AB1"/>
    <w:rsid w:val="4FAC0A2B"/>
    <w:rsid w:val="4FB64D24"/>
    <w:rsid w:val="4FB82271"/>
    <w:rsid w:val="4FC20EB9"/>
    <w:rsid w:val="4FFB11C5"/>
    <w:rsid w:val="50013733"/>
    <w:rsid w:val="50055358"/>
    <w:rsid w:val="501966C1"/>
    <w:rsid w:val="501A1F18"/>
    <w:rsid w:val="50707FAF"/>
    <w:rsid w:val="510A3101"/>
    <w:rsid w:val="51221C1F"/>
    <w:rsid w:val="51261C89"/>
    <w:rsid w:val="51392C26"/>
    <w:rsid w:val="513D5538"/>
    <w:rsid w:val="514D20D5"/>
    <w:rsid w:val="51520DE4"/>
    <w:rsid w:val="51537777"/>
    <w:rsid w:val="5189163D"/>
    <w:rsid w:val="519232F3"/>
    <w:rsid w:val="519F4304"/>
    <w:rsid w:val="51C55F04"/>
    <w:rsid w:val="51D377C7"/>
    <w:rsid w:val="51E70DCD"/>
    <w:rsid w:val="5206342E"/>
    <w:rsid w:val="520E31AE"/>
    <w:rsid w:val="520E326B"/>
    <w:rsid w:val="524E1569"/>
    <w:rsid w:val="525C5022"/>
    <w:rsid w:val="52623D49"/>
    <w:rsid w:val="527D52FA"/>
    <w:rsid w:val="52821561"/>
    <w:rsid w:val="52861B73"/>
    <w:rsid w:val="528B590A"/>
    <w:rsid w:val="52AE3447"/>
    <w:rsid w:val="52CE5878"/>
    <w:rsid w:val="52F92C6D"/>
    <w:rsid w:val="535C4B79"/>
    <w:rsid w:val="537151F4"/>
    <w:rsid w:val="537C0E33"/>
    <w:rsid w:val="53CC2CC0"/>
    <w:rsid w:val="53F06165"/>
    <w:rsid w:val="541E6503"/>
    <w:rsid w:val="54352A69"/>
    <w:rsid w:val="54411C04"/>
    <w:rsid w:val="544537CB"/>
    <w:rsid w:val="54562055"/>
    <w:rsid w:val="548A49B0"/>
    <w:rsid w:val="548C6958"/>
    <w:rsid w:val="54DD6DB3"/>
    <w:rsid w:val="54FD6E98"/>
    <w:rsid w:val="550E7062"/>
    <w:rsid w:val="55261595"/>
    <w:rsid w:val="55540CA7"/>
    <w:rsid w:val="555501A3"/>
    <w:rsid w:val="559C0F95"/>
    <w:rsid w:val="55BF6F2F"/>
    <w:rsid w:val="55C16949"/>
    <w:rsid w:val="55E82E1C"/>
    <w:rsid w:val="55FD4132"/>
    <w:rsid w:val="56311D24"/>
    <w:rsid w:val="5633455A"/>
    <w:rsid w:val="56387EF4"/>
    <w:rsid w:val="564A686F"/>
    <w:rsid w:val="56642DC8"/>
    <w:rsid w:val="56B843F1"/>
    <w:rsid w:val="56C02A96"/>
    <w:rsid w:val="56C6262F"/>
    <w:rsid w:val="56DC3AFF"/>
    <w:rsid w:val="56E23838"/>
    <w:rsid w:val="570D4A09"/>
    <w:rsid w:val="5715054B"/>
    <w:rsid w:val="571C0160"/>
    <w:rsid w:val="571C0276"/>
    <w:rsid w:val="57274446"/>
    <w:rsid w:val="5738306F"/>
    <w:rsid w:val="57526B9E"/>
    <w:rsid w:val="57560CA9"/>
    <w:rsid w:val="57596D32"/>
    <w:rsid w:val="5787670E"/>
    <w:rsid w:val="5795360F"/>
    <w:rsid w:val="57A63241"/>
    <w:rsid w:val="57AA249F"/>
    <w:rsid w:val="57D9507A"/>
    <w:rsid w:val="57DF5AB5"/>
    <w:rsid w:val="57E915AF"/>
    <w:rsid w:val="57F84E6D"/>
    <w:rsid w:val="58040CB7"/>
    <w:rsid w:val="58154B37"/>
    <w:rsid w:val="58257DA4"/>
    <w:rsid w:val="585E23AC"/>
    <w:rsid w:val="58A46CC8"/>
    <w:rsid w:val="58A865E0"/>
    <w:rsid w:val="58B648A4"/>
    <w:rsid w:val="58B64E1C"/>
    <w:rsid w:val="58C57F02"/>
    <w:rsid w:val="590D65AA"/>
    <w:rsid w:val="59280AF3"/>
    <w:rsid w:val="592E144D"/>
    <w:rsid w:val="595D12CE"/>
    <w:rsid w:val="59B46739"/>
    <w:rsid w:val="59C35DBF"/>
    <w:rsid w:val="59C50C26"/>
    <w:rsid w:val="59F248E4"/>
    <w:rsid w:val="5A014622"/>
    <w:rsid w:val="5A066F3E"/>
    <w:rsid w:val="5A103CD0"/>
    <w:rsid w:val="5A110B44"/>
    <w:rsid w:val="5A1C04F3"/>
    <w:rsid w:val="5A1E5BD1"/>
    <w:rsid w:val="5A444090"/>
    <w:rsid w:val="5A527264"/>
    <w:rsid w:val="5A752C31"/>
    <w:rsid w:val="5A822313"/>
    <w:rsid w:val="5A84316F"/>
    <w:rsid w:val="5A9C73DA"/>
    <w:rsid w:val="5ABA2D2E"/>
    <w:rsid w:val="5AC51661"/>
    <w:rsid w:val="5B02495B"/>
    <w:rsid w:val="5B0E3679"/>
    <w:rsid w:val="5B2D2819"/>
    <w:rsid w:val="5B303F63"/>
    <w:rsid w:val="5B3D0883"/>
    <w:rsid w:val="5B5A0DF8"/>
    <w:rsid w:val="5B641AEA"/>
    <w:rsid w:val="5B7929C0"/>
    <w:rsid w:val="5B81247C"/>
    <w:rsid w:val="5B817D54"/>
    <w:rsid w:val="5B863C67"/>
    <w:rsid w:val="5B9F35A6"/>
    <w:rsid w:val="5BD768BA"/>
    <w:rsid w:val="5BDD5EC3"/>
    <w:rsid w:val="5C047B47"/>
    <w:rsid w:val="5C282480"/>
    <w:rsid w:val="5C2F652D"/>
    <w:rsid w:val="5C3F5A57"/>
    <w:rsid w:val="5C4F77B1"/>
    <w:rsid w:val="5C7017F3"/>
    <w:rsid w:val="5C8E1370"/>
    <w:rsid w:val="5CBA6C5D"/>
    <w:rsid w:val="5CE86F79"/>
    <w:rsid w:val="5CFB2805"/>
    <w:rsid w:val="5D0C46D3"/>
    <w:rsid w:val="5D4A4BA5"/>
    <w:rsid w:val="5D86280F"/>
    <w:rsid w:val="5D893869"/>
    <w:rsid w:val="5D9700E4"/>
    <w:rsid w:val="5DAE1150"/>
    <w:rsid w:val="5DBF45F2"/>
    <w:rsid w:val="5DF16D2C"/>
    <w:rsid w:val="5DF66A48"/>
    <w:rsid w:val="5E2A4328"/>
    <w:rsid w:val="5E3018DF"/>
    <w:rsid w:val="5E6170C2"/>
    <w:rsid w:val="5E724E15"/>
    <w:rsid w:val="5E830F53"/>
    <w:rsid w:val="5E8877A4"/>
    <w:rsid w:val="5EB80CF4"/>
    <w:rsid w:val="5EBE2BFD"/>
    <w:rsid w:val="5F0348D6"/>
    <w:rsid w:val="5F115E33"/>
    <w:rsid w:val="5F1B175F"/>
    <w:rsid w:val="5F2C14F2"/>
    <w:rsid w:val="5F2C7170"/>
    <w:rsid w:val="5F394F36"/>
    <w:rsid w:val="5F3C05D5"/>
    <w:rsid w:val="5F460391"/>
    <w:rsid w:val="5F69521A"/>
    <w:rsid w:val="5FCF7380"/>
    <w:rsid w:val="5FE9222A"/>
    <w:rsid w:val="6000230C"/>
    <w:rsid w:val="60271FEC"/>
    <w:rsid w:val="60446A4C"/>
    <w:rsid w:val="60506B85"/>
    <w:rsid w:val="606E463B"/>
    <w:rsid w:val="606F248D"/>
    <w:rsid w:val="607E2A47"/>
    <w:rsid w:val="60A62751"/>
    <w:rsid w:val="60B2794B"/>
    <w:rsid w:val="60EC25FC"/>
    <w:rsid w:val="610750C1"/>
    <w:rsid w:val="610A0392"/>
    <w:rsid w:val="61157F1D"/>
    <w:rsid w:val="613C1001"/>
    <w:rsid w:val="614D3410"/>
    <w:rsid w:val="61732E64"/>
    <w:rsid w:val="618574C1"/>
    <w:rsid w:val="61927223"/>
    <w:rsid w:val="61DE4A8F"/>
    <w:rsid w:val="620D0801"/>
    <w:rsid w:val="62400077"/>
    <w:rsid w:val="62586CF9"/>
    <w:rsid w:val="62AE0C89"/>
    <w:rsid w:val="62B125A1"/>
    <w:rsid w:val="62C06E1D"/>
    <w:rsid w:val="63104D17"/>
    <w:rsid w:val="63350AD4"/>
    <w:rsid w:val="63671194"/>
    <w:rsid w:val="637C6DAD"/>
    <w:rsid w:val="63B87155"/>
    <w:rsid w:val="63E8410D"/>
    <w:rsid w:val="63E870CB"/>
    <w:rsid w:val="63EC1397"/>
    <w:rsid w:val="640108EE"/>
    <w:rsid w:val="641550E5"/>
    <w:rsid w:val="644C016F"/>
    <w:rsid w:val="647D1DB7"/>
    <w:rsid w:val="64C469B0"/>
    <w:rsid w:val="64CB4DB6"/>
    <w:rsid w:val="650877CF"/>
    <w:rsid w:val="65464F19"/>
    <w:rsid w:val="65542065"/>
    <w:rsid w:val="659936CB"/>
    <w:rsid w:val="65DA7B27"/>
    <w:rsid w:val="65EA4145"/>
    <w:rsid w:val="65F43D62"/>
    <w:rsid w:val="661220C9"/>
    <w:rsid w:val="6615291A"/>
    <w:rsid w:val="662C7C42"/>
    <w:rsid w:val="66380DD0"/>
    <w:rsid w:val="663C39B0"/>
    <w:rsid w:val="6648015B"/>
    <w:rsid w:val="665171A2"/>
    <w:rsid w:val="6659709C"/>
    <w:rsid w:val="66696111"/>
    <w:rsid w:val="666B4F3D"/>
    <w:rsid w:val="666F2687"/>
    <w:rsid w:val="669C0911"/>
    <w:rsid w:val="66A322A9"/>
    <w:rsid w:val="66B0108D"/>
    <w:rsid w:val="66C5486C"/>
    <w:rsid w:val="66D51C80"/>
    <w:rsid w:val="66EF2F5B"/>
    <w:rsid w:val="670A5C9B"/>
    <w:rsid w:val="6716009B"/>
    <w:rsid w:val="6750364B"/>
    <w:rsid w:val="675F20C3"/>
    <w:rsid w:val="677D213D"/>
    <w:rsid w:val="67907A5F"/>
    <w:rsid w:val="67941812"/>
    <w:rsid w:val="679E1B39"/>
    <w:rsid w:val="67A96E4B"/>
    <w:rsid w:val="67B3063F"/>
    <w:rsid w:val="67DD5834"/>
    <w:rsid w:val="68086C63"/>
    <w:rsid w:val="6809233A"/>
    <w:rsid w:val="681701A6"/>
    <w:rsid w:val="681C57B7"/>
    <w:rsid w:val="68211153"/>
    <w:rsid w:val="68275C64"/>
    <w:rsid w:val="68437AC6"/>
    <w:rsid w:val="68760019"/>
    <w:rsid w:val="68AC5848"/>
    <w:rsid w:val="68B03FED"/>
    <w:rsid w:val="68C51FBF"/>
    <w:rsid w:val="68C521EC"/>
    <w:rsid w:val="68DA7AAD"/>
    <w:rsid w:val="68DD604B"/>
    <w:rsid w:val="691502C2"/>
    <w:rsid w:val="696135E0"/>
    <w:rsid w:val="69793F89"/>
    <w:rsid w:val="699A7BAB"/>
    <w:rsid w:val="69AC07C0"/>
    <w:rsid w:val="69CC6B23"/>
    <w:rsid w:val="69EA333E"/>
    <w:rsid w:val="69FF31AE"/>
    <w:rsid w:val="6A0437DE"/>
    <w:rsid w:val="6A111AA2"/>
    <w:rsid w:val="6A327ED0"/>
    <w:rsid w:val="6A350ED3"/>
    <w:rsid w:val="6A584189"/>
    <w:rsid w:val="6A8E1ADA"/>
    <w:rsid w:val="6A8E1F61"/>
    <w:rsid w:val="6A9257F2"/>
    <w:rsid w:val="6AC534EF"/>
    <w:rsid w:val="6AF14F6A"/>
    <w:rsid w:val="6B214AAC"/>
    <w:rsid w:val="6B48020E"/>
    <w:rsid w:val="6B4B552E"/>
    <w:rsid w:val="6B9A4C20"/>
    <w:rsid w:val="6BA01F1A"/>
    <w:rsid w:val="6BAD4BB9"/>
    <w:rsid w:val="6BB136A0"/>
    <w:rsid w:val="6BBF508C"/>
    <w:rsid w:val="6BD97AFD"/>
    <w:rsid w:val="6C483634"/>
    <w:rsid w:val="6C4D7ABB"/>
    <w:rsid w:val="6C6446FC"/>
    <w:rsid w:val="6CA65792"/>
    <w:rsid w:val="6CFA130E"/>
    <w:rsid w:val="6D0B23CF"/>
    <w:rsid w:val="6D3F237F"/>
    <w:rsid w:val="6D6301B2"/>
    <w:rsid w:val="6D752DA1"/>
    <w:rsid w:val="6D8E2E84"/>
    <w:rsid w:val="6D9E0DA2"/>
    <w:rsid w:val="6DF37265"/>
    <w:rsid w:val="6E0A0A0D"/>
    <w:rsid w:val="6E3C2B6A"/>
    <w:rsid w:val="6E5018C0"/>
    <w:rsid w:val="6E510020"/>
    <w:rsid w:val="6E8E68DB"/>
    <w:rsid w:val="6E975003"/>
    <w:rsid w:val="6E983A09"/>
    <w:rsid w:val="6EA50F15"/>
    <w:rsid w:val="6EB009C4"/>
    <w:rsid w:val="6EB5427C"/>
    <w:rsid w:val="6EB7523F"/>
    <w:rsid w:val="6EBC232F"/>
    <w:rsid w:val="6EC766BA"/>
    <w:rsid w:val="6ECF7AAA"/>
    <w:rsid w:val="6EFB3EA2"/>
    <w:rsid w:val="6F3C2E19"/>
    <w:rsid w:val="6F3E5491"/>
    <w:rsid w:val="6F5F4587"/>
    <w:rsid w:val="6F6404E1"/>
    <w:rsid w:val="6F7456CB"/>
    <w:rsid w:val="6F7C6E57"/>
    <w:rsid w:val="6F817B6F"/>
    <w:rsid w:val="6F8F1DE5"/>
    <w:rsid w:val="6F9135B3"/>
    <w:rsid w:val="6F9E7E60"/>
    <w:rsid w:val="6FB91A12"/>
    <w:rsid w:val="6FBF4B72"/>
    <w:rsid w:val="6FC86CBC"/>
    <w:rsid w:val="6FD559C5"/>
    <w:rsid w:val="70001E2F"/>
    <w:rsid w:val="700539F0"/>
    <w:rsid w:val="70170D47"/>
    <w:rsid w:val="70223978"/>
    <w:rsid w:val="7048410B"/>
    <w:rsid w:val="705169F1"/>
    <w:rsid w:val="705E5FA2"/>
    <w:rsid w:val="707A0805"/>
    <w:rsid w:val="70820EE5"/>
    <w:rsid w:val="70A32F59"/>
    <w:rsid w:val="70BC4F7C"/>
    <w:rsid w:val="70C475CF"/>
    <w:rsid w:val="7114396B"/>
    <w:rsid w:val="71247C6E"/>
    <w:rsid w:val="713B1F7B"/>
    <w:rsid w:val="714216AA"/>
    <w:rsid w:val="714F5FE1"/>
    <w:rsid w:val="71523B1C"/>
    <w:rsid w:val="715352FB"/>
    <w:rsid w:val="7167651A"/>
    <w:rsid w:val="71771CD1"/>
    <w:rsid w:val="71AB742D"/>
    <w:rsid w:val="71BA2B3B"/>
    <w:rsid w:val="71C10D31"/>
    <w:rsid w:val="720A37A4"/>
    <w:rsid w:val="72163B00"/>
    <w:rsid w:val="72287919"/>
    <w:rsid w:val="722A535E"/>
    <w:rsid w:val="72331ACD"/>
    <w:rsid w:val="723941F8"/>
    <w:rsid w:val="72984A28"/>
    <w:rsid w:val="72A37A05"/>
    <w:rsid w:val="72B53273"/>
    <w:rsid w:val="72C66C84"/>
    <w:rsid w:val="72CD4B67"/>
    <w:rsid w:val="73051E18"/>
    <w:rsid w:val="731204D6"/>
    <w:rsid w:val="73130FB0"/>
    <w:rsid w:val="73153339"/>
    <w:rsid w:val="735209E3"/>
    <w:rsid w:val="7354482E"/>
    <w:rsid w:val="735C195E"/>
    <w:rsid w:val="73A662AB"/>
    <w:rsid w:val="73C62A98"/>
    <w:rsid w:val="73D60BDE"/>
    <w:rsid w:val="73DE407B"/>
    <w:rsid w:val="742F5682"/>
    <w:rsid w:val="743B28AF"/>
    <w:rsid w:val="745E2899"/>
    <w:rsid w:val="746265FC"/>
    <w:rsid w:val="74716236"/>
    <w:rsid w:val="74830D7F"/>
    <w:rsid w:val="7494714A"/>
    <w:rsid w:val="74A36CEC"/>
    <w:rsid w:val="74C97893"/>
    <w:rsid w:val="74DA1BFA"/>
    <w:rsid w:val="74E206DE"/>
    <w:rsid w:val="75177843"/>
    <w:rsid w:val="751E47C3"/>
    <w:rsid w:val="755306A4"/>
    <w:rsid w:val="7560709F"/>
    <w:rsid w:val="756B2249"/>
    <w:rsid w:val="756B6591"/>
    <w:rsid w:val="7570430B"/>
    <w:rsid w:val="75763F08"/>
    <w:rsid w:val="759466AF"/>
    <w:rsid w:val="75B86E96"/>
    <w:rsid w:val="75D209D0"/>
    <w:rsid w:val="75EC3111"/>
    <w:rsid w:val="7614716E"/>
    <w:rsid w:val="76163F18"/>
    <w:rsid w:val="76220AC4"/>
    <w:rsid w:val="762C083C"/>
    <w:rsid w:val="763412D8"/>
    <w:rsid w:val="7659538F"/>
    <w:rsid w:val="76675230"/>
    <w:rsid w:val="767F647C"/>
    <w:rsid w:val="76A3490E"/>
    <w:rsid w:val="76B608B3"/>
    <w:rsid w:val="76BE5790"/>
    <w:rsid w:val="76E13F0B"/>
    <w:rsid w:val="76E732D0"/>
    <w:rsid w:val="76F377B8"/>
    <w:rsid w:val="771466AB"/>
    <w:rsid w:val="77225349"/>
    <w:rsid w:val="773F7725"/>
    <w:rsid w:val="777C052D"/>
    <w:rsid w:val="77B72A76"/>
    <w:rsid w:val="77B87F41"/>
    <w:rsid w:val="77BA44BC"/>
    <w:rsid w:val="77D445A5"/>
    <w:rsid w:val="77FB48C1"/>
    <w:rsid w:val="78074724"/>
    <w:rsid w:val="78122E1C"/>
    <w:rsid w:val="781D02D1"/>
    <w:rsid w:val="781F11A1"/>
    <w:rsid w:val="782A3464"/>
    <w:rsid w:val="78503715"/>
    <w:rsid w:val="78586E42"/>
    <w:rsid w:val="785E706E"/>
    <w:rsid w:val="787774CE"/>
    <w:rsid w:val="787B6529"/>
    <w:rsid w:val="78851D2B"/>
    <w:rsid w:val="789B0106"/>
    <w:rsid w:val="78A31EA4"/>
    <w:rsid w:val="78C720B4"/>
    <w:rsid w:val="78CA4EB2"/>
    <w:rsid w:val="78DF3812"/>
    <w:rsid w:val="78F324BF"/>
    <w:rsid w:val="79086C89"/>
    <w:rsid w:val="79400475"/>
    <w:rsid w:val="795D3068"/>
    <w:rsid w:val="7974624F"/>
    <w:rsid w:val="798239B9"/>
    <w:rsid w:val="79E27A58"/>
    <w:rsid w:val="79EC58CE"/>
    <w:rsid w:val="79FA1FDF"/>
    <w:rsid w:val="79FB4607"/>
    <w:rsid w:val="7A0713CF"/>
    <w:rsid w:val="7A566F50"/>
    <w:rsid w:val="7A606780"/>
    <w:rsid w:val="7A6246A4"/>
    <w:rsid w:val="7A687DE1"/>
    <w:rsid w:val="7A915A53"/>
    <w:rsid w:val="7AA43906"/>
    <w:rsid w:val="7AA56599"/>
    <w:rsid w:val="7AAA4AD3"/>
    <w:rsid w:val="7ABE4384"/>
    <w:rsid w:val="7AC90610"/>
    <w:rsid w:val="7AD2010D"/>
    <w:rsid w:val="7AD33651"/>
    <w:rsid w:val="7ADC111B"/>
    <w:rsid w:val="7AF35E23"/>
    <w:rsid w:val="7B1C20DF"/>
    <w:rsid w:val="7B2D62CE"/>
    <w:rsid w:val="7B321CF8"/>
    <w:rsid w:val="7B37261F"/>
    <w:rsid w:val="7B431865"/>
    <w:rsid w:val="7B437C6B"/>
    <w:rsid w:val="7B532E03"/>
    <w:rsid w:val="7B5C26AD"/>
    <w:rsid w:val="7B6C0156"/>
    <w:rsid w:val="7B6D691A"/>
    <w:rsid w:val="7BC61FE6"/>
    <w:rsid w:val="7BD71BEF"/>
    <w:rsid w:val="7BE15010"/>
    <w:rsid w:val="7C023D7D"/>
    <w:rsid w:val="7C1B71A3"/>
    <w:rsid w:val="7C1B7502"/>
    <w:rsid w:val="7C360BDC"/>
    <w:rsid w:val="7C3E1DC1"/>
    <w:rsid w:val="7C534465"/>
    <w:rsid w:val="7C6B66A2"/>
    <w:rsid w:val="7C740A3A"/>
    <w:rsid w:val="7C9725F4"/>
    <w:rsid w:val="7CB3357F"/>
    <w:rsid w:val="7CBA13F1"/>
    <w:rsid w:val="7CBC2834"/>
    <w:rsid w:val="7CE75821"/>
    <w:rsid w:val="7CF304C6"/>
    <w:rsid w:val="7D1C50DA"/>
    <w:rsid w:val="7D4943AD"/>
    <w:rsid w:val="7D542ACA"/>
    <w:rsid w:val="7D5F2D43"/>
    <w:rsid w:val="7D886CF0"/>
    <w:rsid w:val="7DA128D8"/>
    <w:rsid w:val="7DAC6D79"/>
    <w:rsid w:val="7DE753C1"/>
    <w:rsid w:val="7DEC77DA"/>
    <w:rsid w:val="7E084EED"/>
    <w:rsid w:val="7E14426F"/>
    <w:rsid w:val="7E1475E6"/>
    <w:rsid w:val="7E271332"/>
    <w:rsid w:val="7E2B6D2C"/>
    <w:rsid w:val="7E806DC1"/>
    <w:rsid w:val="7E872C99"/>
    <w:rsid w:val="7E874DB8"/>
    <w:rsid w:val="7EA32BBC"/>
    <w:rsid w:val="7ECD1A96"/>
    <w:rsid w:val="7ED03238"/>
    <w:rsid w:val="7ED60925"/>
    <w:rsid w:val="7ED90F73"/>
    <w:rsid w:val="7F3663C0"/>
    <w:rsid w:val="7F402A0E"/>
    <w:rsid w:val="7F455ED7"/>
    <w:rsid w:val="7F914E90"/>
    <w:rsid w:val="7F952F8E"/>
    <w:rsid w:val="7FEC7A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line="360" w:lineRule="auto"/>
      <w:contextualSpacing/>
      <w:jc w:val="center"/>
      <w:outlineLvl w:val="0"/>
    </w:pPr>
    <w:rPr>
      <w:rFonts w:eastAsia="黑体"/>
      <w:bCs/>
      <w:kern w:val="44"/>
      <w:sz w:val="32"/>
      <w:szCs w:val="44"/>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line="360" w:lineRule="auto"/>
      <w:jc w:val="center"/>
      <w:outlineLvl w:val="0"/>
    </w:pPr>
    <w:rPr>
      <w:rFonts w:ascii="Cambria" w:hAnsi="Cambria" w:eastAsia="黑体"/>
      <w:bCs/>
      <w:sz w:val="32"/>
      <w:szCs w:val="32"/>
    </w:rPr>
  </w:style>
  <w:style w:type="paragraph" w:styleId="5">
    <w:name w:val="annotation text"/>
    <w:basedOn w:val="1"/>
    <w:qFormat/>
    <w:uiPriority w:val="0"/>
    <w:pPr>
      <w:jc w:val="left"/>
    </w:pPr>
  </w:style>
  <w:style w:type="paragraph" w:styleId="6">
    <w:name w:val="Body Text Indent"/>
    <w:basedOn w:val="1"/>
    <w:qFormat/>
    <w:uiPriority w:val="0"/>
    <w:pPr>
      <w:spacing w:after="120"/>
      <w:ind w:left="420" w:leftChars="200"/>
    </w:pPr>
    <w:rPr>
      <w:lang w:val="zh-CN" w:eastAsia="zh-CN"/>
    </w:rPr>
  </w:style>
  <w:style w:type="paragraph" w:styleId="7">
    <w:name w:val="Plain Text"/>
    <w:basedOn w:val="1"/>
    <w:qFormat/>
    <w:uiPriority w:val="0"/>
    <w:rPr>
      <w:rFonts w:eastAsia="仿宋_GB2312"/>
      <w:sz w:val="32"/>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numPr>
        <w:ilvl w:val="6"/>
        <w:numId w:val="1"/>
      </w:num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0"/>
    <w:pPr>
      <w:spacing w:before="120" w:after="120"/>
      <w:jc w:val="left"/>
    </w:pPr>
    <w:rPr>
      <w:rFonts w:ascii="等线" w:eastAsia="等线"/>
      <w:b/>
      <w:bCs/>
      <w:caps/>
      <w:sz w:val="20"/>
      <w:szCs w:val="20"/>
    </w:rPr>
  </w:style>
  <w:style w:type="paragraph" w:styleId="11">
    <w:name w:val="toc 2"/>
    <w:basedOn w:val="1"/>
    <w:next w:val="1"/>
    <w:qFormat/>
    <w:uiPriority w:val="0"/>
    <w:pPr>
      <w:ind w:left="420" w:leftChars="200"/>
    </w:pPr>
  </w:style>
  <w:style w:type="paragraph" w:styleId="12">
    <w:name w:val="Body Text First Indent 2"/>
    <w:basedOn w:val="6"/>
    <w:qFormat/>
    <w:uiPriority w:val="0"/>
    <w:pPr>
      <w:ind w:firstLine="420" w:firstLineChars="200"/>
    </w:p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0"/>
    <w:rPr>
      <w:color w:val="0000FF"/>
      <w:u w:val="single"/>
    </w:rPr>
  </w:style>
  <w:style w:type="paragraph" w:customStyle="1" w:styleId="17">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18">
    <w:name w:val="段"/>
    <w:qFormat/>
    <w:uiPriority w:val="0"/>
    <w:pPr>
      <w:widowControl w:val="0"/>
      <w:autoSpaceDE w:val="0"/>
      <w:autoSpaceDN w:val="0"/>
      <w:spacing w:line="600" w:lineRule="exact"/>
      <w:ind w:firstLine="640" w:firstLineChars="200"/>
      <w:jc w:val="both"/>
    </w:pPr>
    <w:rPr>
      <w:rFonts w:ascii="宋体" w:hAnsi="宋体" w:eastAsia="宋体" w:cs="Times New Roman"/>
      <w:sz w:val="32"/>
      <w:szCs w:val="32"/>
      <w:lang w:val="en-US" w:eastAsia="zh-CN" w:bidi="ar-SA"/>
    </w:rPr>
  </w:style>
  <w:style w:type="paragraph" w:customStyle="1" w:styleId="19">
    <w:name w:val="Pa3+1"/>
    <w:basedOn w:val="1"/>
    <w:next w:val="1"/>
    <w:qFormat/>
    <w:uiPriority w:val="0"/>
    <w:pPr>
      <w:widowControl/>
      <w:autoSpaceDE w:val="0"/>
      <w:autoSpaceDN w:val="0"/>
      <w:spacing w:line="201" w:lineRule="atLeast"/>
      <w:jc w:val="left"/>
    </w:pPr>
    <w:rPr>
      <w:rFonts w:ascii="方正黑体简体" w:hAnsi="方正黑体简体" w:eastAsia="方正黑体简体" w:cs="Times New Roman"/>
      <w:color w:val="000000"/>
      <w:kern w:val="0"/>
      <w:sz w:val="24"/>
      <w:szCs w:val="20"/>
    </w:rPr>
  </w:style>
  <w:style w:type="paragraph" w:customStyle="1" w:styleId="20">
    <w:name w:val="List Paragraph"/>
    <w:basedOn w:val="1"/>
    <w:qFormat/>
    <w:uiPriority w:val="34"/>
    <w:pPr>
      <w:ind w:firstLine="420" w:firstLineChars="200"/>
    </w:pPr>
    <w:rPr>
      <w:rFonts w:ascii="Calibri" w:hAnsi="Calibri"/>
      <w:szCs w:val="22"/>
    </w:rPr>
  </w:style>
  <w:style w:type="paragraph" w:customStyle="1" w:styleId="21">
    <w:name w:val="No Spacing"/>
    <w:qFormat/>
    <w:uiPriority w:val="1"/>
    <w:rPr>
      <w:rFonts w:ascii="Calibri" w:hAnsi="Calibri" w:eastAsia="宋体" w:cs="Times New Roman"/>
      <w:sz w:val="22"/>
      <w:szCs w:val="22"/>
      <w:lang w:val="en-US" w:eastAsia="zh-CN" w:bidi="ar-SA"/>
    </w:rPr>
  </w:style>
  <w:style w:type="paragraph" w:customStyle="1" w:styleId="22">
    <w:name w:val="正文文本缩进1"/>
    <w:basedOn w:val="1"/>
    <w:qFormat/>
    <w:uiPriority w:val="0"/>
    <w:pPr>
      <w:spacing w:after="120"/>
      <w:ind w:left="420" w:leftChars="200"/>
    </w:pPr>
    <w:rPr>
      <w:rFonts w:ascii="Times New Roman" w:hAnsi="Times New Roman" w:eastAsia="宋体" w:cs="Times New Roman"/>
      <w:szCs w:val="24"/>
    </w:rPr>
  </w:style>
  <w:style w:type="paragraph" w:customStyle="1" w:styleId="23">
    <w:name w:val="_Style 2"/>
    <w:basedOn w:val="1"/>
    <w:qFormat/>
    <w:uiPriority w:val="34"/>
    <w:pPr>
      <w:ind w:firstLine="420" w:firstLineChars="200"/>
    </w:pPr>
  </w:style>
  <w:style w:type="paragraph" w:customStyle="1" w:styleId="24">
    <w:name w:val="列表段落1"/>
    <w:basedOn w:val="1"/>
    <w:qFormat/>
    <w:uiPriority w:val="34"/>
    <w:pPr>
      <w:ind w:firstLine="420" w:firstLineChars="200"/>
    </w:pPr>
  </w:style>
  <w:style w:type="paragraph" w:customStyle="1" w:styleId="25">
    <w:name w:val="封面正文"/>
    <w:qFormat/>
    <w:uiPriority w:val="0"/>
    <w:pPr>
      <w:jc w:val="both"/>
    </w:pPr>
    <w:rPr>
      <w:rFonts w:ascii="Times New Roman" w:hAnsi="Times New Roman" w:eastAsia="宋体" w:cs="Times New Roman"/>
      <w:lang w:val="en-US" w:eastAsia="zh-CN" w:bidi="ar-SA"/>
    </w:rPr>
  </w:style>
  <w:style w:type="paragraph" w:customStyle="1" w:styleId="26">
    <w:name w:val="章标题"/>
    <w:next w:val="1"/>
    <w:qFormat/>
    <w:uiPriority w:val="99"/>
    <w:pPr>
      <w:spacing w:beforeLines="50" w:afterLines="50"/>
      <w:jc w:val="both"/>
      <w:outlineLvl w:val="1"/>
    </w:pPr>
    <w:rPr>
      <w:rFonts w:ascii="黑体" w:hAnsi="Times New Roman" w:eastAsia="黑体" w:cs="黑体"/>
      <w:kern w:val="0"/>
      <w:sz w:val="21"/>
      <w:szCs w:val="21"/>
      <w:lang w:val="en-US" w:eastAsia="zh-CN" w:bidi="ar-SA"/>
    </w:rPr>
  </w:style>
  <w:style w:type="character" w:customStyle="1" w:styleId="27">
    <w:name w:val="font51"/>
    <w:qFormat/>
    <w:uiPriority w:val="0"/>
    <w:rPr>
      <w:rFonts w:hint="eastAsia" w:ascii="宋体" w:hAnsi="宋体" w:eastAsia="宋体" w:cs="宋体"/>
      <w:color w:val="000000"/>
      <w:sz w:val="20"/>
      <w:szCs w:val="20"/>
      <w:u w:val="none"/>
    </w:rPr>
  </w:style>
  <w:style w:type="paragraph" w:customStyle="1" w:styleId="28">
    <w:name w:val="内容正文"/>
    <w:basedOn w:val="1"/>
    <w:qFormat/>
    <w:uiPriority w:val="0"/>
    <w:pPr>
      <w:spacing w:before="156" w:beforeLines="50" w:after="156" w:afterLines="50"/>
    </w:pPr>
    <w:rPr>
      <w:rFonts w:ascii="Arial" w:hAnsi="Arial" w:eastAsia="Times New Roman"/>
      <w:szCs w:val="21"/>
    </w:rPr>
  </w:style>
  <w:style w:type="paragraph" w:customStyle="1" w:styleId="29">
    <w:name w:val="_Style 9"/>
    <w:qFormat/>
    <w:uiPriority w:val="1"/>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1745</Words>
  <Characters>1756</Characters>
  <Lines>0</Lines>
  <Paragraphs>0</Paragraphs>
  <TotalTime>8</TotalTime>
  <ScaleCrop>false</ScaleCrop>
  <LinksUpToDate>false</LinksUpToDate>
  <CharactersWithSpaces>1762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ThinkPad</dc:creator>
  <cp:lastModifiedBy>bdc9571f2f8c46e482334dcb6512ab9a</cp:lastModifiedBy>
  <cp:lastPrinted>2019-07-18T06:16:00Z</cp:lastPrinted>
  <dcterms:modified xsi:type="dcterms:W3CDTF">2025-10-22T06:41:54Z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7D0AFCF6FED04700953CF7C319EA0F08_13</vt:lpwstr>
  </property>
</Properties>
</file>