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E1FBA3">
      <w:pPr>
        <w:jc w:val="left"/>
        <w:rPr>
          <w:rFonts w:ascii="仿宋" w:hAnsi="仿宋" w:eastAsia="仿宋" w:cs="仿宋"/>
          <w:sz w:val="32"/>
          <w:szCs w:val="32"/>
        </w:rPr>
      </w:pPr>
      <w:r>
        <w:rPr>
          <w:rFonts w:hint="eastAsia" w:ascii="仿宋" w:hAnsi="仿宋" w:eastAsia="仿宋" w:cs="仿宋"/>
          <w:sz w:val="32"/>
          <w:szCs w:val="32"/>
        </w:rPr>
        <w:t>附件一</w:t>
      </w:r>
    </w:p>
    <w:p w14:paraId="346C7A4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南方电网供应链（广东）有限公司基于深度视觉的园区设施碰撞风险感知硬件开发技术规范书</w:t>
      </w:r>
    </w:p>
    <w:p w14:paraId="5A9CE6DC"/>
    <w:p w14:paraId="0148016A">
      <w:pPr>
        <w:pStyle w:val="3"/>
      </w:pPr>
      <w:r>
        <w:t>一、研究目标</w:t>
      </w:r>
    </w:p>
    <w:p w14:paraId="4A3E72C5">
      <w:pPr>
        <w:adjustRightInd w:val="0"/>
        <w:snapToGrid w:val="0"/>
        <w:spacing w:line="560" w:lineRule="exact"/>
        <w:ind w:firstLine="560" w:firstLineChars="200"/>
        <w:textAlignment w:val="baseline"/>
        <w:rPr>
          <w:rFonts w:ascii="Times New Roman" w:hAnsi="Times New Roman" w:eastAsia="宋体" w:cs="Times New Roman"/>
          <w:kern w:val="0"/>
          <w:sz w:val="28"/>
          <w:szCs w:val="28"/>
        </w:rPr>
      </w:pPr>
      <w:r>
        <w:rPr>
          <w:rFonts w:hint="eastAsia" w:ascii="Times New Roman" w:hAnsi="Times New Roman" w:eastAsia="宋体" w:cs="Times New Roman"/>
          <w:kern w:val="0"/>
          <w:sz w:val="28"/>
          <w:szCs w:val="28"/>
        </w:rPr>
        <w:t>本项目</w:t>
      </w:r>
      <w:r>
        <w:rPr>
          <w:rFonts w:hint="eastAsia" w:ascii="Times New Roman" w:hAnsi="Times New Roman" w:eastAsia="宋体" w:cs="Times New Roman"/>
          <w:kern w:val="0"/>
          <w:sz w:val="28"/>
          <w:szCs w:val="28"/>
          <w:lang w:val="en-US" w:eastAsia="zh-CN"/>
        </w:rPr>
        <w:t>基于江村区域仓运营痛点，</w:t>
      </w:r>
      <w:r>
        <w:rPr>
          <w:rFonts w:hint="eastAsia" w:ascii="Times New Roman" w:hAnsi="Times New Roman" w:eastAsia="宋体" w:cs="Times New Roman"/>
          <w:kern w:val="0"/>
          <w:sz w:val="28"/>
          <w:szCs w:val="28"/>
        </w:rPr>
        <w:t>旨在研发并验证一套低功耗、全天候、本地智能的园区设施碰撞风险感知与预警</w:t>
      </w:r>
      <w:r>
        <w:rPr>
          <w:rFonts w:hint="eastAsia" w:ascii="Times New Roman" w:hAnsi="Times New Roman" w:eastAsia="宋体" w:cs="Times New Roman"/>
          <w:kern w:val="0"/>
          <w:sz w:val="28"/>
          <w:szCs w:val="28"/>
          <w:lang w:val="en-US" w:eastAsia="zh-CN"/>
        </w:rPr>
        <w:t>硬件</w:t>
      </w:r>
      <w:r>
        <w:rPr>
          <w:rFonts w:hint="eastAsia" w:ascii="Times New Roman" w:hAnsi="Times New Roman" w:eastAsia="宋体" w:cs="Times New Roman"/>
          <w:kern w:val="0"/>
          <w:sz w:val="28"/>
          <w:szCs w:val="28"/>
        </w:rPr>
        <w:t>。通过融合</w:t>
      </w:r>
      <w:r>
        <w:rPr>
          <w:rFonts w:hint="eastAsia" w:ascii="Times New Roman" w:hAnsi="Times New Roman" w:eastAsia="宋体" w:cs="Times New Roman"/>
          <w:kern w:val="0"/>
          <w:sz w:val="28"/>
          <w:szCs w:val="28"/>
          <w:lang w:eastAsia="zh-CN"/>
        </w:rPr>
        <w:t>激光雷达测距、视觉识别</w:t>
      </w:r>
      <w:r>
        <w:rPr>
          <w:rFonts w:hint="eastAsia" w:ascii="Times New Roman" w:hAnsi="Times New Roman" w:eastAsia="宋体" w:cs="Times New Roman"/>
          <w:kern w:val="0"/>
          <w:sz w:val="28"/>
          <w:szCs w:val="28"/>
        </w:rPr>
        <w:t>与边缘计算技术，实现对高风险车辆的精准识别、碰撞风险的实时判断以及声光物理级的即时干预，从而将安全管理模式从“事后响应”的被动防护，转变为“事前预警”的主动防控。最终目标是为</w:t>
      </w:r>
      <w:r>
        <w:rPr>
          <w:rFonts w:hint="eastAsia" w:ascii="Times New Roman" w:hAnsi="Times New Roman" w:eastAsia="宋体" w:cs="Times New Roman"/>
          <w:kern w:val="0"/>
          <w:sz w:val="28"/>
          <w:szCs w:val="28"/>
          <w:lang w:val="en-US" w:eastAsia="zh-CN"/>
        </w:rPr>
        <w:t>仓库</w:t>
      </w:r>
      <w:r>
        <w:rPr>
          <w:rFonts w:hint="eastAsia" w:ascii="Times New Roman" w:hAnsi="Times New Roman" w:eastAsia="宋体" w:cs="Times New Roman"/>
          <w:kern w:val="0"/>
          <w:sz w:val="28"/>
          <w:szCs w:val="28"/>
        </w:rPr>
        <w:t>园区、物流基地等场景提供一套部署灵活、稳定可靠、可规模化推广的标准化安全解决方案。</w:t>
      </w:r>
    </w:p>
    <w:p w14:paraId="43365473">
      <w:pPr>
        <w:pStyle w:val="3"/>
      </w:pPr>
      <w:r>
        <w:t>二、主要研究内容</w:t>
      </w:r>
    </w:p>
    <w:p w14:paraId="216706F4">
      <w:pPr>
        <w:adjustRightInd w:val="0"/>
        <w:snapToGrid w:val="0"/>
        <w:spacing w:line="560" w:lineRule="exact"/>
        <w:ind w:firstLine="560" w:firstLineChars="200"/>
        <w:textAlignment w:val="baseline"/>
        <w:rPr>
          <w:rFonts w:ascii="Times New Roman" w:hAnsi="Times New Roman" w:eastAsia="宋体" w:cs="Times New Roman"/>
          <w:kern w:val="0"/>
          <w:sz w:val="28"/>
          <w:szCs w:val="28"/>
        </w:rPr>
      </w:pPr>
      <w:r>
        <w:rPr>
          <w:rFonts w:hint="eastAsia" w:ascii="Times New Roman" w:hAnsi="Times New Roman" w:eastAsia="宋体" w:cs="Times New Roman"/>
          <w:kern w:val="0"/>
          <w:sz w:val="28"/>
          <w:szCs w:val="28"/>
        </w:rPr>
        <w:t>项目研究内容主要包括：</w:t>
      </w:r>
    </w:p>
    <w:p w14:paraId="0AF75362">
      <w:pPr>
        <w:adjustRightInd w:val="0"/>
        <w:snapToGrid w:val="0"/>
        <w:spacing w:line="560" w:lineRule="exact"/>
        <w:ind w:firstLine="562" w:firstLineChars="200"/>
        <w:textAlignment w:val="baseline"/>
        <w:rPr>
          <w:rFonts w:hint="eastAsia" w:ascii="Times New Roman" w:hAnsi="Times New Roman" w:eastAsia="宋体" w:cs="Times New Roman"/>
          <w:b/>
          <w:bCs/>
          <w:kern w:val="0"/>
          <w:sz w:val="28"/>
          <w:szCs w:val="28"/>
        </w:rPr>
      </w:pPr>
      <w:r>
        <w:rPr>
          <w:rFonts w:hint="eastAsia" w:ascii="Times New Roman" w:hAnsi="Times New Roman" w:eastAsia="宋体" w:cs="Times New Roman"/>
          <w:b/>
          <w:bCs/>
          <w:kern w:val="0"/>
          <w:sz w:val="28"/>
          <w:szCs w:val="28"/>
        </w:rPr>
        <w:t>1. 风险场景建模与需求定义</w:t>
      </w:r>
    </w:p>
    <w:p w14:paraId="22E3CD31">
      <w:pPr>
        <w:adjustRightInd w:val="0"/>
        <w:snapToGrid w:val="0"/>
        <w:spacing w:line="560" w:lineRule="exact"/>
        <w:ind w:firstLine="560" w:firstLineChars="200"/>
        <w:textAlignment w:val="baseline"/>
        <w:rPr>
          <w:rFonts w:ascii="Times New Roman" w:hAnsi="Times New Roman" w:eastAsia="宋体" w:cs="Times New Roman"/>
          <w:kern w:val="0"/>
          <w:sz w:val="28"/>
          <w:szCs w:val="28"/>
        </w:rPr>
      </w:pPr>
      <w:r>
        <w:rPr>
          <w:rFonts w:hint="eastAsia" w:ascii="Times New Roman" w:hAnsi="Times New Roman" w:eastAsia="宋体" w:cs="Times New Roman"/>
          <w:kern w:val="0"/>
          <w:sz w:val="28"/>
          <w:szCs w:val="28"/>
          <w:lang w:val="en-US" w:eastAsia="zh-CN"/>
        </w:rPr>
        <w:t>通过</w:t>
      </w:r>
      <w:r>
        <w:rPr>
          <w:rFonts w:hint="eastAsia" w:ascii="Times New Roman" w:hAnsi="Times New Roman" w:eastAsia="宋体" w:cs="Times New Roman"/>
          <w:kern w:val="0"/>
          <w:sz w:val="28"/>
          <w:szCs w:val="28"/>
        </w:rPr>
        <w:t>对</w:t>
      </w:r>
      <w:r>
        <w:rPr>
          <w:rFonts w:hint="eastAsia" w:ascii="Times New Roman" w:hAnsi="Times New Roman" w:eastAsia="宋体" w:cs="Times New Roman"/>
          <w:kern w:val="0"/>
          <w:sz w:val="28"/>
          <w:szCs w:val="28"/>
          <w:lang w:val="en-US" w:eastAsia="zh-CN"/>
        </w:rPr>
        <w:t>江村区域仓</w:t>
      </w:r>
      <w:r>
        <w:rPr>
          <w:rFonts w:hint="eastAsia" w:ascii="Times New Roman" w:hAnsi="Times New Roman" w:eastAsia="宋体" w:cs="Times New Roman"/>
          <w:kern w:val="0"/>
          <w:sz w:val="28"/>
          <w:szCs w:val="28"/>
        </w:rPr>
        <w:t>园区内车辆通行路线、设施分布进行实地调研与数据分析，识别高碰撞风险区域与行为特征。</w:t>
      </w:r>
      <w:r>
        <w:rPr>
          <w:rFonts w:hint="eastAsia" w:ascii="Times New Roman" w:hAnsi="Times New Roman" w:eastAsia="宋体" w:cs="Times New Roman"/>
          <w:kern w:val="0"/>
          <w:sz w:val="28"/>
          <w:szCs w:val="28"/>
          <w:lang w:val="en-US" w:eastAsia="zh-CN"/>
        </w:rPr>
        <w:t>同时</w:t>
      </w:r>
      <w:r>
        <w:rPr>
          <w:rFonts w:hint="eastAsia" w:ascii="Times New Roman" w:hAnsi="Times New Roman" w:eastAsia="宋体" w:cs="Times New Roman"/>
          <w:kern w:val="0"/>
          <w:sz w:val="28"/>
          <w:szCs w:val="28"/>
        </w:rPr>
        <w:t>建立标准的应用场景模型，明确系统的感知范围、识别准确率、响应时间及预警触发条件等核心性能指标。</w:t>
      </w:r>
    </w:p>
    <w:p w14:paraId="7E57F768">
      <w:pPr>
        <w:adjustRightInd w:val="0"/>
        <w:snapToGrid w:val="0"/>
        <w:spacing w:line="560" w:lineRule="exact"/>
        <w:ind w:firstLine="562" w:firstLineChars="200"/>
        <w:textAlignment w:val="baseline"/>
        <w:rPr>
          <w:rFonts w:hint="eastAsia" w:ascii="Times New Roman" w:hAnsi="Times New Roman" w:eastAsia="宋体" w:cs="Times New Roman"/>
          <w:b/>
          <w:bCs/>
          <w:kern w:val="0"/>
          <w:sz w:val="28"/>
          <w:szCs w:val="28"/>
        </w:rPr>
      </w:pPr>
      <w:r>
        <w:rPr>
          <w:rFonts w:hint="eastAsia" w:ascii="Times New Roman" w:hAnsi="Times New Roman" w:eastAsia="宋体" w:cs="Times New Roman"/>
          <w:b/>
          <w:bCs/>
          <w:kern w:val="0"/>
          <w:sz w:val="28"/>
          <w:szCs w:val="28"/>
        </w:rPr>
        <w:t>2.模块化低功耗硬件系统设计与集成</w:t>
      </w:r>
    </w:p>
    <w:p w14:paraId="3D8F3098">
      <w:pPr>
        <w:adjustRightInd w:val="0"/>
        <w:snapToGrid w:val="0"/>
        <w:spacing w:line="560" w:lineRule="exact"/>
        <w:ind w:firstLine="560" w:firstLineChars="200"/>
        <w:textAlignment w:val="baseline"/>
        <w:rPr>
          <w:rFonts w:hint="eastAsia" w:ascii="Times New Roman" w:hAnsi="Times New Roman" w:eastAsia="宋体" w:cs="Times New Roman"/>
          <w:kern w:val="0"/>
          <w:sz w:val="28"/>
          <w:szCs w:val="28"/>
        </w:rPr>
      </w:pPr>
      <w:r>
        <w:rPr>
          <w:rFonts w:hint="eastAsia" w:ascii="Times New Roman" w:hAnsi="Times New Roman" w:eastAsia="宋体" w:cs="Times New Roman"/>
          <w:kern w:val="0"/>
          <w:sz w:val="28"/>
          <w:szCs w:val="28"/>
          <w:lang w:val="en-US" w:eastAsia="zh-CN"/>
        </w:rPr>
        <w:t>设</w:t>
      </w:r>
      <w:r>
        <w:rPr>
          <w:rFonts w:hint="eastAsia" w:ascii="Times New Roman" w:hAnsi="Times New Roman" w:eastAsia="宋体" w:cs="Times New Roman"/>
          <w:kern w:val="0"/>
          <w:sz w:val="28"/>
          <w:szCs w:val="28"/>
        </w:rPr>
        <w:t>计集成</w:t>
      </w:r>
      <w:r>
        <w:rPr>
          <w:rFonts w:hint="eastAsia" w:ascii="Times New Roman" w:hAnsi="Times New Roman" w:eastAsia="宋体" w:cs="Times New Roman"/>
          <w:kern w:val="0"/>
          <w:sz w:val="28"/>
          <w:szCs w:val="28"/>
          <w:lang w:eastAsia="zh-CN"/>
        </w:rPr>
        <w:t>激光雷达、相机模组</w:t>
      </w:r>
      <w:r>
        <w:rPr>
          <w:rFonts w:hint="eastAsia" w:ascii="Times New Roman" w:hAnsi="Times New Roman" w:eastAsia="宋体" w:cs="Times New Roman"/>
          <w:kern w:val="0"/>
          <w:sz w:val="28"/>
          <w:szCs w:val="28"/>
        </w:rPr>
        <w:t>、边缘计算单元、太阳能供电模块及声光报警装置的硬件原型。</w:t>
      </w:r>
      <w:r>
        <w:rPr>
          <w:rFonts w:hint="eastAsia" w:ascii="Times New Roman" w:hAnsi="Times New Roman" w:eastAsia="宋体" w:cs="Times New Roman"/>
          <w:kern w:val="0"/>
          <w:sz w:val="28"/>
          <w:szCs w:val="28"/>
          <w:lang w:val="en-US" w:eastAsia="zh-CN"/>
        </w:rPr>
        <w:t>并</w:t>
      </w:r>
      <w:r>
        <w:rPr>
          <w:rFonts w:hint="eastAsia" w:ascii="Times New Roman" w:hAnsi="Times New Roman" w:eastAsia="宋体" w:cs="Times New Roman"/>
          <w:kern w:val="0"/>
          <w:sz w:val="28"/>
          <w:szCs w:val="28"/>
        </w:rPr>
        <w:t>采用模块化、防水防尘结构设计，确保设备能灵活、稳固地安装于各类园区设施（如灯杆、指示牌），并实现全天候、低功耗运行</w:t>
      </w:r>
      <w:r>
        <w:rPr>
          <w:rFonts w:hint="eastAsia" w:ascii="Times New Roman" w:hAnsi="Times New Roman" w:eastAsia="宋体" w:cs="Times New Roman"/>
          <w:kern w:val="0"/>
          <w:sz w:val="28"/>
          <w:szCs w:val="28"/>
          <w:lang w:eastAsia="zh-CN"/>
        </w:rPr>
        <w:t>，</w:t>
      </w:r>
      <w:r>
        <w:rPr>
          <w:rFonts w:hint="eastAsia" w:ascii="Times New Roman" w:hAnsi="Times New Roman" w:eastAsia="宋体" w:cs="Times New Roman"/>
          <w:kern w:val="0"/>
          <w:sz w:val="28"/>
          <w:szCs w:val="28"/>
          <w:lang w:val="en-US" w:eastAsia="zh-CN"/>
        </w:rPr>
        <w:t>硬件主体尺寸在20cm*10cm*10cm以内</w:t>
      </w:r>
      <w:r>
        <w:rPr>
          <w:rFonts w:hint="eastAsia" w:ascii="Times New Roman" w:hAnsi="Times New Roman" w:eastAsia="宋体" w:cs="Times New Roman"/>
          <w:kern w:val="0"/>
          <w:sz w:val="28"/>
          <w:szCs w:val="28"/>
        </w:rPr>
        <w:t>。</w:t>
      </w:r>
    </w:p>
    <w:p w14:paraId="66406A26">
      <w:pPr>
        <w:adjustRightInd w:val="0"/>
        <w:snapToGrid w:val="0"/>
        <w:spacing w:line="560" w:lineRule="exact"/>
        <w:ind w:firstLine="562" w:firstLineChars="200"/>
        <w:textAlignment w:val="baseline"/>
        <w:rPr>
          <w:rFonts w:ascii="Times New Roman" w:hAnsi="Times New Roman" w:eastAsia="宋体" w:cs="Times New Roman"/>
          <w:b/>
          <w:bCs/>
          <w:kern w:val="0"/>
          <w:sz w:val="28"/>
          <w:szCs w:val="28"/>
        </w:rPr>
      </w:pPr>
      <w:r>
        <w:rPr>
          <w:rFonts w:hint="eastAsia" w:ascii="Times New Roman" w:hAnsi="Times New Roman" w:eastAsia="宋体" w:cs="Times New Roman"/>
          <w:b/>
          <w:bCs/>
          <w:kern w:val="0"/>
          <w:sz w:val="28"/>
          <w:szCs w:val="28"/>
        </w:rPr>
        <w:t>3.高精度智能识别与风险判定算法开发</w:t>
      </w:r>
    </w:p>
    <w:p w14:paraId="664EDEA6">
      <w:pPr>
        <w:adjustRightInd w:val="0"/>
        <w:snapToGrid w:val="0"/>
        <w:spacing w:line="560" w:lineRule="exact"/>
        <w:ind w:firstLine="560" w:firstLineChars="200"/>
        <w:textAlignment w:val="baseline"/>
        <w:rPr>
          <w:rFonts w:ascii="Times New Roman" w:hAnsi="Times New Roman" w:eastAsia="宋体" w:cs="Times New Roman"/>
          <w:kern w:val="0"/>
          <w:sz w:val="28"/>
          <w:szCs w:val="28"/>
        </w:rPr>
      </w:pPr>
      <w:r>
        <w:rPr>
          <w:rFonts w:hint="eastAsia" w:ascii="Times New Roman" w:hAnsi="Times New Roman" w:eastAsia="宋体" w:cs="Times New Roman"/>
          <w:kern w:val="0"/>
          <w:sz w:val="28"/>
          <w:szCs w:val="28"/>
          <w:lang w:val="en-US" w:eastAsia="zh-CN"/>
        </w:rPr>
        <w:t>一是</w:t>
      </w:r>
      <w:r>
        <w:rPr>
          <w:rFonts w:hint="eastAsia" w:ascii="Times New Roman" w:hAnsi="Times New Roman" w:eastAsia="宋体" w:cs="Times New Roman"/>
          <w:kern w:val="0"/>
          <w:sz w:val="28"/>
          <w:szCs w:val="28"/>
        </w:rPr>
        <w:t>开发基于融合</w:t>
      </w:r>
      <w:r>
        <w:rPr>
          <w:rFonts w:hint="eastAsia" w:ascii="Times New Roman" w:hAnsi="Times New Roman" w:eastAsia="宋体" w:cs="Times New Roman"/>
          <w:kern w:val="0"/>
          <w:sz w:val="28"/>
          <w:szCs w:val="28"/>
          <w:lang w:eastAsia="zh-CN"/>
        </w:rPr>
        <w:t>激光点云</w:t>
      </w:r>
      <w:r>
        <w:rPr>
          <w:rFonts w:hint="eastAsia" w:ascii="Times New Roman" w:hAnsi="Times New Roman" w:eastAsia="宋体" w:cs="Times New Roman"/>
          <w:kern w:val="0"/>
          <w:sz w:val="28"/>
          <w:szCs w:val="28"/>
        </w:rPr>
        <w:t>与</w:t>
      </w:r>
      <w:r>
        <w:rPr>
          <w:rFonts w:hint="eastAsia" w:ascii="Times New Roman" w:hAnsi="Times New Roman" w:eastAsia="宋体" w:cs="Times New Roman"/>
          <w:kern w:val="0"/>
          <w:sz w:val="28"/>
          <w:szCs w:val="28"/>
          <w:lang w:eastAsia="zh-CN"/>
        </w:rPr>
        <w:t>图像</w:t>
      </w:r>
      <w:r>
        <w:rPr>
          <w:rFonts w:hint="eastAsia" w:ascii="Times New Roman" w:hAnsi="Times New Roman" w:eastAsia="宋体" w:cs="Times New Roman"/>
          <w:kern w:val="0"/>
          <w:sz w:val="28"/>
          <w:szCs w:val="28"/>
        </w:rPr>
        <w:t>信息的自研车辆识别算法，重点精准识别大型车辆（如货车、吊车）</w:t>
      </w:r>
      <w:r>
        <w:rPr>
          <w:rFonts w:hint="eastAsia" w:ascii="Times New Roman" w:hAnsi="Times New Roman" w:eastAsia="宋体" w:cs="Times New Roman"/>
          <w:kern w:val="0"/>
          <w:sz w:val="28"/>
          <w:szCs w:val="28"/>
          <w:lang w:eastAsia="zh-CN"/>
        </w:rPr>
        <w:t>；</w:t>
      </w:r>
      <w:r>
        <w:rPr>
          <w:rFonts w:hint="eastAsia" w:ascii="Times New Roman" w:hAnsi="Times New Roman" w:eastAsia="宋体" w:cs="Times New Roman"/>
          <w:kern w:val="0"/>
          <w:sz w:val="28"/>
          <w:szCs w:val="28"/>
          <w:lang w:val="en-US" w:eastAsia="zh-CN"/>
        </w:rPr>
        <w:t>二是</w:t>
      </w:r>
      <w:r>
        <w:rPr>
          <w:rFonts w:hint="eastAsia" w:ascii="Times New Roman" w:hAnsi="Times New Roman" w:eastAsia="宋体" w:cs="Times New Roman"/>
          <w:kern w:val="0"/>
          <w:sz w:val="28"/>
          <w:szCs w:val="28"/>
        </w:rPr>
        <w:t>构建动态风险判定模型，通过分析目标的空间位置、</w:t>
      </w:r>
      <w:r>
        <w:rPr>
          <w:rFonts w:hint="eastAsia" w:ascii="Times New Roman" w:hAnsi="Times New Roman" w:eastAsia="宋体" w:cs="Times New Roman"/>
          <w:kern w:val="0"/>
          <w:sz w:val="28"/>
          <w:szCs w:val="28"/>
          <w:lang w:eastAsia="zh-CN"/>
        </w:rPr>
        <w:t>激光测距结果、</w:t>
      </w:r>
      <w:r>
        <w:rPr>
          <w:rFonts w:hint="eastAsia" w:ascii="Times New Roman" w:hAnsi="Times New Roman" w:eastAsia="宋体" w:cs="Times New Roman"/>
          <w:kern w:val="0"/>
          <w:sz w:val="28"/>
          <w:szCs w:val="28"/>
        </w:rPr>
        <w:t>速度、移动轨迹，判断其碰撞风险并进行分级</w:t>
      </w:r>
      <w:r>
        <w:rPr>
          <w:rFonts w:hint="eastAsia" w:ascii="Times New Roman" w:hAnsi="Times New Roman" w:eastAsia="宋体" w:cs="Times New Roman"/>
          <w:kern w:val="0"/>
          <w:sz w:val="28"/>
          <w:szCs w:val="28"/>
          <w:lang w:eastAsia="zh-CN"/>
        </w:rPr>
        <w:t>；</w:t>
      </w:r>
      <w:r>
        <w:rPr>
          <w:rFonts w:hint="eastAsia" w:ascii="Times New Roman" w:hAnsi="Times New Roman" w:eastAsia="宋体" w:cs="Times New Roman"/>
          <w:kern w:val="0"/>
          <w:sz w:val="28"/>
          <w:szCs w:val="28"/>
          <w:lang w:val="en-US" w:eastAsia="zh-CN"/>
        </w:rPr>
        <w:t>三是</w:t>
      </w:r>
      <w:r>
        <w:rPr>
          <w:rFonts w:hint="eastAsia" w:ascii="Times New Roman" w:hAnsi="Times New Roman" w:eastAsia="宋体" w:cs="Times New Roman"/>
          <w:kern w:val="0"/>
          <w:sz w:val="28"/>
          <w:szCs w:val="28"/>
        </w:rPr>
        <w:t>设计目标过滤机制，有效排除行人、小型车辆等非威胁目标，显著降低系统误报率。</w:t>
      </w:r>
    </w:p>
    <w:p w14:paraId="0D9D0EE4">
      <w:pPr>
        <w:adjustRightInd w:val="0"/>
        <w:snapToGrid w:val="0"/>
        <w:spacing w:line="560" w:lineRule="exact"/>
        <w:ind w:firstLine="562" w:firstLineChars="200"/>
        <w:textAlignment w:val="baseline"/>
        <w:rPr>
          <w:rFonts w:hint="eastAsia" w:ascii="Times New Roman" w:hAnsi="Times New Roman" w:eastAsia="宋体" w:cs="Times New Roman"/>
          <w:b/>
          <w:bCs/>
          <w:kern w:val="0"/>
          <w:sz w:val="28"/>
          <w:szCs w:val="28"/>
          <w:lang w:val="en-US" w:eastAsia="zh-CN"/>
        </w:rPr>
      </w:pPr>
      <w:r>
        <w:rPr>
          <w:rFonts w:hint="eastAsia" w:ascii="Times New Roman" w:hAnsi="Times New Roman" w:eastAsia="宋体" w:cs="Times New Roman"/>
          <w:b/>
          <w:bCs/>
          <w:kern w:val="0"/>
          <w:sz w:val="28"/>
          <w:szCs w:val="28"/>
        </w:rPr>
        <w:t>4.快速响应闭环与系统验证</w:t>
      </w:r>
      <w:r>
        <w:rPr>
          <w:rFonts w:hint="eastAsia" w:ascii="Times New Roman" w:hAnsi="Times New Roman" w:eastAsia="宋体" w:cs="Times New Roman"/>
          <w:b/>
          <w:bCs/>
          <w:kern w:val="0"/>
          <w:sz w:val="28"/>
          <w:szCs w:val="28"/>
          <w:lang w:val="en-US" w:eastAsia="zh-CN"/>
        </w:rPr>
        <w:t>研究</w:t>
      </w:r>
    </w:p>
    <w:p w14:paraId="61E64D30">
      <w:pPr>
        <w:adjustRightInd w:val="0"/>
        <w:snapToGrid w:val="0"/>
        <w:spacing w:line="560" w:lineRule="exact"/>
        <w:ind w:firstLine="560" w:firstLineChars="200"/>
        <w:textAlignment w:val="baseline"/>
        <w:rPr>
          <w:rFonts w:ascii="Times New Roman" w:hAnsi="Times New Roman" w:eastAsia="宋体" w:cs="Times New Roman"/>
          <w:kern w:val="0"/>
          <w:sz w:val="28"/>
          <w:szCs w:val="28"/>
        </w:rPr>
      </w:pPr>
      <w:r>
        <w:rPr>
          <w:rFonts w:hint="eastAsia" w:ascii="Times New Roman" w:hAnsi="Times New Roman" w:eastAsia="宋体" w:cs="Times New Roman"/>
          <w:kern w:val="0"/>
          <w:sz w:val="28"/>
          <w:szCs w:val="28"/>
          <w:lang w:val="en-US" w:eastAsia="zh-CN"/>
        </w:rPr>
        <w:t>一是建立“感知-判断-响应”的本地闭环控制逻辑，集成声光联动模块，确保在识别风险后极短时间内（≤0.5秒）发出警示；二是在园区典型场景进行部署与实车测试，采集运行数据，全面评估系统性能，并输出标准化技术文档与部署案例。</w:t>
      </w:r>
    </w:p>
    <w:p w14:paraId="10198C58">
      <w:pPr>
        <w:pStyle w:val="3"/>
      </w:pPr>
      <w:r>
        <w:t>三、拟解决的主要技术难点</w:t>
      </w:r>
    </w:p>
    <w:p w14:paraId="2EC2C367">
      <w:pPr>
        <w:pStyle w:val="19"/>
        <w:ind w:firstLine="562"/>
        <w:rPr>
          <w:b/>
          <w:bCs/>
        </w:rPr>
      </w:pPr>
      <w:r>
        <w:rPr>
          <w:rFonts w:hint="eastAsia"/>
          <w:b/>
          <w:bCs/>
        </w:rPr>
        <w:t>1.复杂环境下对高风险目标的稳定、精准感知</w:t>
      </w:r>
    </w:p>
    <w:p w14:paraId="45DE76B1">
      <w:pPr>
        <w:pStyle w:val="19"/>
        <w:ind w:firstLine="560"/>
      </w:pPr>
      <w:r>
        <w:rPr>
          <w:rFonts w:hint="eastAsia"/>
          <w:lang w:val="en-US" w:eastAsia="zh-CN"/>
        </w:rPr>
        <w:t>本项目需</w:t>
      </w:r>
      <w:r>
        <w:rPr>
          <w:rFonts w:hint="eastAsia"/>
        </w:rPr>
        <w:t>克服夜间无光、雨雾等恶劣天气影响，在有效距离内（最远10米）稳定、清晰地获取车辆</w:t>
      </w:r>
      <w:r>
        <w:rPr>
          <w:rFonts w:hint="eastAsia"/>
          <w:lang w:eastAsia="zh-CN"/>
        </w:rPr>
        <w:t>测距</w:t>
      </w:r>
      <w:r>
        <w:rPr>
          <w:rFonts w:hint="eastAsia"/>
        </w:rPr>
        <w:t>信息，并准确区分出具有实际碰撞风险的大型车辆，避免因环境干扰导致的漏检或误检。</w:t>
      </w:r>
    </w:p>
    <w:p w14:paraId="37A2416D">
      <w:pPr>
        <w:pStyle w:val="19"/>
        <w:ind w:firstLine="562"/>
        <w:rPr>
          <w:rFonts w:hint="eastAsia"/>
          <w:b/>
          <w:bCs/>
        </w:rPr>
      </w:pPr>
      <w:r>
        <w:rPr>
          <w:rFonts w:hint="eastAsia"/>
          <w:b/>
          <w:bCs/>
        </w:rPr>
        <w:t>2.基于边缘计算的低延时、高可靠风险判断</w:t>
      </w:r>
    </w:p>
    <w:p w14:paraId="2B8A776B">
      <w:pPr>
        <w:pStyle w:val="19"/>
        <w:ind w:firstLine="562"/>
        <w:rPr>
          <w:rFonts w:hint="eastAsia"/>
        </w:rPr>
      </w:pPr>
      <w:r>
        <w:rPr>
          <w:rFonts w:hint="eastAsia"/>
        </w:rPr>
        <w:t>本项目需在本地边缘计算单元有限的算力下，实时完成复杂的车辆识别、轨迹追踪和风险预测，并将从感知到预警的总时延严格控制在0.5秒以内，同时确保在断网情况下系统的完全自主运行。</w:t>
      </w:r>
    </w:p>
    <w:p w14:paraId="06E65CE4">
      <w:pPr>
        <w:pStyle w:val="19"/>
        <w:ind w:firstLine="562"/>
        <w:rPr>
          <w:rFonts w:hint="eastAsia"/>
          <w:b/>
          <w:bCs/>
        </w:rPr>
      </w:pPr>
      <w:r>
        <w:rPr>
          <w:rFonts w:hint="eastAsia"/>
          <w:b/>
          <w:bCs/>
        </w:rPr>
        <w:t>3.动态碰撞风险模型的准确构建与误报控制</w:t>
      </w:r>
    </w:p>
    <w:p w14:paraId="6FFF159D">
      <w:pPr>
        <w:pStyle w:val="19"/>
        <w:ind w:firstLine="560"/>
        <w:rPr>
          <w:rFonts w:hint="eastAsia"/>
        </w:rPr>
      </w:pPr>
      <w:r>
        <w:rPr>
          <w:rFonts w:hint="eastAsia"/>
        </w:rPr>
        <w:t>本项目</w:t>
      </w:r>
      <w:r>
        <w:rPr>
          <w:rFonts w:hint="eastAsia"/>
          <w:lang w:val="en-US" w:eastAsia="zh-CN"/>
        </w:rPr>
        <w:t>需</w:t>
      </w:r>
      <w:r>
        <w:rPr>
          <w:rFonts w:hint="eastAsia"/>
        </w:rPr>
        <w:t>根据车辆的运动学特征（速度、角度、方向）精确构建其未来轨迹，并判断其与设施的碰撞可能性，实现分级预警。核心挑战在于如何设定合理的判定阈值，既能有效预警真实风险，又能最大限度地过滤掉无威胁的通行行为（如正常转弯、低速靠近），将误报率降至10%以下。</w:t>
      </w:r>
    </w:p>
    <w:p w14:paraId="7CA375D7">
      <w:pPr>
        <w:pStyle w:val="19"/>
        <w:ind w:firstLine="562"/>
        <w:rPr>
          <w:rFonts w:hint="eastAsia"/>
          <w:b/>
          <w:bCs/>
        </w:rPr>
      </w:pPr>
      <w:r>
        <w:rPr>
          <w:rFonts w:hint="eastAsia"/>
          <w:b/>
          <w:bCs/>
          <w:lang w:val="en-US" w:eastAsia="zh-CN"/>
        </w:rPr>
        <w:t>4.</w:t>
      </w:r>
      <w:r>
        <w:rPr>
          <w:rFonts w:hint="eastAsia"/>
          <w:b/>
          <w:bCs/>
        </w:rPr>
        <w:t>一体化硬件系统的工程化实现与环境适应性</w:t>
      </w:r>
    </w:p>
    <w:p w14:paraId="45155E7D">
      <w:pPr>
        <w:pStyle w:val="19"/>
        <w:ind w:firstLine="560"/>
        <w:rPr>
          <w:rFonts w:hint="default" w:eastAsia="宋体"/>
          <w:lang w:val="en-US" w:eastAsia="zh-CN"/>
        </w:rPr>
      </w:pPr>
      <w:r>
        <w:rPr>
          <w:rFonts w:hint="eastAsia"/>
          <w:lang w:val="en-US" w:eastAsia="zh-CN"/>
        </w:rPr>
        <w:t>本项目需</w:t>
      </w:r>
      <w:r>
        <w:rPr>
          <w:rFonts w:hint="default" w:eastAsia="宋体"/>
          <w:lang w:val="en-US" w:eastAsia="zh-CN"/>
        </w:rPr>
        <w:t>将多种异构模块（视觉感知、计算、供电、报警）高度集成到一个紧凑、坚固的外壳中，实现太阳能供电下的长期稳定工作，并满足户外复杂的温度、湿度、防水防尘等环境要求，保证设备的免维护性和长寿命。</w:t>
      </w:r>
    </w:p>
    <w:p w14:paraId="1A7DBDA5">
      <w:pPr>
        <w:pStyle w:val="3"/>
      </w:pPr>
      <w:r>
        <w:rPr>
          <w:rFonts w:hint="eastAsia"/>
        </w:rPr>
        <w:t>四、主要技术参数</w:t>
      </w:r>
    </w:p>
    <w:p w14:paraId="297BCCDE">
      <w:pPr>
        <w:pStyle w:val="4"/>
        <w:rPr>
          <w:rFonts w:hint="default" w:eastAsia="宋体"/>
          <w:lang w:val="en-US" w:eastAsia="zh-CN"/>
        </w:rPr>
      </w:pPr>
      <w:r>
        <w:rPr>
          <w:rFonts w:hint="eastAsia"/>
        </w:rPr>
        <w:t>（一）</w:t>
      </w:r>
      <w:r>
        <w:rPr>
          <w:rFonts w:hint="eastAsia"/>
          <w:lang w:val="en-US" w:eastAsia="zh-CN"/>
        </w:rPr>
        <w:t>工作条件</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0EB1A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0A020239">
            <w:pPr>
              <w:jc w:val="center"/>
              <w:rPr>
                <w:rFonts w:hint="eastAsia"/>
                <w:b/>
                <w:bCs/>
                <w:lang w:val="en-US" w:eastAsia="zh-CN"/>
              </w:rPr>
            </w:pPr>
            <w:r>
              <w:rPr>
                <w:rFonts w:hint="eastAsia"/>
                <w:b/>
                <w:bCs/>
                <w:lang w:val="en-US" w:eastAsia="zh-CN"/>
              </w:rPr>
              <w:t>项目</w:t>
            </w:r>
          </w:p>
        </w:tc>
        <w:tc>
          <w:tcPr>
            <w:tcW w:w="4261" w:type="dxa"/>
          </w:tcPr>
          <w:p w14:paraId="79109797">
            <w:pPr>
              <w:jc w:val="center"/>
              <w:rPr>
                <w:rFonts w:hint="eastAsia"/>
                <w:b/>
                <w:bCs/>
                <w:lang w:val="en-US" w:eastAsia="zh-CN"/>
              </w:rPr>
            </w:pPr>
            <w:r>
              <w:rPr>
                <w:rFonts w:hint="eastAsia"/>
                <w:b/>
                <w:bCs/>
                <w:lang w:val="en-US" w:eastAsia="zh-CN"/>
              </w:rPr>
              <w:t>指标</w:t>
            </w:r>
          </w:p>
        </w:tc>
      </w:tr>
      <w:tr w14:paraId="49F82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7F9DCF91">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val="en-US" w:eastAsia="zh-CN" w:bidi="ar"/>
              </w:rPr>
              <w:t>海拔高度</w:t>
            </w:r>
          </w:p>
        </w:tc>
        <w:tc>
          <w:tcPr>
            <w:tcW w:w="4261" w:type="dxa"/>
            <w:vAlign w:val="center"/>
          </w:tcPr>
          <w:p w14:paraId="31693E8B">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val="en-US" w:eastAsia="zh-CN" w:bidi="ar"/>
              </w:rPr>
              <w:t>≤ 1000 m</w:t>
            </w:r>
          </w:p>
        </w:tc>
      </w:tr>
      <w:tr w14:paraId="0B168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44A8870C">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val="en-US" w:eastAsia="zh-CN" w:bidi="ar"/>
              </w:rPr>
              <w:t>环境温度</w:t>
            </w:r>
          </w:p>
        </w:tc>
        <w:tc>
          <w:tcPr>
            <w:tcW w:w="4261" w:type="dxa"/>
            <w:vAlign w:val="center"/>
          </w:tcPr>
          <w:p w14:paraId="5958D5FA">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val="en-US" w:eastAsia="zh-CN" w:bidi="ar"/>
              </w:rPr>
              <w:t>-10℃ ～ +50℃</w:t>
            </w:r>
          </w:p>
        </w:tc>
      </w:tr>
      <w:tr w14:paraId="77685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510282BE">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val="en-US" w:eastAsia="zh-CN" w:bidi="ar"/>
              </w:rPr>
              <w:t>湿度范围</w:t>
            </w:r>
          </w:p>
        </w:tc>
        <w:tc>
          <w:tcPr>
            <w:tcW w:w="4261" w:type="dxa"/>
            <w:vAlign w:val="center"/>
          </w:tcPr>
          <w:p w14:paraId="3B4D278A">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val="en-US" w:eastAsia="zh-CN" w:bidi="ar"/>
              </w:rPr>
              <w:t>10% ～ 95%（+35℃）</w:t>
            </w:r>
          </w:p>
        </w:tc>
      </w:tr>
      <w:tr w14:paraId="20B9E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1F5A2186">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val="en-US" w:eastAsia="zh-CN" w:bidi="ar"/>
              </w:rPr>
              <w:t>防护等级</w:t>
            </w:r>
          </w:p>
        </w:tc>
        <w:tc>
          <w:tcPr>
            <w:tcW w:w="4261" w:type="dxa"/>
            <w:vAlign w:val="center"/>
          </w:tcPr>
          <w:p w14:paraId="62813AD5">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val="en-US" w:eastAsia="zh-CN" w:bidi="ar"/>
              </w:rPr>
              <w:t>不低于 IP65</w:t>
            </w:r>
          </w:p>
        </w:tc>
      </w:tr>
      <w:tr w14:paraId="1BC9C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603D15FA">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val="en-US" w:eastAsia="zh-CN" w:bidi="ar"/>
              </w:rPr>
              <w:t>防震性能</w:t>
            </w:r>
          </w:p>
        </w:tc>
        <w:tc>
          <w:tcPr>
            <w:tcW w:w="4261" w:type="dxa"/>
            <w:vAlign w:val="center"/>
          </w:tcPr>
          <w:p w14:paraId="66E0B774">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val="en-US" w:eastAsia="zh-CN" w:bidi="ar"/>
              </w:rPr>
              <w:t>按抗震设防烈度 7 级设计</w:t>
            </w:r>
          </w:p>
        </w:tc>
      </w:tr>
    </w:tbl>
    <w:p w14:paraId="0CD71594"/>
    <w:p w14:paraId="030AF960">
      <w:pPr>
        <w:pStyle w:val="4"/>
      </w:pPr>
      <w:r>
        <w:rPr>
          <w:rFonts w:hint="eastAsia"/>
        </w:rPr>
        <w:t>（</w:t>
      </w:r>
      <w:r>
        <w:rPr>
          <w:rFonts w:hint="eastAsia"/>
          <w:lang w:val="en-US" w:eastAsia="zh-CN"/>
        </w:rPr>
        <w:t>二</w:t>
      </w:r>
      <w:r>
        <w:rPr>
          <w:rFonts w:hint="eastAsia"/>
        </w:rPr>
        <w:t>）</w:t>
      </w:r>
      <w:r>
        <w:rPr>
          <w:rFonts w:hint="eastAsia"/>
          <w:lang w:val="en-US" w:eastAsia="zh-CN"/>
        </w:rPr>
        <w:t>技术</w:t>
      </w:r>
      <w:r>
        <w:rPr>
          <w:rFonts w:hint="eastAsia"/>
        </w:rPr>
        <w:t>要求</w:t>
      </w:r>
    </w:p>
    <w:tbl>
      <w:tblPr>
        <w:tblStyle w:val="1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9"/>
        <w:gridCol w:w="6341"/>
      </w:tblGrid>
      <w:tr w14:paraId="5F819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79" w:type="pct"/>
            <w:vAlign w:val="center"/>
          </w:tcPr>
          <w:p w14:paraId="068BC81D">
            <w:pPr>
              <w:jc w:val="center"/>
              <w:rPr>
                <w:b/>
                <w:bCs/>
              </w:rPr>
            </w:pPr>
            <w:r>
              <w:rPr>
                <w:rFonts w:hint="eastAsia"/>
                <w:b/>
                <w:bCs/>
              </w:rPr>
              <w:t>项目</w:t>
            </w:r>
          </w:p>
        </w:tc>
        <w:tc>
          <w:tcPr>
            <w:tcW w:w="3721" w:type="pct"/>
            <w:vAlign w:val="center"/>
          </w:tcPr>
          <w:p w14:paraId="6B5A48DD">
            <w:pPr>
              <w:jc w:val="center"/>
              <w:rPr>
                <w:rFonts w:hint="default" w:eastAsiaTheme="minorEastAsia"/>
                <w:b/>
                <w:bCs/>
                <w:lang w:val="en-US" w:eastAsia="zh-CN"/>
              </w:rPr>
            </w:pPr>
            <w:r>
              <w:rPr>
                <w:rFonts w:hint="eastAsia"/>
                <w:b/>
                <w:bCs/>
                <w:lang w:val="en-US" w:eastAsia="zh-CN"/>
              </w:rPr>
              <w:t>技术指标</w:t>
            </w:r>
          </w:p>
        </w:tc>
      </w:tr>
      <w:tr w14:paraId="2B7E9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79" w:type="pct"/>
            <w:vAlign w:val="center"/>
          </w:tcPr>
          <w:p w14:paraId="4BE5A863">
            <w:pPr>
              <w:widowControl/>
              <w:jc w:val="center"/>
              <w:textAlignment w:val="center"/>
              <w:rPr>
                <w:rFonts w:hint="default"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识别准确率</w:t>
            </w:r>
          </w:p>
        </w:tc>
        <w:tc>
          <w:tcPr>
            <w:tcW w:w="3721" w:type="pct"/>
          </w:tcPr>
          <w:p w14:paraId="1DB19C97">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 90%</w:t>
            </w:r>
          </w:p>
        </w:tc>
      </w:tr>
      <w:tr w14:paraId="20B3E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22" w:type="dxa"/>
            <w:vAlign w:val="center"/>
          </w:tcPr>
          <w:p w14:paraId="47BC7A83">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识别至响应延迟</w:t>
            </w:r>
          </w:p>
        </w:tc>
        <w:tc>
          <w:tcPr>
            <w:tcW w:w="6172" w:type="dxa"/>
            <w:vAlign w:val="center"/>
          </w:tcPr>
          <w:p w14:paraId="24F0C4A2">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 0.5 s</w:t>
            </w:r>
          </w:p>
        </w:tc>
      </w:tr>
      <w:tr w14:paraId="75803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22" w:type="dxa"/>
            <w:vAlign w:val="center"/>
          </w:tcPr>
          <w:p w14:paraId="7E2387C1">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探测距离</w:t>
            </w:r>
          </w:p>
        </w:tc>
        <w:tc>
          <w:tcPr>
            <w:tcW w:w="6172" w:type="dxa"/>
            <w:vAlign w:val="center"/>
          </w:tcPr>
          <w:p w14:paraId="417A59EC">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最大10 m，有效3 m</w:t>
            </w:r>
          </w:p>
        </w:tc>
      </w:tr>
      <w:tr w14:paraId="43E64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22" w:type="dxa"/>
            <w:vAlign w:val="center"/>
          </w:tcPr>
          <w:p w14:paraId="6003C193">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夜间识别能力</w:t>
            </w:r>
          </w:p>
        </w:tc>
        <w:tc>
          <w:tcPr>
            <w:tcW w:w="6172" w:type="dxa"/>
            <w:vAlign w:val="center"/>
          </w:tcPr>
          <w:p w14:paraId="73A5CB70">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支持0 Lux无光环境</w:t>
            </w:r>
          </w:p>
        </w:tc>
      </w:tr>
      <w:tr w14:paraId="332D3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22" w:type="dxa"/>
            <w:vAlign w:val="center"/>
          </w:tcPr>
          <w:p w14:paraId="700C6470">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报警方式</w:t>
            </w:r>
          </w:p>
        </w:tc>
        <w:tc>
          <w:tcPr>
            <w:tcW w:w="6172" w:type="dxa"/>
            <w:vAlign w:val="center"/>
          </w:tcPr>
          <w:p w14:paraId="4C038F09">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蜂鸣+高亮LED声光联动</w:t>
            </w:r>
          </w:p>
        </w:tc>
      </w:tr>
      <w:tr w14:paraId="3880C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22" w:type="dxa"/>
            <w:vAlign w:val="center"/>
          </w:tcPr>
          <w:p w14:paraId="2FEEBEA6">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独立运行能力</w:t>
            </w:r>
          </w:p>
        </w:tc>
        <w:tc>
          <w:tcPr>
            <w:tcW w:w="6172" w:type="dxa"/>
            <w:vAlign w:val="center"/>
          </w:tcPr>
          <w:p w14:paraId="06BB596F">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持续运行 ≥72h</w:t>
            </w:r>
          </w:p>
        </w:tc>
      </w:tr>
      <w:tr w14:paraId="399E0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22" w:type="dxa"/>
            <w:vAlign w:val="center"/>
          </w:tcPr>
          <w:p w14:paraId="0D6D3652">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数据输出</w:t>
            </w:r>
          </w:p>
        </w:tc>
        <w:tc>
          <w:tcPr>
            <w:tcW w:w="6172" w:type="dxa"/>
            <w:vAlign w:val="center"/>
          </w:tcPr>
          <w:p w14:paraId="077CDC38">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支持结构化事件数据导出</w:t>
            </w:r>
          </w:p>
        </w:tc>
      </w:tr>
    </w:tbl>
    <w:p w14:paraId="37C394DE">
      <w:pPr>
        <w:pStyle w:val="4"/>
        <w:numPr>
          <w:ilvl w:val="0"/>
          <w:numId w:val="0"/>
        </w:numPr>
        <w:rPr>
          <w:rFonts w:hint="eastAsia" w:ascii="Times New Roman" w:hAnsi="Times New Roman" w:eastAsia="宋体" w:cs="Times New Roman"/>
          <w:b/>
          <w:sz w:val="28"/>
          <w:szCs w:val="28"/>
          <w:lang w:val="en-US" w:eastAsia="zh-CN" w:bidi="ar-SA"/>
        </w:rPr>
      </w:pPr>
    </w:p>
    <w:p w14:paraId="22CCBDEF">
      <w:pPr>
        <w:pStyle w:val="4"/>
        <w:numPr>
          <w:ilvl w:val="0"/>
          <w:numId w:val="0"/>
        </w:numPr>
        <w:ind w:firstLine="562" w:firstLineChars="200"/>
        <w:rPr>
          <w:rFonts w:hint="eastAsia" w:ascii="Times New Roman" w:hAnsi="Times New Roman" w:cs="Times New Roman"/>
          <w:lang w:val="en-US" w:eastAsia="zh-CN"/>
        </w:rPr>
      </w:pPr>
      <w:r>
        <w:rPr>
          <w:rFonts w:hint="eastAsia" w:ascii="Times New Roman" w:hAnsi="Times New Roman" w:eastAsia="宋体" w:cs="Times New Roman"/>
          <w:b/>
          <w:sz w:val="28"/>
          <w:szCs w:val="28"/>
          <w:lang w:val="en-US" w:eastAsia="zh-CN" w:bidi="ar-SA"/>
        </w:rPr>
        <w:t>（三）</w:t>
      </w:r>
      <w:r>
        <w:rPr>
          <w:rFonts w:hint="eastAsia" w:ascii="Times New Roman" w:hAnsi="Times New Roman" w:cs="Times New Roman"/>
          <w:lang w:val="en-US" w:eastAsia="zh-CN"/>
        </w:rPr>
        <w:t>配置要求</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4A206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22298805">
            <w:pPr>
              <w:jc w:val="center"/>
              <w:rPr>
                <w:rFonts w:hint="eastAsia"/>
                <w:b/>
                <w:bCs/>
                <w:lang w:val="en-US" w:eastAsia="zh-CN"/>
              </w:rPr>
            </w:pPr>
            <w:r>
              <w:rPr>
                <w:rFonts w:hint="eastAsia"/>
                <w:b/>
                <w:bCs/>
                <w:lang w:val="en-US" w:eastAsia="zh-CN"/>
              </w:rPr>
              <w:t>项目</w:t>
            </w:r>
          </w:p>
        </w:tc>
        <w:tc>
          <w:tcPr>
            <w:tcW w:w="4261" w:type="dxa"/>
          </w:tcPr>
          <w:p w14:paraId="6B669CB8">
            <w:pPr>
              <w:jc w:val="center"/>
              <w:rPr>
                <w:rFonts w:hint="eastAsia"/>
                <w:b/>
                <w:bCs/>
                <w:lang w:val="en-US" w:eastAsia="zh-CN"/>
              </w:rPr>
            </w:pPr>
            <w:r>
              <w:rPr>
                <w:rFonts w:hint="eastAsia"/>
                <w:b/>
                <w:bCs/>
                <w:lang w:val="en-US" w:eastAsia="zh-CN"/>
              </w:rPr>
              <w:t>指标</w:t>
            </w:r>
          </w:p>
        </w:tc>
      </w:tr>
      <w:tr w14:paraId="56928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53141AB6">
            <w:pPr>
              <w:widowControl/>
              <w:jc w:val="center"/>
              <w:textAlignment w:val="center"/>
              <w:rPr>
                <w:rFonts w:hint="default" w:asciiTheme="majorEastAsia" w:hAnsiTheme="majorEastAsia" w:eastAsiaTheme="majorEastAsia" w:cstheme="majorEastAsia"/>
                <w:color w:val="000000"/>
                <w:kern w:val="0"/>
                <w:sz w:val="22"/>
                <w:lang w:val="en-US" w:bidi="ar"/>
              </w:rPr>
            </w:pPr>
            <w:r>
              <w:rPr>
                <w:rFonts w:hint="eastAsia" w:asciiTheme="majorEastAsia" w:hAnsiTheme="majorEastAsia" w:eastAsiaTheme="majorEastAsia" w:cstheme="majorEastAsia"/>
                <w:color w:val="000000"/>
                <w:kern w:val="0"/>
                <w:sz w:val="22"/>
                <w:lang w:val="en-US" w:eastAsia="zh-CN" w:bidi="ar"/>
              </w:rPr>
              <w:t>安装位置</w:t>
            </w:r>
          </w:p>
        </w:tc>
        <w:tc>
          <w:tcPr>
            <w:tcW w:w="4261" w:type="dxa"/>
            <w:vAlign w:val="center"/>
          </w:tcPr>
          <w:p w14:paraId="73F5D363">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val="en-US" w:eastAsia="zh-CN" w:bidi="ar"/>
              </w:rPr>
              <w:t>灯杆、围栏、指示牌等固定结构</w:t>
            </w:r>
          </w:p>
        </w:tc>
      </w:tr>
      <w:tr w14:paraId="01597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11A86D66">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val="en-US" w:eastAsia="zh-CN" w:bidi="ar"/>
              </w:rPr>
              <w:t>供电方式</w:t>
            </w:r>
          </w:p>
        </w:tc>
        <w:tc>
          <w:tcPr>
            <w:tcW w:w="4261" w:type="dxa"/>
            <w:vAlign w:val="center"/>
          </w:tcPr>
          <w:p w14:paraId="7CF966E0">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val="en-US" w:eastAsia="zh-CN" w:bidi="ar"/>
              </w:rPr>
              <w:t>太阳能供电+储能电池</w:t>
            </w:r>
          </w:p>
        </w:tc>
      </w:tr>
      <w:tr w14:paraId="4D0E0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7BBA6F7E">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val="en-US" w:eastAsia="zh-CN" w:bidi="ar"/>
              </w:rPr>
              <w:t>通信方式</w:t>
            </w:r>
          </w:p>
        </w:tc>
        <w:tc>
          <w:tcPr>
            <w:tcW w:w="4261" w:type="dxa"/>
            <w:vAlign w:val="center"/>
          </w:tcPr>
          <w:p w14:paraId="1D0EB216">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val="en-US" w:eastAsia="zh-CN" w:bidi="ar"/>
              </w:rPr>
              <w:t>本地边缘计算，无线数据接口（支持 MQTT 协议）</w:t>
            </w:r>
          </w:p>
        </w:tc>
      </w:tr>
    </w:tbl>
    <w:p w14:paraId="69D65BCF">
      <w:pPr>
        <w:numPr>
          <w:ilvl w:val="0"/>
          <w:numId w:val="0"/>
        </w:numPr>
        <w:rPr>
          <w:rFonts w:hint="default"/>
          <w:lang w:val="en-US" w:eastAsia="zh-CN"/>
        </w:rPr>
      </w:pPr>
    </w:p>
    <w:p w14:paraId="40102027">
      <w:pPr>
        <w:pStyle w:val="3"/>
        <w:numPr>
          <w:ilvl w:val="0"/>
          <w:numId w:val="1"/>
        </w:numPr>
      </w:pPr>
      <w:r>
        <w:t>交付成果与验收标准</w:t>
      </w:r>
    </w:p>
    <w:p w14:paraId="4724D03D">
      <w:pPr>
        <w:pStyle w:val="4"/>
      </w:pPr>
      <w:r>
        <w:rPr>
          <w:rFonts w:hint="eastAsia"/>
        </w:rPr>
        <w:t>（一）</w:t>
      </w:r>
      <w:r>
        <w:t>成果</w:t>
      </w:r>
    </w:p>
    <w:tbl>
      <w:tblPr>
        <w:tblStyle w:val="9"/>
        <w:tblW w:w="5204" w:type="pct"/>
        <w:jc w:val="righ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465"/>
        <w:gridCol w:w="2538"/>
        <w:gridCol w:w="1122"/>
        <w:gridCol w:w="1544"/>
        <w:gridCol w:w="2201"/>
      </w:tblGrid>
      <w:tr w14:paraId="3E752E0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right"/>
        </w:trPr>
        <w:tc>
          <w:tcPr>
            <w:tcW w:w="826" w:type="pct"/>
            <w:tcBorders>
              <w:top w:val="single" w:color="auto" w:sz="4" w:space="0"/>
              <w:left w:val="single" w:color="auto" w:sz="4" w:space="0"/>
              <w:bottom w:val="single" w:color="auto" w:sz="4" w:space="0"/>
              <w:right w:val="single" w:color="auto" w:sz="4" w:space="0"/>
            </w:tcBorders>
            <w:vAlign w:val="center"/>
          </w:tcPr>
          <w:p w14:paraId="754C5D95">
            <w:pPr>
              <w:jc w:val="center"/>
              <w:rPr>
                <w:rFonts w:asciiTheme="majorEastAsia" w:hAnsiTheme="majorEastAsia" w:eastAsiaTheme="majorEastAsia" w:cstheme="majorEastAsia"/>
                <w:sz w:val="22"/>
              </w:rPr>
            </w:pPr>
            <w:r>
              <w:rPr>
                <w:rFonts w:hint="eastAsia" w:asciiTheme="majorEastAsia" w:hAnsiTheme="majorEastAsia" w:eastAsiaTheme="majorEastAsia" w:cstheme="majorEastAsia"/>
                <w:sz w:val="22"/>
              </w:rPr>
              <w:t>成果分类</w:t>
            </w:r>
          </w:p>
        </w:tc>
        <w:tc>
          <w:tcPr>
            <w:tcW w:w="1430" w:type="pct"/>
            <w:tcBorders>
              <w:top w:val="single" w:color="auto" w:sz="4" w:space="0"/>
              <w:left w:val="single" w:color="auto" w:sz="4" w:space="0"/>
              <w:bottom w:val="single" w:color="auto" w:sz="4" w:space="0"/>
              <w:right w:val="single" w:color="auto" w:sz="4" w:space="0"/>
            </w:tcBorders>
            <w:vAlign w:val="center"/>
          </w:tcPr>
          <w:p w14:paraId="7A49E060">
            <w:pPr>
              <w:jc w:val="center"/>
              <w:rPr>
                <w:rFonts w:asciiTheme="majorEastAsia" w:hAnsiTheme="majorEastAsia" w:eastAsiaTheme="majorEastAsia" w:cstheme="majorEastAsia"/>
                <w:sz w:val="22"/>
              </w:rPr>
            </w:pPr>
            <w:r>
              <w:rPr>
                <w:rFonts w:hint="eastAsia" w:asciiTheme="majorEastAsia" w:hAnsiTheme="majorEastAsia" w:eastAsiaTheme="majorEastAsia" w:cstheme="majorEastAsia"/>
                <w:sz w:val="22"/>
              </w:rPr>
              <w:t>成果名称</w:t>
            </w:r>
          </w:p>
        </w:tc>
        <w:tc>
          <w:tcPr>
            <w:tcW w:w="632" w:type="pct"/>
            <w:tcBorders>
              <w:top w:val="single" w:color="auto" w:sz="4" w:space="0"/>
              <w:left w:val="single" w:color="auto" w:sz="4" w:space="0"/>
              <w:bottom w:val="single" w:color="auto" w:sz="4" w:space="0"/>
              <w:right w:val="single" w:color="auto" w:sz="4" w:space="0"/>
            </w:tcBorders>
            <w:vAlign w:val="center"/>
          </w:tcPr>
          <w:p w14:paraId="76987881">
            <w:pPr>
              <w:jc w:val="center"/>
              <w:rPr>
                <w:rFonts w:asciiTheme="majorEastAsia" w:hAnsiTheme="majorEastAsia" w:eastAsiaTheme="majorEastAsia" w:cstheme="majorEastAsia"/>
                <w:sz w:val="22"/>
              </w:rPr>
            </w:pPr>
            <w:r>
              <w:rPr>
                <w:rFonts w:hint="eastAsia" w:asciiTheme="majorEastAsia" w:hAnsiTheme="majorEastAsia" w:eastAsiaTheme="majorEastAsia" w:cstheme="majorEastAsia"/>
                <w:sz w:val="22"/>
              </w:rPr>
              <w:t>交付标准</w:t>
            </w:r>
          </w:p>
        </w:tc>
        <w:tc>
          <w:tcPr>
            <w:tcW w:w="870" w:type="pct"/>
            <w:tcBorders>
              <w:top w:val="single" w:color="auto" w:sz="4" w:space="0"/>
              <w:left w:val="single" w:color="auto" w:sz="4" w:space="0"/>
              <w:bottom w:val="single" w:color="auto" w:sz="4" w:space="0"/>
              <w:right w:val="single" w:color="auto" w:sz="4" w:space="0"/>
            </w:tcBorders>
            <w:vAlign w:val="center"/>
          </w:tcPr>
          <w:p w14:paraId="1DA07594">
            <w:pPr>
              <w:jc w:val="center"/>
              <w:rPr>
                <w:rFonts w:asciiTheme="majorEastAsia" w:hAnsiTheme="majorEastAsia" w:eastAsiaTheme="majorEastAsia" w:cstheme="majorEastAsia"/>
                <w:sz w:val="22"/>
              </w:rPr>
            </w:pPr>
            <w:r>
              <w:rPr>
                <w:rFonts w:hint="eastAsia" w:asciiTheme="majorEastAsia" w:hAnsiTheme="majorEastAsia" w:eastAsiaTheme="majorEastAsia" w:cstheme="majorEastAsia"/>
                <w:sz w:val="22"/>
              </w:rPr>
              <w:t>交付时间拟定</w:t>
            </w:r>
          </w:p>
        </w:tc>
        <w:tc>
          <w:tcPr>
            <w:tcW w:w="1240" w:type="pct"/>
            <w:tcBorders>
              <w:top w:val="single" w:color="auto" w:sz="4" w:space="0"/>
              <w:left w:val="single" w:color="auto" w:sz="4" w:space="0"/>
              <w:bottom w:val="single" w:color="auto" w:sz="4" w:space="0"/>
              <w:right w:val="single" w:color="auto" w:sz="4" w:space="0"/>
            </w:tcBorders>
            <w:vAlign w:val="center"/>
          </w:tcPr>
          <w:p w14:paraId="674AD85A">
            <w:pPr>
              <w:jc w:val="center"/>
              <w:rPr>
                <w:rFonts w:asciiTheme="majorEastAsia" w:hAnsiTheme="majorEastAsia" w:eastAsiaTheme="majorEastAsia" w:cstheme="majorEastAsia"/>
                <w:sz w:val="22"/>
              </w:rPr>
            </w:pPr>
            <w:r>
              <w:rPr>
                <w:rFonts w:hint="eastAsia" w:asciiTheme="majorEastAsia" w:hAnsiTheme="majorEastAsia" w:eastAsiaTheme="majorEastAsia" w:cstheme="majorEastAsia"/>
                <w:sz w:val="22"/>
              </w:rPr>
              <w:t>说明</w:t>
            </w:r>
          </w:p>
        </w:tc>
      </w:tr>
      <w:tr w14:paraId="262BEE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right"/>
        </w:trPr>
        <w:tc>
          <w:tcPr>
            <w:tcW w:w="826" w:type="pct"/>
            <w:tcBorders>
              <w:top w:val="single" w:color="auto" w:sz="4" w:space="0"/>
              <w:left w:val="single" w:color="auto" w:sz="4" w:space="0"/>
              <w:bottom w:val="single" w:color="auto" w:sz="4" w:space="0"/>
              <w:right w:val="single" w:color="auto" w:sz="4" w:space="0"/>
            </w:tcBorders>
            <w:vAlign w:val="center"/>
          </w:tcPr>
          <w:p w14:paraId="691E25B8">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方案意见类</w:t>
            </w:r>
          </w:p>
        </w:tc>
        <w:tc>
          <w:tcPr>
            <w:tcW w:w="1430" w:type="pct"/>
            <w:tcBorders>
              <w:top w:val="single" w:color="auto" w:sz="4" w:space="0"/>
              <w:left w:val="single" w:color="auto" w:sz="4" w:space="0"/>
              <w:bottom w:val="single" w:color="auto" w:sz="4" w:space="0"/>
              <w:right w:val="single" w:color="auto" w:sz="4" w:space="0"/>
            </w:tcBorders>
            <w:vAlign w:val="center"/>
          </w:tcPr>
          <w:p w14:paraId="7B6AA16D">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《江村区域仓设施风险场景分析报告》</w:t>
            </w:r>
          </w:p>
        </w:tc>
        <w:tc>
          <w:tcPr>
            <w:tcW w:w="632" w:type="pct"/>
            <w:tcBorders>
              <w:top w:val="single" w:color="auto" w:sz="4" w:space="0"/>
              <w:left w:val="single" w:color="auto" w:sz="4" w:space="0"/>
              <w:bottom w:val="single" w:color="auto" w:sz="4" w:space="0"/>
              <w:right w:val="single" w:color="auto" w:sz="4" w:space="0"/>
            </w:tcBorders>
            <w:vAlign w:val="center"/>
          </w:tcPr>
          <w:p w14:paraId="31E16F06">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完成</w:t>
            </w:r>
          </w:p>
        </w:tc>
        <w:tc>
          <w:tcPr>
            <w:tcW w:w="870" w:type="pct"/>
            <w:tcBorders>
              <w:top w:val="single" w:color="auto" w:sz="4" w:space="0"/>
              <w:left w:val="single" w:color="auto" w:sz="4" w:space="0"/>
              <w:bottom w:val="single" w:color="auto" w:sz="4" w:space="0"/>
              <w:right w:val="single" w:color="auto" w:sz="4" w:space="0"/>
            </w:tcBorders>
            <w:vAlign w:val="center"/>
          </w:tcPr>
          <w:p w14:paraId="3CBB611D">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2025年1</w:t>
            </w:r>
            <w:r>
              <w:rPr>
                <w:rFonts w:hint="eastAsia" w:asciiTheme="majorEastAsia" w:hAnsiTheme="majorEastAsia" w:eastAsiaTheme="majorEastAsia" w:cstheme="majorEastAsia"/>
                <w:color w:val="000000"/>
                <w:kern w:val="0"/>
                <w:sz w:val="22"/>
                <w:lang w:val="en-US" w:eastAsia="zh-CN" w:bidi="ar"/>
              </w:rPr>
              <w:t>0</w:t>
            </w:r>
            <w:r>
              <w:rPr>
                <w:rFonts w:hint="eastAsia" w:asciiTheme="majorEastAsia" w:hAnsiTheme="majorEastAsia" w:eastAsiaTheme="majorEastAsia" w:cstheme="majorEastAsia"/>
                <w:color w:val="000000"/>
                <w:kern w:val="0"/>
                <w:sz w:val="22"/>
                <w:lang w:bidi="ar"/>
              </w:rPr>
              <w:t>月</w:t>
            </w:r>
          </w:p>
        </w:tc>
        <w:tc>
          <w:tcPr>
            <w:tcW w:w="1240" w:type="pct"/>
            <w:tcBorders>
              <w:top w:val="single" w:color="auto" w:sz="4" w:space="0"/>
              <w:left w:val="single" w:color="auto" w:sz="4" w:space="0"/>
              <w:bottom w:val="single" w:color="auto" w:sz="4" w:space="0"/>
              <w:right w:val="single" w:color="auto" w:sz="4" w:space="0"/>
            </w:tcBorders>
            <w:vAlign w:val="center"/>
          </w:tcPr>
          <w:p w14:paraId="7F4EB806">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经项目专家组评审通过</w:t>
            </w:r>
          </w:p>
        </w:tc>
      </w:tr>
      <w:tr w14:paraId="2E10225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right"/>
        </w:trPr>
        <w:tc>
          <w:tcPr>
            <w:tcW w:w="826" w:type="pct"/>
            <w:tcBorders>
              <w:top w:val="single" w:color="auto" w:sz="4" w:space="0"/>
              <w:left w:val="single" w:color="auto" w:sz="4" w:space="0"/>
              <w:bottom w:val="single" w:color="auto" w:sz="4" w:space="0"/>
              <w:right w:val="single" w:color="auto" w:sz="4" w:space="0"/>
            </w:tcBorders>
            <w:vAlign w:val="center"/>
          </w:tcPr>
          <w:p w14:paraId="438C10E9">
            <w:pPr>
              <w:widowControl/>
              <w:jc w:val="center"/>
              <w:textAlignment w:val="center"/>
              <w:rPr>
                <w:rFonts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方案意见类</w:t>
            </w:r>
          </w:p>
        </w:tc>
        <w:tc>
          <w:tcPr>
            <w:tcW w:w="1430" w:type="pct"/>
            <w:tcBorders>
              <w:top w:val="single" w:color="auto" w:sz="4" w:space="0"/>
              <w:left w:val="single" w:color="auto" w:sz="4" w:space="0"/>
              <w:bottom w:val="single" w:color="auto" w:sz="4" w:space="0"/>
              <w:right w:val="single" w:color="auto" w:sz="4" w:space="0"/>
            </w:tcBorders>
            <w:vAlign w:val="center"/>
          </w:tcPr>
          <w:p w14:paraId="43684588">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val="en-US" w:eastAsia="zh-CN" w:bidi="ar"/>
              </w:rPr>
              <w:t>《园区设施碰撞风险识别与防护技术研究报告》</w:t>
            </w:r>
          </w:p>
        </w:tc>
        <w:tc>
          <w:tcPr>
            <w:tcW w:w="632" w:type="pct"/>
            <w:tcBorders>
              <w:top w:val="single" w:color="auto" w:sz="4" w:space="0"/>
              <w:left w:val="single" w:color="auto" w:sz="4" w:space="0"/>
              <w:bottom w:val="single" w:color="auto" w:sz="4" w:space="0"/>
              <w:right w:val="single" w:color="auto" w:sz="4" w:space="0"/>
            </w:tcBorders>
            <w:vAlign w:val="center"/>
          </w:tcPr>
          <w:p w14:paraId="768589F2">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完成</w:t>
            </w:r>
          </w:p>
        </w:tc>
        <w:tc>
          <w:tcPr>
            <w:tcW w:w="870" w:type="pct"/>
            <w:tcBorders>
              <w:top w:val="single" w:color="auto" w:sz="4" w:space="0"/>
              <w:left w:val="single" w:color="auto" w:sz="4" w:space="0"/>
              <w:bottom w:val="single" w:color="auto" w:sz="4" w:space="0"/>
              <w:right w:val="single" w:color="auto" w:sz="4" w:space="0"/>
            </w:tcBorders>
            <w:vAlign w:val="center"/>
          </w:tcPr>
          <w:p w14:paraId="55B39B62">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bidi="ar"/>
              </w:rPr>
              <w:t>2025年11月</w:t>
            </w:r>
          </w:p>
        </w:tc>
        <w:tc>
          <w:tcPr>
            <w:tcW w:w="1240" w:type="pct"/>
            <w:tcBorders>
              <w:top w:val="single" w:color="auto" w:sz="4" w:space="0"/>
              <w:left w:val="single" w:color="auto" w:sz="4" w:space="0"/>
              <w:bottom w:val="single" w:color="auto" w:sz="4" w:space="0"/>
              <w:right w:val="single" w:color="auto" w:sz="4" w:space="0"/>
            </w:tcBorders>
            <w:vAlign w:val="center"/>
          </w:tcPr>
          <w:p w14:paraId="1E560077">
            <w:pPr>
              <w:widowControl/>
              <w:jc w:val="center"/>
              <w:textAlignment w:val="center"/>
              <w:rPr>
                <w:rFonts w:hint="eastAsia" w:asciiTheme="majorEastAsia" w:hAnsiTheme="majorEastAsia" w:eastAsiaTheme="majorEastAsia" w:cstheme="majorEastAsia"/>
                <w:color w:val="000000"/>
                <w:kern w:val="0"/>
                <w:sz w:val="22"/>
                <w:lang w:bidi="ar"/>
              </w:rPr>
            </w:pPr>
            <w:r>
              <w:rPr>
                <w:rFonts w:hint="eastAsia" w:asciiTheme="majorEastAsia" w:hAnsiTheme="majorEastAsia" w:eastAsiaTheme="majorEastAsia" w:cstheme="majorEastAsia"/>
                <w:color w:val="000000"/>
                <w:kern w:val="0"/>
                <w:sz w:val="22"/>
                <w:lang w:val="en-US" w:eastAsia="zh-CN" w:bidi="ar"/>
              </w:rPr>
              <w:t>经项目专家组评审通过</w:t>
            </w:r>
          </w:p>
        </w:tc>
      </w:tr>
      <w:tr w14:paraId="47BB2D5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right"/>
        </w:trPr>
        <w:tc>
          <w:tcPr>
            <w:tcW w:w="826" w:type="pct"/>
            <w:tcBorders>
              <w:top w:val="single" w:color="auto" w:sz="4" w:space="0"/>
              <w:left w:val="single" w:color="auto" w:sz="4" w:space="0"/>
              <w:bottom w:val="single" w:color="auto" w:sz="4" w:space="0"/>
              <w:right w:val="single" w:color="auto" w:sz="4" w:space="0"/>
            </w:tcBorders>
            <w:vAlign w:val="center"/>
          </w:tcPr>
          <w:p w14:paraId="24D63834">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其他</w:t>
            </w:r>
          </w:p>
        </w:tc>
        <w:tc>
          <w:tcPr>
            <w:tcW w:w="1430" w:type="pct"/>
            <w:tcBorders>
              <w:top w:val="single" w:color="auto" w:sz="4" w:space="0"/>
              <w:left w:val="single" w:color="auto" w:sz="4" w:space="0"/>
              <w:bottom w:val="single" w:color="auto" w:sz="4" w:space="0"/>
              <w:right w:val="single" w:color="auto" w:sz="4" w:space="0"/>
            </w:tcBorders>
            <w:vAlign w:val="center"/>
          </w:tcPr>
          <w:p w14:paraId="0711B40F">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园区设施风险感知原型系统1套</w:t>
            </w:r>
          </w:p>
        </w:tc>
        <w:tc>
          <w:tcPr>
            <w:tcW w:w="632" w:type="pct"/>
            <w:tcBorders>
              <w:top w:val="single" w:color="auto" w:sz="4" w:space="0"/>
              <w:left w:val="single" w:color="auto" w:sz="4" w:space="0"/>
              <w:bottom w:val="single" w:color="auto" w:sz="4" w:space="0"/>
              <w:right w:val="single" w:color="auto" w:sz="4" w:space="0"/>
            </w:tcBorders>
            <w:vAlign w:val="center"/>
          </w:tcPr>
          <w:p w14:paraId="6BFE8989">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完成</w:t>
            </w:r>
          </w:p>
        </w:tc>
        <w:tc>
          <w:tcPr>
            <w:tcW w:w="870" w:type="pct"/>
            <w:tcBorders>
              <w:top w:val="single" w:color="auto" w:sz="4" w:space="0"/>
              <w:left w:val="single" w:color="auto" w:sz="4" w:space="0"/>
              <w:bottom w:val="single" w:color="auto" w:sz="4" w:space="0"/>
              <w:right w:val="single" w:color="auto" w:sz="4" w:space="0"/>
            </w:tcBorders>
            <w:vAlign w:val="center"/>
          </w:tcPr>
          <w:p w14:paraId="4918DC24">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2025年11月</w:t>
            </w:r>
          </w:p>
        </w:tc>
        <w:tc>
          <w:tcPr>
            <w:tcW w:w="1240" w:type="pct"/>
            <w:tcBorders>
              <w:top w:val="single" w:color="auto" w:sz="4" w:space="0"/>
              <w:left w:val="single" w:color="auto" w:sz="4" w:space="0"/>
              <w:bottom w:val="single" w:color="auto" w:sz="4" w:space="0"/>
              <w:right w:val="single" w:color="auto" w:sz="4" w:space="0"/>
            </w:tcBorders>
            <w:vAlign w:val="center"/>
          </w:tcPr>
          <w:p w14:paraId="0E97400C">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经项目专家组评审通过</w:t>
            </w:r>
          </w:p>
        </w:tc>
      </w:tr>
      <w:tr w14:paraId="647677E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right"/>
        </w:trPr>
        <w:tc>
          <w:tcPr>
            <w:tcW w:w="826" w:type="pct"/>
            <w:tcBorders>
              <w:top w:val="single" w:color="auto" w:sz="4" w:space="0"/>
              <w:left w:val="single" w:color="auto" w:sz="4" w:space="0"/>
              <w:bottom w:val="single" w:color="auto" w:sz="4" w:space="0"/>
              <w:right w:val="single" w:color="auto" w:sz="4" w:space="0"/>
            </w:tcBorders>
            <w:vAlign w:val="center"/>
          </w:tcPr>
          <w:p w14:paraId="092C26E7">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知识产权类类</w:t>
            </w:r>
          </w:p>
        </w:tc>
        <w:tc>
          <w:tcPr>
            <w:tcW w:w="1430" w:type="pct"/>
            <w:tcBorders>
              <w:top w:val="single" w:color="auto" w:sz="4" w:space="0"/>
              <w:left w:val="single" w:color="auto" w:sz="4" w:space="0"/>
              <w:bottom w:val="single" w:color="auto" w:sz="4" w:space="0"/>
              <w:right w:val="single" w:color="auto" w:sz="4" w:space="0"/>
            </w:tcBorders>
            <w:vAlign w:val="center"/>
          </w:tcPr>
          <w:p w14:paraId="7E76696F">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申请风险识别算法软件著作权1项</w:t>
            </w:r>
          </w:p>
        </w:tc>
        <w:tc>
          <w:tcPr>
            <w:tcW w:w="632" w:type="pct"/>
            <w:tcBorders>
              <w:top w:val="single" w:color="auto" w:sz="4" w:space="0"/>
              <w:left w:val="single" w:color="auto" w:sz="4" w:space="0"/>
              <w:bottom w:val="single" w:color="auto" w:sz="4" w:space="0"/>
              <w:right w:val="single" w:color="auto" w:sz="4" w:space="0"/>
            </w:tcBorders>
            <w:vAlign w:val="center"/>
          </w:tcPr>
          <w:p w14:paraId="597C5611">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完成</w:t>
            </w:r>
          </w:p>
        </w:tc>
        <w:tc>
          <w:tcPr>
            <w:tcW w:w="870" w:type="pct"/>
            <w:tcBorders>
              <w:top w:val="single" w:color="auto" w:sz="4" w:space="0"/>
              <w:left w:val="single" w:color="auto" w:sz="4" w:space="0"/>
              <w:bottom w:val="single" w:color="auto" w:sz="4" w:space="0"/>
              <w:right w:val="single" w:color="auto" w:sz="4" w:space="0"/>
            </w:tcBorders>
            <w:vAlign w:val="center"/>
          </w:tcPr>
          <w:p w14:paraId="746F2EE3">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2025年11月</w:t>
            </w:r>
          </w:p>
        </w:tc>
        <w:tc>
          <w:tcPr>
            <w:tcW w:w="1240" w:type="pct"/>
            <w:tcBorders>
              <w:top w:val="single" w:color="auto" w:sz="4" w:space="0"/>
              <w:left w:val="single" w:color="auto" w:sz="4" w:space="0"/>
              <w:bottom w:val="single" w:color="auto" w:sz="4" w:space="0"/>
              <w:right w:val="single" w:color="auto" w:sz="4" w:space="0"/>
            </w:tcBorders>
            <w:vAlign w:val="center"/>
          </w:tcPr>
          <w:p w14:paraId="34E6E173">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受理</w:t>
            </w:r>
          </w:p>
        </w:tc>
      </w:tr>
      <w:tr w14:paraId="7C9416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right"/>
        </w:trPr>
        <w:tc>
          <w:tcPr>
            <w:tcW w:w="826" w:type="pct"/>
            <w:tcBorders>
              <w:top w:val="single" w:color="auto" w:sz="4" w:space="0"/>
              <w:left w:val="single" w:color="auto" w:sz="4" w:space="0"/>
              <w:bottom w:val="single" w:color="auto" w:sz="4" w:space="0"/>
              <w:right w:val="single" w:color="auto" w:sz="4" w:space="0"/>
            </w:tcBorders>
            <w:vAlign w:val="center"/>
          </w:tcPr>
          <w:p w14:paraId="15FE657B">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方案意见类</w:t>
            </w:r>
          </w:p>
        </w:tc>
        <w:tc>
          <w:tcPr>
            <w:tcW w:w="1430" w:type="pct"/>
            <w:tcBorders>
              <w:top w:val="single" w:color="auto" w:sz="4" w:space="0"/>
              <w:left w:val="single" w:color="auto" w:sz="4" w:space="0"/>
              <w:bottom w:val="single" w:color="auto" w:sz="4" w:space="0"/>
              <w:right w:val="single" w:color="auto" w:sz="4" w:space="0"/>
            </w:tcBorders>
            <w:vAlign w:val="center"/>
          </w:tcPr>
          <w:p w14:paraId="12104437">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《园区设施风险感知原型系统测试验证报告》</w:t>
            </w:r>
          </w:p>
        </w:tc>
        <w:tc>
          <w:tcPr>
            <w:tcW w:w="632" w:type="pct"/>
            <w:tcBorders>
              <w:top w:val="single" w:color="auto" w:sz="4" w:space="0"/>
              <w:left w:val="single" w:color="auto" w:sz="4" w:space="0"/>
              <w:bottom w:val="single" w:color="auto" w:sz="4" w:space="0"/>
              <w:right w:val="single" w:color="auto" w:sz="4" w:space="0"/>
            </w:tcBorders>
            <w:vAlign w:val="center"/>
          </w:tcPr>
          <w:p w14:paraId="0492C650">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完成</w:t>
            </w:r>
          </w:p>
        </w:tc>
        <w:tc>
          <w:tcPr>
            <w:tcW w:w="870" w:type="pct"/>
            <w:tcBorders>
              <w:top w:val="single" w:color="auto" w:sz="4" w:space="0"/>
              <w:left w:val="single" w:color="auto" w:sz="4" w:space="0"/>
              <w:bottom w:val="single" w:color="auto" w:sz="4" w:space="0"/>
              <w:right w:val="single" w:color="auto" w:sz="4" w:space="0"/>
            </w:tcBorders>
            <w:vAlign w:val="center"/>
          </w:tcPr>
          <w:p w14:paraId="6E01CAFF">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2025年11月</w:t>
            </w:r>
          </w:p>
        </w:tc>
        <w:tc>
          <w:tcPr>
            <w:tcW w:w="1240" w:type="pct"/>
            <w:tcBorders>
              <w:top w:val="single" w:color="auto" w:sz="4" w:space="0"/>
              <w:left w:val="single" w:color="auto" w:sz="4" w:space="0"/>
              <w:bottom w:val="single" w:color="auto" w:sz="4" w:space="0"/>
              <w:right w:val="single" w:color="auto" w:sz="4" w:space="0"/>
            </w:tcBorders>
            <w:vAlign w:val="center"/>
          </w:tcPr>
          <w:p w14:paraId="3FD5C804">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经项目专家组评审通过</w:t>
            </w:r>
          </w:p>
        </w:tc>
      </w:tr>
      <w:tr w14:paraId="239E84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right"/>
        </w:trPr>
        <w:tc>
          <w:tcPr>
            <w:tcW w:w="826" w:type="pct"/>
            <w:tcBorders>
              <w:top w:val="single" w:color="auto" w:sz="4" w:space="0"/>
              <w:left w:val="single" w:color="auto" w:sz="4" w:space="0"/>
              <w:bottom w:val="single" w:color="auto" w:sz="4" w:space="0"/>
              <w:right w:val="single" w:color="auto" w:sz="4" w:space="0"/>
            </w:tcBorders>
            <w:vAlign w:val="center"/>
          </w:tcPr>
          <w:p w14:paraId="3C8AC59B">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方案意见类</w:t>
            </w:r>
          </w:p>
        </w:tc>
        <w:tc>
          <w:tcPr>
            <w:tcW w:w="1430" w:type="pct"/>
            <w:tcBorders>
              <w:top w:val="single" w:color="auto" w:sz="4" w:space="0"/>
              <w:left w:val="single" w:color="auto" w:sz="4" w:space="0"/>
              <w:bottom w:val="single" w:color="auto" w:sz="4" w:space="0"/>
              <w:right w:val="single" w:color="auto" w:sz="4" w:space="0"/>
            </w:tcBorders>
            <w:vAlign w:val="center"/>
          </w:tcPr>
          <w:p w14:paraId="1556A235">
            <w:pPr>
              <w:widowControl/>
              <w:jc w:val="center"/>
              <w:textAlignment w:val="center"/>
              <w:rPr>
                <w:rFonts w:hint="default"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《园区设施风险感知原型系统部署与运维手册》</w:t>
            </w:r>
          </w:p>
        </w:tc>
        <w:tc>
          <w:tcPr>
            <w:tcW w:w="632" w:type="pct"/>
            <w:tcBorders>
              <w:top w:val="single" w:color="auto" w:sz="4" w:space="0"/>
              <w:left w:val="single" w:color="auto" w:sz="4" w:space="0"/>
              <w:bottom w:val="single" w:color="auto" w:sz="4" w:space="0"/>
              <w:right w:val="single" w:color="auto" w:sz="4" w:space="0"/>
            </w:tcBorders>
            <w:vAlign w:val="center"/>
          </w:tcPr>
          <w:p w14:paraId="73E156E9">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完成</w:t>
            </w:r>
          </w:p>
        </w:tc>
        <w:tc>
          <w:tcPr>
            <w:tcW w:w="870" w:type="pct"/>
            <w:tcBorders>
              <w:top w:val="single" w:color="auto" w:sz="4" w:space="0"/>
              <w:left w:val="single" w:color="auto" w:sz="4" w:space="0"/>
              <w:bottom w:val="single" w:color="auto" w:sz="4" w:space="0"/>
              <w:right w:val="single" w:color="auto" w:sz="4" w:space="0"/>
            </w:tcBorders>
            <w:vAlign w:val="center"/>
          </w:tcPr>
          <w:p w14:paraId="6D221A78">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2025年11月</w:t>
            </w:r>
          </w:p>
        </w:tc>
        <w:tc>
          <w:tcPr>
            <w:tcW w:w="1240" w:type="pct"/>
            <w:tcBorders>
              <w:top w:val="single" w:color="auto" w:sz="4" w:space="0"/>
              <w:left w:val="single" w:color="auto" w:sz="4" w:space="0"/>
              <w:bottom w:val="single" w:color="auto" w:sz="4" w:space="0"/>
              <w:right w:val="single" w:color="auto" w:sz="4" w:space="0"/>
            </w:tcBorders>
            <w:vAlign w:val="center"/>
          </w:tcPr>
          <w:p w14:paraId="7F6C05AF">
            <w:pPr>
              <w:widowControl/>
              <w:jc w:val="center"/>
              <w:textAlignment w:val="center"/>
              <w:rPr>
                <w:rFonts w:hint="eastAsia" w:asciiTheme="majorEastAsia" w:hAnsiTheme="majorEastAsia" w:eastAsiaTheme="majorEastAsia" w:cstheme="majorEastAsia"/>
                <w:color w:val="000000"/>
                <w:kern w:val="0"/>
                <w:sz w:val="22"/>
                <w:lang w:val="en-US" w:eastAsia="zh-CN" w:bidi="ar"/>
              </w:rPr>
            </w:pPr>
            <w:r>
              <w:rPr>
                <w:rFonts w:hint="eastAsia" w:asciiTheme="majorEastAsia" w:hAnsiTheme="majorEastAsia" w:eastAsiaTheme="majorEastAsia" w:cstheme="majorEastAsia"/>
                <w:color w:val="000000"/>
                <w:kern w:val="0"/>
                <w:sz w:val="22"/>
                <w:lang w:val="en-US" w:eastAsia="zh-CN" w:bidi="ar"/>
              </w:rPr>
              <w:t>经项目专家组评审通过</w:t>
            </w:r>
          </w:p>
        </w:tc>
      </w:tr>
    </w:tbl>
    <w:p w14:paraId="2885A907">
      <w:pPr>
        <w:pStyle w:val="4"/>
      </w:pPr>
      <w:r>
        <w:rPr>
          <w:rFonts w:hint="eastAsia"/>
        </w:rPr>
        <w:t>（二）成果权属要求</w:t>
      </w:r>
    </w:p>
    <w:p w14:paraId="5875C2CD">
      <w:pPr>
        <w:spacing w:line="560" w:lineRule="exact"/>
        <w:ind w:firstLine="560" w:firstLineChars="200"/>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1.</w:t>
      </w:r>
      <w:r>
        <w:rPr>
          <w:rFonts w:hint="eastAsia" w:ascii="Times New Roman" w:hAnsi="Times New Roman" w:eastAsia="宋体" w:cs="Times New Roman"/>
          <w:sz w:val="28"/>
          <w:szCs w:val="28"/>
        </w:rPr>
        <w:t>本合同项下的研究成果申请专利的权利归甲方享有，未经甲方许可，乙方不得单独申请专利或向第三方转让专利申请权。相关知识产权申请人及专利权人不得出现南方电网供应链(广东)有限公司及乙方以外的其他单位或个人。</w:t>
      </w:r>
    </w:p>
    <w:p w14:paraId="1A3817EA">
      <w:pPr>
        <w:spacing w:line="560" w:lineRule="exact"/>
        <w:ind w:firstLine="560" w:firstLineChars="200"/>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2.</w:t>
      </w:r>
      <w:r>
        <w:rPr>
          <w:rFonts w:hint="eastAsia" w:ascii="Times New Roman" w:hAnsi="Times New Roman" w:eastAsia="宋体" w:cs="Times New Roman"/>
          <w:sz w:val="28"/>
          <w:szCs w:val="28"/>
        </w:rPr>
        <w:t>甲乙双方均享有本合同项下研究成果的使用权,但乙方仅能在甲方许可的范围内使用该研究成果。因使用该研究成果所产生的效益，由甲乙双方共同协商确定分配方式。</w:t>
      </w:r>
    </w:p>
    <w:p w14:paraId="14B79D52">
      <w:pPr>
        <w:spacing w:line="560" w:lineRule="exact"/>
        <w:ind w:firstLine="560" w:firstLineChars="200"/>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3.</w:t>
      </w:r>
      <w:r>
        <w:rPr>
          <w:rFonts w:hint="eastAsia" w:ascii="Times New Roman" w:hAnsi="Times New Roman" w:eastAsia="宋体" w:cs="Times New Roman"/>
          <w:sz w:val="28"/>
          <w:szCs w:val="28"/>
        </w:rPr>
        <w:t>本合同项下的研究成果的转让权属于甲方，乙方不得向第三方转让，亦不得许可第三方实施使用，乙方擅自转让所产生的利益归甲方所有。</w:t>
      </w:r>
    </w:p>
    <w:p w14:paraId="02802ACF">
      <w:pPr>
        <w:spacing w:line="560" w:lineRule="exact"/>
        <w:ind w:firstLine="560" w:firstLineChars="200"/>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4.</w:t>
      </w:r>
      <w:r>
        <w:rPr>
          <w:rFonts w:hint="eastAsia" w:ascii="Times New Roman" w:hAnsi="Times New Roman" w:eastAsia="宋体" w:cs="Times New Roman"/>
          <w:sz w:val="28"/>
          <w:szCs w:val="28"/>
        </w:rPr>
        <w:t>本合同项下的研究成果申请奖励的权利归甲方享有。未经甲方许可，乙方不得单方申请奖励。</w:t>
      </w:r>
    </w:p>
    <w:p w14:paraId="19C43B37">
      <w:pPr>
        <w:spacing w:line="560" w:lineRule="exact"/>
        <w:ind w:firstLine="560" w:firstLineChars="200"/>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5.</w:t>
      </w:r>
      <w:r>
        <w:rPr>
          <w:rFonts w:hint="eastAsia" w:ascii="Times New Roman" w:hAnsi="Times New Roman" w:eastAsia="宋体" w:cs="Times New Roman"/>
          <w:sz w:val="28"/>
          <w:szCs w:val="28"/>
        </w:rPr>
        <w:t>本合同项下的研究成果的发表权由甲方所有。</w:t>
      </w:r>
    </w:p>
    <w:p w14:paraId="6766970E">
      <w:pPr>
        <w:spacing w:line="560" w:lineRule="exact"/>
        <w:ind w:firstLine="560" w:firstLineChars="200"/>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6.</w:t>
      </w:r>
      <w:r>
        <w:rPr>
          <w:rFonts w:hint="eastAsia" w:ascii="Times New Roman" w:hAnsi="Times New Roman" w:eastAsia="宋体" w:cs="Times New Roman"/>
          <w:sz w:val="28"/>
          <w:szCs w:val="28"/>
        </w:rPr>
        <w:t>使用履行本合同产生的研究成果参与国际标准、国家标准或行业标准等的制定或修订工作的权利属于甲方所有,未经甲方许可，乙方不得单独参与此类工作。</w:t>
      </w:r>
    </w:p>
    <w:p w14:paraId="607765EC">
      <w:pPr>
        <w:spacing w:line="560" w:lineRule="exact"/>
        <w:ind w:firstLine="560" w:firstLineChars="200"/>
        <w:rPr>
          <w:rFonts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7.</w:t>
      </w:r>
      <w:r>
        <w:rPr>
          <w:rFonts w:hint="eastAsia" w:ascii="Times New Roman" w:hAnsi="Times New Roman" w:eastAsia="宋体" w:cs="Times New Roman"/>
          <w:sz w:val="28"/>
          <w:szCs w:val="28"/>
        </w:rPr>
        <w:t>乙方完成技术研究的人员享有在研究成果文件上写明自己是完成者的权利。</w:t>
      </w:r>
    </w:p>
    <w:p w14:paraId="7C9FB886">
      <w:pPr>
        <w:pStyle w:val="4"/>
      </w:pPr>
      <w:r>
        <w:rPr>
          <w:rFonts w:hint="eastAsia"/>
        </w:rPr>
        <w:t>（三）成果验收</w:t>
      </w:r>
    </w:p>
    <w:p w14:paraId="5B392186">
      <w:pPr>
        <w:spacing w:line="560" w:lineRule="exact"/>
        <w:ind w:firstLine="560" w:firstLineChars="200"/>
        <w:rPr>
          <w:rFonts w:ascii="Times New Roman" w:hAnsi="Times New Roman" w:eastAsia="宋体" w:cs="Times New Roman"/>
          <w:sz w:val="28"/>
          <w:szCs w:val="28"/>
        </w:rPr>
      </w:pPr>
      <w:r>
        <w:rPr>
          <w:rFonts w:hint="eastAsia" w:ascii="Times New Roman" w:hAnsi="Times New Roman" w:eastAsia="宋体" w:cs="Times New Roman"/>
          <w:sz w:val="28"/>
          <w:szCs w:val="28"/>
        </w:rPr>
        <w:t>项目完成后（甲方收到乙方交付的成果后），由甲方组织专家组对项目的成果进行验收</w:t>
      </w:r>
      <w:r>
        <w:rPr>
          <w:rFonts w:ascii="Times New Roman" w:hAnsi="Times New Roman" w:eastAsia="宋体" w:cs="Times New Roman"/>
          <w:sz w:val="28"/>
          <w:szCs w:val="28"/>
        </w:rPr>
        <w:t>。</w:t>
      </w:r>
    </w:p>
    <w:p w14:paraId="18F8C034">
      <w:pPr>
        <w:spacing w:line="560" w:lineRule="exact"/>
        <w:ind w:firstLine="560" w:firstLineChars="200"/>
        <w:rPr>
          <w:rFonts w:eastAsia="宋体"/>
        </w:rPr>
      </w:pPr>
      <w:r>
        <w:rPr>
          <w:rFonts w:hint="eastAsia" w:ascii="Times New Roman" w:hAnsi="Times New Roman" w:eastAsia="宋体" w:cs="Times New Roman"/>
          <w:sz w:val="28"/>
          <w:szCs w:val="28"/>
        </w:rPr>
        <w:t>验收标准：按照技术规范书成果形式和数量验收。</w:t>
      </w:r>
    </w:p>
    <w:p w14:paraId="43293E4D">
      <w:pPr>
        <w:pStyle w:val="3"/>
      </w:pPr>
      <w:r>
        <w:rPr>
          <w:rFonts w:hint="eastAsia"/>
        </w:rPr>
        <w:t>五</w:t>
      </w:r>
      <w:r>
        <w:t>、时间进度安排</w:t>
      </w:r>
    </w:p>
    <w:p w14:paraId="469012DB">
      <w:pPr>
        <w:spacing w:line="360" w:lineRule="auto"/>
        <w:ind w:firstLine="560" w:firstLineChars="200"/>
        <w:rPr>
          <w:rFonts w:ascii="Times New Roman" w:hAnsi="Times New Roman" w:eastAsia="宋体" w:cs="Times New Roman"/>
          <w:sz w:val="28"/>
          <w:szCs w:val="28"/>
        </w:rPr>
      </w:pPr>
      <w:r>
        <w:rPr>
          <w:rFonts w:ascii="Times New Roman" w:hAnsi="Times New Roman" w:eastAsia="宋体" w:cs="Times New Roman"/>
          <w:sz w:val="28"/>
          <w:szCs w:val="28"/>
        </w:rPr>
        <w:t>项目进度计划拟安排如下：</w:t>
      </w:r>
    </w:p>
    <w:tbl>
      <w:tblPr>
        <w:tblStyle w:val="9"/>
        <w:tblW w:w="57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16"/>
        <w:gridCol w:w="1401"/>
        <w:gridCol w:w="1576"/>
        <w:gridCol w:w="6005"/>
      </w:tblGrid>
      <w:tr w14:paraId="1AFAD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21" w:type="pct"/>
            <w:vAlign w:val="center"/>
          </w:tcPr>
          <w:p w14:paraId="47908875">
            <w:pPr>
              <w:widowControl/>
              <w:jc w:val="center"/>
              <w:rPr>
                <w:rFonts w:ascii="宋体" w:hAnsi="宋体" w:eastAsia="宋体" w:cs="宋体"/>
                <w:szCs w:val="21"/>
              </w:rPr>
            </w:pPr>
            <w:r>
              <w:rPr>
                <w:rFonts w:hint="eastAsia" w:ascii="宋体" w:hAnsi="宋体" w:eastAsia="宋体" w:cs="宋体"/>
                <w:szCs w:val="21"/>
              </w:rPr>
              <w:t>序号</w:t>
            </w:r>
          </w:p>
        </w:tc>
        <w:tc>
          <w:tcPr>
            <w:tcW w:w="730" w:type="pct"/>
            <w:tcMar>
              <w:top w:w="54" w:type="dxa"/>
              <w:left w:w="108" w:type="dxa"/>
              <w:bottom w:w="54" w:type="dxa"/>
              <w:right w:w="108" w:type="dxa"/>
            </w:tcMar>
            <w:vAlign w:val="center"/>
          </w:tcPr>
          <w:p w14:paraId="556B27F4">
            <w:pPr>
              <w:widowControl/>
              <w:jc w:val="center"/>
              <w:rPr>
                <w:rFonts w:ascii="宋体" w:hAnsi="宋体" w:eastAsia="宋体" w:cs="宋体"/>
                <w:szCs w:val="21"/>
              </w:rPr>
            </w:pPr>
            <w:r>
              <w:rPr>
                <w:rFonts w:hint="eastAsia" w:ascii="宋体" w:hAnsi="宋体" w:eastAsia="宋体" w:cs="宋体"/>
                <w:szCs w:val="21"/>
              </w:rPr>
              <w:t>任务名称</w:t>
            </w:r>
          </w:p>
        </w:tc>
        <w:tc>
          <w:tcPr>
            <w:tcW w:w="821" w:type="pct"/>
            <w:tcMar>
              <w:top w:w="54" w:type="dxa"/>
              <w:left w:w="108" w:type="dxa"/>
              <w:bottom w:w="54" w:type="dxa"/>
              <w:right w:w="108" w:type="dxa"/>
            </w:tcMar>
            <w:vAlign w:val="center"/>
          </w:tcPr>
          <w:p w14:paraId="568F8E27">
            <w:pPr>
              <w:widowControl/>
              <w:jc w:val="center"/>
              <w:rPr>
                <w:rFonts w:ascii="宋体" w:hAnsi="宋体" w:eastAsia="宋体" w:cs="宋体"/>
                <w:szCs w:val="21"/>
              </w:rPr>
            </w:pPr>
            <w:r>
              <w:rPr>
                <w:rFonts w:hint="eastAsia" w:ascii="宋体" w:hAnsi="宋体" w:eastAsia="宋体" w:cs="宋体"/>
                <w:szCs w:val="21"/>
              </w:rPr>
              <w:t>时间要求</w:t>
            </w:r>
          </w:p>
        </w:tc>
        <w:tc>
          <w:tcPr>
            <w:tcW w:w="3128" w:type="pct"/>
            <w:tcMar>
              <w:top w:w="54" w:type="dxa"/>
              <w:left w:w="108" w:type="dxa"/>
              <w:bottom w:w="54" w:type="dxa"/>
              <w:right w:w="108" w:type="dxa"/>
            </w:tcMar>
            <w:vAlign w:val="center"/>
          </w:tcPr>
          <w:p w14:paraId="74EFFB69">
            <w:pPr>
              <w:widowControl/>
              <w:jc w:val="center"/>
              <w:rPr>
                <w:rFonts w:ascii="宋体" w:hAnsi="宋体" w:eastAsia="宋体" w:cs="宋体"/>
                <w:szCs w:val="21"/>
              </w:rPr>
            </w:pPr>
            <w:r>
              <w:rPr>
                <w:rFonts w:hint="eastAsia" w:ascii="宋体" w:hAnsi="宋体" w:eastAsia="宋体" w:cs="宋体"/>
                <w:szCs w:val="21"/>
              </w:rPr>
              <w:t>主要内容及交付项</w:t>
            </w:r>
          </w:p>
        </w:tc>
      </w:tr>
      <w:tr w14:paraId="774B8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21" w:type="pct"/>
            <w:vAlign w:val="center"/>
          </w:tcPr>
          <w:p w14:paraId="56D58A5E">
            <w:pPr>
              <w:widowControl/>
              <w:jc w:val="center"/>
              <w:rPr>
                <w:rFonts w:ascii="宋体" w:hAnsi="宋体" w:eastAsia="宋体" w:cs="宋体"/>
                <w:szCs w:val="21"/>
              </w:rPr>
            </w:pPr>
            <w:r>
              <w:rPr>
                <w:rFonts w:hint="eastAsia" w:ascii="宋体" w:hAnsi="宋体" w:eastAsia="宋体" w:cs="宋体"/>
                <w:szCs w:val="21"/>
              </w:rPr>
              <w:t>1</w:t>
            </w:r>
          </w:p>
        </w:tc>
        <w:tc>
          <w:tcPr>
            <w:tcW w:w="730" w:type="pct"/>
            <w:tcMar>
              <w:top w:w="15" w:type="dxa"/>
              <w:left w:w="108" w:type="dxa"/>
              <w:bottom w:w="0" w:type="dxa"/>
              <w:right w:w="108" w:type="dxa"/>
            </w:tcMar>
            <w:vAlign w:val="center"/>
          </w:tcPr>
          <w:p w14:paraId="2D2FA55D">
            <w:pPr>
              <w:widowControl/>
              <w:jc w:val="center"/>
              <w:rPr>
                <w:rFonts w:ascii="宋体" w:hAnsi="宋体" w:eastAsia="宋体" w:cs="宋体"/>
                <w:szCs w:val="21"/>
              </w:rPr>
            </w:pPr>
            <w:r>
              <w:rPr>
                <w:rFonts w:hint="eastAsia" w:ascii="宋体" w:hAnsi="宋体" w:eastAsia="宋体" w:cs="宋体"/>
                <w:szCs w:val="21"/>
              </w:rPr>
              <w:t>现状调研</w:t>
            </w:r>
          </w:p>
        </w:tc>
        <w:tc>
          <w:tcPr>
            <w:tcW w:w="821" w:type="pct"/>
            <w:tcMar>
              <w:top w:w="15" w:type="dxa"/>
              <w:left w:w="108" w:type="dxa"/>
              <w:bottom w:w="0" w:type="dxa"/>
              <w:right w:w="108" w:type="dxa"/>
            </w:tcMar>
            <w:vAlign w:val="center"/>
          </w:tcPr>
          <w:p w14:paraId="039538F5">
            <w:pPr>
              <w:widowControl/>
              <w:jc w:val="center"/>
              <w:rPr>
                <w:rFonts w:ascii="宋体" w:hAnsi="宋体" w:eastAsia="宋体" w:cs="宋体"/>
                <w:szCs w:val="21"/>
              </w:rPr>
            </w:pPr>
            <w:r>
              <w:rPr>
                <w:rFonts w:hint="eastAsia" w:ascii="宋体" w:hAnsi="宋体" w:eastAsia="宋体" w:cs="宋体"/>
                <w:szCs w:val="21"/>
              </w:rPr>
              <w:t>2025年</w:t>
            </w:r>
            <w:r>
              <w:rPr>
                <w:rFonts w:hint="eastAsia" w:ascii="宋体" w:hAnsi="宋体" w:eastAsia="宋体" w:cs="宋体"/>
                <w:szCs w:val="21"/>
                <w:lang w:val="en-US" w:eastAsia="zh-CN"/>
              </w:rPr>
              <w:t>10</w:t>
            </w:r>
            <w:r>
              <w:rPr>
                <w:rFonts w:hint="eastAsia" w:ascii="宋体" w:hAnsi="宋体" w:eastAsia="宋体" w:cs="宋体"/>
                <w:szCs w:val="21"/>
              </w:rPr>
              <w:t>月</w:t>
            </w:r>
          </w:p>
        </w:tc>
        <w:tc>
          <w:tcPr>
            <w:tcW w:w="3128" w:type="pct"/>
            <w:tcMar>
              <w:top w:w="15" w:type="dxa"/>
              <w:left w:w="108" w:type="dxa"/>
              <w:bottom w:w="0" w:type="dxa"/>
              <w:right w:w="108" w:type="dxa"/>
            </w:tcMar>
            <w:vAlign w:val="center"/>
          </w:tcPr>
          <w:p w14:paraId="72B422F2">
            <w:pPr>
              <w:widowControl/>
              <w:rPr>
                <w:rFonts w:ascii="宋体" w:hAnsi="宋体" w:eastAsia="宋体" w:cs="宋体"/>
                <w:b/>
                <w:bCs/>
                <w:szCs w:val="21"/>
              </w:rPr>
            </w:pPr>
            <w:r>
              <w:rPr>
                <w:rFonts w:hint="eastAsia" w:ascii="宋体" w:hAnsi="宋体" w:eastAsia="宋体" w:cs="宋体"/>
                <w:b/>
                <w:bCs/>
                <w:szCs w:val="21"/>
              </w:rPr>
              <w:t>主要内容：</w:t>
            </w:r>
          </w:p>
          <w:p w14:paraId="27C89D1D">
            <w:pPr>
              <w:widowControl/>
              <w:rPr>
                <w:rFonts w:ascii="宋体" w:hAnsi="宋体" w:eastAsia="宋体" w:cs="宋体"/>
                <w:szCs w:val="21"/>
              </w:rPr>
            </w:pPr>
            <w:r>
              <w:rPr>
                <w:rFonts w:hint="eastAsia" w:ascii="宋体" w:hAnsi="宋体" w:eastAsia="宋体" w:cs="宋体"/>
                <w:szCs w:val="21"/>
                <w:lang w:val="en-US" w:eastAsia="zh-CN"/>
              </w:rPr>
              <w:t>江村区域仓风险</w:t>
            </w:r>
            <w:r>
              <w:rPr>
                <w:rFonts w:hint="eastAsia" w:ascii="宋体" w:hAnsi="宋体" w:eastAsia="宋体" w:cs="宋体"/>
                <w:szCs w:val="21"/>
              </w:rPr>
              <w:t>调研</w:t>
            </w:r>
            <w:r>
              <w:rPr>
                <w:rFonts w:hint="eastAsia" w:ascii="宋体" w:hAnsi="宋体" w:eastAsia="宋体" w:cs="宋体"/>
                <w:szCs w:val="21"/>
                <w:lang w:eastAsia="zh-CN"/>
              </w:rPr>
              <w:t>，</w:t>
            </w:r>
            <w:r>
              <w:rPr>
                <w:rFonts w:hint="eastAsia" w:ascii="宋体" w:hAnsi="宋体" w:eastAsia="宋体" w:cs="宋体"/>
                <w:szCs w:val="21"/>
                <w:lang w:val="en-US" w:eastAsia="zh-CN"/>
              </w:rPr>
              <w:t>完成风险场景建模与需求定义</w:t>
            </w:r>
            <w:r>
              <w:rPr>
                <w:rFonts w:hint="eastAsia" w:ascii="宋体" w:hAnsi="宋体" w:eastAsia="宋体" w:cs="宋体"/>
                <w:szCs w:val="21"/>
              </w:rPr>
              <w:t>；</w:t>
            </w:r>
          </w:p>
          <w:p w14:paraId="17C39B92">
            <w:pPr>
              <w:pStyle w:val="2"/>
              <w:ind w:left="0"/>
              <w:rPr>
                <w:rFonts w:ascii="宋体" w:hAnsi="宋体" w:eastAsia="宋体" w:cs="宋体"/>
                <w:b/>
                <w:bCs/>
                <w:sz w:val="21"/>
                <w:szCs w:val="21"/>
              </w:rPr>
            </w:pPr>
            <w:r>
              <w:rPr>
                <w:rFonts w:hint="eastAsia" w:ascii="宋体" w:hAnsi="宋体" w:eastAsia="宋体" w:cs="宋体"/>
                <w:b/>
                <w:bCs/>
                <w:sz w:val="21"/>
                <w:szCs w:val="21"/>
              </w:rPr>
              <w:t>交付物：</w:t>
            </w:r>
          </w:p>
          <w:p w14:paraId="26C14971">
            <w:r>
              <w:rPr>
                <w:rFonts w:hint="eastAsia" w:asciiTheme="majorEastAsia" w:hAnsiTheme="majorEastAsia" w:eastAsiaTheme="majorEastAsia" w:cstheme="majorEastAsia"/>
                <w:color w:val="000000"/>
                <w:kern w:val="0"/>
                <w:sz w:val="22"/>
                <w:lang w:val="en-US" w:eastAsia="zh-CN" w:bidi="ar"/>
              </w:rPr>
              <w:t>《江村区域仓设施风险场景分析报告》</w:t>
            </w:r>
            <w:r>
              <w:rPr>
                <w:rFonts w:hint="eastAsia" w:asciiTheme="majorEastAsia" w:hAnsiTheme="majorEastAsia" w:eastAsiaTheme="majorEastAsia" w:cstheme="majorEastAsia"/>
                <w:color w:val="000000"/>
                <w:kern w:val="0"/>
                <w:sz w:val="22"/>
                <w:lang w:bidi="ar"/>
              </w:rPr>
              <w:t>。</w:t>
            </w:r>
          </w:p>
        </w:tc>
      </w:tr>
      <w:tr w14:paraId="6344D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21" w:type="pct"/>
            <w:vAlign w:val="center"/>
          </w:tcPr>
          <w:p w14:paraId="6812754D">
            <w:pPr>
              <w:widowControl/>
              <w:jc w:val="center"/>
              <w:rPr>
                <w:rFonts w:ascii="宋体" w:hAnsi="宋体" w:eastAsia="宋体" w:cs="宋体"/>
                <w:szCs w:val="21"/>
              </w:rPr>
            </w:pPr>
            <w:r>
              <w:rPr>
                <w:rFonts w:hint="eastAsia" w:ascii="宋体" w:hAnsi="宋体" w:eastAsia="宋体" w:cs="宋体"/>
                <w:szCs w:val="21"/>
              </w:rPr>
              <w:t>2</w:t>
            </w:r>
          </w:p>
        </w:tc>
        <w:tc>
          <w:tcPr>
            <w:tcW w:w="730" w:type="pct"/>
            <w:tcMar>
              <w:top w:w="15" w:type="dxa"/>
              <w:left w:w="108" w:type="dxa"/>
              <w:bottom w:w="0" w:type="dxa"/>
              <w:right w:w="108" w:type="dxa"/>
            </w:tcMar>
            <w:vAlign w:val="center"/>
          </w:tcPr>
          <w:p w14:paraId="6CEA0339">
            <w:pPr>
              <w:widowControl/>
              <w:jc w:val="center"/>
              <w:rPr>
                <w:rFonts w:ascii="宋体" w:hAnsi="宋体" w:eastAsia="宋体" w:cs="宋体"/>
                <w:szCs w:val="21"/>
              </w:rPr>
            </w:pPr>
            <w:r>
              <w:rPr>
                <w:rFonts w:hint="eastAsia" w:ascii="宋体" w:hAnsi="宋体" w:eastAsia="宋体" w:cs="宋体"/>
                <w:szCs w:val="21"/>
              </w:rPr>
              <w:t>推进项目内容实施</w:t>
            </w:r>
          </w:p>
        </w:tc>
        <w:tc>
          <w:tcPr>
            <w:tcW w:w="821" w:type="pct"/>
            <w:tcMar>
              <w:top w:w="15" w:type="dxa"/>
              <w:left w:w="108" w:type="dxa"/>
              <w:bottom w:w="0" w:type="dxa"/>
              <w:right w:w="108" w:type="dxa"/>
            </w:tcMar>
            <w:vAlign w:val="center"/>
          </w:tcPr>
          <w:p w14:paraId="17AF9262">
            <w:pPr>
              <w:widowControl/>
              <w:jc w:val="center"/>
              <w:rPr>
                <w:rFonts w:ascii="宋体" w:hAnsi="宋体" w:eastAsia="宋体" w:cs="宋体"/>
                <w:szCs w:val="21"/>
              </w:rPr>
            </w:pPr>
            <w:r>
              <w:rPr>
                <w:rFonts w:hint="eastAsia" w:ascii="宋体" w:hAnsi="宋体" w:eastAsia="宋体" w:cs="宋体"/>
                <w:szCs w:val="21"/>
              </w:rPr>
              <w:t>2025年10月至2025年11月</w:t>
            </w:r>
          </w:p>
        </w:tc>
        <w:tc>
          <w:tcPr>
            <w:tcW w:w="3128" w:type="pct"/>
            <w:tcMar>
              <w:top w:w="15" w:type="dxa"/>
              <w:left w:w="108" w:type="dxa"/>
              <w:bottom w:w="0" w:type="dxa"/>
              <w:right w:w="108" w:type="dxa"/>
            </w:tcMar>
            <w:vAlign w:val="center"/>
          </w:tcPr>
          <w:p w14:paraId="44C90A28">
            <w:pPr>
              <w:widowControl/>
              <w:rPr>
                <w:rFonts w:ascii="宋体" w:hAnsi="宋体" w:eastAsia="宋体" w:cs="宋体"/>
                <w:b/>
                <w:bCs/>
                <w:szCs w:val="21"/>
              </w:rPr>
            </w:pPr>
            <w:r>
              <w:rPr>
                <w:rFonts w:hint="eastAsia" w:ascii="宋体" w:hAnsi="宋体" w:eastAsia="宋体" w:cs="宋体"/>
                <w:b/>
                <w:bCs/>
                <w:szCs w:val="21"/>
              </w:rPr>
              <w:t>主要内容：</w:t>
            </w:r>
          </w:p>
          <w:p w14:paraId="599D1F74">
            <w:pPr>
              <w:widowControl/>
              <w:rPr>
                <w:rFonts w:ascii="宋体" w:hAnsi="宋体" w:eastAsia="宋体" w:cs="宋体"/>
                <w:szCs w:val="21"/>
              </w:rPr>
            </w:pPr>
            <w:r>
              <w:rPr>
                <w:rFonts w:hint="eastAsia" w:ascii="宋体" w:hAnsi="宋体" w:eastAsia="宋体" w:cs="宋体"/>
                <w:szCs w:val="21"/>
              </w:rPr>
              <w:t>完成感知算法、边缘计算模块及声光联动</w:t>
            </w:r>
            <w:r>
              <w:rPr>
                <w:rFonts w:hint="eastAsia" w:ascii="宋体" w:hAnsi="宋体" w:eastAsia="宋体" w:cs="宋体"/>
                <w:szCs w:val="21"/>
                <w:lang w:val="en-US" w:eastAsia="zh-CN"/>
              </w:rPr>
              <w:t>等</w:t>
            </w:r>
            <w:r>
              <w:rPr>
                <w:rFonts w:hint="eastAsia" w:ascii="宋体" w:hAnsi="宋体" w:eastAsia="宋体" w:cs="宋体"/>
                <w:szCs w:val="21"/>
              </w:rPr>
              <w:t>机制</w:t>
            </w:r>
            <w:r>
              <w:rPr>
                <w:rFonts w:hint="eastAsia" w:ascii="宋体" w:hAnsi="宋体" w:eastAsia="宋体" w:cs="宋体"/>
                <w:szCs w:val="21"/>
                <w:lang w:val="en-US" w:eastAsia="zh-CN"/>
              </w:rPr>
              <w:t>研究与</w:t>
            </w:r>
            <w:r>
              <w:rPr>
                <w:rFonts w:hint="eastAsia" w:ascii="宋体" w:hAnsi="宋体" w:eastAsia="宋体" w:cs="宋体"/>
                <w:szCs w:val="21"/>
              </w:rPr>
              <w:t>开发</w:t>
            </w:r>
            <w:r>
              <w:rPr>
                <w:rFonts w:hint="eastAsia" w:ascii="宋体" w:hAnsi="宋体" w:eastAsia="宋体" w:cs="宋体"/>
                <w:szCs w:val="21"/>
                <w:lang w:eastAsia="zh-CN"/>
              </w:rPr>
              <w:t>；</w:t>
            </w:r>
            <w:r>
              <w:rPr>
                <w:rFonts w:hint="eastAsia" w:ascii="宋体" w:hAnsi="宋体" w:eastAsia="宋体" w:cs="宋体"/>
                <w:szCs w:val="21"/>
                <w:lang w:val="en-US" w:eastAsia="zh-CN"/>
              </w:rPr>
              <w:t>组装原型设备，完成多轮实地验证与性能测试</w:t>
            </w:r>
            <w:r>
              <w:rPr>
                <w:rFonts w:hint="eastAsia" w:ascii="宋体" w:hAnsi="宋体" w:eastAsia="宋体" w:cs="宋体"/>
                <w:szCs w:val="21"/>
                <w:lang w:eastAsia="zh-CN"/>
              </w:rPr>
              <w:t>；</w:t>
            </w:r>
            <w:r>
              <w:rPr>
                <w:rFonts w:hint="eastAsia" w:ascii="宋体" w:hAnsi="宋体" w:eastAsia="宋体" w:cs="宋体"/>
                <w:szCs w:val="21"/>
                <w:lang w:val="en-US" w:eastAsia="zh-CN"/>
              </w:rPr>
              <w:t>申请软件著作权</w:t>
            </w:r>
            <w:r>
              <w:rPr>
                <w:rFonts w:hint="eastAsia" w:ascii="宋体" w:hAnsi="宋体" w:eastAsia="宋体" w:cs="宋体"/>
                <w:szCs w:val="21"/>
              </w:rPr>
              <w:t>。</w:t>
            </w:r>
          </w:p>
          <w:p w14:paraId="2F0FF628">
            <w:pPr>
              <w:pStyle w:val="2"/>
              <w:ind w:left="0"/>
              <w:rPr>
                <w:rFonts w:ascii="宋体" w:hAnsi="宋体" w:eastAsia="宋体" w:cs="宋体"/>
                <w:b/>
                <w:bCs/>
                <w:sz w:val="21"/>
                <w:szCs w:val="21"/>
              </w:rPr>
            </w:pPr>
            <w:r>
              <w:rPr>
                <w:rFonts w:hint="eastAsia" w:ascii="宋体" w:hAnsi="宋体" w:eastAsia="宋体" w:cs="宋体"/>
                <w:b/>
                <w:bCs/>
                <w:sz w:val="21"/>
                <w:szCs w:val="21"/>
              </w:rPr>
              <w:t>交付物：</w:t>
            </w:r>
          </w:p>
          <w:p w14:paraId="3DB25B57">
            <w:r>
              <w:rPr>
                <w:rFonts w:hint="eastAsia" w:asciiTheme="majorEastAsia" w:hAnsiTheme="majorEastAsia" w:eastAsiaTheme="majorEastAsia" w:cstheme="majorEastAsia"/>
                <w:color w:val="000000"/>
                <w:kern w:val="0"/>
                <w:sz w:val="22"/>
                <w:lang w:val="en-US" w:eastAsia="zh-CN" w:bidi="ar"/>
              </w:rPr>
              <w:t>《园区设施碰撞风险识别与防护技术研究报告》、《园区设施风险感知原型系统测试验证报告》、《园区设施风险感知原型系统部署与运维手册》、园区设施风险感知原型系统1套、</w:t>
            </w:r>
            <w:r>
              <w:rPr>
                <w:rFonts w:hint="eastAsia" w:ascii="宋体" w:hAnsi="宋体" w:eastAsia="宋体" w:cs="宋体"/>
                <w:szCs w:val="21"/>
                <w:lang w:val="en-US" w:eastAsia="zh-CN"/>
              </w:rPr>
              <w:t>软件著作权受理证明</w:t>
            </w:r>
            <w:r>
              <w:rPr>
                <w:rFonts w:hint="eastAsia" w:asciiTheme="majorEastAsia" w:hAnsiTheme="majorEastAsia" w:eastAsiaTheme="majorEastAsia" w:cstheme="majorEastAsia"/>
                <w:color w:val="000000"/>
                <w:kern w:val="0"/>
                <w:sz w:val="22"/>
                <w:lang w:bidi="ar"/>
              </w:rPr>
              <w:t>。</w:t>
            </w:r>
          </w:p>
        </w:tc>
      </w:tr>
      <w:tr w14:paraId="7821F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21" w:type="pct"/>
            <w:vAlign w:val="center"/>
          </w:tcPr>
          <w:p w14:paraId="74A3D675">
            <w:pPr>
              <w:widowControl/>
              <w:jc w:val="center"/>
              <w:rPr>
                <w:rFonts w:ascii="宋体" w:hAnsi="宋体" w:eastAsia="宋体" w:cs="宋体"/>
                <w:szCs w:val="21"/>
              </w:rPr>
            </w:pPr>
            <w:r>
              <w:rPr>
                <w:rFonts w:hint="eastAsia" w:ascii="宋体" w:hAnsi="宋体" w:eastAsia="宋体" w:cs="宋体"/>
                <w:szCs w:val="21"/>
              </w:rPr>
              <w:t>3</w:t>
            </w:r>
          </w:p>
        </w:tc>
        <w:tc>
          <w:tcPr>
            <w:tcW w:w="730" w:type="pct"/>
            <w:tcMar>
              <w:top w:w="15" w:type="dxa"/>
              <w:left w:w="108" w:type="dxa"/>
              <w:bottom w:w="0" w:type="dxa"/>
              <w:right w:w="108" w:type="dxa"/>
            </w:tcMar>
            <w:vAlign w:val="center"/>
          </w:tcPr>
          <w:p w14:paraId="4AB546C7">
            <w:pPr>
              <w:widowControl/>
              <w:jc w:val="center"/>
              <w:rPr>
                <w:rFonts w:ascii="宋体" w:hAnsi="宋体" w:eastAsia="宋体" w:cs="宋体"/>
                <w:szCs w:val="21"/>
              </w:rPr>
            </w:pPr>
            <w:r>
              <w:rPr>
                <w:rFonts w:hint="eastAsia" w:ascii="宋体" w:hAnsi="宋体" w:eastAsia="宋体" w:cs="宋体"/>
                <w:szCs w:val="21"/>
              </w:rPr>
              <w:t>项目验收结题</w:t>
            </w:r>
          </w:p>
        </w:tc>
        <w:tc>
          <w:tcPr>
            <w:tcW w:w="821" w:type="pct"/>
            <w:tcMar>
              <w:top w:w="15" w:type="dxa"/>
              <w:left w:w="108" w:type="dxa"/>
              <w:bottom w:w="0" w:type="dxa"/>
              <w:right w:w="108" w:type="dxa"/>
            </w:tcMar>
            <w:vAlign w:val="center"/>
          </w:tcPr>
          <w:p w14:paraId="2CB2DF8C">
            <w:pPr>
              <w:widowControl/>
              <w:jc w:val="center"/>
              <w:rPr>
                <w:rFonts w:ascii="宋体" w:hAnsi="宋体" w:eastAsia="宋体" w:cs="宋体"/>
                <w:szCs w:val="21"/>
              </w:rPr>
            </w:pPr>
            <w:r>
              <w:rPr>
                <w:rFonts w:hint="eastAsia" w:ascii="宋体" w:hAnsi="宋体" w:eastAsia="宋体" w:cs="宋体"/>
                <w:szCs w:val="21"/>
              </w:rPr>
              <w:t>2025年11月</w:t>
            </w:r>
          </w:p>
        </w:tc>
        <w:tc>
          <w:tcPr>
            <w:tcW w:w="3128" w:type="pct"/>
            <w:tcMar>
              <w:top w:w="15" w:type="dxa"/>
              <w:left w:w="108" w:type="dxa"/>
              <w:bottom w:w="0" w:type="dxa"/>
              <w:right w:w="108" w:type="dxa"/>
            </w:tcMar>
            <w:vAlign w:val="center"/>
          </w:tcPr>
          <w:p w14:paraId="585953B6">
            <w:pPr>
              <w:widowControl/>
              <w:rPr>
                <w:rFonts w:ascii="宋体" w:hAnsi="宋体" w:eastAsia="宋体" w:cs="宋体"/>
                <w:b/>
                <w:bCs/>
                <w:szCs w:val="21"/>
              </w:rPr>
            </w:pPr>
            <w:r>
              <w:rPr>
                <w:rFonts w:hint="eastAsia" w:ascii="宋体" w:hAnsi="宋体" w:eastAsia="宋体" w:cs="宋体"/>
                <w:b/>
                <w:bCs/>
                <w:szCs w:val="21"/>
              </w:rPr>
              <w:t>主要内容：</w:t>
            </w:r>
          </w:p>
          <w:p w14:paraId="3CA671AF">
            <w:pPr>
              <w:widowControl/>
              <w:rPr>
                <w:rFonts w:ascii="宋体" w:hAnsi="宋体" w:eastAsia="宋体" w:cs="宋体"/>
                <w:szCs w:val="21"/>
              </w:rPr>
            </w:pPr>
            <w:r>
              <w:rPr>
                <w:rFonts w:hint="eastAsia" w:ascii="宋体" w:hAnsi="宋体" w:eastAsia="宋体" w:cs="宋体"/>
                <w:szCs w:val="21"/>
                <w:lang w:val="en-US" w:eastAsia="zh-CN"/>
              </w:rPr>
              <w:t>组织专家评审，</w:t>
            </w:r>
            <w:r>
              <w:rPr>
                <w:rFonts w:hint="eastAsia" w:ascii="宋体" w:hAnsi="宋体" w:eastAsia="宋体" w:cs="宋体"/>
                <w:szCs w:val="21"/>
              </w:rPr>
              <w:t>项目验收结题。</w:t>
            </w:r>
          </w:p>
        </w:tc>
      </w:tr>
    </w:tbl>
    <w:p w14:paraId="6B1A2C23">
      <w:pPr>
        <w:rPr>
          <w:rFonts w:ascii="等线" w:hAnsi="等线" w:eastAsia="等线" w:cs="Times New Roman"/>
        </w:rPr>
      </w:pPr>
    </w:p>
    <w:p w14:paraId="7F2F6EC7">
      <w:pPr>
        <w:pStyle w:val="3"/>
        <w:numPr>
          <w:ilvl w:val="0"/>
          <w:numId w:val="2"/>
        </w:numPr>
      </w:pPr>
      <w:r>
        <w:rPr>
          <w:rFonts w:hint="eastAsia"/>
        </w:rPr>
        <w:t>其他补充说明</w:t>
      </w:r>
    </w:p>
    <w:p w14:paraId="7AE5BB7E">
      <w:pPr>
        <w:pStyle w:val="4"/>
        <w:rPr>
          <w:rFonts w:hint="eastAsia" w:eastAsia="宋体"/>
          <w:lang w:val="en-US" w:eastAsia="zh-CN"/>
        </w:rPr>
      </w:pPr>
      <w:r>
        <w:rPr>
          <w:rFonts w:hint="eastAsia"/>
        </w:rPr>
        <w:t>（一）技术合作</w:t>
      </w:r>
      <w:r>
        <w:rPr>
          <w:rFonts w:hint="eastAsia"/>
          <w:lang w:val="en-US" w:eastAsia="zh-CN"/>
        </w:rPr>
        <w:t>要求</w:t>
      </w:r>
    </w:p>
    <w:p w14:paraId="2806726B">
      <w:pPr>
        <w:spacing w:line="560" w:lineRule="exact"/>
        <w:ind w:firstLine="560" w:firstLineChars="200"/>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1.</w:t>
      </w:r>
      <w:r>
        <w:rPr>
          <w:rFonts w:hint="eastAsia" w:ascii="Times New Roman" w:hAnsi="Times New Roman" w:eastAsia="宋体" w:cs="Times New Roman"/>
          <w:sz w:val="28"/>
          <w:szCs w:val="28"/>
        </w:rPr>
        <w:t>甲方安排一定人员参与，乙方安排固定人员，直至研究项目的顺利完成并通过评审。</w:t>
      </w:r>
    </w:p>
    <w:p w14:paraId="15D3A300">
      <w:pPr>
        <w:spacing w:line="560" w:lineRule="exact"/>
        <w:ind w:firstLine="560" w:firstLineChars="200"/>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2.为确保项目交付质量，乙方项目组成员需深度参与现场调研，现场调研天数至少达5个工作日。</w:t>
      </w:r>
    </w:p>
    <w:p w14:paraId="222B4330">
      <w:pPr>
        <w:pStyle w:val="2"/>
        <w:ind w:firstLine="560" w:firstLineChars="200"/>
        <w:rPr>
          <w:rFonts w:hint="eastAsia" w:ascii="Times New Roman" w:hAnsi="Times New Roman" w:eastAsia="宋体" w:cs="Times New Roman"/>
          <w:kern w:val="2"/>
          <w:sz w:val="28"/>
          <w:szCs w:val="28"/>
          <w:lang w:val="en-US" w:eastAsia="zh-CN" w:bidi="ar-SA"/>
        </w:rPr>
      </w:pPr>
      <w:r>
        <w:rPr>
          <w:rFonts w:hint="eastAsia" w:ascii="Times New Roman" w:hAnsi="Times New Roman" w:eastAsia="宋体" w:cs="Times New Roman"/>
          <w:kern w:val="2"/>
          <w:sz w:val="28"/>
          <w:szCs w:val="28"/>
          <w:lang w:val="en-US" w:eastAsia="zh-CN" w:bidi="ar-SA"/>
        </w:rPr>
        <w:t>3.乙方应在合同签订生效之日向甲方提供项目计划书，包括</w:t>
      </w:r>
      <w:bookmarkStart w:id="0" w:name="_GoBack"/>
      <w:bookmarkEnd w:id="0"/>
      <w:r>
        <w:rPr>
          <w:rFonts w:hint="eastAsia" w:ascii="Times New Roman" w:hAnsi="Times New Roman" w:eastAsia="宋体" w:cs="Times New Roman"/>
          <w:kern w:val="2"/>
          <w:sz w:val="28"/>
          <w:szCs w:val="28"/>
          <w:lang w:val="en-US" w:eastAsia="zh-CN" w:bidi="ar-SA"/>
        </w:rPr>
        <w:t>项目内容、技术人员安排、时间进度安排、收资清单等。</w:t>
      </w:r>
    </w:p>
    <w:p w14:paraId="4FBFE7A5">
      <w:pPr>
        <w:pStyle w:val="2"/>
        <w:ind w:firstLine="560" w:firstLineChars="200"/>
        <w:rPr>
          <w:rFonts w:hint="eastAsia" w:ascii="Times New Roman" w:hAnsi="Times New Roman" w:eastAsia="宋体" w:cs="Times New Roman"/>
          <w:kern w:val="2"/>
          <w:sz w:val="28"/>
          <w:szCs w:val="28"/>
          <w:lang w:val="en-US" w:eastAsia="zh-CN" w:bidi="ar-SA"/>
        </w:rPr>
      </w:pPr>
      <w:r>
        <w:rPr>
          <w:rFonts w:hint="eastAsia" w:ascii="Times New Roman" w:hAnsi="Times New Roman" w:eastAsia="宋体" w:cs="Times New Roman"/>
          <w:kern w:val="2"/>
          <w:sz w:val="28"/>
          <w:szCs w:val="28"/>
          <w:lang w:val="en-US" w:eastAsia="zh-CN" w:bidi="ar-SA"/>
        </w:rPr>
        <w:t>4.乙方提交的技术成果不符合技术规范书要求的，乙方应进行修改、完善，并于11月30日前完成。</w:t>
      </w:r>
    </w:p>
    <w:p w14:paraId="7241940F">
      <w:pPr>
        <w:pStyle w:val="2"/>
        <w:ind w:firstLine="560" w:firstLineChars="200"/>
        <w:rPr>
          <w:rFonts w:hint="eastAsia" w:ascii="Times New Roman" w:hAnsi="Times New Roman" w:eastAsia="宋体" w:cs="Times New Roman"/>
          <w:kern w:val="2"/>
          <w:sz w:val="28"/>
          <w:szCs w:val="28"/>
          <w:lang w:val="en-US" w:eastAsia="zh-CN" w:bidi="ar-SA"/>
        </w:rPr>
      </w:pPr>
      <w:r>
        <w:rPr>
          <w:rFonts w:hint="eastAsia" w:ascii="Times New Roman" w:hAnsi="Times New Roman" w:eastAsia="宋体" w:cs="Times New Roman"/>
          <w:kern w:val="2"/>
          <w:sz w:val="28"/>
          <w:szCs w:val="28"/>
          <w:lang w:val="en-US" w:eastAsia="zh-CN" w:bidi="ar-SA"/>
        </w:rPr>
        <w:t>5.乙方技术工作进度或工作内容不符合技术规范书约定并经甲方通知3天后仍未纠正的，或迟延提交技术成果达到3天的，甲方有权解除合同。</w:t>
      </w:r>
    </w:p>
    <w:p w14:paraId="6AAE72C1">
      <w:pPr>
        <w:pStyle w:val="2"/>
        <w:ind w:firstLine="560" w:firstLineChars="200"/>
        <w:rPr>
          <w:rFonts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6.</w:t>
      </w:r>
      <w:r>
        <w:rPr>
          <w:rFonts w:hint="eastAsia" w:ascii="Times New Roman" w:hAnsi="Times New Roman" w:eastAsia="宋体" w:cs="Times New Roman"/>
          <w:sz w:val="28"/>
          <w:szCs w:val="28"/>
        </w:rPr>
        <w:t>合作过程中，每个阶段工作结束后根据甲方的要求，乙方有项目经理安排时间专门介绍此阶段的工作思路、方法以及主要成果、供甲方相关人员学习。</w:t>
      </w:r>
    </w:p>
    <w:p w14:paraId="75B512EF">
      <w:pPr>
        <w:pStyle w:val="4"/>
      </w:pPr>
      <w:r>
        <w:rPr>
          <w:rFonts w:hint="eastAsia"/>
        </w:rPr>
        <w:t>（二）沟通机制要求</w:t>
      </w:r>
    </w:p>
    <w:p w14:paraId="7D43C379">
      <w:pPr>
        <w:spacing w:line="560" w:lineRule="exact"/>
        <w:ind w:firstLine="560" w:firstLineChars="200"/>
        <w:rPr>
          <w:rFonts w:ascii="Times New Roman" w:hAnsi="Times New Roman" w:eastAsia="宋体" w:cs="Times New Roman"/>
          <w:sz w:val="28"/>
          <w:szCs w:val="28"/>
        </w:rPr>
      </w:pPr>
      <w:r>
        <w:rPr>
          <w:rFonts w:hint="eastAsia" w:ascii="Times New Roman" w:hAnsi="Times New Roman" w:eastAsia="宋体" w:cs="Times New Roman"/>
          <w:sz w:val="28"/>
          <w:szCs w:val="28"/>
        </w:rPr>
        <w:t>定期召开例会，并及时反馈项目各阶段的进度情况、工作内容及实施过程中遇到的关键问题，科学制定下一步的工作计划。</w:t>
      </w:r>
    </w:p>
    <w:p w14:paraId="01FC6927">
      <w:pPr>
        <w:pStyle w:val="4"/>
      </w:pPr>
      <w:r>
        <w:rPr>
          <w:rFonts w:hint="eastAsia"/>
        </w:rPr>
        <w:t>（三）信息管理要求</w:t>
      </w:r>
    </w:p>
    <w:p w14:paraId="42D8DD6D">
      <w:pPr>
        <w:spacing w:line="560" w:lineRule="exact"/>
        <w:ind w:firstLine="560" w:firstLineChars="200"/>
        <w:rPr>
          <w:rFonts w:ascii="Times New Roman" w:hAnsi="Times New Roman" w:eastAsia="宋体" w:cs="Times New Roman"/>
          <w:sz w:val="28"/>
          <w:szCs w:val="28"/>
        </w:rPr>
      </w:pPr>
      <w:r>
        <w:rPr>
          <w:rFonts w:hint="eastAsia" w:ascii="Times New Roman" w:hAnsi="Times New Roman" w:eastAsia="宋体" w:cs="Times New Roman"/>
          <w:sz w:val="28"/>
          <w:szCs w:val="28"/>
        </w:rPr>
        <w:t>应根据项目特点，制定响应的信息分类表，规范各方文档，负责整理、记录、归档往来的文件、合同、协议以及会议记录等各种文档，并定期交给甲方。</w:t>
      </w:r>
    </w:p>
    <w:p w14:paraId="4B989A88">
      <w:pPr>
        <w:pStyle w:val="4"/>
      </w:pPr>
      <w:r>
        <w:rPr>
          <w:rFonts w:hint="eastAsia"/>
        </w:rPr>
        <w:t>（四）会务要求</w:t>
      </w:r>
    </w:p>
    <w:p w14:paraId="10F4E57B">
      <w:pPr>
        <w:spacing w:line="560" w:lineRule="exact"/>
        <w:ind w:firstLine="560" w:firstLineChars="200"/>
      </w:pPr>
      <w:r>
        <w:rPr>
          <w:rFonts w:hint="eastAsia" w:ascii="Times New Roman" w:hAnsi="Times New Roman" w:eastAsia="宋体" w:cs="Times New Roman"/>
          <w:sz w:val="28"/>
          <w:szCs w:val="28"/>
        </w:rPr>
        <w:t>由甲方组织相关专家咨询交流，乙方负责组织会务，按照甲方会议标准负责所有会务费用。</w:t>
      </w:r>
    </w:p>
    <w:p w14:paraId="05BD4863"/>
    <w:p w14:paraId="27EE7A79">
      <w:pPr>
        <w:pStyle w:val="8"/>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258F6">
    <w:pPr>
      <w:pStyle w:val="6"/>
    </w:pPr>
    <w:r>
      <w:pict>
        <v:shape id="_x0000_s3079" o:spid="_x0000_s3079" o:spt="136" type="#_x0000_t136" style="position:absolute;left:0pt;margin-left:342.35pt;margin-top:524.2pt;height:46.15pt;width:69.75pt;mso-position-horizontal-relative:margin;mso-position-vertical-relative:margin;rotation:20643840f;z-index:-251652096;mso-width-relative:page;mso-height-relative:page;" fillcolor="#C0C0C0" filled="t" stroked="f" coordsize="21600,21600" o:allowincell="f">
          <v:path/>
          <v:fill on="t" opacity="32768f" focussize="0,0"/>
          <v:stroke on="f"/>
          <v:imagedata o:title=""/>
          <o:lock v:ext="edit" aspectratio="t"/>
          <v:textpath on="t" fitshape="t" fitpath="t" trim="t" xscale="f" string="CSG" style="font-family:微软雅黑;font-size:48pt;v-text-align:center;"/>
        </v:shape>
      </w:pict>
    </w:r>
    <w:r>
      <w:pict>
        <v:shape id="_x0000_s3080" o:spid="_x0000_s3080" o:spt="136" type="#_x0000_t136" style="position:absolute;left:0pt;margin-left:171.5pt;margin-top:523.3pt;height:46.15pt;width:69.75pt;mso-position-horizontal-relative:margin;mso-position-vertical-relative:margin;rotation:20643840f;z-index:-251653120;mso-width-relative:page;mso-height-relative:page;" fillcolor="#C0C0C0" filled="t" stroked="f" coordsize="21600,21600" o:allowincell="f">
          <v:path/>
          <v:fill on="t" opacity="32768f" focussize="0,0"/>
          <v:stroke on="f"/>
          <v:imagedata o:title=""/>
          <o:lock v:ext="edit" aspectratio="t"/>
          <v:textpath on="t" fitshape="t" fitpath="t" trim="t" xscale="f" string="CSG" style="font-family:微软雅黑;font-size:48pt;v-text-align:center;"/>
        </v:shape>
      </w:pict>
    </w:r>
    <w:r>
      <w:pict>
        <v:shape id="_x0000_s3081" o:spid="_x0000_s3081" o:spt="136" type="#_x0000_t136" style="position:absolute;left:0pt;margin-left:0.45pt;margin-top:516.65pt;height:46.15pt;width:69.75pt;mso-position-horizontal-relative:margin;mso-position-vertical-relative:margin;rotation:20643840f;z-index:-251654144;mso-width-relative:page;mso-height-relative:page;" fillcolor="#C0C0C0" filled="t" stroked="f" coordsize="21600,21600" o:allowincell="f">
          <v:path/>
          <v:fill on="t" opacity="32768f" focussize="0,0"/>
          <v:stroke on="f"/>
          <v:imagedata o:title=""/>
          <o:lock v:ext="edit" aspectratio="t"/>
          <v:textpath on="t" fitshape="t" fitpath="t" trim="t" xscale="f" string="CSG" style="font-family:微软雅黑;font-size:48pt;v-text-align:center;"/>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C54F6">
    <w:pPr>
      <w:pStyle w:val="7"/>
      <w:pBdr>
        <w:bottom w:val="none" w:color="auto" w:sz="0" w:space="1"/>
      </w:pBdr>
      <w:jc w:val="both"/>
    </w:pPr>
    <w:r>
      <w:pict>
        <v:shape id="_x0000_s3073" o:spid="_x0000_s3073" o:spt="136" type="#_x0000_t136" style="position:absolute;left:0pt;margin-left:171.5pt;margin-top:138.55pt;height:46.15pt;width:69.75pt;mso-position-horizontal-relative:margin;mso-position-vertical-relative:margin;rotation:20643840f;z-index:-251649024;mso-width-relative:page;mso-height-relative:page;" fillcolor="#C0C0C0" filled="t" stroked="f" coordsize="21600,21600" o:allowincell="f">
          <v:path/>
          <v:fill on="t" opacity="32768f" focussize="0,0"/>
          <v:stroke on="f"/>
          <v:imagedata o:title=""/>
          <o:lock v:ext="edit" aspectratio="t"/>
          <v:textpath on="t" fitshape="t" fitpath="t" trim="t" xscale="f" string="CSG" style="font-family:微软雅黑;font-size:48pt;v-text-align:center;"/>
        </v:shape>
      </w:pict>
    </w:r>
    <w:r>
      <w:pict>
        <v:shape id="_x0000_s3074" o:spid="_x0000_s3074" o:spt="136" type="#_x0000_t136" style="position:absolute;left:0pt;margin-left:342.35pt;margin-top:135.15pt;height:46.15pt;width:69.75pt;mso-position-horizontal-relative:margin;mso-position-vertical-relative:margin;rotation:20643840f;z-index:-251650048;mso-width-relative:page;mso-height-relative:page;" fillcolor="#C0C0C0" filled="t" stroked="f" coordsize="21600,21600" o:allowincell="f">
          <v:path/>
          <v:fill on="t" opacity="32768f" focussize="0,0"/>
          <v:stroke on="f"/>
          <v:imagedata o:title=""/>
          <o:lock v:ext="edit" aspectratio="t"/>
          <v:textpath on="t" fitshape="t" fitpath="t" trim="t" xscale="f" string="CSG" style="font-family:微软雅黑;font-size:48pt;v-text-align:center;"/>
        </v:shape>
      </w:pict>
    </w:r>
    <w:r>
      <w:pict>
        <v:shape id="_x0000_s3075" o:spid="_x0000_s3075" o:spt="136" type="#_x0000_t136" style="position:absolute;left:0pt;margin-left:0.45pt;margin-top:137.4pt;height:46.15pt;width:69.75pt;mso-position-horizontal-relative:margin;mso-position-vertical-relative:margin;rotation:20643840f;z-index:-251651072;mso-width-relative:page;mso-height-relative:page;" fillcolor="#C0C0C0" filled="t" stroked="f" coordsize="21600,21600" o:allowincell="f">
          <v:path/>
          <v:fill on="t" opacity="32768f" focussize="0,0"/>
          <v:stroke on="f"/>
          <v:imagedata o:title=""/>
          <o:lock v:ext="edit" aspectratio="t"/>
          <v:textpath on="t" fitshape="t" fitpath="t" trim="t" xscale="f" string="CSG" style="font-family:微软雅黑;font-size:48pt;v-text-align:center;"/>
        </v:shape>
      </w:pict>
    </w:r>
    <w:r>
      <w:pict>
        <v:shape id="_x0000_s3076" o:spid="_x0000_s3076" o:spt="136" type="#_x0000_t136" style="position:absolute;left:0pt;margin-left:342.35pt;margin-top:328pt;height:46.15pt;width:69.75pt;mso-position-horizontal-relative:margin;mso-position-vertical-relative:margin;rotation:20643840f;z-index:-251655168;mso-width-relative:page;mso-height-relative:page;" fillcolor="#C0C0C0" filled="t" stroked="f" coordsize="21600,21600" o:allowincell="f">
          <v:path/>
          <v:fill on="t" opacity="32768f" focussize="0,0"/>
          <v:stroke on="f"/>
          <v:imagedata o:title=""/>
          <o:lock v:ext="edit" aspectratio="t"/>
          <v:textpath on="t" fitshape="t" fitpath="t" trim="t" xscale="f" string="CSG" style="font-family:微软雅黑;font-size:48pt;v-text-align:center;"/>
        </v:shape>
      </w:pict>
    </w:r>
    <w:r>
      <w:pict>
        <v:shape id="_x0000_s3077" o:spid="_x0000_s3077" o:spt="136" type="#_x0000_t136" style="position:absolute;left:0pt;margin-left:171.5pt;margin-top:328pt;height:46.15pt;width:69.75pt;mso-position-horizontal-relative:margin;mso-position-vertical-relative:margin;rotation:20643840f;z-index:-251656192;mso-width-relative:page;mso-height-relative:page;" fillcolor="#C0C0C0" filled="t" stroked="f" coordsize="21600,21600" o:allowincell="f">
          <v:path/>
          <v:fill on="t" opacity="32768f" focussize="0,0"/>
          <v:stroke on="f"/>
          <v:imagedata o:title=""/>
          <o:lock v:ext="edit" aspectratio="t"/>
          <v:textpath on="t" fitshape="t" fitpath="t" trim="t" xscale="f" string="CSG" style="font-family:微软雅黑;font-size:48pt;v-text-align:center;"/>
        </v:shape>
      </w:pict>
    </w:r>
    <w:r>
      <w:pict>
        <v:shape id="PowerPlusWaterMarkObject721009970" o:spid="_x0000_s3078" o:spt="136" type="#_x0000_t136" style="position:absolute;left:0pt;margin-left:0.45pt;margin-top:328pt;height:46.15pt;width:69.75pt;mso-position-horizontal-relative:margin;mso-position-vertical-relative:margin;rotation:20643840f;z-index:-251657216;mso-width-relative:page;mso-height-relative:page;" fillcolor="#C0C0C0" filled="t" stroked="f" coordsize="21600,21600" o:allowincell="f">
          <v:path/>
          <v:fill on="t" opacity="32768f" focussize="0,0"/>
          <v:stroke on="f"/>
          <v:imagedata o:title=""/>
          <o:lock v:ext="edit" aspectratio="t"/>
          <v:textpath on="t" fitshape="t" fitpath="t" trim="t" xscale="f" string="CSG" style="font-family:微软雅黑;font-size:48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39EC56"/>
    <w:multiLevelType w:val="singleLevel"/>
    <w:tmpl w:val="CE39EC56"/>
    <w:lvl w:ilvl="0" w:tentative="0">
      <w:start w:val="4"/>
      <w:numFmt w:val="chineseCounting"/>
      <w:suff w:val="nothing"/>
      <w:lvlText w:val="%1、"/>
      <w:lvlJc w:val="left"/>
      <w:rPr>
        <w:rFonts w:hint="eastAsia"/>
      </w:rPr>
    </w:lvl>
  </w:abstractNum>
  <w:abstractNum w:abstractNumId="1">
    <w:nsid w:val="07E45418"/>
    <w:multiLevelType w:val="singleLevel"/>
    <w:tmpl w:val="07E45418"/>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E5ZThkOGY2ZjYxOWQwOWUzMTFjYjVmNjcyOTljYTUifQ=="/>
  </w:docVars>
  <w:rsids>
    <w:rsidRoot w:val="00172A27"/>
    <w:rsid w:val="00023308"/>
    <w:rsid w:val="00043DCD"/>
    <w:rsid w:val="00044E1C"/>
    <w:rsid w:val="0004511E"/>
    <w:rsid w:val="000670E0"/>
    <w:rsid w:val="000911E7"/>
    <w:rsid w:val="000B1FD3"/>
    <w:rsid w:val="000D3638"/>
    <w:rsid w:val="001051CE"/>
    <w:rsid w:val="00114D94"/>
    <w:rsid w:val="00157166"/>
    <w:rsid w:val="0016176E"/>
    <w:rsid w:val="0017242A"/>
    <w:rsid w:val="00172A27"/>
    <w:rsid w:val="00185A49"/>
    <w:rsid w:val="001B4468"/>
    <w:rsid w:val="001B5436"/>
    <w:rsid w:val="002346C9"/>
    <w:rsid w:val="0024672A"/>
    <w:rsid w:val="00264CD5"/>
    <w:rsid w:val="00277B70"/>
    <w:rsid w:val="00284424"/>
    <w:rsid w:val="002C0D39"/>
    <w:rsid w:val="002F38D4"/>
    <w:rsid w:val="003201FD"/>
    <w:rsid w:val="00385EF5"/>
    <w:rsid w:val="003971AC"/>
    <w:rsid w:val="003A17AB"/>
    <w:rsid w:val="003B4326"/>
    <w:rsid w:val="0040359C"/>
    <w:rsid w:val="004601AC"/>
    <w:rsid w:val="0049420C"/>
    <w:rsid w:val="004F1543"/>
    <w:rsid w:val="00510FE6"/>
    <w:rsid w:val="0053580A"/>
    <w:rsid w:val="005D21C5"/>
    <w:rsid w:val="00611446"/>
    <w:rsid w:val="00623167"/>
    <w:rsid w:val="00650092"/>
    <w:rsid w:val="00650C08"/>
    <w:rsid w:val="00674094"/>
    <w:rsid w:val="006C0BE8"/>
    <w:rsid w:val="006D55BD"/>
    <w:rsid w:val="006E0BC8"/>
    <w:rsid w:val="006F502E"/>
    <w:rsid w:val="00704E39"/>
    <w:rsid w:val="00721FD8"/>
    <w:rsid w:val="007337FE"/>
    <w:rsid w:val="00734A91"/>
    <w:rsid w:val="00784B96"/>
    <w:rsid w:val="00787981"/>
    <w:rsid w:val="007909B0"/>
    <w:rsid w:val="007C1560"/>
    <w:rsid w:val="007E5D57"/>
    <w:rsid w:val="007E62E9"/>
    <w:rsid w:val="007F5683"/>
    <w:rsid w:val="00802C44"/>
    <w:rsid w:val="00840280"/>
    <w:rsid w:val="00846033"/>
    <w:rsid w:val="00946CEF"/>
    <w:rsid w:val="00967ECA"/>
    <w:rsid w:val="00984005"/>
    <w:rsid w:val="009A5C5B"/>
    <w:rsid w:val="009B4611"/>
    <w:rsid w:val="009F7ADD"/>
    <w:rsid w:val="00A37359"/>
    <w:rsid w:val="00A97CE1"/>
    <w:rsid w:val="00AA0F1B"/>
    <w:rsid w:val="00AC4921"/>
    <w:rsid w:val="00AE4C87"/>
    <w:rsid w:val="00AF4FFC"/>
    <w:rsid w:val="00B07908"/>
    <w:rsid w:val="00B37DE1"/>
    <w:rsid w:val="00B56381"/>
    <w:rsid w:val="00B56D5D"/>
    <w:rsid w:val="00BA343F"/>
    <w:rsid w:val="00C07786"/>
    <w:rsid w:val="00CA2647"/>
    <w:rsid w:val="00CD1520"/>
    <w:rsid w:val="00CD1E90"/>
    <w:rsid w:val="00CE53C7"/>
    <w:rsid w:val="00D13707"/>
    <w:rsid w:val="00D1681D"/>
    <w:rsid w:val="00D36A46"/>
    <w:rsid w:val="00D51DA0"/>
    <w:rsid w:val="00D72AE0"/>
    <w:rsid w:val="00DA38E8"/>
    <w:rsid w:val="00DD151A"/>
    <w:rsid w:val="00DE5EC2"/>
    <w:rsid w:val="00DE7EC8"/>
    <w:rsid w:val="00DF2E14"/>
    <w:rsid w:val="00E757AE"/>
    <w:rsid w:val="00E8486B"/>
    <w:rsid w:val="00ED4616"/>
    <w:rsid w:val="00F103A5"/>
    <w:rsid w:val="00F1564F"/>
    <w:rsid w:val="00F80E30"/>
    <w:rsid w:val="00FB48F3"/>
    <w:rsid w:val="011D56A4"/>
    <w:rsid w:val="01343DEA"/>
    <w:rsid w:val="01A06EC7"/>
    <w:rsid w:val="02781BC8"/>
    <w:rsid w:val="02C15DBE"/>
    <w:rsid w:val="02EB3105"/>
    <w:rsid w:val="03934B2C"/>
    <w:rsid w:val="03FD4395"/>
    <w:rsid w:val="049E5A06"/>
    <w:rsid w:val="056D0DE6"/>
    <w:rsid w:val="05E042B0"/>
    <w:rsid w:val="05E366A7"/>
    <w:rsid w:val="060B7B92"/>
    <w:rsid w:val="060F398F"/>
    <w:rsid w:val="06334FFC"/>
    <w:rsid w:val="06336962"/>
    <w:rsid w:val="078C23D6"/>
    <w:rsid w:val="07A63D9E"/>
    <w:rsid w:val="07B2324E"/>
    <w:rsid w:val="07DB29DD"/>
    <w:rsid w:val="08514BF5"/>
    <w:rsid w:val="09E813E1"/>
    <w:rsid w:val="09EC65B7"/>
    <w:rsid w:val="09F8111E"/>
    <w:rsid w:val="0A526FFB"/>
    <w:rsid w:val="0A8B04AD"/>
    <w:rsid w:val="0A8F3F52"/>
    <w:rsid w:val="0A947739"/>
    <w:rsid w:val="0ACD2B45"/>
    <w:rsid w:val="0AEE2A27"/>
    <w:rsid w:val="0B4765DB"/>
    <w:rsid w:val="0B493381"/>
    <w:rsid w:val="0B5F3001"/>
    <w:rsid w:val="0BBF0147"/>
    <w:rsid w:val="0C310042"/>
    <w:rsid w:val="0C446FE3"/>
    <w:rsid w:val="0C786A8E"/>
    <w:rsid w:val="0C8C24F7"/>
    <w:rsid w:val="0CA510B2"/>
    <w:rsid w:val="0CB7341D"/>
    <w:rsid w:val="0D111E76"/>
    <w:rsid w:val="0DE35C55"/>
    <w:rsid w:val="0E9D5B4C"/>
    <w:rsid w:val="0EB53D50"/>
    <w:rsid w:val="0ED71A24"/>
    <w:rsid w:val="0FFB71AB"/>
    <w:rsid w:val="10017CB4"/>
    <w:rsid w:val="1038755E"/>
    <w:rsid w:val="106D248D"/>
    <w:rsid w:val="108438F5"/>
    <w:rsid w:val="1117337E"/>
    <w:rsid w:val="119C0BCC"/>
    <w:rsid w:val="11D95855"/>
    <w:rsid w:val="11ED5A40"/>
    <w:rsid w:val="13465FF7"/>
    <w:rsid w:val="1370283F"/>
    <w:rsid w:val="13E16E54"/>
    <w:rsid w:val="14353475"/>
    <w:rsid w:val="154222ED"/>
    <w:rsid w:val="15BB209F"/>
    <w:rsid w:val="15E12AB4"/>
    <w:rsid w:val="163B4B05"/>
    <w:rsid w:val="168229B3"/>
    <w:rsid w:val="185917AE"/>
    <w:rsid w:val="18876269"/>
    <w:rsid w:val="19524AC9"/>
    <w:rsid w:val="19C92FDD"/>
    <w:rsid w:val="1A0173C8"/>
    <w:rsid w:val="1A406F1E"/>
    <w:rsid w:val="1AB570BD"/>
    <w:rsid w:val="1ACB4B33"/>
    <w:rsid w:val="1ACC1465"/>
    <w:rsid w:val="1AD36FF6"/>
    <w:rsid w:val="1AE66F0C"/>
    <w:rsid w:val="1B800113"/>
    <w:rsid w:val="1B90200F"/>
    <w:rsid w:val="1C404DA1"/>
    <w:rsid w:val="1C7A4B9E"/>
    <w:rsid w:val="1D0517AA"/>
    <w:rsid w:val="1D3E2C93"/>
    <w:rsid w:val="1DCF6EF8"/>
    <w:rsid w:val="1DFB6BCB"/>
    <w:rsid w:val="1E520F5B"/>
    <w:rsid w:val="1E6B55D4"/>
    <w:rsid w:val="1EE30EE4"/>
    <w:rsid w:val="1FCC272B"/>
    <w:rsid w:val="1FD00E3E"/>
    <w:rsid w:val="202855FF"/>
    <w:rsid w:val="21923D96"/>
    <w:rsid w:val="21A25EC1"/>
    <w:rsid w:val="22855F18"/>
    <w:rsid w:val="233D17AA"/>
    <w:rsid w:val="235248A4"/>
    <w:rsid w:val="235C7A38"/>
    <w:rsid w:val="237A5348"/>
    <w:rsid w:val="242E2948"/>
    <w:rsid w:val="24613E12"/>
    <w:rsid w:val="24952391"/>
    <w:rsid w:val="25F413E1"/>
    <w:rsid w:val="26292C30"/>
    <w:rsid w:val="262C01CF"/>
    <w:rsid w:val="27FC632B"/>
    <w:rsid w:val="28786750"/>
    <w:rsid w:val="29695C42"/>
    <w:rsid w:val="29E11498"/>
    <w:rsid w:val="2A297180"/>
    <w:rsid w:val="2AFE685E"/>
    <w:rsid w:val="2B8F0079"/>
    <w:rsid w:val="2BBE5317"/>
    <w:rsid w:val="2BD1187D"/>
    <w:rsid w:val="2C361AB7"/>
    <w:rsid w:val="2C610B59"/>
    <w:rsid w:val="2C7704E1"/>
    <w:rsid w:val="2CCD5CEA"/>
    <w:rsid w:val="2D040005"/>
    <w:rsid w:val="2D593DF3"/>
    <w:rsid w:val="2D707125"/>
    <w:rsid w:val="2DB476A8"/>
    <w:rsid w:val="2E7117CD"/>
    <w:rsid w:val="2EDE1E93"/>
    <w:rsid w:val="2F725125"/>
    <w:rsid w:val="3012161F"/>
    <w:rsid w:val="301461DC"/>
    <w:rsid w:val="3062519A"/>
    <w:rsid w:val="307B0D95"/>
    <w:rsid w:val="322B4857"/>
    <w:rsid w:val="32970708"/>
    <w:rsid w:val="32FB6415"/>
    <w:rsid w:val="338F39E0"/>
    <w:rsid w:val="33BC2161"/>
    <w:rsid w:val="340F0D02"/>
    <w:rsid w:val="347D25A2"/>
    <w:rsid w:val="34F211E2"/>
    <w:rsid w:val="359D3DB7"/>
    <w:rsid w:val="361F5AD2"/>
    <w:rsid w:val="3667175C"/>
    <w:rsid w:val="36EA5F2C"/>
    <w:rsid w:val="37506ECC"/>
    <w:rsid w:val="37D20E57"/>
    <w:rsid w:val="38060B00"/>
    <w:rsid w:val="382501A9"/>
    <w:rsid w:val="3A127116"/>
    <w:rsid w:val="3A1B3E15"/>
    <w:rsid w:val="3A644D79"/>
    <w:rsid w:val="3AB04490"/>
    <w:rsid w:val="3AB962FE"/>
    <w:rsid w:val="3B00217F"/>
    <w:rsid w:val="3B0157FE"/>
    <w:rsid w:val="3B0A3967"/>
    <w:rsid w:val="3B8763FC"/>
    <w:rsid w:val="3BDD426E"/>
    <w:rsid w:val="3C4D7A54"/>
    <w:rsid w:val="3D063F5A"/>
    <w:rsid w:val="3D261DFC"/>
    <w:rsid w:val="3D88702F"/>
    <w:rsid w:val="3DB17144"/>
    <w:rsid w:val="3DFB70D5"/>
    <w:rsid w:val="3F266367"/>
    <w:rsid w:val="402C30CE"/>
    <w:rsid w:val="40BD4249"/>
    <w:rsid w:val="40C74A0C"/>
    <w:rsid w:val="414522A4"/>
    <w:rsid w:val="41AE270B"/>
    <w:rsid w:val="42196299"/>
    <w:rsid w:val="427E7AA4"/>
    <w:rsid w:val="42E44134"/>
    <w:rsid w:val="43617533"/>
    <w:rsid w:val="4387343D"/>
    <w:rsid w:val="43A23DD3"/>
    <w:rsid w:val="43B41D58"/>
    <w:rsid w:val="43C40B3F"/>
    <w:rsid w:val="43E06E2B"/>
    <w:rsid w:val="43E102E4"/>
    <w:rsid w:val="43E53CC0"/>
    <w:rsid w:val="45246F1F"/>
    <w:rsid w:val="45302BDD"/>
    <w:rsid w:val="454E25EE"/>
    <w:rsid w:val="461B1D57"/>
    <w:rsid w:val="46906971"/>
    <w:rsid w:val="46C05101"/>
    <w:rsid w:val="472D7E58"/>
    <w:rsid w:val="479F0C5F"/>
    <w:rsid w:val="48050DD4"/>
    <w:rsid w:val="48914381"/>
    <w:rsid w:val="48B63E7D"/>
    <w:rsid w:val="49E1317B"/>
    <w:rsid w:val="4A2728F3"/>
    <w:rsid w:val="4A3E412A"/>
    <w:rsid w:val="4A8E6E5F"/>
    <w:rsid w:val="4BA17066"/>
    <w:rsid w:val="4BB9615E"/>
    <w:rsid w:val="4C13427A"/>
    <w:rsid w:val="4CDF6503"/>
    <w:rsid w:val="4D3844E1"/>
    <w:rsid w:val="4DE03769"/>
    <w:rsid w:val="4E2D3431"/>
    <w:rsid w:val="4E977B0F"/>
    <w:rsid w:val="4FF672C2"/>
    <w:rsid w:val="51612B03"/>
    <w:rsid w:val="528F7C18"/>
    <w:rsid w:val="52940EC9"/>
    <w:rsid w:val="52B96A43"/>
    <w:rsid w:val="52DF405C"/>
    <w:rsid w:val="53887198"/>
    <w:rsid w:val="53B13BBE"/>
    <w:rsid w:val="53D33B35"/>
    <w:rsid w:val="53D36783"/>
    <w:rsid w:val="53DF678C"/>
    <w:rsid w:val="53FD04F4"/>
    <w:rsid w:val="543C35D9"/>
    <w:rsid w:val="55176076"/>
    <w:rsid w:val="55B26E2F"/>
    <w:rsid w:val="55B321ED"/>
    <w:rsid w:val="568E2114"/>
    <w:rsid w:val="56CB08E6"/>
    <w:rsid w:val="57282CEC"/>
    <w:rsid w:val="57633422"/>
    <w:rsid w:val="576A1807"/>
    <w:rsid w:val="58623F85"/>
    <w:rsid w:val="587750E3"/>
    <w:rsid w:val="59123351"/>
    <w:rsid w:val="5AA77AC9"/>
    <w:rsid w:val="5AE50A0F"/>
    <w:rsid w:val="5BA44300"/>
    <w:rsid w:val="5BA87D84"/>
    <w:rsid w:val="5C226928"/>
    <w:rsid w:val="5C9B7344"/>
    <w:rsid w:val="5CDC053B"/>
    <w:rsid w:val="5CF5468E"/>
    <w:rsid w:val="5D274A37"/>
    <w:rsid w:val="5D3413AA"/>
    <w:rsid w:val="5D4D7434"/>
    <w:rsid w:val="5D9500AD"/>
    <w:rsid w:val="5DCE12B7"/>
    <w:rsid w:val="5E5379A8"/>
    <w:rsid w:val="5E783C56"/>
    <w:rsid w:val="5EAB2CD5"/>
    <w:rsid w:val="5EDF34C3"/>
    <w:rsid w:val="5F0C439F"/>
    <w:rsid w:val="5F56393B"/>
    <w:rsid w:val="5FDA715B"/>
    <w:rsid w:val="60092AFD"/>
    <w:rsid w:val="60275DC6"/>
    <w:rsid w:val="609148C8"/>
    <w:rsid w:val="6138591F"/>
    <w:rsid w:val="61B14BA1"/>
    <w:rsid w:val="629D0130"/>
    <w:rsid w:val="633A0AC0"/>
    <w:rsid w:val="64216B3E"/>
    <w:rsid w:val="64594FB1"/>
    <w:rsid w:val="65C4352F"/>
    <w:rsid w:val="662723A4"/>
    <w:rsid w:val="668D2269"/>
    <w:rsid w:val="67002CAF"/>
    <w:rsid w:val="670964B1"/>
    <w:rsid w:val="67201D6B"/>
    <w:rsid w:val="67E64FC0"/>
    <w:rsid w:val="68091D29"/>
    <w:rsid w:val="694A61EF"/>
    <w:rsid w:val="6994794B"/>
    <w:rsid w:val="6AB364A7"/>
    <w:rsid w:val="6B9C6102"/>
    <w:rsid w:val="6C4369B9"/>
    <w:rsid w:val="6C757A27"/>
    <w:rsid w:val="6CA15ECE"/>
    <w:rsid w:val="6CA63C8B"/>
    <w:rsid w:val="6CB949F1"/>
    <w:rsid w:val="6CC04577"/>
    <w:rsid w:val="6D365409"/>
    <w:rsid w:val="6DD3718F"/>
    <w:rsid w:val="6DEA1D4F"/>
    <w:rsid w:val="6DEE1D13"/>
    <w:rsid w:val="6E31444E"/>
    <w:rsid w:val="6EA840E4"/>
    <w:rsid w:val="6EB80596"/>
    <w:rsid w:val="6ED30C25"/>
    <w:rsid w:val="6F9E5F02"/>
    <w:rsid w:val="705C34FC"/>
    <w:rsid w:val="72031631"/>
    <w:rsid w:val="721B4BCD"/>
    <w:rsid w:val="736C4E5D"/>
    <w:rsid w:val="73A07537"/>
    <w:rsid w:val="74184967"/>
    <w:rsid w:val="744F0B5E"/>
    <w:rsid w:val="74A154DF"/>
    <w:rsid w:val="74FB117A"/>
    <w:rsid w:val="757006F1"/>
    <w:rsid w:val="75826D11"/>
    <w:rsid w:val="76B544B4"/>
    <w:rsid w:val="76D12FCE"/>
    <w:rsid w:val="772269FE"/>
    <w:rsid w:val="785E4E0C"/>
    <w:rsid w:val="79017F31"/>
    <w:rsid w:val="79E54F6B"/>
    <w:rsid w:val="79ED2696"/>
    <w:rsid w:val="7A262361"/>
    <w:rsid w:val="7A9F7E78"/>
    <w:rsid w:val="7ACF0C4A"/>
    <w:rsid w:val="7AF1296F"/>
    <w:rsid w:val="7AF77E82"/>
    <w:rsid w:val="7BF66A84"/>
    <w:rsid w:val="7C0C471F"/>
    <w:rsid w:val="7CA56717"/>
    <w:rsid w:val="7D321B50"/>
    <w:rsid w:val="7D344D95"/>
    <w:rsid w:val="7E2968C4"/>
    <w:rsid w:val="7EB50B00"/>
    <w:rsid w:val="7F9631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next w:val="1"/>
    <w:qFormat/>
    <w:uiPriority w:val="0"/>
    <w:pPr>
      <w:keepNext/>
      <w:keepLines/>
      <w:spacing w:line="360" w:lineRule="auto"/>
      <w:outlineLvl w:val="0"/>
    </w:pPr>
    <w:rPr>
      <w:rFonts w:ascii="Times New Roman" w:hAnsi="Times New Roman" w:eastAsia="黑体" w:cs="Times New Roman"/>
      <w:b/>
      <w:bCs/>
      <w:sz w:val="28"/>
      <w:szCs w:val="28"/>
      <w:lang w:val="en-US" w:eastAsia="zh-CN" w:bidi="ar-SA"/>
    </w:rPr>
  </w:style>
  <w:style w:type="paragraph" w:styleId="4">
    <w:name w:val="heading 2"/>
    <w:next w:val="1"/>
    <w:unhideWhenUsed/>
    <w:qFormat/>
    <w:uiPriority w:val="0"/>
    <w:pPr>
      <w:spacing w:line="360" w:lineRule="auto"/>
      <w:ind w:firstLine="562" w:firstLineChars="200"/>
      <w:outlineLvl w:val="1"/>
    </w:pPr>
    <w:rPr>
      <w:rFonts w:ascii="Times New Roman" w:hAnsi="Times New Roman" w:eastAsia="宋体" w:cs="Times New Roman"/>
      <w:b/>
      <w:sz w:val="28"/>
      <w:szCs w:val="28"/>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1"/>
    <w:pPr>
      <w:ind w:left="120"/>
    </w:pPr>
    <w:rPr>
      <w:sz w:val="32"/>
      <w:szCs w:val="32"/>
    </w:rPr>
  </w:style>
  <w:style w:type="paragraph" w:styleId="5">
    <w:name w:val="Balloon Text"/>
    <w:basedOn w:val="1"/>
    <w:link w:val="16"/>
    <w:qFormat/>
    <w:uiPriority w:val="0"/>
    <w:rPr>
      <w:sz w:val="18"/>
      <w:szCs w:val="18"/>
    </w:rPr>
  </w:style>
  <w:style w:type="paragraph" w:styleId="6">
    <w:name w:val="footer"/>
    <w:basedOn w:val="1"/>
    <w:link w:val="13"/>
    <w:qFormat/>
    <w:uiPriority w:val="0"/>
    <w:pPr>
      <w:tabs>
        <w:tab w:val="center" w:pos="4153"/>
        <w:tab w:val="right" w:pos="8306"/>
      </w:tabs>
      <w:snapToGrid w:val="0"/>
      <w:jc w:val="left"/>
    </w:pPr>
    <w:rPr>
      <w:sz w:val="18"/>
      <w:szCs w:val="18"/>
    </w:rPr>
  </w:style>
  <w:style w:type="paragraph" w:styleId="7">
    <w:name w:val="header"/>
    <w:basedOn w:val="1"/>
    <w:link w:val="12"/>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1"/>
    <w:next w:val="1"/>
    <w:qFormat/>
    <w:uiPriority w:val="0"/>
    <w:pPr>
      <w:spacing w:before="240" w:after="60"/>
      <w:jc w:val="center"/>
      <w:outlineLvl w:val="0"/>
    </w:pPr>
    <w:rPr>
      <w:rFonts w:ascii="Arial" w:hAnsi="Arial"/>
      <w:b/>
      <w:bCs/>
      <w:sz w:val="32"/>
      <w:szCs w:val="32"/>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页眉 字符"/>
    <w:basedOn w:val="11"/>
    <w:link w:val="7"/>
    <w:qFormat/>
    <w:uiPriority w:val="99"/>
    <w:rPr>
      <w:kern w:val="2"/>
      <w:sz w:val="18"/>
      <w:szCs w:val="18"/>
    </w:rPr>
  </w:style>
  <w:style w:type="character" w:customStyle="1" w:styleId="13">
    <w:name w:val="页脚 字符"/>
    <w:basedOn w:val="11"/>
    <w:link w:val="6"/>
    <w:qFormat/>
    <w:uiPriority w:val="0"/>
    <w:rPr>
      <w:kern w:val="2"/>
      <w:sz w:val="18"/>
      <w:szCs w:val="18"/>
    </w:rPr>
  </w:style>
  <w:style w:type="paragraph" w:styleId="14">
    <w:name w:val="List Paragraph"/>
    <w:basedOn w:val="1"/>
    <w:link w:val="15"/>
    <w:qFormat/>
    <w:uiPriority w:val="34"/>
    <w:pPr>
      <w:widowControl/>
      <w:ind w:firstLine="420" w:firstLineChars="200"/>
      <w:jc w:val="left"/>
    </w:pPr>
    <w:rPr>
      <w:rFonts w:ascii="Times New Roman" w:hAnsi="Times New Roman" w:eastAsia="宋体" w:cs="Times New Roman"/>
      <w:kern w:val="0"/>
      <w:szCs w:val="20"/>
    </w:rPr>
  </w:style>
  <w:style w:type="character" w:customStyle="1" w:styleId="15">
    <w:name w:val="列表段落 字符"/>
    <w:link w:val="14"/>
    <w:qFormat/>
    <w:uiPriority w:val="34"/>
    <w:rPr>
      <w:rFonts w:ascii="Times New Roman" w:hAnsi="Times New Roman" w:eastAsia="宋体" w:cs="Times New Roman"/>
      <w:sz w:val="21"/>
    </w:rPr>
  </w:style>
  <w:style w:type="character" w:customStyle="1" w:styleId="16">
    <w:name w:val="批注框文本 字符"/>
    <w:basedOn w:val="11"/>
    <w:link w:val="5"/>
    <w:qFormat/>
    <w:uiPriority w:val="0"/>
    <w:rPr>
      <w:kern w:val="2"/>
      <w:sz w:val="18"/>
      <w:szCs w:val="18"/>
    </w:rPr>
  </w:style>
  <w:style w:type="paragraph" w:customStyle="1" w:styleId="17">
    <w:name w:val="修订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8">
    <w:name w:val="修订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9">
    <w:name w:val="宋体小四正文"/>
    <w:basedOn w:val="1"/>
    <w:qFormat/>
    <w:uiPriority w:val="0"/>
    <w:pPr>
      <w:snapToGrid w:val="0"/>
      <w:spacing w:line="360" w:lineRule="auto"/>
      <w:ind w:firstLine="482" w:firstLineChars="200"/>
    </w:pPr>
    <w:rPr>
      <w:rFonts w:ascii="Times New Roman" w:hAnsi="Times New Roman" w:eastAsia="宋体" w:cs="Times New Roman"/>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3073"/>
    <customShpInfo spid="_x0000_s3074"/>
    <customShpInfo spid="_x0000_s3075"/>
    <customShpInfo spid="_x0000_s3076"/>
    <customShpInfo spid="_x0000_s3077"/>
    <customShpInfo spid="_x0000_s3078"/>
    <customShpInfo spid="_x0000_s3079"/>
    <customShpInfo spid="_x0000_s3080"/>
    <customShpInfo spid="_x0000_s308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E48B41-1B5E-447C-9D1C-316F3FB95D67}">
  <ds:schemaRefs/>
</ds:datastoreItem>
</file>

<file path=docProps/app.xml><?xml version="1.0" encoding="utf-8"?>
<Properties xmlns="http://schemas.openxmlformats.org/officeDocument/2006/extended-properties" xmlns:vt="http://schemas.openxmlformats.org/officeDocument/2006/docPropsVTypes">
  <Template>Normal</Template>
  <Pages>7</Pages>
  <Words>1651</Words>
  <Characters>1669</Characters>
  <Lines>111</Lines>
  <Paragraphs>122</Paragraphs>
  <TotalTime>3</TotalTime>
  <ScaleCrop>false</ScaleCrop>
  <LinksUpToDate>false</LinksUpToDate>
  <CharactersWithSpaces>3198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2023-12-19T07:56:00Z</dcterms:created>
  <dc:creator>李逸欣</dc:creator>
  <cp:lastModifiedBy>qinqianqiong</cp:lastModifiedBy>
  <dcterms:modified xsi:type="dcterms:W3CDTF">2025-10-21T07:44:53Z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2ABEFE22AC0D4860B6C1AE82316040A3</vt:lpwstr>
  </property>
  <property fmtid="{D5CDD505-2E9C-101B-9397-08002B2CF9AE}" pid="4" name="KSOTemplateDocerSaveRecord">
    <vt:lpwstr>eyJoZGlkIjoiZDliOWM2MzNlZjk4NTNhNjlmZThmZjcxNGE1Y2Q0ZmIiLCJ1c2VySWQiOiI5ODIxOTg3MzYifQ==</vt:lpwstr>
  </property>
</Properties>
</file>