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color w:val="auto"/>
          <w:sz w:val="36"/>
          <w:szCs w:val="36"/>
          <w:highlight w:val="none"/>
        </w:rPr>
      </w:pPr>
      <w:bookmarkStart w:id="0" w:name="_Toc437261759"/>
      <w:bookmarkEnd w:id="0"/>
      <w:bookmarkStart w:id="1" w:name="_Toc441666737"/>
      <w:bookmarkEnd w:id="1"/>
      <w:bookmarkStart w:id="2" w:name="_Toc441667606"/>
      <w:bookmarkEnd w:id="2"/>
      <w:bookmarkStart w:id="3" w:name="_Toc441665974"/>
      <w:bookmarkEnd w:id="3"/>
      <w:bookmarkStart w:id="4" w:name="_Toc437247589"/>
      <w:bookmarkStart w:id="5" w:name="_Toc437261762"/>
      <w:bookmarkStart w:id="6" w:name="_Toc441667607"/>
      <w:bookmarkStart w:id="7" w:name="_Toc2287"/>
      <w:bookmarkStart w:id="8" w:name="_Toc437247548"/>
    </w:p>
    <w:p>
      <w:pPr>
        <w:jc w:val="center"/>
        <w:rPr>
          <w:rFonts w:hint="eastAsia" w:ascii="宋体" w:hAnsi="宋体" w:eastAsia="宋体" w:cs="宋体"/>
          <w:color w:val="auto"/>
          <w:sz w:val="36"/>
          <w:szCs w:val="36"/>
          <w:highlight w:val="none"/>
        </w:rPr>
      </w:pPr>
    </w:p>
    <w:p>
      <w:pPr>
        <w:jc w:val="center"/>
        <w:rPr>
          <w:rFonts w:hint="eastAsia" w:ascii="宋体" w:hAnsi="宋体" w:eastAsia="宋体" w:cs="宋体"/>
          <w:color w:val="auto"/>
          <w:sz w:val="36"/>
          <w:szCs w:val="36"/>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p>
    <w:p>
      <w:pPr>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p>
    <w:p>
      <w:pPr>
        <w:pStyle w:val="13"/>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heme="minorEastAsia" w:hAnsiTheme="minorEastAsia" w:eastAsiaTheme="minorEastAsia" w:cstheme="minorEastAsia"/>
          <w:color w:val="auto"/>
          <w:sz w:val="48"/>
          <w:szCs w:val="22"/>
          <w:highlight w:val="none"/>
          <w:lang w:val="en-US" w:eastAsia="zh-CN"/>
        </w:rPr>
      </w:pPr>
      <w:r>
        <w:rPr>
          <w:rFonts w:hint="eastAsia" w:asciiTheme="minorEastAsia" w:hAnsiTheme="minorEastAsia" w:eastAsiaTheme="minorEastAsia" w:cstheme="minorEastAsia"/>
          <w:color w:val="auto"/>
          <w:sz w:val="48"/>
          <w:szCs w:val="22"/>
          <w:highlight w:val="none"/>
          <w:lang w:val="en-US" w:eastAsia="zh-CN"/>
        </w:rPr>
        <w:t>广西博联信息通信技术有限责任公司</w:t>
      </w:r>
    </w:p>
    <w:p>
      <w:pPr>
        <w:keepNext/>
        <w:keepLines w:val="0"/>
        <w:pageBreakBefore w:val="0"/>
        <w:widowControl w:val="0"/>
        <w:kinsoku/>
        <w:wordWrap/>
        <w:overflowPunct/>
        <w:topLinePunct w:val="0"/>
        <w:autoSpaceDE/>
        <w:autoSpaceDN/>
        <w:bidi w:val="0"/>
        <w:adjustRightInd/>
        <w:snapToGrid/>
        <w:spacing w:line="360" w:lineRule="auto"/>
        <w:ind w:left="346" w:hanging="346"/>
        <w:jc w:val="center"/>
        <w:textAlignment w:val="auto"/>
        <w:outlineLvl w:val="9"/>
        <w:rPr>
          <w:rFonts w:hint="eastAsia" w:asciiTheme="minorEastAsia" w:hAnsiTheme="minorEastAsia" w:eastAsiaTheme="minorEastAsia" w:cstheme="minorEastAsia"/>
          <w:b/>
          <w:bCs/>
          <w:color w:val="auto"/>
          <w:kern w:val="2"/>
          <w:sz w:val="48"/>
          <w:szCs w:val="22"/>
          <w:highlight w:val="none"/>
          <w:lang w:val="en-US" w:eastAsia="zh-CN" w:bidi="ar-SA"/>
        </w:rPr>
      </w:pPr>
      <w:r>
        <w:rPr>
          <w:rFonts w:hint="eastAsia" w:asciiTheme="minorEastAsia" w:hAnsiTheme="minorEastAsia" w:eastAsiaTheme="minorEastAsia" w:cstheme="minorEastAsia"/>
          <w:b/>
          <w:bCs/>
          <w:color w:val="auto"/>
          <w:kern w:val="2"/>
          <w:sz w:val="48"/>
          <w:szCs w:val="22"/>
          <w:highlight w:val="none"/>
          <w:lang w:val="en-US" w:eastAsia="zh-CN" w:bidi="ar-SA"/>
        </w:rPr>
        <w:t>博微配网工程计价通D3软件</w:t>
      </w:r>
    </w:p>
    <w:p>
      <w:pPr>
        <w:outlineLvl w:val="9"/>
        <w:rPr>
          <w:rFonts w:hint="eastAsia"/>
          <w:lang w:val="en-US" w:eastAsia="zh-CN"/>
        </w:rPr>
      </w:pPr>
    </w:p>
    <w:p>
      <w:pPr>
        <w:pStyle w:val="3"/>
        <w:keepNext/>
        <w:keepLines w:val="0"/>
        <w:pageBreakBefore w:val="0"/>
        <w:widowControl w:val="0"/>
        <w:kinsoku/>
        <w:wordWrap/>
        <w:overflowPunct/>
        <w:topLinePunct w:val="0"/>
        <w:autoSpaceDE/>
        <w:autoSpaceDN/>
        <w:bidi w:val="0"/>
        <w:adjustRightInd/>
        <w:snapToGrid/>
        <w:spacing w:line="360" w:lineRule="auto"/>
        <w:ind w:left="346" w:hanging="346"/>
        <w:jc w:val="center"/>
        <w:textAlignment w:val="auto"/>
        <w:outlineLvl w:val="0"/>
        <w:rPr>
          <w:rFonts w:hint="eastAsia" w:asciiTheme="minorEastAsia" w:hAnsiTheme="minorEastAsia" w:eastAsiaTheme="minorEastAsia" w:cstheme="minorEastAsia"/>
          <w:b/>
          <w:bCs/>
          <w:color w:val="auto"/>
          <w:kern w:val="2"/>
          <w:sz w:val="48"/>
          <w:szCs w:val="22"/>
          <w:highlight w:val="none"/>
          <w:lang w:val="en-US" w:eastAsia="zh-CN" w:bidi="ar-SA"/>
        </w:rPr>
      </w:pPr>
      <w:r>
        <w:rPr>
          <w:rFonts w:hint="eastAsia" w:asciiTheme="minorEastAsia" w:hAnsiTheme="minorEastAsia" w:eastAsiaTheme="minorEastAsia" w:cstheme="minorEastAsia"/>
          <w:b/>
          <w:bCs/>
          <w:color w:val="auto"/>
          <w:kern w:val="2"/>
          <w:sz w:val="48"/>
          <w:szCs w:val="22"/>
          <w:highlight w:val="none"/>
          <w:lang w:val="en-US" w:eastAsia="zh-CN" w:bidi="ar-SA"/>
        </w:rPr>
        <w:t>技术规范要求</w:t>
      </w:r>
    </w:p>
    <w:p>
      <w:pPr>
        <w:pStyle w:val="13"/>
        <w:adjustRightInd w:val="0"/>
        <w:snapToGrid w:val="0"/>
        <w:spacing w:line="360" w:lineRule="auto"/>
        <w:rPr>
          <w:rFonts w:hint="eastAsia" w:asciiTheme="minorEastAsia" w:hAnsiTheme="minorEastAsia" w:eastAsiaTheme="minorEastAsia" w:cstheme="minorEastAsia"/>
          <w:color w:val="auto"/>
          <w:sz w:val="44"/>
          <w:szCs w:val="44"/>
          <w:highlight w:val="none"/>
        </w:rPr>
      </w:pPr>
    </w:p>
    <w:p>
      <w:pPr>
        <w:ind w:firstLine="480"/>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pStyle w:val="2"/>
        <w:rPr>
          <w:rFonts w:hint="eastAsia"/>
        </w:rPr>
      </w:pPr>
    </w:p>
    <w:p>
      <w:pPr>
        <w:rPr>
          <w:rFonts w:hint="eastAsia" w:asciiTheme="minorEastAsia" w:hAnsiTheme="minorEastAsia" w:eastAsiaTheme="minorEastAsia" w:cstheme="minorEastAsia"/>
          <w:color w:val="auto"/>
          <w:sz w:val="20"/>
          <w:szCs w:val="22"/>
          <w:highlight w:val="none"/>
        </w:rPr>
      </w:pPr>
    </w:p>
    <w:p>
      <w:pPr>
        <w:rPr>
          <w:rFonts w:hint="eastAsia" w:asciiTheme="minorEastAsia" w:hAnsiTheme="minorEastAsia" w:eastAsiaTheme="minorEastAsia" w:cstheme="minorEastAsia"/>
          <w:color w:val="auto"/>
          <w:sz w:val="20"/>
          <w:szCs w:val="22"/>
          <w:highlight w:val="none"/>
        </w:rPr>
      </w:pP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广西博联信息通信技术有限责任公司</w:t>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2025年</w:t>
      </w:r>
      <w:r>
        <w:rPr>
          <w:rFonts w:hint="eastAsia" w:cstheme="minorEastAsia"/>
          <w:b/>
          <w:bCs/>
          <w:color w:val="auto"/>
          <w:sz w:val="28"/>
          <w:szCs w:val="28"/>
          <w:highlight w:val="none"/>
          <w:lang w:val="en-US" w:eastAsia="zh-CN"/>
        </w:rPr>
        <w:t>10</w:t>
      </w:r>
      <w:r>
        <w:rPr>
          <w:rFonts w:hint="eastAsia" w:asciiTheme="minorEastAsia" w:hAnsiTheme="minorEastAsia" w:eastAsiaTheme="minorEastAsia" w:cstheme="minorEastAsia"/>
          <w:b/>
          <w:bCs/>
          <w:color w:val="auto"/>
          <w:sz w:val="28"/>
          <w:szCs w:val="28"/>
          <w:highlight w:val="none"/>
        </w:rPr>
        <w:t>月</w:t>
      </w:r>
    </w:p>
    <w:p>
      <w:pPr>
        <w:tabs>
          <w:tab w:val="left" w:pos="1883"/>
        </w:tabs>
        <w:jc w:val="both"/>
        <w:rPr>
          <w:rFonts w:hint="eastAsia" w:ascii="宋体" w:hAnsi="宋体" w:eastAsia="宋体" w:cs="宋体"/>
          <w:color w:val="auto"/>
          <w:sz w:val="44"/>
          <w:szCs w:val="44"/>
          <w:highlight w:val="none"/>
        </w:rPr>
      </w:pPr>
    </w:p>
    <w:p>
      <w:pPr>
        <w:tabs>
          <w:tab w:val="left" w:pos="1883"/>
        </w:tabs>
        <w:jc w:val="center"/>
        <w:rPr>
          <w:rFonts w:hint="eastAsia" w:ascii="宋体" w:hAnsi="宋体" w:eastAsia="宋体" w:cs="宋体"/>
          <w:color w:val="auto"/>
          <w:sz w:val="44"/>
          <w:szCs w:val="44"/>
          <w:highlight w:val="none"/>
        </w:rPr>
      </w:pPr>
    </w:p>
    <w:bookmarkEnd w:id="4"/>
    <w:bookmarkEnd w:id="5"/>
    <w:bookmarkEnd w:id="6"/>
    <w:bookmarkEnd w:id="7"/>
    <w:bookmarkEnd w:id="8"/>
    <w:p>
      <w:pPr>
        <w:pStyle w:val="9"/>
        <w:spacing w:line="500" w:lineRule="exact"/>
        <w:jc w:val="both"/>
        <w:textAlignment w:val="baseline"/>
        <w:rPr>
          <w:rFonts w:hint="eastAsia" w:ascii="宋体" w:hAnsi="宋体" w:eastAsia="宋体" w:cs="宋体"/>
          <w:color w:val="auto"/>
          <w:kern w:val="24"/>
          <w:highlight w:val="none"/>
          <w:lang w:eastAsia="zh-CN"/>
        </w:rPr>
      </w:pPr>
    </w:p>
    <w:p>
      <w:pPr>
        <w:pStyle w:val="9"/>
        <w:spacing w:line="500" w:lineRule="exact"/>
        <w:jc w:val="both"/>
        <w:textAlignment w:val="baseline"/>
        <w:rPr>
          <w:rFonts w:hint="eastAsia" w:ascii="宋体" w:hAnsi="宋体" w:eastAsia="宋体" w:cs="宋体"/>
          <w:color w:val="auto"/>
          <w:kern w:val="24"/>
          <w:highlight w:val="none"/>
          <w:lang w:eastAsia="zh-CN"/>
        </w:rPr>
      </w:pPr>
    </w:p>
    <w:p>
      <w:pPr>
        <w:pStyle w:val="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一、适用</w:t>
      </w:r>
      <w:r>
        <w:rPr>
          <w:rFonts w:hint="eastAsia" w:ascii="宋体" w:hAnsi="宋体" w:eastAsia="宋体" w:cs="宋体"/>
          <w:b/>
          <w:bCs/>
          <w:color w:val="auto"/>
          <w:sz w:val="28"/>
          <w:szCs w:val="28"/>
          <w:highlight w:val="none"/>
        </w:rPr>
        <w:t>范围</w:t>
      </w:r>
    </w:p>
    <w:p>
      <w:pPr>
        <w:pStyle w:val="9"/>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本软件是集清单预算、清单计价工程的编制、管理、输出等功能于一身的计价软件。它具有功能完善，界面友好，操作简单等特点，适用于广西电网公司 20kV 及以下配电（开关）站工程、充（换）电站工程、架空线路工程、电缆线路工程、通信站工程、通信线路工程等类型的清单预算、清单计价工程的编制。</w:t>
      </w:r>
    </w:p>
    <w:p>
      <w:pPr>
        <w:pStyle w:val="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软件资源</w:t>
      </w:r>
    </w:p>
    <w:p>
      <w:pPr>
        <w:pStyle w:val="9"/>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软件主要参考的标准如下：</w:t>
      </w:r>
    </w:p>
    <w:p>
      <w:pPr>
        <w:pStyle w:val="9"/>
        <w:keepNext w:val="0"/>
        <w:keepLines w:val="0"/>
        <w:pageBreakBefore w:val="0"/>
        <w:widowControl/>
        <w:numPr>
          <w:ilvl w:val="0"/>
          <w:numId w:val="1"/>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《广西电网有限责任公司20kV及以下配电网项目扩大工程量清单（2023 年版）》</w:t>
      </w:r>
    </w:p>
    <w:p>
      <w:pPr>
        <w:pStyle w:val="9"/>
        <w:keepNext w:val="0"/>
        <w:keepLines w:val="0"/>
        <w:pageBreakBefore w:val="0"/>
        <w:widowControl/>
        <w:numPr>
          <w:ilvl w:val="0"/>
          <w:numId w:val="1"/>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《20kV及以下配电网工程建设预算编制与计算规定（2022年版）》</w:t>
      </w:r>
    </w:p>
    <w:p>
      <w:pPr>
        <w:pStyle w:val="9"/>
        <w:keepNext w:val="0"/>
        <w:keepLines w:val="0"/>
        <w:pageBreakBefore w:val="0"/>
        <w:widowControl/>
        <w:numPr>
          <w:ilvl w:val="0"/>
          <w:numId w:val="1"/>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 xml:space="preserve">《20kV及以下配电网建设工程概算定额（2022年版）》 </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第一册 建筑工程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第二册 电气设备安装工程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第三册 架空线路工程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第四册 电缆工程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第五册 通信及自动化工程</w:t>
      </w:r>
    </w:p>
    <w:p>
      <w:pPr>
        <w:pStyle w:val="9"/>
        <w:keepNext w:val="0"/>
        <w:keepLines w:val="0"/>
        <w:pageBreakBefore w:val="0"/>
        <w:widowControl/>
        <w:numPr>
          <w:ilvl w:val="0"/>
          <w:numId w:val="1"/>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《20kV及以下配电网建设工程预算定额（2022年版）》</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第一册 建筑工程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第二册 电气设备安装工程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第三册 架空线路工程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第四册 电缆工程</w:t>
      </w:r>
    </w:p>
    <w:p>
      <w:pPr>
        <w:pStyle w:val="9"/>
        <w:keepNext w:val="0"/>
        <w:keepLines w:val="0"/>
        <w:pageBreakBefore w:val="0"/>
        <w:widowControl/>
        <w:numPr>
          <w:ilvl w:val="0"/>
          <w:numId w:val="2"/>
        </w:numPr>
        <w:kinsoku/>
        <w:wordWrap/>
        <w:overflowPunct/>
        <w:topLinePunct w:val="0"/>
        <w:autoSpaceDE/>
        <w:autoSpaceDN/>
        <w:bidi w:val="0"/>
        <w:adjustRightInd/>
        <w:snapToGrid/>
        <w:spacing w:line="360" w:lineRule="auto"/>
        <w:ind w:left="840" w:leftChars="0" w:hanging="420"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第五册 通信及自动化工程</w:t>
      </w:r>
    </w:p>
    <w:p>
      <w:pPr>
        <w:pStyle w:val="9"/>
        <w:keepNext w:val="0"/>
        <w:keepLines w:val="0"/>
        <w:pageBreakBefore w:val="0"/>
        <w:widowControl/>
        <w:numPr>
          <w:ilvl w:val="0"/>
          <w:numId w:val="1"/>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《电网拆除工程预算定额（2020年版）》（配网部分）</w:t>
      </w:r>
    </w:p>
    <w:p>
      <w:pPr>
        <w:pStyle w:val="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技术要求</w:t>
      </w:r>
    </w:p>
    <w:p>
      <w:pPr>
        <w:pStyle w:val="9"/>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遵照国家法律、法规、规章、标准及电力行业有关规定，计算准确，成果数据规范。</w:t>
      </w:r>
    </w:p>
    <w:p>
      <w:pPr>
        <w:pStyle w:val="9"/>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连续120小时软件操作、运行稳定，数据安全，无内存及GDI泄露。</w:t>
      </w:r>
    </w:p>
    <w:p>
      <w:pPr>
        <w:pStyle w:val="9"/>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软件操作流畅，界面响应时间1s以内，工程能实时计算，并在5s以内响应。</w:t>
      </w:r>
    </w:p>
    <w:p>
      <w:pPr>
        <w:pStyle w:val="9"/>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兼容win7及以上操作系统、常用办公软件（office、WPS）及杀毒软件（360、金山）。</w:t>
      </w:r>
    </w:p>
    <w:p>
      <w:pPr>
        <w:pStyle w:val="9"/>
        <w:keepNext w:val="0"/>
        <w:keepLines w:val="0"/>
        <w:pageBreakBefore w:val="0"/>
        <w:widowControl/>
        <w:numPr>
          <w:ilvl w:val="0"/>
          <w:numId w:val="3"/>
        </w:numPr>
        <w:kinsoku/>
        <w:wordWrap/>
        <w:overflowPunct/>
        <w:topLinePunct w:val="0"/>
        <w:autoSpaceDE/>
        <w:autoSpaceDN/>
        <w:bidi w:val="0"/>
        <w:adjustRightInd/>
        <w:snapToGrid/>
        <w:spacing w:line="360" w:lineRule="auto"/>
        <w:ind w:left="425" w:leftChars="0" w:hanging="425" w:firstLineChars="0"/>
        <w:jc w:val="both"/>
        <w:textAlignment w:val="baseline"/>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界面美观，交互设计人性化，可多屏显示，界面功能分组聚焦化，可视化。</w:t>
      </w:r>
    </w:p>
    <w:p>
      <w:pPr>
        <w:pStyle w:val="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软件功能要求</w:t>
      </w:r>
    </w:p>
    <w:p>
      <w:pPr>
        <w:pStyle w:val="5"/>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4.1</w:t>
      </w:r>
      <w:r>
        <w:rPr>
          <w:rFonts w:hint="eastAsia" w:ascii="宋体" w:hAnsi="宋体" w:eastAsia="宋体" w:cs="宋体"/>
          <w:b/>
          <w:bCs/>
          <w:color w:val="auto"/>
          <w:sz w:val="24"/>
          <w:szCs w:val="24"/>
          <w:highlight w:val="none"/>
          <w:lang w:val="en-US" w:eastAsia="zh-CN"/>
        </w:rPr>
        <w:t>基础</w:t>
      </w:r>
      <w:r>
        <w:rPr>
          <w:rFonts w:hint="eastAsia" w:ascii="宋体" w:hAnsi="宋体" w:eastAsia="宋体" w:cs="宋体"/>
          <w:b/>
          <w:bCs/>
          <w:color w:val="auto"/>
          <w:sz w:val="24"/>
          <w:szCs w:val="24"/>
          <w:highlight w:val="none"/>
        </w:rPr>
        <w:t>功能</w:t>
      </w:r>
    </w:p>
    <w:p>
      <w:pPr>
        <w:numPr>
          <w:ilvl w:val="0"/>
          <w:numId w:val="0"/>
        </w:numPr>
        <w:spacing w:line="360" w:lineRule="auto"/>
        <w:ind w:leftChars="0"/>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lang w:val="en-US" w:eastAsia="zh-CN"/>
        </w:rPr>
        <w:t>工程创建：</w:t>
      </w:r>
      <w:r>
        <w:rPr>
          <w:rFonts w:hint="eastAsia" w:ascii="宋体" w:hAnsi="宋体" w:eastAsia="宋体" w:cs="宋体"/>
          <w:b w:val="0"/>
          <w:bCs/>
          <w:color w:val="auto"/>
          <w:sz w:val="21"/>
          <w:szCs w:val="21"/>
          <w:highlight w:val="none"/>
          <w:lang w:val="en-US" w:eastAsia="zh-CN"/>
        </w:rPr>
        <w:t>支持清单预算工程和清单计价工程两种模式创建。以下介绍以清单预算工程为例：</w:t>
      </w:r>
    </w:p>
    <w:p>
      <w:pPr>
        <w:numPr>
          <w:ilvl w:val="0"/>
          <w:numId w:val="4"/>
        </w:numPr>
        <w:spacing w:line="360" w:lineRule="auto"/>
        <w:ind w:left="425" w:leftChars="0" w:hanging="425" w:firstLineChars="0"/>
        <w:rPr>
          <w:rFonts w:hint="eastAsia"/>
          <w:color w:val="auto"/>
          <w:highlight w:val="none"/>
        </w:rPr>
      </w:pPr>
      <w:r>
        <w:rPr>
          <w:rFonts w:hint="eastAsia" w:ascii="宋体" w:hAnsi="宋体" w:eastAsia="宋体" w:cs="宋体"/>
          <w:b/>
          <w:color w:val="auto"/>
          <w:sz w:val="21"/>
          <w:szCs w:val="21"/>
          <w:highlight w:val="none"/>
        </w:rPr>
        <w:t>工程信息：</w:t>
      </w:r>
      <w:r>
        <w:rPr>
          <w:rFonts w:hint="eastAsia" w:ascii="宋体" w:hAnsi="宋体" w:eastAsia="宋体" w:cs="宋体"/>
          <w:b w:val="0"/>
          <w:bCs/>
          <w:color w:val="auto"/>
          <w:sz w:val="21"/>
          <w:szCs w:val="21"/>
          <w:highlight w:val="none"/>
        </w:rPr>
        <w:t>点击导航栏中的</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工程信息</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，进入界面，包括</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个部分：基本</w:t>
      </w:r>
      <w:r>
        <w:rPr>
          <w:rFonts w:hint="eastAsia" w:ascii="宋体" w:hAnsi="宋体" w:eastAsia="宋体" w:cs="宋体"/>
          <w:b w:val="0"/>
          <w:bCs/>
          <w:color w:val="auto"/>
          <w:sz w:val="21"/>
          <w:szCs w:val="21"/>
          <w:highlight w:val="none"/>
          <w:lang w:val="en-US" w:eastAsia="zh-CN"/>
        </w:rPr>
        <w:t>信息</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线路</w:t>
      </w:r>
      <w:r>
        <w:rPr>
          <w:rFonts w:hint="eastAsia" w:ascii="宋体" w:hAnsi="宋体" w:eastAsia="宋体" w:cs="宋体"/>
          <w:b w:val="0"/>
          <w:bCs/>
          <w:color w:val="auto"/>
          <w:sz w:val="21"/>
          <w:szCs w:val="21"/>
          <w:highlight w:val="none"/>
        </w:rPr>
        <w:t>参数、</w:t>
      </w:r>
      <w:r>
        <w:rPr>
          <w:rFonts w:hint="eastAsia" w:ascii="宋体" w:hAnsi="宋体" w:eastAsia="宋体" w:cs="宋体"/>
          <w:b w:val="0"/>
          <w:bCs/>
          <w:color w:val="auto"/>
          <w:sz w:val="21"/>
          <w:szCs w:val="21"/>
          <w:highlight w:val="none"/>
          <w:lang w:val="en-US" w:eastAsia="zh-CN"/>
        </w:rPr>
        <w:t>调差系数、技经参数、规模</w:t>
      </w:r>
      <w:r>
        <w:rPr>
          <w:rFonts w:hint="eastAsia" w:ascii="宋体" w:hAnsi="宋体" w:eastAsia="宋体" w:cs="宋体"/>
          <w:b w:val="0"/>
          <w:bCs/>
          <w:color w:val="auto"/>
          <w:sz w:val="21"/>
          <w:szCs w:val="21"/>
          <w:highlight w:val="none"/>
        </w:rPr>
        <w:t>参数、工程概况。</w:t>
      </w:r>
    </w:p>
    <w:p>
      <w:pPr>
        <w:numPr>
          <w:ilvl w:val="0"/>
          <w:numId w:val="5"/>
        </w:numPr>
        <w:spacing w:line="360" w:lineRule="auto"/>
        <w:ind w:left="840" w:leftChars="0" w:hanging="420" w:firstLineChars="0"/>
        <w:rPr>
          <w:rFonts w:hint="eastAsia" w:ascii="宋体" w:hAnsi="宋体" w:cs="宋体"/>
          <w:b w:val="0"/>
          <w:bCs/>
          <w:color w:val="auto"/>
          <w:sz w:val="21"/>
          <w:szCs w:val="21"/>
          <w:highlight w:val="none"/>
          <w:lang w:val="en-US" w:eastAsia="zh-CN"/>
        </w:rPr>
      </w:pPr>
      <w:r>
        <w:rPr>
          <w:rFonts w:hint="eastAsia" w:ascii="宋体" w:hAnsi="宋体" w:cs="宋体"/>
          <w:b/>
          <w:bCs w:val="0"/>
          <w:color w:val="auto"/>
          <w:sz w:val="21"/>
          <w:szCs w:val="21"/>
          <w:highlight w:val="none"/>
          <w:lang w:val="en-US" w:eastAsia="zh-CN"/>
        </w:rPr>
        <w:t>基本信息：</w:t>
      </w:r>
      <w:r>
        <w:rPr>
          <w:rFonts w:hint="eastAsia" w:ascii="宋体" w:hAnsi="宋体" w:cs="宋体"/>
          <w:b w:val="0"/>
          <w:bCs/>
          <w:color w:val="auto"/>
          <w:sz w:val="21"/>
          <w:szCs w:val="21"/>
          <w:highlight w:val="none"/>
          <w:lang w:val="en-US" w:eastAsia="zh-CN"/>
        </w:rPr>
        <w:t>用于编辑工程的工程基本情况、物料相关费用计算费率、编制人信息等。</w:t>
      </w:r>
    </w:p>
    <w:p>
      <w:pPr>
        <w:numPr>
          <w:ilvl w:val="0"/>
          <w:numId w:val="5"/>
        </w:numPr>
        <w:spacing w:line="360" w:lineRule="auto"/>
        <w:ind w:left="840" w:leftChars="0" w:hanging="420" w:firstLineChars="0"/>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线路参数：</w:t>
      </w:r>
      <w:r>
        <w:rPr>
          <w:rFonts w:hint="eastAsia" w:ascii="宋体" w:hAnsi="宋体" w:cs="宋体"/>
          <w:b w:val="0"/>
          <w:bCs/>
          <w:color w:val="auto"/>
          <w:sz w:val="21"/>
          <w:szCs w:val="21"/>
          <w:highlight w:val="none"/>
          <w:lang w:val="en-US" w:eastAsia="zh-CN"/>
        </w:rPr>
        <w:t>提供土质、地形、运距等参数的设置，配套相应定额、主材数据，可自动计算出运输定额及工程量、土方定额及工程量，并自动计算线路工程综合地形增加费。</w:t>
      </w:r>
    </w:p>
    <w:p>
      <w:pPr>
        <w:numPr>
          <w:ilvl w:val="0"/>
          <w:numId w:val="5"/>
        </w:numPr>
        <w:spacing w:line="360" w:lineRule="auto"/>
        <w:ind w:left="840" w:leftChars="0" w:hanging="420" w:firstLineChars="0"/>
        <w:rPr>
          <w:rFonts w:hint="eastAsia"/>
          <w:color w:val="auto"/>
          <w:highlight w:val="none"/>
          <w:lang w:val="en-US" w:eastAsia="zh-CN"/>
        </w:rPr>
      </w:pPr>
      <w:r>
        <w:rPr>
          <w:rFonts w:hint="eastAsia" w:ascii="宋体" w:hAnsi="宋体" w:cs="宋体"/>
          <w:b/>
          <w:bCs/>
          <w:color w:val="auto"/>
          <w:sz w:val="21"/>
          <w:szCs w:val="21"/>
          <w:highlight w:val="none"/>
          <w:lang w:val="en-US" w:eastAsia="zh-CN"/>
        </w:rPr>
        <w:t>调差系数：</w:t>
      </w:r>
      <w:r>
        <w:rPr>
          <w:rFonts w:hint="eastAsia" w:ascii="宋体" w:hAnsi="宋体" w:cs="宋体"/>
          <w:b w:val="0"/>
          <w:bCs w:val="0"/>
          <w:color w:val="auto"/>
          <w:sz w:val="21"/>
          <w:szCs w:val="21"/>
          <w:highlight w:val="none"/>
          <w:lang w:val="en-US" w:eastAsia="zh-CN"/>
        </w:rPr>
        <w:t>根据定额站发文提供全国各地的价差系数模板，只需要一键选择工程所在地，即可快速完成价差系数的输入</w:t>
      </w:r>
      <w:r>
        <w:rPr>
          <w:rFonts w:hint="eastAsia" w:ascii="宋体" w:hAnsi="宋体" w:cs="宋体"/>
          <w:b w:val="0"/>
          <w:bCs/>
          <w:color w:val="auto"/>
          <w:sz w:val="21"/>
          <w:szCs w:val="21"/>
          <w:highlight w:val="none"/>
          <w:lang w:val="en-US" w:eastAsia="zh-CN"/>
        </w:rPr>
        <w:t>。</w:t>
      </w:r>
    </w:p>
    <w:p>
      <w:pPr>
        <w:numPr>
          <w:ilvl w:val="0"/>
          <w:numId w:val="4"/>
        </w:numPr>
        <w:spacing w:line="360" w:lineRule="auto"/>
        <w:ind w:left="425" w:leftChars="0" w:hanging="425"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取费设置：</w:t>
      </w:r>
      <w:r>
        <w:rPr>
          <w:rFonts w:hint="eastAsia" w:ascii="宋体" w:hAnsi="宋体" w:eastAsia="宋体" w:cs="宋体"/>
          <w:color w:val="auto"/>
          <w:sz w:val="21"/>
          <w:szCs w:val="21"/>
          <w:highlight w:val="none"/>
        </w:rPr>
        <w:t>按照预规要求，按照新建工程选择的参数信息和项目划分的取费要求，配置工程默认取费表，并支持对取费信息进行增加、删除、修改等功能。</w:t>
      </w:r>
    </w:p>
    <w:p>
      <w:pPr>
        <w:numPr>
          <w:ilvl w:val="0"/>
          <w:numId w:val="4"/>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组合件：</w:t>
      </w:r>
      <w:r>
        <w:rPr>
          <w:rFonts w:hint="eastAsia" w:ascii="宋体" w:hAnsi="宋体" w:eastAsia="宋体" w:cs="宋体"/>
          <w:b w:val="0"/>
          <w:bCs/>
          <w:color w:val="auto"/>
          <w:sz w:val="21"/>
          <w:szCs w:val="21"/>
          <w:highlight w:val="none"/>
          <w:lang w:val="en-US" w:eastAsia="zh-CN"/>
        </w:rPr>
        <w:t>录入广西扩大化清单</w:t>
      </w:r>
      <w:r>
        <w:rPr>
          <w:rFonts w:hint="eastAsia" w:ascii="宋体" w:hAnsi="宋体" w:cs="宋体"/>
          <w:b w:val="0"/>
          <w:bCs/>
          <w:color w:val="auto"/>
          <w:sz w:val="21"/>
          <w:szCs w:val="21"/>
          <w:highlight w:val="none"/>
          <w:lang w:val="en-US" w:eastAsia="zh-CN"/>
        </w:rPr>
        <w:t>后</w:t>
      </w:r>
      <w:r>
        <w:rPr>
          <w:rFonts w:hint="eastAsia" w:ascii="宋体" w:hAnsi="宋体" w:eastAsia="宋体" w:cs="宋体"/>
          <w:b w:val="0"/>
          <w:bCs/>
          <w:color w:val="auto"/>
          <w:sz w:val="21"/>
          <w:szCs w:val="21"/>
          <w:highlight w:val="none"/>
          <w:lang w:val="en-US" w:eastAsia="zh-CN"/>
        </w:rPr>
        <w:t>，输入扩大化清单量，软件根据标准取费表自动取费计算合价。作为软件主要界面，软件提供了大量便捷易用功能，例如：</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批量设置：</w:t>
      </w:r>
      <w:r>
        <w:rPr>
          <w:rFonts w:hint="eastAsia" w:ascii="宋体" w:hAnsi="宋体" w:eastAsia="宋体" w:cs="宋体"/>
          <w:color w:val="auto"/>
          <w:sz w:val="21"/>
          <w:szCs w:val="21"/>
          <w:highlight w:val="none"/>
          <w:lang w:val="en-US" w:eastAsia="zh-CN"/>
        </w:rPr>
        <w:t>对工程中消耗量可进行批量化多条一次性设置，如定额调整系数、浇捣方式，主材设备的供货方、市场价等。</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多类数据灵活接入的导入excel功能：</w:t>
      </w:r>
      <w:r>
        <w:rPr>
          <w:rFonts w:hint="eastAsia" w:ascii="宋体" w:hAnsi="宋体" w:eastAsia="宋体" w:cs="宋体"/>
          <w:color w:val="auto"/>
          <w:sz w:val="21"/>
          <w:szCs w:val="21"/>
          <w:highlight w:val="none"/>
          <w:lang w:val="en-US" w:eastAsia="zh-CN"/>
        </w:rPr>
        <w:t>能支持EXCEL编制的工程或物料表格式等相关EXCEL数据的灵活导入，方便excel与软件的对接。</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特殊费用自动计算：</w:t>
      </w:r>
      <w:r>
        <w:rPr>
          <w:rFonts w:hint="eastAsia" w:ascii="宋体" w:hAnsi="宋体" w:eastAsia="宋体" w:cs="宋体"/>
          <w:color w:val="auto"/>
          <w:sz w:val="21"/>
          <w:szCs w:val="21"/>
          <w:highlight w:val="none"/>
          <w:lang w:val="en-US" w:eastAsia="zh-CN"/>
        </w:rPr>
        <w:t>根据预规对混凝土施工增加费、脚手架搭拆费、建筑调试费、线路综合地形增加费等自动计算，同时结合配送费、运杂费、卸车保管费的计算规则设置，可自动计算相关费用。</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工地运输、线路土方算量自动统计：</w:t>
      </w:r>
      <w:r>
        <w:rPr>
          <w:rFonts w:hint="eastAsia" w:ascii="宋体" w:hAnsi="宋体" w:eastAsia="宋体" w:cs="宋体"/>
          <w:color w:val="auto"/>
          <w:sz w:val="21"/>
          <w:szCs w:val="21"/>
          <w:highlight w:val="none"/>
          <w:lang w:val="en-US" w:eastAsia="zh-CN"/>
        </w:rPr>
        <w:t>通过线路参数的运距设置，输入相应人力、汽车、拖拉机、船舶等运距，并根据装材数量、单重及运输类型信息，自动计算运输重量、运输定额工程量，并自动套取线路工地运输定额。</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建筑钢筋定额智能统计：</w:t>
      </w:r>
      <w:r>
        <w:rPr>
          <w:rFonts w:hint="eastAsia" w:ascii="宋体" w:hAnsi="宋体" w:eastAsia="宋体" w:cs="宋体"/>
          <w:color w:val="auto"/>
          <w:sz w:val="21"/>
          <w:szCs w:val="21"/>
          <w:highlight w:val="none"/>
          <w:lang w:val="en-US" w:eastAsia="zh-CN"/>
        </w:rPr>
        <w:t>根据建筑定额的计算规则，可自动进行钢筋工程量计算及配套定额的套取。</w:t>
      </w:r>
    </w:p>
    <w:p>
      <w:pPr>
        <w:numPr>
          <w:ilvl w:val="0"/>
          <w:numId w:val="5"/>
        </w:numPr>
        <w:spacing w:line="360" w:lineRule="auto"/>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费用实时预览：</w:t>
      </w:r>
      <w:r>
        <w:rPr>
          <w:rFonts w:hint="eastAsia" w:ascii="宋体" w:hAnsi="宋体" w:eastAsia="宋体" w:cs="宋体"/>
          <w:color w:val="auto"/>
          <w:sz w:val="21"/>
          <w:szCs w:val="21"/>
          <w:highlight w:val="none"/>
          <w:lang w:val="en-US" w:eastAsia="zh-CN"/>
        </w:rPr>
        <w:t>完成工程整体费用的编制后，可支持费用的实时预览，便于动态掌握工程投资额的变化。</w:t>
      </w:r>
    </w:p>
    <w:p>
      <w:pPr>
        <w:numPr>
          <w:ilvl w:val="0"/>
          <w:numId w:val="4"/>
        </w:numPr>
        <w:spacing w:line="360" w:lineRule="auto"/>
        <w:ind w:left="425" w:leftChars="0" w:hanging="425"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建筑、安装、拆除、余物清理</w:t>
      </w:r>
      <w:r>
        <w:rPr>
          <w:rFonts w:hint="eastAsia" w:ascii="宋体" w:hAnsi="宋体" w:eastAsia="宋体" w:cs="宋体"/>
          <w:b/>
          <w:color w:val="auto"/>
          <w:sz w:val="21"/>
          <w:szCs w:val="21"/>
          <w:highlight w:val="none"/>
        </w:rPr>
        <w:t>工程量编辑：</w:t>
      </w:r>
      <w:r>
        <w:rPr>
          <w:rFonts w:hint="eastAsia" w:ascii="宋体" w:hAnsi="宋体" w:eastAsia="宋体" w:cs="宋体"/>
          <w:color w:val="auto"/>
          <w:sz w:val="21"/>
          <w:szCs w:val="21"/>
          <w:highlight w:val="none"/>
          <w:lang w:val="en-US" w:eastAsia="zh-CN"/>
        </w:rPr>
        <w:t>提供预规规定的项目划分及配套定额、主材、设备等资源编制概预算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可对相关资源进行编辑，修改，颜色标记、删除、清空工程量等功能</w:t>
      </w:r>
      <w:r>
        <w:rPr>
          <w:rFonts w:hint="eastAsia" w:ascii="宋体" w:hAnsi="宋体" w:eastAsia="宋体" w:cs="宋体"/>
          <w:color w:val="auto"/>
          <w:sz w:val="21"/>
          <w:szCs w:val="21"/>
          <w:highlight w:val="none"/>
        </w:rPr>
        <w:t>。</w:t>
      </w:r>
    </w:p>
    <w:p>
      <w:pPr>
        <w:numPr>
          <w:ilvl w:val="0"/>
          <w:numId w:val="4"/>
        </w:numPr>
        <w:spacing w:line="360" w:lineRule="auto"/>
        <w:ind w:left="425" w:leftChars="0" w:hanging="425"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材机分析：</w:t>
      </w:r>
      <w:r>
        <w:rPr>
          <w:rFonts w:hint="eastAsia" w:ascii="宋体" w:hAnsi="宋体" w:eastAsia="宋体" w:cs="宋体"/>
          <w:color w:val="auto"/>
          <w:sz w:val="21"/>
          <w:szCs w:val="21"/>
          <w:highlight w:val="none"/>
        </w:rPr>
        <w:t>汇总工程量编辑界面所有的消耗量（人、材、机、主材、设备）信息，可以</w:t>
      </w:r>
      <w:r>
        <w:rPr>
          <w:rFonts w:hint="eastAsia" w:ascii="宋体" w:hAnsi="宋体" w:eastAsia="宋体" w:cs="宋体"/>
          <w:color w:val="auto"/>
          <w:sz w:val="21"/>
          <w:szCs w:val="21"/>
          <w:highlight w:val="none"/>
          <w:lang w:val="en-US" w:eastAsia="zh-CN"/>
        </w:rPr>
        <w:t>对消耗量进行批量替换、修改，如市场价格，并可根据实际情况，结合匹配条件、字段内容的设置，进行市场价的刷新及保存。</w:t>
      </w:r>
    </w:p>
    <w:p>
      <w:pPr>
        <w:numPr>
          <w:ilvl w:val="0"/>
          <w:numId w:val="4"/>
        </w:numPr>
        <w:spacing w:line="360" w:lineRule="auto"/>
        <w:ind w:left="425" w:leftChars="0" w:hanging="425"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工程费用：</w:t>
      </w:r>
      <w:r>
        <w:rPr>
          <w:rFonts w:hint="eastAsia" w:ascii="宋体" w:hAnsi="宋体" w:eastAsia="宋体" w:cs="宋体"/>
          <w:color w:val="auto"/>
          <w:sz w:val="21"/>
          <w:szCs w:val="21"/>
          <w:highlight w:val="none"/>
        </w:rPr>
        <w:t>包括设计费及</w:t>
      </w:r>
      <w:r>
        <w:rPr>
          <w:rFonts w:hint="eastAsia" w:ascii="宋体" w:hAnsi="宋体" w:eastAsia="宋体" w:cs="宋体"/>
          <w:color w:val="auto"/>
          <w:sz w:val="21"/>
          <w:szCs w:val="21"/>
          <w:highlight w:val="none"/>
          <w:lang w:val="en-US" w:eastAsia="zh-CN"/>
        </w:rPr>
        <w:t>建贷</w:t>
      </w:r>
      <w:r>
        <w:rPr>
          <w:rFonts w:hint="eastAsia" w:ascii="宋体" w:hAnsi="宋体" w:eastAsia="宋体" w:cs="宋体"/>
          <w:color w:val="auto"/>
          <w:sz w:val="21"/>
          <w:szCs w:val="21"/>
          <w:highlight w:val="none"/>
        </w:rPr>
        <w:t>利息、其他费用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总算表</w:t>
      </w:r>
      <w:r>
        <w:rPr>
          <w:rFonts w:hint="eastAsia" w:ascii="宋体" w:hAnsi="宋体" w:eastAsia="宋体" w:cs="宋体"/>
          <w:color w:val="auto"/>
          <w:sz w:val="21"/>
          <w:szCs w:val="21"/>
          <w:highlight w:val="none"/>
        </w:rPr>
        <w:t>设置。例如：</w:t>
      </w:r>
    </w:p>
    <w:p>
      <w:pPr>
        <w:numPr>
          <w:ilvl w:val="0"/>
          <w:numId w:val="6"/>
        </w:numPr>
        <w:spacing w:line="360" w:lineRule="auto"/>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设计费及利息：</w:t>
      </w:r>
      <w:r>
        <w:rPr>
          <w:rFonts w:hint="eastAsia" w:ascii="宋体" w:hAnsi="宋体" w:eastAsia="宋体" w:cs="宋体"/>
          <w:color w:val="auto"/>
          <w:sz w:val="21"/>
          <w:szCs w:val="21"/>
          <w:highlight w:val="none"/>
        </w:rPr>
        <w:t>基本设计费、建设期贷款利息。提供了前端可视化的费用计算展现，设置相应参数，自动计算基本设计费、建设期贷款利息，并配套输出相应的明细报表。</w:t>
      </w:r>
    </w:p>
    <w:p>
      <w:pPr>
        <w:numPr>
          <w:ilvl w:val="0"/>
          <w:numId w:val="6"/>
        </w:numPr>
        <w:spacing w:line="360" w:lineRule="auto"/>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其他费用：</w:t>
      </w:r>
      <w:r>
        <w:rPr>
          <w:rFonts w:hint="eastAsia" w:ascii="宋体" w:hAnsi="宋体" w:eastAsia="宋体" w:cs="宋体"/>
          <w:color w:val="auto"/>
          <w:sz w:val="21"/>
          <w:szCs w:val="21"/>
          <w:highlight w:val="none"/>
        </w:rPr>
        <w:t>按照预规要求提供标准的其他费用模板，可根据实际情况对其他费用进行编辑，包括新增、删除、修改，计算式编辑等功能。</w:t>
      </w:r>
    </w:p>
    <w:p>
      <w:pPr>
        <w:numPr>
          <w:ilvl w:val="0"/>
          <w:numId w:val="6"/>
        </w:numPr>
        <w:spacing w:line="360" w:lineRule="auto"/>
        <w:ind w:left="840" w:leftChars="0" w:hanging="420" w:firstLineChars="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总算表</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rPr>
        <w:t>按照预规提供标准的总算表模板，直接查看工程总造价数据，并可根据实际情况对进行编辑，包括新增、删除、修改，计算式编辑等功能。</w:t>
      </w:r>
    </w:p>
    <w:p>
      <w:pPr>
        <w:numPr>
          <w:ilvl w:val="0"/>
          <w:numId w:val="4"/>
        </w:numPr>
        <w:spacing w:line="360" w:lineRule="auto"/>
        <w:ind w:left="425" w:leftChars="0" w:hanging="425" w:firstLineChars="0"/>
        <w:rPr>
          <w:rFonts w:hint="eastAsia" w:ascii="宋体" w:hAnsi="宋体" w:eastAsia="宋体" w:cs="宋体"/>
          <w:b w:val="0"/>
          <w:bCs/>
          <w:color w:val="auto"/>
          <w:sz w:val="21"/>
          <w:szCs w:val="21"/>
          <w:highlight w:val="none"/>
        </w:rPr>
      </w:pPr>
      <w:r>
        <w:rPr>
          <w:rFonts w:hint="eastAsia" w:ascii="宋体" w:hAnsi="宋体" w:eastAsia="宋体" w:cs="宋体"/>
          <w:b/>
          <w:color w:val="auto"/>
          <w:sz w:val="21"/>
          <w:szCs w:val="21"/>
          <w:highlight w:val="none"/>
        </w:rPr>
        <w:t>报表输出：</w:t>
      </w:r>
      <w:r>
        <w:rPr>
          <w:rFonts w:hint="eastAsia" w:ascii="宋体" w:hAnsi="宋体" w:eastAsia="宋体" w:cs="宋体"/>
          <w:b w:val="0"/>
          <w:bCs/>
          <w:color w:val="auto"/>
          <w:sz w:val="21"/>
          <w:szCs w:val="21"/>
          <w:highlight w:val="none"/>
        </w:rPr>
        <w:t>展现报表成果数据，按照预规提供标准的报表模板，并</w:t>
      </w:r>
      <w:r>
        <w:rPr>
          <w:rFonts w:hint="eastAsia" w:ascii="宋体" w:hAnsi="宋体" w:eastAsia="宋体" w:cs="宋体"/>
          <w:b w:val="0"/>
          <w:bCs/>
          <w:color w:val="auto"/>
          <w:sz w:val="21"/>
          <w:szCs w:val="21"/>
          <w:highlight w:val="none"/>
          <w:lang w:val="en-US" w:eastAsia="zh-CN"/>
        </w:rPr>
        <w:t>结合</w:t>
      </w:r>
      <w:r>
        <w:rPr>
          <w:rFonts w:hint="eastAsia" w:ascii="宋体" w:hAnsi="宋体" w:cs="宋体"/>
          <w:b w:val="0"/>
          <w:bCs/>
          <w:color w:val="auto"/>
          <w:sz w:val="21"/>
          <w:szCs w:val="21"/>
          <w:highlight w:val="none"/>
          <w:lang w:val="en-US" w:eastAsia="zh-CN"/>
        </w:rPr>
        <w:t>广东/</w:t>
      </w:r>
      <w:r>
        <w:rPr>
          <w:rFonts w:hint="eastAsia" w:ascii="宋体" w:hAnsi="宋体" w:eastAsia="宋体" w:cs="宋体"/>
          <w:b w:val="0"/>
          <w:bCs/>
          <w:color w:val="auto"/>
          <w:sz w:val="21"/>
          <w:szCs w:val="21"/>
          <w:highlight w:val="none"/>
          <w:lang w:val="en-US" w:eastAsia="zh-CN"/>
        </w:rPr>
        <w:t>广西清单工作成果的需要，提供《清单综合单价分析表、清单汇总表》等；功能方面</w:t>
      </w:r>
      <w:r>
        <w:rPr>
          <w:rFonts w:hint="eastAsia" w:ascii="宋体" w:hAnsi="宋体" w:eastAsia="宋体" w:cs="宋体"/>
          <w:b w:val="0"/>
          <w:bCs/>
          <w:color w:val="auto"/>
          <w:sz w:val="21"/>
          <w:szCs w:val="21"/>
          <w:highlight w:val="none"/>
        </w:rPr>
        <w:t>提供报表设置、批量导出、批量打印等，并可根据实际工作情况，进行报表设计调整相应内容，输出需要的数据报表。</w:t>
      </w:r>
    </w:p>
    <w:p>
      <w:pPr>
        <w:numPr>
          <w:ilvl w:val="0"/>
          <w:numId w:val="4"/>
        </w:numPr>
        <w:spacing w:line="360" w:lineRule="auto"/>
        <w:ind w:left="425" w:leftChars="0" w:hanging="425" w:firstLineChars="0"/>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设置密码：</w:t>
      </w:r>
      <w:r>
        <w:rPr>
          <w:rFonts w:hint="eastAsia" w:ascii="宋体" w:hAnsi="宋体" w:eastAsia="宋体" w:cs="宋体"/>
          <w:b w:val="0"/>
          <w:bCs/>
          <w:color w:val="auto"/>
          <w:sz w:val="21"/>
          <w:szCs w:val="21"/>
          <w:highlight w:val="none"/>
          <w:lang w:val="en-US" w:eastAsia="zh-CN"/>
        </w:rPr>
        <w:t>可设置加密、只读模式</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加密模式下，二次打开需输入正确密码，即可查看和编辑；只读模式下，无密码也可以打开工程，但只可查看报表。</w:t>
      </w:r>
    </w:p>
    <w:p>
      <w:pPr>
        <w:pStyle w:val="5"/>
        <w:keepNext/>
        <w:keepLines/>
        <w:pageBreakBefore w:val="0"/>
        <w:widowControl w:val="0"/>
        <w:kinsoku/>
        <w:wordWrap/>
        <w:overflowPunct/>
        <w:topLinePunct w:val="0"/>
        <w:autoSpaceDE/>
        <w:autoSpaceDN/>
        <w:bidi w:val="0"/>
        <w:adjustRightInd/>
        <w:snapToGrid/>
        <w:spacing w:before="313" w:beforeLines="100" w:after="313" w:afterLines="100" w:line="360" w:lineRule="auto"/>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4.2</w:t>
      </w:r>
      <w:r>
        <w:rPr>
          <w:rFonts w:hint="eastAsia" w:ascii="宋体" w:hAnsi="宋体" w:eastAsia="宋体" w:cs="宋体"/>
          <w:b/>
          <w:bCs/>
          <w:color w:val="auto"/>
          <w:sz w:val="24"/>
          <w:szCs w:val="24"/>
          <w:highlight w:val="none"/>
          <w:lang w:val="en-US" w:eastAsia="zh-CN"/>
        </w:rPr>
        <w:t>特色功能</w:t>
      </w:r>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老版定额升级：</w:t>
      </w:r>
      <w:r>
        <w:rPr>
          <w:rFonts w:hint="eastAsia" w:ascii="宋体" w:hAnsi="宋体" w:eastAsia="宋体" w:cs="宋体"/>
          <w:b w:val="0"/>
          <w:bCs/>
          <w:color w:val="auto"/>
          <w:sz w:val="21"/>
          <w:szCs w:val="21"/>
          <w:highlight w:val="none"/>
          <w:lang w:val="en-US" w:eastAsia="zh-CN"/>
        </w:rPr>
        <w:t>支持2016版定额的清单预算\清单计价工程文件可快速升级为2022版</w:t>
      </w:r>
      <w:r>
        <w:rPr>
          <w:rFonts w:hint="eastAsia" w:ascii="宋体" w:hAnsi="宋体" w:cs="宋体"/>
          <w:b w:val="0"/>
          <w:bCs/>
          <w:color w:val="auto"/>
          <w:sz w:val="21"/>
          <w:szCs w:val="21"/>
          <w:highlight w:val="none"/>
          <w:lang w:val="en-US" w:eastAsia="zh-CN"/>
        </w:rPr>
        <w:t>清单</w:t>
      </w:r>
      <w:r>
        <w:rPr>
          <w:rFonts w:hint="eastAsia" w:ascii="宋体" w:hAnsi="宋体" w:eastAsia="宋体" w:cs="宋体"/>
          <w:b w:val="0"/>
          <w:bCs/>
          <w:color w:val="auto"/>
          <w:sz w:val="21"/>
          <w:szCs w:val="21"/>
          <w:highlight w:val="none"/>
          <w:lang w:val="en-US" w:eastAsia="zh-CN"/>
        </w:rPr>
        <w:t>的工程文件。</w:t>
      </w:r>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工程转换：</w:t>
      </w:r>
      <w:bookmarkStart w:id="9" w:name="_Hlk83728892"/>
      <w:r>
        <w:rPr>
          <w:rFonts w:hint="eastAsia" w:ascii="宋体" w:hAnsi="宋体" w:eastAsia="宋体" w:cs="宋体"/>
          <w:b w:val="0"/>
          <w:bCs/>
          <w:color w:val="auto"/>
          <w:sz w:val="21"/>
          <w:szCs w:val="21"/>
          <w:highlight w:val="none"/>
          <w:lang w:val="en-US" w:eastAsia="zh-CN"/>
        </w:rPr>
        <w:t>支持清单预算与清单计价文件相互转换。</w:t>
      </w:r>
      <w:bookmarkEnd w:id="9"/>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统计分析：</w:t>
      </w:r>
      <w:r>
        <w:rPr>
          <w:rFonts w:hint="eastAsia" w:ascii="宋体" w:hAnsi="宋体" w:eastAsia="宋体" w:cs="宋体"/>
          <w:b w:val="0"/>
          <w:bCs/>
          <w:color w:val="auto"/>
          <w:sz w:val="21"/>
          <w:szCs w:val="21"/>
          <w:highlight w:val="none"/>
          <w:lang w:val="en-US" w:eastAsia="zh-CN"/>
        </w:rPr>
        <w:t>可批量统计一批工程的费用、主材、设备、定额数据，并支持工程费用汇总表、主材汇总表、设备汇总及定额汇总表等。</w:t>
      </w:r>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多工程批量设置：</w:t>
      </w:r>
      <w:r>
        <w:rPr>
          <w:rFonts w:hint="eastAsia" w:ascii="宋体" w:hAnsi="宋体" w:eastAsia="宋体" w:cs="宋体"/>
          <w:b w:val="0"/>
          <w:bCs/>
          <w:color w:val="auto"/>
          <w:sz w:val="21"/>
          <w:szCs w:val="21"/>
          <w:highlight w:val="none"/>
          <w:lang w:val="en-US" w:eastAsia="zh-CN"/>
        </w:rPr>
        <w:t>支持修改、替换一批多个工程的组合件、清单、物料、定额、土方，修改一批工程中的基本信息、调差系数等，还支持批量导出报表、打印报表。</w:t>
      </w:r>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多工程建筑材机设置：</w:t>
      </w:r>
      <w:r>
        <w:rPr>
          <w:rFonts w:hint="eastAsia" w:ascii="宋体" w:hAnsi="宋体" w:eastAsia="宋体" w:cs="宋体"/>
          <w:b w:val="0"/>
          <w:bCs/>
          <w:color w:val="auto"/>
          <w:sz w:val="21"/>
          <w:szCs w:val="21"/>
          <w:highlight w:val="none"/>
          <w:lang w:val="en-US" w:eastAsia="zh-CN"/>
        </w:rPr>
        <w:t>2022版配网建筑定额材机按市场价调差，对于典型材机市场价的批量设置是软件贴近业务刚需的重点体现，软件支持多个工程的建筑材机市场价统一刷新。</w:t>
      </w:r>
    </w:p>
    <w:p>
      <w:pPr>
        <w:numPr>
          <w:ilvl w:val="0"/>
          <w:numId w:val="7"/>
        </w:numPr>
        <w:spacing w:line="360" w:lineRule="auto"/>
        <w:ind w:left="425" w:leftChars="0" w:hanging="425" w:firstLineChars="0"/>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工程体检：</w:t>
      </w:r>
      <w:r>
        <w:rPr>
          <w:rFonts w:hint="eastAsia" w:ascii="宋体" w:hAnsi="宋体" w:eastAsia="宋体" w:cs="宋体"/>
          <w:b w:val="0"/>
          <w:bCs/>
          <w:color w:val="auto"/>
          <w:sz w:val="21"/>
          <w:szCs w:val="21"/>
          <w:highlight w:val="none"/>
          <w:lang w:val="en-US" w:eastAsia="zh-CN"/>
        </w:rPr>
        <w:t>编制完工程后，可对工程进行全方位的体检，如物料的信息是否填写完整、工程参数是否完整等，协助发现工程可能存在的异常，方便快速修改。</w:t>
      </w:r>
    </w:p>
    <w:p>
      <w:pPr>
        <w:pStyle w:val="4"/>
        <w:tabs>
          <w:tab w:val="left" w:pos="345"/>
        </w:tabs>
        <w:outlineLvl w:val="1"/>
        <w:rPr>
          <w:rFonts w:hint="eastAsia" w:ascii="宋体" w:hAnsi="宋体" w:eastAsia="宋体" w:cs="宋体"/>
          <w:color w:val="auto"/>
          <w:sz w:val="28"/>
          <w:szCs w:val="28"/>
          <w:highlight w:val="none"/>
        </w:rPr>
      </w:pPr>
      <w:r>
        <w:rPr>
          <w:rFonts w:hint="eastAsia" w:hAnsi="宋体" w:cs="宋体"/>
          <w:color w:val="auto"/>
          <w:sz w:val="28"/>
          <w:szCs w:val="28"/>
          <w:highlight w:val="none"/>
          <w:lang w:val="en-US" w:eastAsia="zh-CN"/>
        </w:rPr>
        <w:t>五</w:t>
      </w:r>
      <w:r>
        <w:rPr>
          <w:rFonts w:hint="eastAsia" w:ascii="宋体" w:hAnsi="宋体" w:eastAsia="宋体" w:cs="宋体"/>
          <w:color w:val="auto"/>
          <w:sz w:val="28"/>
          <w:szCs w:val="28"/>
          <w:highlight w:val="none"/>
        </w:rPr>
        <w:t>、验收及技术支持要求</w:t>
      </w:r>
    </w:p>
    <w:p>
      <w:pPr>
        <w:numPr>
          <w:ilvl w:val="0"/>
          <w:numId w:val="8"/>
        </w:numPr>
        <w:adjustRightInd w:val="0"/>
        <w:snapToGrid w:val="0"/>
        <w:spacing w:before="156" w:beforeLines="50" w:after="156" w:afterLines="50" w:line="360" w:lineRule="auto"/>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软件加密锁运抵买方指定地点后，将在双方人员在场的情况下进行现场验收内容包括核对软件品种、数量</w:t>
      </w:r>
      <w:r>
        <w:rPr>
          <w:rFonts w:hint="eastAsia" w:ascii="宋体" w:hAnsi="宋体" w:cs="宋体"/>
          <w:color w:val="auto"/>
          <w:szCs w:val="21"/>
          <w:highlight w:val="none"/>
          <w:lang w:val="en-US" w:eastAsia="zh-CN"/>
        </w:rPr>
        <w:t>以及</w:t>
      </w:r>
      <w:r>
        <w:rPr>
          <w:rFonts w:hint="eastAsia" w:ascii="宋体" w:hAnsi="宋体" w:eastAsia="宋体" w:cs="宋体"/>
          <w:color w:val="auto"/>
          <w:szCs w:val="21"/>
          <w:highlight w:val="none"/>
        </w:rPr>
        <w:t>合格证书，</w:t>
      </w:r>
      <w:r>
        <w:rPr>
          <w:rFonts w:hint="eastAsia" w:ascii="宋体" w:hAnsi="宋体" w:cs="宋体"/>
          <w:color w:val="auto"/>
          <w:szCs w:val="21"/>
          <w:highlight w:val="none"/>
          <w:lang w:val="en-US" w:eastAsia="zh-CN"/>
        </w:rPr>
        <w:t>供方须向买方提交包含4年期限的</w:t>
      </w:r>
      <w:bookmarkStart w:id="10" w:name="_GoBack"/>
      <w:bookmarkEnd w:id="10"/>
      <w:r>
        <w:rPr>
          <w:rFonts w:hint="eastAsia" w:ascii="宋体" w:hAnsi="宋体" w:cs="宋体"/>
          <w:color w:val="auto"/>
          <w:szCs w:val="21"/>
          <w:highlight w:val="none"/>
          <w:lang w:val="en-US" w:eastAsia="zh-CN"/>
        </w:rPr>
        <w:t>软件授权证书/许可文件副本，</w:t>
      </w:r>
      <w:r>
        <w:rPr>
          <w:rFonts w:hint="eastAsia" w:ascii="宋体" w:hAnsi="宋体" w:eastAsia="宋体" w:cs="宋体"/>
          <w:color w:val="auto"/>
          <w:szCs w:val="21"/>
          <w:highlight w:val="none"/>
        </w:rPr>
        <w:t>并对设备外观进行检查，确认无误后方可交买方安装测试。</w:t>
      </w:r>
    </w:p>
    <w:p>
      <w:pPr>
        <w:numPr>
          <w:ilvl w:val="0"/>
          <w:numId w:val="8"/>
        </w:numPr>
        <w:adjustRightInd w:val="0"/>
        <w:snapToGrid w:val="0"/>
        <w:spacing w:before="156" w:beforeLines="50" w:after="156" w:afterLines="50" w:line="360" w:lineRule="auto"/>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交货后供方须派至少一名相关人员到达需方办公场所指导需方进行现场安装、调试、注册。</w:t>
      </w:r>
    </w:p>
    <w:p>
      <w:pPr>
        <w:numPr>
          <w:ilvl w:val="0"/>
          <w:numId w:val="8"/>
        </w:numPr>
        <w:adjustRightInd w:val="0"/>
        <w:snapToGrid w:val="0"/>
        <w:spacing w:before="156" w:beforeLines="50" w:after="156" w:afterLines="50" w:line="360" w:lineRule="auto"/>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到货15个工作日内，供方应负责对买方进行培训，并提供相应的培训资料。</w:t>
      </w:r>
    </w:p>
    <w:p>
      <w:pPr>
        <w:numPr>
          <w:ilvl w:val="0"/>
          <w:numId w:val="8"/>
        </w:numPr>
        <w:adjustRightInd w:val="0"/>
        <w:snapToGrid w:val="0"/>
        <w:spacing w:before="156" w:beforeLines="50" w:after="156" w:afterLines="50" w:line="360" w:lineRule="auto"/>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供方应及时解答需方提出的使用问题，并跟踪解决。</w:t>
      </w:r>
    </w:p>
    <w:p>
      <w:pPr>
        <w:numPr>
          <w:ilvl w:val="0"/>
          <w:numId w:val="8"/>
        </w:numPr>
        <w:adjustRightInd w:val="0"/>
        <w:snapToGrid w:val="0"/>
        <w:spacing w:before="156" w:beforeLines="50" w:after="156" w:afterLines="50" w:line="360" w:lineRule="auto"/>
        <w:ind w:left="425" w:leftChars="0" w:hanging="425" w:firstLine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供方定期到需方办公场所收集软件使用问题并与予以现场解决</w:t>
      </w:r>
    </w:p>
    <w:p>
      <w:pPr>
        <w:pStyle w:val="4"/>
        <w:tabs>
          <w:tab w:val="left" w:pos="345"/>
        </w:tabs>
        <w:outlineLvl w:val="1"/>
        <w:rPr>
          <w:rFonts w:hint="eastAsia" w:ascii="宋体" w:hAnsi="宋体" w:eastAsia="宋体" w:cs="宋体"/>
          <w:color w:val="auto"/>
          <w:sz w:val="28"/>
          <w:szCs w:val="28"/>
          <w:highlight w:val="none"/>
        </w:rPr>
      </w:pPr>
      <w:r>
        <w:rPr>
          <w:rFonts w:hint="eastAsia" w:hAnsi="宋体" w:cs="宋体"/>
          <w:color w:val="auto"/>
          <w:sz w:val="28"/>
          <w:szCs w:val="28"/>
          <w:highlight w:val="none"/>
          <w:lang w:val="en-US" w:eastAsia="zh-CN"/>
        </w:rPr>
        <w:t>六</w:t>
      </w:r>
      <w:r>
        <w:rPr>
          <w:rFonts w:hint="eastAsia" w:ascii="宋体" w:hAnsi="宋体" w:eastAsia="宋体" w:cs="宋体"/>
          <w:color w:val="auto"/>
          <w:sz w:val="28"/>
          <w:szCs w:val="28"/>
          <w:highlight w:val="none"/>
        </w:rPr>
        <w:t>、技术服务要求</w:t>
      </w:r>
    </w:p>
    <w:p>
      <w:pPr>
        <w:tabs>
          <w:tab w:val="left" w:pos="907"/>
        </w:tabs>
        <w:topLinePunct/>
        <w:spacing w:line="360" w:lineRule="auto"/>
        <w:ind w:firstLine="420"/>
        <w:rPr>
          <w:rFonts w:hint="eastAsia" w:ascii="宋体" w:hAnsi="宋体" w:eastAsia="宋体" w:cs="宋体"/>
          <w:bCs/>
          <w:color w:val="auto"/>
          <w:kern w:val="21"/>
          <w:szCs w:val="21"/>
          <w:highlight w:val="none"/>
        </w:rPr>
      </w:pPr>
      <w:r>
        <w:rPr>
          <w:rFonts w:hint="eastAsia" w:ascii="宋体" w:hAnsi="宋体" w:eastAsia="宋体" w:cs="宋体"/>
          <w:bCs/>
          <w:color w:val="auto"/>
          <w:kern w:val="21"/>
          <w:szCs w:val="21"/>
          <w:highlight w:val="none"/>
        </w:rPr>
        <w:t>供方应拥有完善的售后服务体系，多样化的服务方式。并承诺中标后提供优质的售后服务，在软件使用过程中遇到问题应第一时间给予反馈和解决。针对软件使用过程中的培训服务和功能升级均为免费。</w:t>
      </w:r>
      <w:r>
        <w:rPr>
          <w:rFonts w:hint="eastAsia" w:ascii="宋体" w:hAnsi="宋体" w:cs="宋体"/>
          <w:bCs/>
          <w:color w:val="auto"/>
          <w:kern w:val="21"/>
          <w:szCs w:val="21"/>
          <w:highlight w:val="none"/>
          <w:lang w:val="en-US" w:eastAsia="zh-CN"/>
        </w:rPr>
        <w:t>报价人</w:t>
      </w:r>
      <w:r>
        <w:rPr>
          <w:rFonts w:hint="eastAsia" w:ascii="宋体" w:hAnsi="宋体" w:eastAsia="宋体" w:cs="宋体"/>
          <w:bCs/>
          <w:color w:val="auto"/>
          <w:kern w:val="21"/>
          <w:szCs w:val="21"/>
          <w:highlight w:val="none"/>
        </w:rPr>
        <w:t>需要满足如下几方面要求：</w:t>
      </w:r>
    </w:p>
    <w:p>
      <w:pPr>
        <w:tabs>
          <w:tab w:val="left" w:pos="907"/>
        </w:tabs>
        <w:topLinePunct/>
        <w:spacing w:line="360" w:lineRule="auto"/>
        <w:ind w:firstLine="420"/>
        <w:rPr>
          <w:rFonts w:hint="eastAsia" w:ascii="宋体" w:hAnsi="宋体" w:eastAsia="宋体" w:cs="宋体"/>
          <w:bCs/>
          <w:color w:val="auto"/>
          <w:kern w:val="21"/>
          <w:sz w:val="21"/>
          <w:szCs w:val="21"/>
          <w:highlight w:val="none"/>
          <w:lang w:val="en-US" w:eastAsia="zh-CN"/>
        </w:rPr>
      </w:pPr>
      <w:r>
        <w:rPr>
          <w:rFonts w:hint="eastAsia" w:ascii="宋体" w:hAnsi="宋体" w:eastAsia="宋体" w:cs="宋体"/>
          <w:bCs/>
          <w:color w:val="auto"/>
          <w:kern w:val="21"/>
          <w:sz w:val="21"/>
          <w:szCs w:val="21"/>
          <w:highlight w:val="none"/>
          <w:lang w:val="en-US" w:eastAsia="zh-CN"/>
        </w:rPr>
        <w:t>3.1在软件交付后一周之内实现上门安装并组织使用人员培训学习，确保各款软件能够正常使用。</w:t>
      </w:r>
    </w:p>
    <w:p>
      <w:pPr>
        <w:tabs>
          <w:tab w:val="left" w:pos="907"/>
        </w:tabs>
        <w:topLinePunct/>
        <w:spacing w:line="360" w:lineRule="auto"/>
        <w:ind w:firstLine="420"/>
        <w:rPr>
          <w:rFonts w:hint="eastAsia" w:ascii="宋体" w:hAnsi="宋体" w:eastAsia="宋体" w:cs="宋体"/>
          <w:bCs/>
          <w:color w:val="auto"/>
          <w:kern w:val="21"/>
          <w:sz w:val="21"/>
          <w:szCs w:val="21"/>
          <w:highlight w:val="none"/>
          <w:lang w:val="en-US" w:eastAsia="zh-CN"/>
        </w:rPr>
      </w:pPr>
      <w:r>
        <w:rPr>
          <w:rFonts w:hint="eastAsia" w:ascii="宋体" w:hAnsi="宋体" w:eastAsia="宋体" w:cs="宋体"/>
          <w:bCs/>
          <w:color w:val="auto"/>
          <w:kern w:val="21"/>
          <w:sz w:val="21"/>
          <w:szCs w:val="21"/>
          <w:highlight w:val="none"/>
          <w:lang w:val="en-US" w:eastAsia="zh-CN"/>
        </w:rPr>
        <w:t>3.2投标单位能够提供电话服务、在线平台服务、远程服务和现场服务等一体化服务方式。</w:t>
      </w:r>
    </w:p>
    <w:p>
      <w:pPr>
        <w:tabs>
          <w:tab w:val="left" w:pos="907"/>
        </w:tabs>
        <w:topLinePunct/>
        <w:spacing w:line="360" w:lineRule="auto"/>
        <w:ind w:firstLine="420"/>
        <w:rPr>
          <w:rFonts w:hint="eastAsia" w:ascii="宋体" w:hAnsi="宋体" w:eastAsia="宋体" w:cs="宋体"/>
          <w:bCs/>
          <w:color w:val="auto"/>
          <w:kern w:val="21"/>
          <w:sz w:val="21"/>
          <w:szCs w:val="21"/>
          <w:highlight w:val="none"/>
          <w:lang w:val="en-US" w:eastAsia="zh-CN"/>
        </w:rPr>
      </w:pPr>
      <w:r>
        <w:rPr>
          <w:rFonts w:hint="eastAsia" w:ascii="宋体" w:hAnsi="宋体" w:eastAsia="宋体" w:cs="宋体"/>
          <w:bCs/>
          <w:color w:val="auto"/>
          <w:kern w:val="21"/>
          <w:sz w:val="21"/>
          <w:szCs w:val="21"/>
          <w:highlight w:val="none"/>
          <w:lang w:val="en-US" w:eastAsia="zh-CN"/>
        </w:rPr>
        <w:t>3.3技术人员现场服务</w:t>
      </w:r>
    </w:p>
    <w:p>
      <w:pPr>
        <w:tabs>
          <w:tab w:val="left" w:pos="907"/>
        </w:tabs>
        <w:topLinePunct/>
        <w:spacing w:line="360" w:lineRule="auto"/>
        <w:ind w:firstLine="420"/>
        <w:rPr>
          <w:rFonts w:hint="eastAsia" w:ascii="宋体" w:hAnsi="宋体" w:eastAsia="宋体" w:cs="宋体"/>
          <w:bCs/>
          <w:color w:val="auto"/>
          <w:kern w:val="21"/>
          <w:sz w:val="21"/>
          <w:szCs w:val="21"/>
          <w:highlight w:val="none"/>
        </w:rPr>
      </w:pPr>
      <w:r>
        <w:rPr>
          <w:rFonts w:hint="eastAsia" w:ascii="宋体" w:hAnsi="宋体" w:eastAsia="宋体" w:cs="宋体"/>
          <w:bCs/>
          <w:color w:val="auto"/>
          <w:kern w:val="21"/>
          <w:sz w:val="21"/>
          <w:szCs w:val="21"/>
          <w:highlight w:val="none"/>
        </w:rPr>
        <w:t>根据实际情况，在软件使用期间，无论故障大小，均尽量提供现场服务，派遣经验丰富的专业技术人员到现场，负责进行现场工程设计及设备安装、调试和故障的诊断和排除，负责软件应用培训。</w:t>
      </w:r>
    </w:p>
    <w:p>
      <w:pPr>
        <w:tabs>
          <w:tab w:val="left" w:pos="907"/>
        </w:tabs>
        <w:topLinePunct/>
        <w:spacing w:line="360" w:lineRule="auto"/>
        <w:ind w:firstLine="420"/>
        <w:rPr>
          <w:rFonts w:hint="eastAsia" w:ascii="宋体" w:hAnsi="宋体" w:eastAsia="宋体" w:cs="宋体"/>
          <w:bCs/>
          <w:color w:val="auto"/>
          <w:kern w:val="21"/>
          <w:sz w:val="21"/>
          <w:szCs w:val="21"/>
          <w:highlight w:val="none"/>
          <w:lang w:val="en-US" w:eastAsia="zh-CN"/>
        </w:rPr>
      </w:pPr>
      <w:r>
        <w:rPr>
          <w:rFonts w:hint="eastAsia" w:ascii="宋体" w:hAnsi="宋体" w:eastAsia="宋体" w:cs="宋体"/>
          <w:bCs/>
          <w:color w:val="auto"/>
          <w:kern w:val="21"/>
          <w:sz w:val="21"/>
          <w:szCs w:val="21"/>
          <w:highlight w:val="none"/>
          <w:lang w:val="en-US" w:eastAsia="zh-CN"/>
        </w:rPr>
        <w:t>3.4免费提供的软件维护服务</w:t>
      </w:r>
    </w:p>
    <w:p>
      <w:pPr>
        <w:tabs>
          <w:tab w:val="left" w:pos="907"/>
        </w:tabs>
        <w:topLinePunct/>
        <w:spacing w:line="360" w:lineRule="auto"/>
        <w:ind w:firstLine="420"/>
        <w:rPr>
          <w:rFonts w:hint="eastAsia" w:ascii="宋体" w:hAnsi="宋体" w:eastAsia="宋体" w:cs="宋体"/>
          <w:bCs/>
          <w:color w:val="auto"/>
          <w:kern w:val="21"/>
          <w:sz w:val="21"/>
          <w:szCs w:val="21"/>
          <w:highlight w:val="none"/>
        </w:rPr>
      </w:pPr>
      <w:r>
        <w:rPr>
          <w:rFonts w:hint="eastAsia" w:ascii="宋体" w:hAnsi="宋体" w:cs="宋体"/>
          <w:bCs/>
          <w:color w:val="auto"/>
          <w:kern w:val="21"/>
          <w:sz w:val="21"/>
          <w:szCs w:val="21"/>
          <w:highlight w:val="none"/>
          <w:lang w:eastAsia="zh-CN"/>
        </w:rPr>
        <w:t>报价人</w:t>
      </w:r>
      <w:r>
        <w:rPr>
          <w:rFonts w:hint="eastAsia" w:ascii="宋体" w:hAnsi="宋体" w:eastAsia="宋体" w:cs="宋体"/>
          <w:bCs/>
          <w:color w:val="auto"/>
          <w:kern w:val="21"/>
          <w:sz w:val="21"/>
          <w:szCs w:val="21"/>
          <w:highlight w:val="none"/>
        </w:rPr>
        <w:t>提供的软件相关产品应免费维护，终身跟踪服务。对于任何非人为原因造成的设备缺陷或损坏，负责及时免费更换或修理。保修期过后,只收取成本费用；遇有重大活动时，可协助用户进行该系统的保障工作。</w:t>
      </w:r>
    </w:p>
    <w:p>
      <w:pPr>
        <w:tabs>
          <w:tab w:val="left" w:pos="907"/>
        </w:tabs>
        <w:topLinePunct/>
        <w:spacing w:line="360" w:lineRule="auto"/>
        <w:ind w:firstLine="420"/>
        <w:rPr>
          <w:rFonts w:hint="eastAsia" w:ascii="宋体" w:hAnsi="宋体" w:eastAsia="宋体" w:cs="宋体"/>
          <w:bCs/>
          <w:color w:val="auto"/>
          <w:kern w:val="21"/>
          <w:sz w:val="21"/>
          <w:szCs w:val="21"/>
          <w:highlight w:val="none"/>
        </w:rPr>
      </w:pPr>
      <w:r>
        <w:rPr>
          <w:rFonts w:hint="eastAsia" w:ascii="宋体" w:hAnsi="宋体" w:eastAsia="宋体" w:cs="宋体"/>
          <w:bCs/>
          <w:color w:val="auto"/>
          <w:kern w:val="21"/>
          <w:sz w:val="21"/>
          <w:szCs w:val="21"/>
          <w:highlight w:val="none"/>
          <w:lang w:val="en-US" w:eastAsia="zh-CN"/>
        </w:rPr>
        <w:t>3</w:t>
      </w:r>
      <w:r>
        <w:rPr>
          <w:rFonts w:hint="eastAsia" w:ascii="宋体" w:hAnsi="宋体" w:eastAsia="宋体" w:cs="宋体"/>
          <w:bCs/>
          <w:color w:val="auto"/>
          <w:kern w:val="21"/>
          <w:sz w:val="21"/>
          <w:szCs w:val="21"/>
          <w:highlight w:val="none"/>
        </w:rPr>
        <w:t>.5售后服务响应时间</w:t>
      </w:r>
    </w:p>
    <w:p>
      <w:pPr>
        <w:tabs>
          <w:tab w:val="left" w:pos="907"/>
        </w:tabs>
        <w:topLinePunct/>
        <w:spacing w:line="360" w:lineRule="auto"/>
        <w:ind w:firstLine="420"/>
        <w:rPr>
          <w:rFonts w:hint="eastAsia" w:ascii="宋体" w:hAnsi="宋体" w:eastAsia="宋体" w:cs="宋体"/>
          <w:bCs/>
          <w:color w:val="auto"/>
          <w:kern w:val="21"/>
          <w:sz w:val="21"/>
          <w:szCs w:val="21"/>
          <w:highlight w:val="none"/>
        </w:rPr>
      </w:pPr>
      <w:r>
        <w:rPr>
          <w:rFonts w:hint="eastAsia" w:ascii="宋体" w:hAnsi="宋体" w:eastAsia="宋体" w:cs="宋体"/>
          <w:bCs/>
          <w:color w:val="auto"/>
          <w:kern w:val="21"/>
          <w:sz w:val="21"/>
          <w:szCs w:val="21"/>
          <w:highlight w:val="none"/>
        </w:rPr>
        <w:t>在接到需方通知后，售后服人员应立即作出电话服务响应，如果电话服务不能解决应立即启用远程服务，远程服务难以解决的问题应在</w:t>
      </w:r>
      <w:r>
        <w:rPr>
          <w:rFonts w:hint="eastAsia" w:ascii="宋体" w:hAnsi="宋体" w:eastAsia="宋体" w:cs="宋体"/>
          <w:bCs/>
          <w:color w:val="auto"/>
          <w:kern w:val="21"/>
          <w:sz w:val="21"/>
          <w:szCs w:val="21"/>
          <w:highlight w:val="none"/>
          <w:lang w:val="en-US" w:eastAsia="zh-CN"/>
        </w:rPr>
        <w:t>3</w:t>
      </w:r>
      <w:r>
        <w:rPr>
          <w:rFonts w:hint="eastAsia" w:ascii="宋体" w:hAnsi="宋体" w:eastAsia="宋体" w:cs="宋体"/>
          <w:bCs/>
          <w:color w:val="auto"/>
          <w:kern w:val="21"/>
          <w:sz w:val="21"/>
          <w:szCs w:val="21"/>
          <w:highlight w:val="none"/>
        </w:rPr>
        <w:t>个工作日内派专业人员到达使用现场进行维护。紧急情况下项目负责人也必须到达现场进行指挥和协调。尽可能缩短从故障报出到恢复正常运行的时间。</w:t>
      </w:r>
    </w:p>
    <w:p>
      <w:pPr>
        <w:pStyle w:val="9"/>
        <w:keepNext w:val="0"/>
        <w:keepLines w:val="0"/>
        <w:pageBreakBefore w:val="0"/>
        <w:widowControl/>
        <w:kinsoku/>
        <w:wordWrap/>
        <w:overflowPunct/>
        <w:topLinePunct w:val="0"/>
        <w:autoSpaceDE/>
        <w:autoSpaceDN/>
        <w:bidi w:val="0"/>
        <w:adjustRightInd/>
        <w:snapToGrid/>
        <w:spacing w:line="360" w:lineRule="auto"/>
        <w:ind w:firstLine="420" w:firstLineChars="200"/>
        <w:jc w:val="both"/>
        <w:textAlignment w:val="baseline"/>
        <w:rPr>
          <w:rFonts w:hint="eastAsia" w:ascii="宋体" w:hAnsi="宋体" w:eastAsia="宋体" w:cs="宋体"/>
          <w:color w:val="auto"/>
          <w:kern w:val="2"/>
          <w:sz w:val="21"/>
          <w:szCs w:val="21"/>
          <w:highlight w:val="none"/>
          <w:lang w:val="en-US" w:eastAsia="zh-CN" w:bidi="ar-SA"/>
        </w:rPr>
      </w:pPr>
    </w:p>
    <w:p>
      <w:pP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instrText xml:space="preserve"> PAGE   \* MERGEFORMAT </w:instrText>
    </w:r>
    <w:r>
      <w:fldChar w:fldCharType="separate"/>
    </w:r>
    <w:r>
      <w:rPr>
        <w:lang w:val="zh-CN"/>
      </w:rPr>
      <w:t>3</w:t>
    </w:r>
    <w:r>
      <w:rPr>
        <w:lang w:val="zh-CN"/>
      </w:rP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60E64B"/>
    <w:multiLevelType w:val="multilevel"/>
    <w:tmpl w:val="C760E64B"/>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DDE5EB0B"/>
    <w:multiLevelType w:val="singleLevel"/>
    <w:tmpl w:val="DDE5EB0B"/>
    <w:lvl w:ilvl="0" w:tentative="0">
      <w:start w:val="1"/>
      <w:numFmt w:val="bullet"/>
      <w:lvlText w:val=""/>
      <w:lvlJc w:val="left"/>
      <w:pPr>
        <w:ind w:left="420" w:hanging="420"/>
      </w:pPr>
      <w:rPr>
        <w:rFonts w:hint="default" w:ascii="Wingdings" w:hAnsi="Wingdings"/>
      </w:rPr>
    </w:lvl>
  </w:abstractNum>
  <w:abstractNum w:abstractNumId="2">
    <w:nsid w:val="1B559827"/>
    <w:multiLevelType w:val="singleLevel"/>
    <w:tmpl w:val="1B559827"/>
    <w:lvl w:ilvl="0" w:tentative="0">
      <w:start w:val="1"/>
      <w:numFmt w:val="decimal"/>
      <w:lvlText w:val="(%1)"/>
      <w:lvlJc w:val="left"/>
      <w:pPr>
        <w:ind w:left="425" w:hanging="425"/>
      </w:pPr>
      <w:rPr>
        <w:rFonts w:hint="default"/>
      </w:rPr>
    </w:lvl>
  </w:abstractNum>
  <w:abstractNum w:abstractNumId="3">
    <w:nsid w:val="31BB42BF"/>
    <w:multiLevelType w:val="multilevel"/>
    <w:tmpl w:val="31BB42BF"/>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3FB7BA55"/>
    <w:multiLevelType w:val="singleLevel"/>
    <w:tmpl w:val="3FB7BA55"/>
    <w:lvl w:ilvl="0" w:tentative="0">
      <w:start w:val="1"/>
      <w:numFmt w:val="bullet"/>
      <w:lvlText w:val=""/>
      <w:lvlJc w:val="left"/>
      <w:pPr>
        <w:ind w:left="420" w:hanging="420"/>
      </w:pPr>
      <w:rPr>
        <w:rFonts w:hint="default" w:ascii="Wingdings" w:hAnsi="Wingdings"/>
      </w:rPr>
    </w:lvl>
  </w:abstractNum>
  <w:abstractNum w:abstractNumId="5">
    <w:nsid w:val="5804F642"/>
    <w:multiLevelType w:val="singleLevel"/>
    <w:tmpl w:val="5804F642"/>
    <w:lvl w:ilvl="0" w:tentative="0">
      <w:start w:val="1"/>
      <w:numFmt w:val="decimal"/>
      <w:lvlText w:val="(%1)"/>
      <w:lvlJc w:val="left"/>
      <w:pPr>
        <w:ind w:left="425" w:hanging="425"/>
      </w:pPr>
      <w:rPr>
        <w:rFonts w:hint="default"/>
      </w:rPr>
    </w:lvl>
  </w:abstractNum>
  <w:abstractNum w:abstractNumId="6">
    <w:nsid w:val="66CB4EF5"/>
    <w:multiLevelType w:val="singleLevel"/>
    <w:tmpl w:val="66CB4EF5"/>
    <w:lvl w:ilvl="0" w:tentative="0">
      <w:start w:val="1"/>
      <w:numFmt w:val="decimal"/>
      <w:lvlText w:val="(%1)"/>
      <w:lvlJc w:val="left"/>
      <w:pPr>
        <w:ind w:left="425" w:hanging="425"/>
      </w:pPr>
      <w:rPr>
        <w:rFonts w:hint="default"/>
      </w:rPr>
    </w:lvl>
  </w:abstractNum>
  <w:abstractNum w:abstractNumId="7">
    <w:nsid w:val="7DD5F359"/>
    <w:multiLevelType w:val="singleLevel"/>
    <w:tmpl w:val="7DD5F359"/>
    <w:lvl w:ilvl="0" w:tentative="0">
      <w:start w:val="1"/>
      <w:numFmt w:val="bullet"/>
      <w:lvlText w:val=""/>
      <w:lvlJc w:val="left"/>
      <w:pPr>
        <w:ind w:left="420" w:hanging="420"/>
      </w:pPr>
      <w:rPr>
        <w:rFonts w:hint="default" w:ascii="Wingdings" w:hAnsi="Wingdings"/>
      </w:rPr>
    </w:lvl>
  </w:abstractNum>
  <w:num w:numId="1">
    <w:abstractNumId w:val="3"/>
  </w:num>
  <w:num w:numId="2">
    <w:abstractNumId w:val="4"/>
  </w:num>
  <w:num w:numId="3">
    <w:abstractNumId w:val="5"/>
  </w:num>
  <w:num w:numId="4">
    <w:abstractNumId w:val="0"/>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462B31"/>
    <w:rsid w:val="156E6271"/>
    <w:rsid w:val="161F0A58"/>
    <w:rsid w:val="240F6DE3"/>
    <w:rsid w:val="27576453"/>
    <w:rsid w:val="2C632BE6"/>
    <w:rsid w:val="2C6B0972"/>
    <w:rsid w:val="2DDF22B4"/>
    <w:rsid w:val="30914F1E"/>
    <w:rsid w:val="31FD74D4"/>
    <w:rsid w:val="35B31A2A"/>
    <w:rsid w:val="422E3BFD"/>
    <w:rsid w:val="47945A1A"/>
    <w:rsid w:val="4D461DD8"/>
    <w:rsid w:val="4EF23735"/>
    <w:rsid w:val="4F6841D5"/>
    <w:rsid w:val="5D156CE1"/>
    <w:rsid w:val="621D6D22"/>
    <w:rsid w:val="65F32B87"/>
    <w:rsid w:val="68A9310D"/>
    <w:rsid w:val="6E462B31"/>
    <w:rsid w:val="77955182"/>
    <w:rsid w:val="7797572B"/>
    <w:rsid w:val="7D523A71"/>
    <w:rsid w:val="7FAA3BE2"/>
    <w:rsid w:val="7FB65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tabs>
        <w:tab w:val="left" w:pos="345"/>
      </w:tabs>
      <w:spacing w:line="400" w:lineRule="exact"/>
      <w:ind w:left="345" w:hanging="345"/>
      <w:outlineLvl w:val="0"/>
    </w:pPr>
    <w:rPr>
      <w:rFonts w:ascii="宋体"/>
      <w:b/>
      <w:sz w:val="2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qFormat/>
    <w:uiPriority w:val="9"/>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index 1"/>
    <w:basedOn w:val="1"/>
    <w:next w:val="1"/>
    <w:unhideWhenUsed/>
    <w:qFormat/>
    <w:uiPriority w:val="99"/>
    <w:rPr>
      <w:szCs w:val="20"/>
    </w:rPr>
  </w:style>
  <w:style w:type="paragraph" w:styleId="6">
    <w:name w:val="annotation text"/>
    <w:basedOn w:val="1"/>
    <w:semiHidden/>
    <w:unhideWhenUsed/>
    <w:qFormat/>
    <w:uiPriority w:val="99"/>
    <w:pPr>
      <w:jc w:val="left"/>
    </w:pPr>
  </w:style>
  <w:style w:type="paragraph" w:styleId="7">
    <w:name w:val="Body Text"/>
    <w:basedOn w:val="1"/>
    <w:qFormat/>
    <w:uiPriority w:val="0"/>
    <w:pPr>
      <w:spacing w:after="120" w:afterLines="0" w:afterAutospacing="0"/>
    </w:pPr>
  </w:style>
  <w:style w:type="paragraph" w:styleId="8">
    <w:name w:val="footer"/>
    <w:basedOn w:val="1"/>
    <w:qFormat/>
    <w:uiPriority w:val="99"/>
    <w:pPr>
      <w:tabs>
        <w:tab w:val="center" w:pos="4153"/>
        <w:tab w:val="right" w:pos="8306"/>
      </w:tabs>
      <w:snapToGrid w:val="0"/>
      <w:jc w:val="left"/>
    </w:pPr>
    <w:rPr>
      <w:sz w:val="18"/>
    </w:rPr>
  </w:style>
  <w:style w:type="paragraph" w:styleId="9">
    <w:name w:val="Normal (Web)"/>
    <w:basedOn w:val="1"/>
    <w:unhideWhenUsed/>
    <w:qFormat/>
    <w:uiPriority w:val="99"/>
    <w:pPr>
      <w:widowControl/>
      <w:jc w:val="left"/>
    </w:pPr>
    <w:rPr>
      <w:kern w:val="0"/>
      <w:sz w:val="24"/>
      <w:szCs w:val="24"/>
      <w:lang w:eastAsia="en-US"/>
    </w:rPr>
  </w:style>
  <w:style w:type="paragraph" w:styleId="12">
    <w:name w:val="List Paragraph"/>
    <w:basedOn w:val="1"/>
    <w:qFormat/>
    <w:uiPriority w:val="34"/>
    <w:pPr>
      <w:ind w:firstLine="420" w:firstLineChars="200"/>
    </w:pPr>
  </w:style>
  <w:style w:type="paragraph" w:customStyle="1" w:styleId="13">
    <w:name w:val="封面一级标题文字"/>
    <w:basedOn w:val="1"/>
    <w:semiHidden/>
    <w:qFormat/>
    <w:uiPriority w:val="0"/>
    <w:pPr>
      <w:spacing w:line="640" w:lineRule="exact"/>
      <w:jc w:val="center"/>
    </w:pPr>
    <w:rPr>
      <w:rFonts w:ascii="黑体" w:hAnsi="黑体" w:eastAsia="黑体" w:cs="Times New Roman"/>
      <w:b/>
      <w:bCs/>
      <w:sz w:val="52"/>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89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2025-10-17T03:06:00Z</dcterms:created>
  <dc:creator>农美静</dc:creator>
  <cp:lastModifiedBy>农美静</cp:lastModifiedBy>
  <dcterms:modified xsi:type="dcterms:W3CDTF">2025-10-31T00:47:29Z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234064686DE04F90B3245A4C393C56C3</vt:lpwstr>
  </property>
</Properties>
</file>