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sz w:val="52"/>
          <w:szCs w:val="52"/>
          <w:lang w:val="en-US" w:eastAsia="zh-CN"/>
        </w:rPr>
        <w:t>附件1：测试需求清单</w:t>
      </w:r>
    </w:p>
    <w:p>
      <w:pPr>
        <w:pStyle w:val="8"/>
        <w:ind w:left="-108"/>
        <w:jc w:val="center"/>
        <w:rPr>
          <w:b/>
          <w:sz w:val="30"/>
          <w:szCs w:val="30"/>
        </w:rPr>
      </w:pPr>
    </w:p>
    <w:p>
      <w:pPr>
        <w:pStyle w:val="8"/>
        <w:rPr>
          <w:rFonts w:hint="default"/>
          <w:lang w:val="en-US"/>
        </w:rPr>
      </w:pPr>
      <w:r>
        <w:rPr>
          <w:rFonts w:hint="eastAsia"/>
          <w:lang w:val="en-US" w:eastAsia="zh-CN"/>
        </w:rPr>
        <w:t>测试软件</w:t>
      </w:r>
      <w:r>
        <w:t>：</w:t>
      </w:r>
      <w:r>
        <w:rPr>
          <w:rFonts w:hint="eastAsia"/>
          <w:lang w:val="en-US" w:eastAsia="zh-CN"/>
        </w:rPr>
        <w:t>全景监测模块</w:t>
      </w:r>
    </w:p>
    <w:tbl>
      <w:tblPr>
        <w:tblStyle w:val="6"/>
        <w:tblW w:w="970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5"/>
        <w:gridCol w:w="1394"/>
        <w:gridCol w:w="751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91" w:hRule="atLeast"/>
          <w:tblHeader/>
          <w:jc w:val="center"/>
        </w:trPr>
        <w:tc>
          <w:tcPr>
            <w:tcW w:w="795" w:type="dxa"/>
            <w:tcBorders>
              <w:bottom w:val="single" w:color="auto" w:sz="4" w:space="0"/>
            </w:tcBorders>
            <w:shd w:val="clear" w:color="auto" w:fill="F3F3F3"/>
            <w:vAlign w:val="center"/>
          </w:tcPr>
          <w:p>
            <w:pPr>
              <w:pStyle w:val="8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序号</w:t>
            </w:r>
          </w:p>
        </w:tc>
        <w:tc>
          <w:tcPr>
            <w:tcW w:w="1394" w:type="dxa"/>
            <w:tcBorders>
              <w:bottom w:val="single" w:color="auto" w:sz="4" w:space="0"/>
            </w:tcBorders>
            <w:shd w:val="clear" w:color="auto" w:fill="F3F3F3"/>
            <w:vAlign w:val="center"/>
          </w:tcPr>
          <w:p>
            <w:pPr>
              <w:pStyle w:val="8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功能项</w:t>
            </w:r>
          </w:p>
        </w:tc>
        <w:tc>
          <w:tcPr>
            <w:tcW w:w="7511" w:type="dxa"/>
            <w:tcBorders>
              <w:bottom w:val="single" w:color="auto" w:sz="4" w:space="0"/>
            </w:tcBorders>
            <w:shd w:val="clear" w:color="auto" w:fill="F3F3F3"/>
            <w:vAlign w:val="center"/>
          </w:tcPr>
          <w:p>
            <w:pPr>
              <w:pStyle w:val="8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功能项说明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95" w:type="dxa"/>
            <w:vAlign w:val="center"/>
          </w:tcPr>
          <w:p>
            <w:pPr>
              <w:pStyle w:val="8"/>
              <w:numPr>
                <w:ilvl w:val="0"/>
                <w:numId w:val="1"/>
              </w:numPr>
              <w:snapToGrid w:val="0"/>
              <w:spacing w:line="240" w:lineRule="auto"/>
              <w:ind w:left="425" w:leftChars="0" w:right="0" w:rightChars="0" w:hanging="425" w:firstLineChars="0"/>
              <w:jc w:val="center"/>
              <w:rPr>
                <w:rFonts w:hint="eastAsia" w:ascii="Times New Roman" w:eastAsia="宋体"/>
                <w:color w:val="000000"/>
                <w:sz w:val="22"/>
                <w:szCs w:val="22"/>
              </w:rPr>
            </w:pPr>
          </w:p>
        </w:tc>
        <w:tc>
          <w:tcPr>
            <w:tcW w:w="1394" w:type="dxa"/>
            <w:vAlign w:val="center"/>
          </w:tcPr>
          <w:p>
            <w:pPr>
              <w:pStyle w:val="4"/>
              <w:widowControl/>
              <w:shd w:val="clear" w:color="auto" w:fill="FFFFFF"/>
              <w:snapToGrid w:val="0"/>
              <w:jc w:val="both"/>
              <w:textAlignment w:val="baseline"/>
              <w:outlineLvl w:val="2"/>
              <w:rPr>
                <w:rFonts w:hint="eastAsia" w:ascii="Times New Roman" w:hAnsi="Times New Roman" w:eastAsia="宋体" w:cs="Times New Roman"/>
                <w:b w:val="0"/>
                <w:bCs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000000"/>
                <w:kern w:val="0"/>
                <w:sz w:val="22"/>
                <w:szCs w:val="22"/>
                <w:lang w:val="en-US" w:eastAsia="zh-CN" w:bidi="ar-SA"/>
              </w:rPr>
              <w:t>电源进线保护等和异常告警测试</w:t>
            </w:r>
          </w:p>
        </w:tc>
        <w:tc>
          <w:tcPr>
            <w:tcW w:w="7511" w:type="dxa"/>
            <w:vAlign w:val="center"/>
          </w:tcPr>
          <w:p>
            <w:pPr>
              <w:keepNext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Times New Roman" w:hAnsi="Times New Roman" w:eastAsia="宋体" w:cs="Times New Roman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22"/>
                <w:szCs w:val="22"/>
                <w:lang w:val="en-US" w:eastAsia="zh-CN" w:bidi="ar-SA"/>
              </w:rPr>
              <w:t>具备电源进线保护、设备电源本体监测、电源回路与接地监测功能；</w:t>
            </w:r>
          </w:p>
          <w:p>
            <w:pPr>
              <w:keepNext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Times New Roman" w:hAnsi="Times New Roman" w:eastAsia="宋体" w:cs="Times New Roman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22"/>
                <w:szCs w:val="22"/>
                <w:lang w:val="en-US" w:eastAsia="zh-CN" w:bidi="ar-SA"/>
              </w:rPr>
              <w:t>异常告警准确率≥90%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95" w:type="dxa"/>
            <w:vAlign w:val="center"/>
          </w:tcPr>
          <w:p>
            <w:pPr>
              <w:pStyle w:val="8"/>
              <w:numPr>
                <w:ilvl w:val="0"/>
                <w:numId w:val="1"/>
              </w:numPr>
              <w:snapToGrid w:val="0"/>
              <w:spacing w:line="240" w:lineRule="auto"/>
              <w:ind w:left="425" w:leftChars="0" w:right="0" w:rightChars="0" w:hanging="425" w:firstLineChars="0"/>
              <w:jc w:val="center"/>
              <w:rPr>
                <w:rFonts w:hint="eastAsia" w:ascii="Times New Roman" w:eastAsia="宋体"/>
                <w:color w:val="000000"/>
                <w:sz w:val="22"/>
                <w:szCs w:val="22"/>
              </w:rPr>
            </w:pPr>
          </w:p>
        </w:tc>
        <w:tc>
          <w:tcPr>
            <w:tcW w:w="1394" w:type="dxa"/>
            <w:vAlign w:val="center"/>
          </w:tcPr>
          <w:p>
            <w:pPr>
              <w:pStyle w:val="4"/>
              <w:widowControl/>
              <w:shd w:val="clear" w:color="auto" w:fill="FFFFFF"/>
              <w:snapToGrid w:val="0"/>
              <w:jc w:val="both"/>
              <w:textAlignment w:val="baseline"/>
              <w:outlineLvl w:val="2"/>
              <w:rPr>
                <w:rFonts w:hint="eastAsia" w:ascii="Times New Roman" w:hAnsi="Times New Roman" w:eastAsia="宋体" w:cs="Times New Roman"/>
                <w:b w:val="0"/>
                <w:bCs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kern w:val="0"/>
                <w:sz w:val="22"/>
                <w:szCs w:val="22"/>
                <w:lang w:val="en-US" w:eastAsia="zh-CN" w:bidi="ar-SA"/>
              </w:rPr>
              <w:t>全景检测单元数据采集</w:t>
            </w:r>
          </w:p>
        </w:tc>
        <w:tc>
          <w:tcPr>
            <w:tcW w:w="7511" w:type="dxa"/>
            <w:vAlign w:val="center"/>
          </w:tcPr>
          <w:p>
            <w:pPr>
              <w:keepNext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right="0" w:rightChars="0"/>
              <w:jc w:val="left"/>
              <w:textAlignment w:val="auto"/>
              <w:rPr>
                <w:rFonts w:hint="eastAsia" w:ascii="Times New Roman" w:hAnsi="Times New Roman" w:eastAsia="宋体" w:cs="Times New Roman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22"/>
                <w:szCs w:val="22"/>
                <w:lang w:val="en-US" w:eastAsia="zh-CN" w:bidi="ar-SA"/>
              </w:rPr>
              <w:t>应支持对场景温度与湿度、分闸电流、合闸电流、储能电流</w:t>
            </w:r>
            <w:r>
              <w:rPr>
                <w:rFonts w:hint="eastAsia" w:cs="Times New Roman"/>
                <w:color w:val="000000"/>
                <w:kern w:val="0"/>
                <w:sz w:val="22"/>
                <w:szCs w:val="22"/>
                <w:lang w:val="en-US" w:eastAsia="zh-CN" w:bidi="ar-SA"/>
              </w:rPr>
              <w:t>等</w:t>
            </w: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22"/>
                <w:szCs w:val="22"/>
                <w:lang w:val="en-US" w:eastAsia="zh-CN" w:bidi="ar-SA"/>
              </w:rPr>
              <w:t>相关数据的获取。</w:t>
            </w:r>
          </w:p>
        </w:tc>
      </w:tr>
    </w:tbl>
    <w:p>
      <w:pPr>
        <w:pStyle w:val="8"/>
        <w:rPr>
          <w:rFonts w:hint="eastAsia"/>
          <w:lang w:val="en-US" w:eastAsia="zh-CN"/>
        </w:rPr>
      </w:pPr>
    </w:p>
    <w:tbl>
      <w:tblPr>
        <w:tblStyle w:val="6"/>
        <w:tblpPr w:leftFromText="180" w:rightFromText="180" w:vertAnchor="text" w:horzAnchor="page" w:tblpX="1413" w:tblpY="325"/>
        <w:tblOverlap w:val="never"/>
        <w:tblW w:w="4996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7"/>
        <w:gridCol w:w="2066"/>
        <w:gridCol w:w="3320"/>
        <w:gridCol w:w="224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0" w:hRule="atLeast"/>
          <w:jc w:val="center"/>
        </w:trPr>
        <w:tc>
          <w:tcPr>
            <w:tcW w:w="521" w:type="pct"/>
            <w:vAlign w:val="center"/>
          </w:tcPr>
          <w:p>
            <w:pPr>
              <w:adjustRightInd w:val="0"/>
              <w:snapToGrid w:val="0"/>
              <w:jc w:val="center"/>
              <w:textAlignment w:val="baseline"/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lang w:val="en-US" w:eastAsia="zh-CN" w:bidi="ar-SA"/>
              </w:rPr>
              <w:t>序号</w:t>
            </w:r>
          </w:p>
        </w:tc>
        <w:tc>
          <w:tcPr>
            <w:tcW w:w="1213" w:type="pct"/>
            <w:vAlign w:val="center"/>
          </w:tcPr>
          <w:p>
            <w:pPr>
              <w:adjustRightInd w:val="0"/>
              <w:snapToGrid w:val="0"/>
              <w:jc w:val="center"/>
              <w:textAlignment w:val="baseline"/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lang w:val="en-US" w:eastAsia="zh-CN" w:bidi="ar-SA"/>
              </w:rPr>
              <w:t>考核指标名称</w:t>
            </w:r>
          </w:p>
        </w:tc>
        <w:tc>
          <w:tcPr>
            <w:tcW w:w="1949" w:type="pct"/>
            <w:vAlign w:val="center"/>
          </w:tcPr>
          <w:p>
            <w:pPr>
              <w:adjustRightInd w:val="0"/>
              <w:snapToGrid w:val="0"/>
              <w:jc w:val="center"/>
              <w:textAlignment w:val="baseline"/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lang w:val="en-US" w:eastAsia="zh-CN" w:bidi="ar-SA"/>
              </w:rPr>
              <w:t>考核指标定义</w:t>
            </w:r>
          </w:p>
        </w:tc>
        <w:tc>
          <w:tcPr>
            <w:tcW w:w="1316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lang w:val="en-US" w:eastAsia="zh-CN" w:bidi="ar-SA"/>
              </w:rPr>
              <w:t>完成时指标值/状态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21" w:type="pct"/>
            <w:vAlign w:val="center"/>
          </w:tcPr>
          <w:p>
            <w:pPr>
              <w:adjustRightInd w:val="0"/>
              <w:snapToGrid w:val="0"/>
              <w:jc w:val="center"/>
              <w:textAlignment w:val="baseline"/>
              <w:rPr>
                <w:rFonts w:hint="eastAsia" w:ascii="Times New Roman" w:hAnsi="Times New Roman" w:eastAsia="宋体" w:cs="Times New Roman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2"/>
                <w:szCs w:val="22"/>
                <w:lang w:val="en-US" w:eastAsia="zh-CN" w:bidi="ar-SA"/>
              </w:rPr>
              <w:t>1</w:t>
            </w:r>
          </w:p>
        </w:tc>
        <w:tc>
          <w:tcPr>
            <w:tcW w:w="1213" w:type="pct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snapToGrid w:val="0"/>
              <w:ind w:left="0" w:leftChars="0" w:firstLine="0" w:firstLineChars="0"/>
              <w:jc w:val="center"/>
              <w:textAlignment w:val="baseline"/>
              <w:outlineLvl w:val="3"/>
              <w:rPr>
                <w:rFonts w:hint="eastAsia" w:ascii="Times New Roman" w:hAnsi="Times New Roman" w:eastAsia="宋体" w:cs="Times New Roman"/>
                <w:b w:val="0"/>
                <w:bCs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000000"/>
                <w:kern w:val="0"/>
                <w:sz w:val="22"/>
                <w:szCs w:val="22"/>
                <w:lang w:val="en-US" w:eastAsia="zh-CN" w:bidi="ar-SA"/>
              </w:rPr>
              <w:t>采集模块电源与电气特性测试</w:t>
            </w:r>
          </w:p>
        </w:tc>
        <w:tc>
          <w:tcPr>
            <w:tcW w:w="1949" w:type="pct"/>
            <w:vAlign w:val="center"/>
          </w:tcPr>
          <w:p>
            <w:pPr>
              <w:keepNext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Chars="0" w:right="0" w:rightChars="0"/>
              <w:jc w:val="left"/>
              <w:textAlignment w:val="auto"/>
              <w:rPr>
                <w:rFonts w:hint="eastAsia" w:ascii="Times New Roman" w:hAnsi="Times New Roman" w:eastAsia="宋体" w:cs="Times New Roman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22"/>
                <w:szCs w:val="22"/>
                <w:lang w:val="en-US" w:eastAsia="zh-CN" w:bidi="ar-SA"/>
              </w:rPr>
              <w:t>工作电压：DC 9-72VDC 、功耗＜10W；具备反接保护功能。</w:t>
            </w:r>
          </w:p>
        </w:tc>
        <w:tc>
          <w:tcPr>
            <w:tcW w:w="1316" w:type="pct"/>
            <w:vAlign w:val="center"/>
          </w:tcPr>
          <w:p>
            <w:pPr>
              <w:keepNext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Times New Roman" w:hAnsi="Times New Roman" w:eastAsia="宋体" w:cs="Times New Roman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22"/>
                <w:szCs w:val="22"/>
                <w:lang w:val="en-US" w:eastAsia="zh-CN" w:bidi="ar-SA"/>
              </w:rPr>
              <w:t xml:space="preserve">模块在直流 </w:t>
            </w:r>
            <w:r>
              <w:rPr>
                <w:rFonts w:hint="eastAsia" w:cs="Times New Roman"/>
                <w:color w:val="000000"/>
                <w:kern w:val="0"/>
                <w:sz w:val="22"/>
                <w:szCs w:val="22"/>
                <w:lang w:val="en-US" w:eastAsia="zh-CN" w:bidi="ar-SA"/>
              </w:rPr>
              <w:t>9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2"/>
                <w:szCs w:val="22"/>
                <w:lang w:val="en-US" w:eastAsia="zh-CN" w:bidi="ar-SA"/>
              </w:rPr>
              <w:t>-</w:t>
            </w:r>
            <w:r>
              <w:rPr>
                <w:rFonts w:hint="eastAsia" w:cs="Times New Roman"/>
                <w:color w:val="000000"/>
                <w:kern w:val="0"/>
                <w:sz w:val="22"/>
                <w:szCs w:val="22"/>
                <w:lang w:val="en-US" w:eastAsia="zh-CN" w:bidi="ar-SA"/>
              </w:rPr>
              <w:t>72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2"/>
                <w:szCs w:val="22"/>
                <w:lang w:val="en-US" w:eastAsia="zh-CN" w:bidi="ar-SA"/>
              </w:rPr>
              <w:t>V​ 宽电压范围内正常工作，静态功耗低</w:t>
            </w:r>
            <w:r>
              <w:rPr>
                <w:rFonts w:hint="eastAsia" w:cs="Times New Roman"/>
                <w:color w:val="000000"/>
                <w:kern w:val="0"/>
                <w:sz w:val="22"/>
                <w:szCs w:val="22"/>
                <w:lang w:val="en-US" w:eastAsia="zh-CN" w:bidi="ar-SA"/>
              </w:rPr>
              <w:t>10W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2"/>
                <w:szCs w:val="22"/>
                <w:lang w:val="en-US" w:eastAsia="zh-CN" w:bidi="ar-SA"/>
              </w:rPr>
              <w:t>，并具备电源反接保护功能。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21" w:type="pct"/>
            <w:vAlign w:val="center"/>
          </w:tcPr>
          <w:p>
            <w:pPr>
              <w:adjustRightInd w:val="0"/>
              <w:snapToGrid w:val="0"/>
              <w:jc w:val="center"/>
              <w:textAlignment w:val="baseline"/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cs="Times New Roman"/>
                <w:kern w:val="0"/>
                <w:sz w:val="22"/>
                <w:szCs w:val="22"/>
                <w:lang w:val="en-US" w:eastAsia="zh-CN" w:bidi="ar-SA"/>
              </w:rPr>
              <w:t>2</w:t>
            </w:r>
          </w:p>
        </w:tc>
        <w:tc>
          <w:tcPr>
            <w:tcW w:w="1213" w:type="pct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snapToGrid w:val="0"/>
              <w:ind w:left="0" w:leftChars="0" w:firstLine="0" w:firstLineChars="0"/>
              <w:jc w:val="center"/>
              <w:textAlignment w:val="baseline"/>
              <w:outlineLvl w:val="3"/>
              <w:rPr>
                <w:rFonts w:hint="eastAsia" w:ascii="Times New Roman" w:hAnsi="Times New Roman" w:eastAsia="宋体" w:cs="Times New Roman"/>
                <w:b w:val="0"/>
                <w:bCs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000000"/>
                <w:kern w:val="0"/>
                <w:sz w:val="22"/>
                <w:szCs w:val="22"/>
                <w:lang w:val="en-US" w:eastAsia="zh-CN" w:bidi="ar-SA"/>
              </w:rPr>
              <w:t>采集模块通信接口与协议测试</w:t>
            </w:r>
          </w:p>
        </w:tc>
        <w:tc>
          <w:tcPr>
            <w:tcW w:w="1949" w:type="pct"/>
            <w:vAlign w:val="center"/>
          </w:tcPr>
          <w:p>
            <w:pPr>
              <w:pStyle w:val="2"/>
              <w:numPr>
                <w:ilvl w:val="0"/>
                <w:numId w:val="0"/>
              </w:numPr>
              <w:snapToGrid w:val="0"/>
              <w:ind w:left="0" w:leftChars="0" w:firstLine="0" w:firstLineChars="0"/>
              <w:jc w:val="left"/>
              <w:rPr>
                <w:rFonts w:hint="eastAsia" w:ascii="Times New Roman" w:hAnsi="Times New Roman" w:eastAsia="宋体" w:cs="Times New Roman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22"/>
                <w:szCs w:val="22"/>
                <w:lang w:val="en-US" w:eastAsia="zh-CN" w:bidi="ar-SA"/>
              </w:rPr>
              <w:t>标准MODBUS-RTU协议，支持03/04/06/10功能码特率：4800-115200bps可设置；校验位/停止位可设。</w:t>
            </w:r>
          </w:p>
        </w:tc>
        <w:tc>
          <w:tcPr>
            <w:tcW w:w="1316" w:type="pct"/>
            <w:vAlign w:val="center"/>
          </w:tcPr>
          <w:p>
            <w:pPr>
              <w:pStyle w:val="2"/>
              <w:numPr>
                <w:ilvl w:val="0"/>
                <w:numId w:val="0"/>
              </w:numPr>
              <w:snapToGrid w:val="0"/>
              <w:ind w:left="0" w:leftChars="0" w:firstLine="0" w:firstLineChars="0"/>
              <w:jc w:val="left"/>
              <w:rPr>
                <w:rFonts w:hint="eastAsia" w:ascii="Times New Roman" w:hAnsi="Times New Roman" w:eastAsia="宋体" w:cs="Times New Roman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22"/>
                <w:szCs w:val="22"/>
                <w:lang w:val="en-US" w:eastAsia="zh-CN" w:bidi="ar-SA"/>
              </w:rPr>
              <w:t>支持标准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2"/>
                <w:szCs w:val="22"/>
                <w:lang w:val="en-US" w:eastAsia="zh-CN" w:bidi="ar-SA"/>
              </w:rPr>
              <w:t>MODBUS-RT</w:t>
            </w:r>
            <w:r>
              <w:rPr>
                <w:rFonts w:hint="eastAsia" w:cs="Times New Roman"/>
                <w:color w:val="000000"/>
                <w:kern w:val="0"/>
                <w:sz w:val="22"/>
                <w:szCs w:val="22"/>
                <w:lang w:val="en-US" w:eastAsia="zh-CN" w:bidi="ar-SA"/>
              </w:rPr>
              <w:t>U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2"/>
                <w:szCs w:val="22"/>
                <w:lang w:val="en-US" w:eastAsia="zh-CN" w:bidi="ar-SA"/>
              </w:rPr>
              <w:t>协议，兼</w:t>
            </w:r>
            <w:r>
              <w:rPr>
                <w:rFonts w:hint="eastAsia" w:cs="Times New Roman"/>
                <w:color w:val="000000"/>
                <w:kern w:val="0"/>
                <w:sz w:val="22"/>
                <w:szCs w:val="22"/>
                <w:lang w:val="en-US" w:eastAsia="zh-CN" w:bidi="ar-SA"/>
              </w:rPr>
              <w:t>容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2"/>
                <w:szCs w:val="22"/>
                <w:lang w:val="en-US" w:eastAsia="zh-CN" w:bidi="ar-SA"/>
              </w:rPr>
              <w:t>03/04/06/10功能码，通信波特率在4800-115200bps范围内可配置。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21" w:type="pct"/>
            <w:vAlign w:val="center"/>
          </w:tcPr>
          <w:p>
            <w:pPr>
              <w:adjustRightInd w:val="0"/>
              <w:snapToGrid w:val="0"/>
              <w:jc w:val="center"/>
              <w:textAlignment w:val="baseline"/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cs="Times New Roman"/>
                <w:kern w:val="0"/>
                <w:sz w:val="22"/>
                <w:szCs w:val="22"/>
                <w:lang w:val="en-US" w:eastAsia="zh-CN" w:bidi="ar-SA"/>
              </w:rPr>
              <w:t>3</w:t>
            </w:r>
          </w:p>
        </w:tc>
        <w:tc>
          <w:tcPr>
            <w:tcW w:w="1213" w:type="pct"/>
            <w:vAlign w:val="center"/>
          </w:tcPr>
          <w:p>
            <w:pPr>
              <w:keepNext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Chars="0" w:right="0" w:rightChars="0"/>
              <w:jc w:val="center"/>
              <w:textAlignment w:val="auto"/>
              <w:rPr>
                <w:rFonts w:hint="eastAsia" w:ascii="Times New Roman" w:hAnsi="Times New Roman" w:eastAsia="宋体" w:cs="Times New Roman"/>
                <w:b w:val="0"/>
                <w:bCs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000000"/>
                <w:kern w:val="0"/>
                <w:sz w:val="22"/>
                <w:szCs w:val="22"/>
                <w:lang w:val="en-US" w:eastAsia="zh-CN" w:bidi="ar-SA"/>
              </w:rPr>
              <w:t>采集模块高低温工作测试</w:t>
            </w:r>
          </w:p>
        </w:tc>
        <w:tc>
          <w:tcPr>
            <w:tcW w:w="1949" w:type="pct"/>
            <w:vAlign w:val="center"/>
          </w:tcPr>
          <w:p>
            <w:pPr>
              <w:keepNext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Chars="0" w:right="0" w:rightChars="0"/>
              <w:jc w:val="left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22"/>
                <w:szCs w:val="22"/>
                <w:lang w:val="en-US" w:eastAsia="zh-CN" w:bidi="ar-SA"/>
              </w:rPr>
              <w:t>工作温度：-</w:t>
            </w:r>
            <w:r>
              <w:rPr>
                <w:rFonts w:hint="eastAsia" w:cs="Times New Roman"/>
                <w:color w:val="000000"/>
                <w:kern w:val="0"/>
                <w:sz w:val="22"/>
                <w:szCs w:val="22"/>
                <w:lang w:val="en-US" w:eastAsia="zh-CN" w:bidi="ar-SA"/>
              </w:rPr>
              <w:t>1</w:t>
            </w: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22"/>
                <w:szCs w:val="22"/>
                <w:lang w:val="en-US" w:eastAsia="zh-CN" w:bidi="ar-SA"/>
              </w:rPr>
              <w:t>0℃ 至 +</w:t>
            </w:r>
            <w:r>
              <w:rPr>
                <w:rFonts w:hint="eastAsia" w:cs="Times New Roman"/>
                <w:color w:val="000000"/>
                <w:kern w:val="0"/>
                <w:sz w:val="22"/>
                <w:szCs w:val="22"/>
                <w:lang w:val="en-US" w:eastAsia="zh-CN" w:bidi="ar-SA"/>
              </w:rPr>
              <w:t>7</w:t>
            </w: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22"/>
                <w:szCs w:val="22"/>
                <w:lang w:val="en-US" w:eastAsia="zh-CN" w:bidi="ar-SA"/>
              </w:rPr>
              <w:t>5℃。</w:t>
            </w:r>
          </w:p>
        </w:tc>
        <w:tc>
          <w:tcPr>
            <w:tcW w:w="1316" w:type="pct"/>
            <w:vAlign w:val="center"/>
          </w:tcPr>
          <w:p>
            <w:pPr>
              <w:keepNext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Chars="0" w:right="0" w:rightChars="0"/>
              <w:jc w:val="left"/>
              <w:textAlignment w:val="auto"/>
              <w:rPr>
                <w:rFonts w:hint="eastAsia" w:ascii="Times New Roman" w:hAnsi="Times New Roman" w:eastAsia="宋体" w:cs="Times New Roman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22"/>
                <w:szCs w:val="22"/>
                <w:lang w:val="en-US" w:eastAsia="zh-CN" w:bidi="ar-SA"/>
              </w:rPr>
              <w:t>模块能在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2"/>
                <w:szCs w:val="22"/>
                <w:lang w:val="en-US" w:eastAsia="zh-CN" w:bidi="ar-SA"/>
              </w:rPr>
              <w:t>-</w:t>
            </w:r>
            <w:r>
              <w:rPr>
                <w:rFonts w:hint="eastAsia" w:cs="Times New Roman"/>
                <w:color w:val="000000"/>
                <w:kern w:val="0"/>
                <w:sz w:val="22"/>
                <w:szCs w:val="22"/>
                <w:lang w:val="en-US" w:eastAsia="zh-CN" w:bidi="ar-SA"/>
              </w:rPr>
              <w:t>1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2"/>
                <w:szCs w:val="22"/>
                <w:lang w:val="en-US" w:eastAsia="zh-CN" w:bidi="ar-SA"/>
              </w:rPr>
              <w:t xml:space="preserve">0℃ </w:t>
            </w:r>
            <w:r>
              <w:rPr>
                <w:rFonts w:hint="eastAsia" w:cs="Times New Roman"/>
                <w:color w:val="000000"/>
                <w:kern w:val="0"/>
                <w:sz w:val="22"/>
                <w:szCs w:val="22"/>
                <w:lang w:val="en-US" w:eastAsia="zh-CN" w:bidi="ar-SA"/>
              </w:rPr>
              <w:t>和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2"/>
                <w:szCs w:val="22"/>
                <w:lang w:val="en-US" w:eastAsia="zh-CN" w:bidi="ar-SA"/>
              </w:rPr>
              <w:t>+</w:t>
            </w:r>
            <w:r>
              <w:rPr>
                <w:rFonts w:hint="eastAsia" w:cs="Times New Roman"/>
                <w:color w:val="000000"/>
                <w:kern w:val="0"/>
                <w:sz w:val="22"/>
                <w:szCs w:val="22"/>
                <w:lang w:val="en-US" w:eastAsia="zh-CN" w:bidi="ar-SA"/>
              </w:rPr>
              <w:t>7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2"/>
                <w:szCs w:val="22"/>
                <w:lang w:val="en-US" w:eastAsia="zh-CN" w:bidi="ar-SA"/>
              </w:rPr>
              <w:t>5℃的极端温度环境下稳定运行。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21" w:type="pct"/>
            <w:vAlign w:val="center"/>
          </w:tcPr>
          <w:p>
            <w:pPr>
              <w:adjustRightInd w:val="0"/>
              <w:snapToGrid w:val="0"/>
              <w:jc w:val="center"/>
              <w:textAlignment w:val="baseline"/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cs="Times New Roman"/>
                <w:kern w:val="0"/>
                <w:sz w:val="22"/>
                <w:szCs w:val="22"/>
                <w:lang w:val="en-US" w:eastAsia="zh-CN" w:bidi="ar-SA"/>
              </w:rPr>
              <w:t>4</w:t>
            </w:r>
          </w:p>
        </w:tc>
        <w:tc>
          <w:tcPr>
            <w:tcW w:w="1213" w:type="pct"/>
            <w:vAlign w:val="center"/>
          </w:tcPr>
          <w:p>
            <w:pPr>
              <w:keepNext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Chars="0" w:right="0" w:rightChars="0"/>
              <w:jc w:val="center"/>
              <w:textAlignment w:val="auto"/>
              <w:rPr>
                <w:rFonts w:hint="eastAsia" w:ascii="Times New Roman" w:hAnsi="Times New Roman" w:eastAsia="宋体" w:cs="Times New Roman"/>
                <w:b w:val="0"/>
                <w:bCs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000000"/>
                <w:kern w:val="0"/>
                <w:sz w:val="22"/>
                <w:szCs w:val="22"/>
                <w:lang w:val="en-US" w:eastAsia="zh-CN" w:bidi="ar-SA"/>
              </w:rPr>
              <w:t>采集模块长期稳定性测试</w:t>
            </w:r>
          </w:p>
        </w:tc>
        <w:tc>
          <w:tcPr>
            <w:tcW w:w="1949" w:type="pct"/>
            <w:vAlign w:val="center"/>
          </w:tcPr>
          <w:p>
            <w:pPr>
              <w:keepNext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Chars="0" w:right="0" w:rightChars="0"/>
              <w:jc w:val="left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22"/>
                <w:szCs w:val="22"/>
                <w:lang w:val="en-US" w:eastAsia="zh-CN" w:bidi="ar-SA"/>
              </w:rPr>
              <w:t>内置双看门狗，永不死机。</w:t>
            </w:r>
          </w:p>
        </w:tc>
        <w:tc>
          <w:tcPr>
            <w:tcW w:w="1316" w:type="pct"/>
            <w:vAlign w:val="center"/>
          </w:tcPr>
          <w:p>
            <w:pPr>
              <w:keepNext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Chars="0" w:right="0" w:rightChars="0"/>
              <w:jc w:val="left"/>
              <w:textAlignment w:val="auto"/>
              <w:rPr>
                <w:rFonts w:hint="eastAsia" w:ascii="Times New Roman" w:hAnsi="Times New Roman" w:eastAsia="宋体" w:cs="Times New Roman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22"/>
                <w:szCs w:val="22"/>
                <w:lang w:val="en-US" w:eastAsia="zh-CN" w:bidi="ar-SA"/>
              </w:rPr>
              <w:t>内置双看门狗机制，确保系统在异常情况下可自行恢复，实现“永不死机”的高可靠性目标。</w:t>
            </w:r>
          </w:p>
        </w:tc>
      </w:tr>
    </w:tbl>
    <w:p>
      <w:pPr>
        <w:pStyle w:val="8"/>
        <w:spacing w:line="240" w:lineRule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全景监测模块性能指标要求：</w:t>
      </w:r>
    </w:p>
    <w:p>
      <w:pPr>
        <w:jc w:val="center"/>
        <w:rPr>
          <w:rFonts w:hint="eastAsia" w:ascii="宋体" w:hAnsi="宋体" w:cs="宋体"/>
          <w:b/>
          <w:sz w:val="52"/>
          <w:szCs w:val="52"/>
          <w:lang w:val="en-US" w:eastAsia="zh-CN"/>
        </w:rPr>
      </w:pP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C9D962B"/>
    <w:multiLevelType w:val="singleLevel"/>
    <w:tmpl w:val="DC9D962B"/>
    <w:lvl w:ilvl="0" w:tentative="0">
      <w:start w:val="1"/>
      <w:numFmt w:val="decimal"/>
      <w:suff w:val="space"/>
      <w:lvlText w:val="(%1)"/>
      <w:lvlJc w:val="left"/>
      <w:pPr>
        <w:ind w:left="425" w:hanging="425"/>
      </w:pPr>
      <w:rPr>
        <w:rFonts w:hint="default"/>
      </w:rPr>
    </w:lvl>
  </w:abstractNum>
  <w:abstractNum w:abstractNumId="1">
    <w:nsid w:val="05D75481"/>
    <w:multiLevelType w:val="singleLevel"/>
    <w:tmpl w:val="05D75481"/>
    <w:lvl w:ilvl="0" w:tentative="0">
      <w:start w:val="1"/>
      <w:numFmt w:val="decimal"/>
      <w:suff w:val="nothing"/>
      <w:lvlText w:val="%1"/>
      <w:lvlJc w:val="left"/>
      <w:pPr>
        <w:ind w:left="425" w:leftChars="0" w:hanging="425" w:firstLineChars="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5322315"/>
    <w:rsid w:val="44E67ADF"/>
    <w:rsid w:val="45322315"/>
    <w:rsid w:val="62C5567C"/>
    <w:rsid w:val="7DDA0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4">
    <w:name w:val="heading 3"/>
    <w:basedOn w:val="1"/>
    <w:next w:val="1"/>
    <w:semiHidden/>
    <w:unhideWhenUsed/>
    <w:qFormat/>
    <w:uiPriority w:val="0"/>
    <w:pPr>
      <w:spacing w:beforeAutospacing="1" w:afterAutospacing="1"/>
      <w:jc w:val="left"/>
      <w:outlineLvl w:val="2"/>
    </w:pPr>
    <w:rPr>
      <w:rFonts w:hint="eastAsia" w:ascii="宋体" w:hAnsi="宋体" w:eastAsia="宋体" w:cs="Times New Roman"/>
      <w:b/>
      <w:bCs/>
      <w:kern w:val="0"/>
      <w:sz w:val="27"/>
      <w:szCs w:val="27"/>
    </w:rPr>
  </w:style>
  <w:style w:type="paragraph" w:styleId="5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/>
    </w:p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paragraph" w:customStyle="1" w:styleId="8">
    <w:name w:val="表格正文"/>
    <w:basedOn w:val="1"/>
    <w:qFormat/>
    <w:uiPriority w:val="0"/>
    <w:pPr>
      <w:adjustRightInd w:val="0"/>
      <w:snapToGrid w:val="0"/>
      <w:spacing w:line="288" w:lineRule="auto"/>
    </w:pPr>
    <w:rPr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2025-11-03T03:22:00Z</dcterms:created>
  <dc:creator>李玎</dc:creator>
  <cp:lastModifiedBy>李玎</cp:lastModifiedBy>
  <dcterms:modified xsi:type="dcterms:W3CDTF">2025-11-03T03:24:08Z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77F73F7AB96846C69B69A71096EF8925</vt:lpwstr>
  </property>
</Properties>
</file>