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100"/>
        </w:tabs>
        <w:adjustRightInd w:val="0"/>
        <w:snapToGrid w:val="0"/>
        <w:spacing w:line="348" w:lineRule="auto"/>
        <w:ind w:firstLine="630" w:firstLineChars="300"/>
        <w:rPr>
          <w:rFonts w:hint="eastAsia" w:asciiTheme="minorEastAsia" w:hAnsiTheme="minorEastAsia" w:eastAsiaTheme="minorEastAsia" w:cstheme="minorEastAsia"/>
          <w:szCs w:val="21"/>
        </w:rPr>
      </w:pPr>
    </w:p>
    <w:p>
      <w:pPr>
        <w:pStyle w:val="4"/>
        <w:spacing w:line="240" w:lineRule="auto"/>
        <w:jc w:val="center"/>
        <w:rPr>
          <w:rFonts w:hint="eastAsia" w:asciiTheme="minorEastAsia" w:hAnsiTheme="minorEastAsia" w:eastAsiaTheme="minorEastAsia" w:cstheme="minorEastAsia"/>
          <w:sz w:val="21"/>
          <w:szCs w:val="21"/>
          <w:lang w:val="zh-CN"/>
        </w:rPr>
      </w:pPr>
      <w:bookmarkStart w:id="0" w:name="_Toc351322324"/>
      <w:bookmarkStart w:id="1" w:name="_Toc432171539"/>
      <w:bookmarkStart w:id="2" w:name="_Toc350159239"/>
      <w:r>
        <w:rPr>
          <w:rFonts w:hint="eastAsia" w:asciiTheme="minorEastAsia" w:hAnsiTheme="minorEastAsia" w:eastAsiaTheme="minorEastAsia" w:cstheme="minorEastAsia"/>
          <w:sz w:val="21"/>
          <w:szCs w:val="21"/>
          <w:lang w:val="zh-CN"/>
        </w:rPr>
        <w:t>报价表</w:t>
      </w:r>
      <w:bookmarkEnd w:id="0"/>
      <w:bookmarkEnd w:id="1"/>
      <w:bookmarkEnd w:id="2"/>
    </w:p>
    <w:p>
      <w:pPr>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投标人名称（盖公章或电子章）：</w:t>
      </w:r>
    </w:p>
    <w:p>
      <w:pPr>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单位：元</w:t>
      </w:r>
    </w:p>
    <w:tbl>
      <w:tblPr>
        <w:tblStyle w:val="8"/>
        <w:tblW w:w="98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841"/>
        <w:gridCol w:w="2318"/>
        <w:gridCol w:w="1746"/>
        <w:gridCol w:w="2253"/>
        <w:gridCol w:w="165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8" w:hRule="atLeast"/>
          <w:jc w:val="center"/>
        </w:trPr>
        <w:tc>
          <w:tcPr>
            <w:tcW w:w="184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标的名称</w:t>
            </w:r>
          </w:p>
        </w:tc>
        <w:tc>
          <w:tcPr>
            <w:tcW w:w="231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标包名称</w:t>
            </w:r>
          </w:p>
        </w:tc>
        <w:tc>
          <w:tcPr>
            <w:tcW w:w="174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技术要求</w:t>
            </w:r>
          </w:p>
        </w:tc>
        <w:tc>
          <w:tcPr>
            <w:tcW w:w="22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投标价</w:t>
            </w:r>
          </w:p>
        </w:tc>
        <w:tc>
          <w:tcPr>
            <w:tcW w:w="16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63" w:hRule="atLeast"/>
          <w:jc w:val="center"/>
        </w:trPr>
        <w:tc>
          <w:tcPr>
            <w:tcW w:w="184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lang w:bidi="ar"/>
              </w:rPr>
              <w:t>驾驶服务劳务外委</w:t>
            </w:r>
          </w:p>
        </w:tc>
        <w:tc>
          <w:tcPr>
            <w:tcW w:w="23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kern w:val="0"/>
                <w:szCs w:val="21"/>
                <w:lang w:bidi="ar"/>
              </w:rPr>
              <w:t>梧州局驾驶服务劳务外委</w:t>
            </w:r>
          </w:p>
        </w:tc>
        <w:tc>
          <w:tcPr>
            <w:tcW w:w="1746"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Theme="minorEastAsia" w:hAnsiTheme="minorEastAsia" w:eastAsiaTheme="minorEastAsia" w:cstheme="minorEastAsia"/>
                <w:kern w:val="0"/>
                <w:szCs w:val="21"/>
                <w:lang w:bidi="ar"/>
              </w:rPr>
            </w:pPr>
            <w:r>
              <w:rPr>
                <w:rFonts w:hint="eastAsia" w:asciiTheme="minorEastAsia" w:hAnsiTheme="minorEastAsia" w:eastAsiaTheme="minorEastAsia" w:cstheme="minorEastAsia"/>
                <w:kern w:val="0"/>
                <w:szCs w:val="21"/>
                <w:lang w:bidi="ar"/>
              </w:rPr>
              <w:t>详见技术规范书</w:t>
            </w:r>
          </w:p>
        </w:tc>
        <w:tc>
          <w:tcPr>
            <w:tcW w:w="225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Theme="minorEastAsia" w:hAnsiTheme="minorEastAsia" w:eastAsiaTheme="minorEastAsia" w:cstheme="minorEastAsia"/>
                <w:kern w:val="0"/>
                <w:szCs w:val="21"/>
                <w:lang w:bidi="ar"/>
              </w:rPr>
            </w:pPr>
          </w:p>
        </w:tc>
        <w:tc>
          <w:tcPr>
            <w:tcW w:w="165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Theme="minorEastAsia" w:hAnsiTheme="minorEastAsia" w:eastAsiaTheme="minorEastAsia" w:cstheme="minorEastAsia"/>
                <w:kern w:val="0"/>
                <w:szCs w:val="21"/>
                <w:lang w:bidi="ar"/>
              </w:rPr>
            </w:pPr>
            <w:r>
              <w:rPr>
                <w:rFonts w:hint="eastAsia" w:asciiTheme="minorEastAsia" w:hAnsiTheme="minorEastAsia" w:eastAsiaTheme="minorEastAsia" w:cstheme="minorEastAsia"/>
                <w:kern w:val="0"/>
                <w:szCs w:val="21"/>
                <w:lang w:bidi="ar"/>
              </w:rPr>
              <w:t>本项目签订单价合同，投标价为“分项价格表”中的加权单价合计</w:t>
            </w:r>
          </w:p>
        </w:tc>
      </w:tr>
    </w:tbl>
    <w:p>
      <w:pPr>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备注：</w:t>
      </w:r>
    </w:p>
    <w:p>
      <w:pPr>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1.本次采购签订单价合同，合同金额根据实际情况进行结算。</w:t>
      </w:r>
    </w:p>
    <w:p>
      <w:pPr>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2.投标人为执行合同所发生的一切费用均已包含在价格中。</w:t>
      </w:r>
    </w:p>
    <w:p>
      <w:pPr>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3.评标价即为投标价。</w:t>
      </w:r>
    </w:p>
    <w:p>
      <w:pPr>
        <w:spacing w:line="360" w:lineRule="auto"/>
        <w:rPr>
          <w:rFonts w:hint="eastAsia" w:asciiTheme="minorEastAsia" w:hAnsiTheme="minorEastAsia" w:eastAsiaTheme="minorEastAsia" w:cstheme="minorEastAsia"/>
          <w:szCs w:val="21"/>
        </w:rPr>
      </w:pPr>
    </w:p>
    <w:p>
      <w:pPr>
        <w:spacing w:line="440" w:lineRule="exact"/>
        <w:rPr>
          <w:rFonts w:hint="eastAsia" w:asciiTheme="minorEastAsia" w:hAnsiTheme="minorEastAsia" w:eastAsiaTheme="minorEastAsia" w:cstheme="minorEastAsia"/>
          <w:snapToGrid w:val="0"/>
          <w:kern w:val="24"/>
          <w:szCs w:val="21"/>
        </w:rPr>
      </w:pPr>
    </w:p>
    <w:p>
      <w:pPr>
        <w:spacing w:line="440" w:lineRule="exact"/>
        <w:rPr>
          <w:rFonts w:hint="eastAsia" w:asciiTheme="minorEastAsia" w:hAnsiTheme="minorEastAsia" w:eastAsiaTheme="minorEastAsia" w:cstheme="minorEastAsia"/>
          <w:snapToGrid w:val="0"/>
          <w:kern w:val="24"/>
          <w:szCs w:val="21"/>
        </w:rPr>
      </w:pPr>
    </w:p>
    <w:p>
      <w:pPr>
        <w:spacing w:line="520" w:lineRule="exact"/>
        <w:jc w:val="center"/>
        <w:rPr>
          <w:rFonts w:hint="eastAsia" w:asciiTheme="minorEastAsia" w:hAnsiTheme="minorEastAsia" w:eastAsiaTheme="minorEastAsia" w:cstheme="minorEastAsia"/>
          <w:b/>
          <w:szCs w:val="21"/>
        </w:rPr>
      </w:pPr>
    </w:p>
    <w:p>
      <w:pPr>
        <w:spacing w:line="520" w:lineRule="exact"/>
        <w:rPr>
          <w:rFonts w:hint="eastAsia" w:asciiTheme="minorEastAsia" w:hAnsiTheme="minorEastAsia" w:eastAsiaTheme="minorEastAsia" w:cstheme="minorEastAsia"/>
          <w:szCs w:val="21"/>
        </w:rPr>
      </w:pPr>
    </w:p>
    <w:p>
      <w:pPr>
        <w:spacing w:line="520" w:lineRule="exact"/>
        <w:rPr>
          <w:rFonts w:hint="eastAsia" w:asciiTheme="minorEastAsia" w:hAnsiTheme="minorEastAsia" w:eastAsiaTheme="minorEastAsia" w:cstheme="minorEastAsia"/>
          <w:szCs w:val="21"/>
        </w:rPr>
      </w:pPr>
    </w:p>
    <w:p>
      <w:pPr>
        <w:jc w:val="center"/>
        <w:rPr>
          <w:rFonts w:hint="eastAsia" w:asciiTheme="minorEastAsia" w:hAnsiTheme="minorEastAsia" w:eastAsiaTheme="minorEastAsia" w:cstheme="minorEastAsia"/>
          <w:b/>
          <w:bCs/>
          <w:snapToGrid w:val="0"/>
          <w:kern w:val="24"/>
          <w:szCs w:val="21"/>
          <w:u w:color="000000"/>
        </w:rPr>
        <w:sectPr>
          <w:footerReference r:id="rId3" w:type="default"/>
          <w:pgSz w:w="11906" w:h="16838"/>
          <w:pgMar w:top="1440" w:right="1803" w:bottom="1440" w:left="1803" w:header="851" w:footer="992" w:gutter="0"/>
          <w:pgNumType w:start="1"/>
          <w:cols w:space="0" w:num="1"/>
          <w:docGrid w:type="lines" w:linePitch="319" w:charSpace="0"/>
        </w:sectPr>
      </w:pPr>
      <w:bookmarkStart w:id="3" w:name="_Toc324430490"/>
    </w:p>
    <w:bookmarkEnd w:id="3"/>
    <w:p>
      <w:pPr>
        <w:jc w:val="center"/>
        <w:rPr>
          <w:rFonts w:hint="eastAsia" w:asciiTheme="minorEastAsia" w:hAnsiTheme="minorEastAsia" w:eastAsiaTheme="minorEastAsia" w:cstheme="minorEastAsia"/>
          <w:b/>
          <w:bCs/>
          <w:snapToGrid w:val="0"/>
          <w:kern w:val="24"/>
          <w:szCs w:val="21"/>
          <w:u w:color="000000"/>
        </w:rPr>
      </w:pPr>
      <w:r>
        <w:rPr>
          <w:rFonts w:hint="eastAsia" w:asciiTheme="minorEastAsia" w:hAnsiTheme="minorEastAsia" w:eastAsiaTheme="minorEastAsia" w:cstheme="minorEastAsia"/>
          <w:b/>
          <w:bCs/>
          <w:snapToGrid w:val="0"/>
          <w:kern w:val="24"/>
          <w:szCs w:val="21"/>
          <w:u w:color="000000"/>
        </w:rPr>
        <w:t>分项价格表</w:t>
      </w:r>
    </w:p>
    <w:p>
      <w:pPr>
        <w:ind w:firstLine="6746" w:firstLineChars="3200"/>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单位：元</w:t>
      </w:r>
    </w:p>
    <w:tbl>
      <w:tblPr>
        <w:tblStyle w:val="8"/>
        <w:tblpPr w:leftFromText="180" w:rightFromText="180" w:vertAnchor="text" w:horzAnchor="page" w:tblpXSpec="center" w:tblpY="209"/>
        <w:tblOverlap w:val="never"/>
        <w:tblW w:w="10597" w:type="dxa"/>
        <w:jc w:val="center"/>
        <w:tblLayout w:type="fixed"/>
        <w:tblCellMar>
          <w:top w:w="0" w:type="dxa"/>
          <w:left w:w="0" w:type="dxa"/>
          <w:bottom w:w="0" w:type="dxa"/>
          <w:right w:w="0" w:type="dxa"/>
        </w:tblCellMar>
      </w:tblPr>
      <w:tblGrid>
        <w:gridCol w:w="1162"/>
        <w:gridCol w:w="1648"/>
        <w:gridCol w:w="1235"/>
        <w:gridCol w:w="1171"/>
        <w:gridCol w:w="1283"/>
        <w:gridCol w:w="2049"/>
        <w:gridCol w:w="2049"/>
      </w:tblGrid>
      <w:tr>
        <w:trPr>
          <w:trHeight w:val="1303" w:hRule="atLeast"/>
          <w:jc w:val="center"/>
        </w:trPr>
        <w:tc>
          <w:tcPr>
            <w:tcW w:w="116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Theme="minorEastAsia" w:hAnsiTheme="minorEastAsia" w:eastAsiaTheme="minorEastAsia" w:cstheme="minorEastAsia"/>
                <w:b/>
                <w:kern w:val="0"/>
                <w:szCs w:val="21"/>
                <w:lang w:bidi="ar"/>
              </w:rPr>
            </w:pPr>
            <w:r>
              <w:rPr>
                <w:rFonts w:hint="eastAsia" w:asciiTheme="minorEastAsia" w:hAnsiTheme="minorEastAsia" w:eastAsiaTheme="minorEastAsia" w:cstheme="minorEastAsia"/>
                <w:b/>
                <w:kern w:val="0"/>
                <w:szCs w:val="21"/>
                <w:lang w:bidi="ar"/>
              </w:rPr>
              <w:t>序号</w:t>
            </w:r>
          </w:p>
        </w:tc>
        <w:tc>
          <w:tcPr>
            <w:tcW w:w="164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Theme="minorEastAsia" w:hAnsiTheme="minorEastAsia" w:eastAsiaTheme="minorEastAsia" w:cstheme="minorEastAsia"/>
                <w:kern w:val="0"/>
                <w:szCs w:val="21"/>
                <w:lang w:bidi="ar"/>
              </w:rPr>
            </w:pPr>
            <w:r>
              <w:rPr>
                <w:rFonts w:hint="eastAsia" w:asciiTheme="minorEastAsia" w:hAnsiTheme="minorEastAsia" w:eastAsiaTheme="minorEastAsia" w:cstheme="minorEastAsia"/>
                <w:b/>
                <w:kern w:val="0"/>
                <w:szCs w:val="21"/>
                <w:lang w:bidi="ar"/>
              </w:rPr>
              <w:t>人员</w:t>
            </w:r>
          </w:p>
        </w:tc>
        <w:tc>
          <w:tcPr>
            <w:tcW w:w="123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b/>
                <w:kern w:val="0"/>
                <w:szCs w:val="21"/>
                <w:lang w:bidi="ar"/>
              </w:rPr>
              <w:t>工资单位</w:t>
            </w:r>
          </w:p>
        </w:tc>
        <w:tc>
          <w:tcPr>
            <w:tcW w:w="11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Theme="minorEastAsia" w:hAnsiTheme="minorEastAsia" w:eastAsiaTheme="minorEastAsia" w:cstheme="minorEastAsia"/>
                <w:b/>
                <w:kern w:val="0"/>
                <w:szCs w:val="21"/>
                <w:lang w:eastAsia="zh-CN" w:bidi="ar"/>
              </w:rPr>
            </w:pPr>
            <w:r>
              <w:rPr>
                <w:rFonts w:hint="eastAsia" w:asciiTheme="minorEastAsia" w:hAnsiTheme="minorEastAsia" w:eastAsiaTheme="minorEastAsia" w:cstheme="minorEastAsia"/>
                <w:b/>
                <w:kern w:val="0"/>
                <w:szCs w:val="21"/>
                <w:lang w:eastAsia="zh-CN" w:bidi="ar"/>
              </w:rPr>
              <w:t>权重</w:t>
            </w:r>
          </w:p>
        </w:tc>
        <w:tc>
          <w:tcPr>
            <w:tcW w:w="128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Theme="minorEastAsia" w:hAnsiTheme="minorEastAsia" w:eastAsiaTheme="minorEastAsia" w:cstheme="minorEastAsia"/>
                <w:b/>
                <w:kern w:val="0"/>
                <w:szCs w:val="21"/>
                <w:lang w:bidi="ar"/>
              </w:rPr>
            </w:pPr>
            <w:r>
              <w:rPr>
                <w:rFonts w:hint="eastAsia" w:asciiTheme="minorEastAsia" w:hAnsiTheme="minorEastAsia" w:eastAsiaTheme="minorEastAsia" w:cstheme="minorEastAsia"/>
                <w:b/>
                <w:kern w:val="0"/>
                <w:szCs w:val="21"/>
                <w:lang w:bidi="ar"/>
              </w:rPr>
              <w:t>单价</w:t>
            </w:r>
          </w:p>
        </w:tc>
        <w:tc>
          <w:tcPr>
            <w:tcW w:w="2049"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widowControl/>
              <w:jc w:val="center"/>
              <w:textAlignment w:val="center"/>
              <w:rPr>
                <w:rFonts w:hint="eastAsia" w:asciiTheme="minorEastAsia" w:hAnsiTheme="minorEastAsia" w:eastAsiaTheme="minorEastAsia" w:cstheme="minorEastAsia"/>
                <w:b/>
                <w:kern w:val="0"/>
                <w:szCs w:val="21"/>
                <w:lang w:bidi="ar"/>
              </w:rPr>
            </w:pPr>
            <w:r>
              <w:rPr>
                <w:rFonts w:hint="eastAsia" w:asciiTheme="minorEastAsia" w:hAnsiTheme="minorEastAsia" w:eastAsiaTheme="minorEastAsia" w:cstheme="minorEastAsia"/>
                <w:b/>
                <w:kern w:val="0"/>
                <w:szCs w:val="21"/>
                <w:lang w:val="en-US" w:eastAsia="zh-CN" w:bidi="ar"/>
              </w:rPr>
              <w:t>加权</w:t>
            </w:r>
            <w:r>
              <w:rPr>
                <w:rFonts w:hint="eastAsia" w:asciiTheme="minorEastAsia" w:hAnsiTheme="minorEastAsia" w:eastAsiaTheme="minorEastAsia" w:cstheme="minorEastAsia"/>
                <w:b/>
                <w:kern w:val="0"/>
                <w:szCs w:val="21"/>
                <w:lang w:bidi="ar"/>
              </w:rPr>
              <w:t>单价</w:t>
            </w:r>
          </w:p>
          <w:p>
            <w:pPr>
              <w:widowControl/>
              <w:jc w:val="center"/>
              <w:textAlignment w:val="center"/>
              <w:rPr>
                <w:rFonts w:hint="eastAsia" w:eastAsiaTheme="minorEastAsia"/>
                <w:lang w:eastAsia="zh-CN"/>
              </w:rPr>
            </w:pPr>
            <w:r>
              <w:rPr>
                <w:rFonts w:hint="eastAsia" w:asciiTheme="minorEastAsia" w:hAnsiTheme="minorEastAsia" w:eastAsiaTheme="minorEastAsia" w:cstheme="minorEastAsia"/>
                <w:b/>
                <w:kern w:val="0"/>
                <w:szCs w:val="21"/>
                <w:lang w:eastAsia="zh-CN" w:bidi="ar"/>
              </w:rPr>
              <w:t>（</w:t>
            </w:r>
            <w:r>
              <w:rPr>
                <w:rFonts w:hint="eastAsia" w:asciiTheme="minorEastAsia" w:hAnsiTheme="minorEastAsia" w:eastAsiaTheme="minorEastAsia" w:cstheme="minorEastAsia"/>
                <w:b/>
                <w:kern w:val="0"/>
                <w:szCs w:val="21"/>
                <w:lang w:val="en-US" w:eastAsia="zh-CN" w:bidi="ar"/>
              </w:rPr>
              <w:t>单价*权重</w:t>
            </w:r>
            <w:r>
              <w:rPr>
                <w:rFonts w:hint="eastAsia" w:asciiTheme="minorEastAsia" w:hAnsiTheme="minorEastAsia" w:eastAsiaTheme="minorEastAsia" w:cstheme="minorEastAsia"/>
                <w:b/>
                <w:kern w:val="0"/>
                <w:szCs w:val="21"/>
                <w:lang w:eastAsia="zh-CN" w:bidi="ar"/>
              </w:rPr>
              <w:t>）</w:t>
            </w:r>
          </w:p>
        </w:tc>
        <w:tc>
          <w:tcPr>
            <w:tcW w:w="2049"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jc w:val="center"/>
              <w:rPr>
                <w:rFonts w:hint="eastAsia" w:asciiTheme="minorEastAsia" w:hAnsiTheme="minorEastAsia" w:eastAsiaTheme="minorEastAsia" w:cstheme="minorEastAsia"/>
                <w:b/>
                <w:kern w:val="0"/>
                <w:szCs w:val="21"/>
                <w:lang w:bidi="ar"/>
              </w:rPr>
            </w:pPr>
            <w:r>
              <w:rPr>
                <w:rFonts w:hint="eastAsia" w:asciiTheme="minorEastAsia" w:hAnsiTheme="minorEastAsia" w:eastAsiaTheme="minorEastAsia" w:cstheme="minorEastAsia"/>
                <w:b/>
                <w:kern w:val="0"/>
                <w:szCs w:val="21"/>
                <w:lang w:bidi="ar"/>
              </w:rPr>
              <w:t>备注</w:t>
            </w:r>
          </w:p>
        </w:tc>
      </w:tr>
      <w:tr>
        <w:tblPrEx>
          <w:tblCellMar>
            <w:top w:w="0" w:type="dxa"/>
            <w:left w:w="0" w:type="dxa"/>
            <w:bottom w:w="0" w:type="dxa"/>
            <w:right w:w="0" w:type="dxa"/>
          </w:tblCellMar>
        </w:tblPrEx>
        <w:trPr>
          <w:trHeight w:val="845" w:hRule="atLeast"/>
          <w:jc w:val="center"/>
        </w:trPr>
        <w:tc>
          <w:tcPr>
            <w:tcW w:w="116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kern w:val="0"/>
                <w:szCs w:val="21"/>
                <w:lang w:bidi="ar"/>
              </w:rPr>
              <w:t>1</w:t>
            </w:r>
          </w:p>
        </w:tc>
        <w:tc>
          <w:tcPr>
            <w:tcW w:w="164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kern w:val="0"/>
                <w:szCs w:val="21"/>
                <w:lang w:bidi="ar"/>
              </w:rPr>
              <w:t>专职管理人员</w:t>
            </w:r>
          </w:p>
        </w:tc>
        <w:tc>
          <w:tcPr>
            <w:tcW w:w="123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元/</w:t>
            </w:r>
            <w:r>
              <w:rPr>
                <w:rFonts w:hint="eastAsia" w:asciiTheme="minorEastAsia" w:hAnsiTheme="minorEastAsia" w:eastAsiaTheme="minorEastAsia" w:cstheme="minorEastAsia"/>
                <w:szCs w:val="21"/>
                <w:lang w:val="en-US" w:eastAsia="zh-CN"/>
              </w:rPr>
              <w:t>日</w:t>
            </w:r>
            <w:r>
              <w:rPr>
                <w:rFonts w:hint="eastAsia" w:asciiTheme="minorEastAsia" w:hAnsiTheme="minorEastAsia" w:eastAsiaTheme="minorEastAsia" w:cstheme="minorEastAsia"/>
                <w:szCs w:val="21"/>
              </w:rPr>
              <w:t>/人</w:t>
            </w:r>
          </w:p>
        </w:tc>
        <w:tc>
          <w:tcPr>
            <w:tcW w:w="11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3%</w:t>
            </w:r>
          </w:p>
        </w:tc>
        <w:tc>
          <w:tcPr>
            <w:tcW w:w="128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Theme="minorEastAsia" w:hAnsiTheme="minorEastAsia" w:eastAsiaTheme="minorEastAsia" w:cstheme="minorEastAsia"/>
                <w:szCs w:val="21"/>
              </w:rPr>
            </w:pPr>
            <w:bookmarkStart w:id="4" w:name="_GoBack"/>
            <w:bookmarkEnd w:id="4"/>
          </w:p>
        </w:tc>
        <w:tc>
          <w:tcPr>
            <w:tcW w:w="2049"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widowControl/>
              <w:jc w:val="center"/>
              <w:textAlignment w:val="center"/>
              <w:rPr>
                <w:rFonts w:hint="eastAsia" w:asciiTheme="minorEastAsia" w:hAnsiTheme="minorEastAsia" w:eastAsiaTheme="minorEastAsia" w:cstheme="minorEastAsia"/>
                <w:szCs w:val="21"/>
              </w:rPr>
            </w:pPr>
          </w:p>
        </w:tc>
        <w:tc>
          <w:tcPr>
            <w:tcW w:w="2049"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jc w:val="center"/>
              <w:rPr>
                <w:rFonts w:hint="eastAsia" w:asciiTheme="minorEastAsia" w:hAnsiTheme="minorEastAsia" w:eastAsiaTheme="minorEastAsia" w:cstheme="minorEastAsia"/>
                <w:szCs w:val="21"/>
              </w:rPr>
            </w:pPr>
          </w:p>
        </w:tc>
      </w:tr>
      <w:tr>
        <w:tblPrEx>
          <w:tblCellMar>
            <w:top w:w="0" w:type="dxa"/>
            <w:left w:w="0" w:type="dxa"/>
            <w:bottom w:w="0" w:type="dxa"/>
            <w:right w:w="0" w:type="dxa"/>
          </w:tblCellMar>
        </w:tblPrEx>
        <w:trPr>
          <w:trHeight w:val="845" w:hRule="atLeast"/>
          <w:jc w:val="center"/>
        </w:trPr>
        <w:tc>
          <w:tcPr>
            <w:tcW w:w="116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2</w:t>
            </w:r>
          </w:p>
        </w:tc>
        <w:tc>
          <w:tcPr>
            <w:tcW w:w="164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驾驶员</w:t>
            </w:r>
          </w:p>
        </w:tc>
        <w:tc>
          <w:tcPr>
            <w:tcW w:w="123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元/</w:t>
            </w:r>
            <w:r>
              <w:rPr>
                <w:rFonts w:hint="eastAsia" w:asciiTheme="minorEastAsia" w:hAnsiTheme="minorEastAsia" w:eastAsiaTheme="minorEastAsia" w:cstheme="minorEastAsia"/>
                <w:szCs w:val="21"/>
                <w:lang w:val="en-US" w:eastAsia="zh-CN"/>
              </w:rPr>
              <w:t>日</w:t>
            </w:r>
            <w:r>
              <w:rPr>
                <w:rFonts w:hint="eastAsia" w:asciiTheme="minorEastAsia" w:hAnsiTheme="minorEastAsia" w:eastAsiaTheme="minorEastAsia" w:cstheme="minorEastAsia"/>
                <w:szCs w:val="21"/>
              </w:rPr>
              <w:t>/人</w:t>
            </w:r>
          </w:p>
        </w:tc>
        <w:tc>
          <w:tcPr>
            <w:tcW w:w="11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97%</w:t>
            </w:r>
          </w:p>
        </w:tc>
        <w:tc>
          <w:tcPr>
            <w:tcW w:w="128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Theme="minorEastAsia" w:hAnsiTheme="minorEastAsia" w:eastAsiaTheme="minorEastAsia" w:cstheme="minorEastAsia"/>
                <w:szCs w:val="21"/>
              </w:rPr>
            </w:pPr>
          </w:p>
        </w:tc>
        <w:tc>
          <w:tcPr>
            <w:tcW w:w="2049"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widowControl/>
              <w:jc w:val="center"/>
              <w:textAlignment w:val="center"/>
              <w:rPr>
                <w:rFonts w:hint="eastAsia" w:asciiTheme="minorEastAsia" w:hAnsiTheme="minorEastAsia" w:eastAsiaTheme="minorEastAsia" w:cstheme="minorEastAsia"/>
                <w:szCs w:val="21"/>
              </w:rPr>
            </w:pPr>
          </w:p>
        </w:tc>
        <w:tc>
          <w:tcPr>
            <w:tcW w:w="2049"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jc w:val="center"/>
              <w:rPr>
                <w:rFonts w:hint="eastAsia" w:asciiTheme="minorEastAsia" w:hAnsiTheme="minorEastAsia" w:eastAsiaTheme="minorEastAsia" w:cstheme="minorEastAsia"/>
                <w:szCs w:val="21"/>
              </w:rPr>
            </w:pPr>
          </w:p>
        </w:tc>
      </w:tr>
      <w:tr>
        <w:tblPrEx>
          <w:tblCellMar>
            <w:top w:w="0" w:type="dxa"/>
            <w:left w:w="0" w:type="dxa"/>
            <w:bottom w:w="0" w:type="dxa"/>
            <w:right w:w="0" w:type="dxa"/>
          </w:tblCellMar>
        </w:tblPrEx>
        <w:trPr>
          <w:trHeight w:val="855" w:hRule="atLeast"/>
          <w:jc w:val="center"/>
        </w:trPr>
        <w:tc>
          <w:tcPr>
            <w:tcW w:w="6499" w:type="dxa"/>
            <w:gridSpan w:val="5"/>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kern w:val="0"/>
                <w:szCs w:val="21"/>
                <w:lang w:val="en-US" w:eastAsia="zh-CN" w:bidi="ar"/>
              </w:rPr>
              <w:t>加权</w:t>
            </w:r>
            <w:r>
              <w:rPr>
                <w:rFonts w:hint="eastAsia" w:asciiTheme="minorEastAsia" w:hAnsiTheme="minorEastAsia" w:eastAsiaTheme="minorEastAsia" w:cstheme="minorEastAsia"/>
                <w:b/>
                <w:bCs/>
                <w:szCs w:val="21"/>
              </w:rPr>
              <w:t>单价合计</w:t>
            </w:r>
          </w:p>
        </w:tc>
        <w:tc>
          <w:tcPr>
            <w:tcW w:w="2049"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jc w:val="center"/>
              <w:rPr>
                <w:rFonts w:hint="eastAsia" w:asciiTheme="minorEastAsia" w:hAnsiTheme="minorEastAsia" w:eastAsiaTheme="minorEastAsia" w:cstheme="minorEastAsia"/>
                <w:b/>
                <w:bCs/>
                <w:szCs w:val="21"/>
              </w:rPr>
            </w:pPr>
          </w:p>
        </w:tc>
        <w:tc>
          <w:tcPr>
            <w:tcW w:w="2049"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jc w:val="center"/>
              <w:rPr>
                <w:rFonts w:hint="eastAsia" w:asciiTheme="minorEastAsia" w:hAnsiTheme="minorEastAsia" w:eastAsiaTheme="minorEastAsia" w:cstheme="minorEastAsia"/>
                <w:szCs w:val="21"/>
              </w:rPr>
            </w:pPr>
          </w:p>
        </w:tc>
      </w:tr>
    </w:tbl>
    <w:p>
      <w:pPr>
        <w:spacing w:line="520" w:lineRule="exact"/>
        <w:ind w:firstLine="422" w:firstLineChars="200"/>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备注：</w:t>
      </w:r>
    </w:p>
    <w:p>
      <w:pPr>
        <w:spacing w:line="52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报价包含投标方服务人员的薪酬、体检、服装（1套全身正装、2件白衬衫、2套现场工作服）、福利、社保、保险等费用，同时包含投标方的管理费、税费、利润等为完成本项目所包含的全部费用。不包含投标方服务人员出差期间住宿费、误餐补助及车辆油料费、路桥费、维保费等随着工作开展据实发生的费用。</w:t>
      </w:r>
    </w:p>
    <w:p>
      <w:pPr>
        <w:spacing w:line="52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2.若投标方服务人员因工作需要出差时，据实结算台班费，误餐补助按100元/人/天包干发放，住宿费按招标方差旅费标准限额据实报销。</w:t>
      </w:r>
    </w:p>
    <w:p>
      <w:pPr>
        <w:spacing w:line="52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3.若投标方驾驶员不在出差时，当日实际驾驶里程累计小于20公里或开展当日可完成的车辆维修保养及安全检测等车辆管理工作时，招标方不结算台班费。</w:t>
      </w:r>
    </w:p>
    <w:p>
      <w:pPr>
        <w:spacing w:line="52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4.分项价格表中驾驶员报价为</w:t>
      </w:r>
      <w:r>
        <w:rPr>
          <w:rFonts w:hint="eastAsia" w:asciiTheme="minorEastAsia" w:hAnsiTheme="minorEastAsia" w:eastAsiaTheme="minorEastAsia" w:cstheme="minorEastAsia"/>
          <w:b/>
          <w:bCs/>
          <w:szCs w:val="21"/>
        </w:rPr>
        <w:t>持A1驾照人员工资标准</w:t>
      </w:r>
      <w:r>
        <w:rPr>
          <w:rFonts w:hint="eastAsia" w:asciiTheme="minorEastAsia" w:hAnsiTheme="minorEastAsia" w:eastAsiaTheme="minorEastAsia" w:cstheme="minorEastAsia"/>
          <w:szCs w:val="21"/>
        </w:rPr>
        <w:t>，合同结算价格根据投标方派往招标方驾驶员的持证等级动态调整，调整规则为驾驶员持证等级每降低一级合同结算价格下浮5%（如：A1到A2下浮5%，A2到B1下浮5%，B1到B2下浮5%），依次类推。</w:t>
      </w:r>
    </w:p>
    <w:sectPr>
      <w:pgSz w:w="11906" w:h="16838"/>
      <w:pgMar w:top="1440" w:right="1576" w:bottom="1440" w:left="1633" w:header="851" w:footer="992"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9"/>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2CFF"/>
    <w:rsid w:val="00021293"/>
    <w:rsid w:val="00050123"/>
    <w:rsid w:val="0005116E"/>
    <w:rsid w:val="0005544C"/>
    <w:rsid w:val="00061588"/>
    <w:rsid w:val="0006458F"/>
    <w:rsid w:val="00080D01"/>
    <w:rsid w:val="000952F7"/>
    <w:rsid w:val="000B02D0"/>
    <w:rsid w:val="000C18BA"/>
    <w:rsid w:val="000C25D1"/>
    <w:rsid w:val="000C41CF"/>
    <w:rsid w:val="000D111F"/>
    <w:rsid w:val="000D30DB"/>
    <w:rsid w:val="000D4E00"/>
    <w:rsid w:val="000D53D5"/>
    <w:rsid w:val="000E0AD2"/>
    <w:rsid w:val="000E789E"/>
    <w:rsid w:val="00101CDC"/>
    <w:rsid w:val="001246FF"/>
    <w:rsid w:val="001327EB"/>
    <w:rsid w:val="001564D5"/>
    <w:rsid w:val="00177F6F"/>
    <w:rsid w:val="00195A18"/>
    <w:rsid w:val="001979EE"/>
    <w:rsid w:val="001B1BC6"/>
    <w:rsid w:val="001B3311"/>
    <w:rsid w:val="001B6504"/>
    <w:rsid w:val="001C0869"/>
    <w:rsid w:val="001C451D"/>
    <w:rsid w:val="001D7878"/>
    <w:rsid w:val="001E17FB"/>
    <w:rsid w:val="00223DCF"/>
    <w:rsid w:val="00226C91"/>
    <w:rsid w:val="002446A5"/>
    <w:rsid w:val="002703FA"/>
    <w:rsid w:val="00280323"/>
    <w:rsid w:val="00286E87"/>
    <w:rsid w:val="00294218"/>
    <w:rsid w:val="002A2F65"/>
    <w:rsid w:val="002A7945"/>
    <w:rsid w:val="002D27F3"/>
    <w:rsid w:val="002E5E04"/>
    <w:rsid w:val="002F1971"/>
    <w:rsid w:val="002F7E48"/>
    <w:rsid w:val="0030290F"/>
    <w:rsid w:val="0031019B"/>
    <w:rsid w:val="00315154"/>
    <w:rsid w:val="003331A8"/>
    <w:rsid w:val="0036605E"/>
    <w:rsid w:val="00366352"/>
    <w:rsid w:val="00374E21"/>
    <w:rsid w:val="00381028"/>
    <w:rsid w:val="0038437E"/>
    <w:rsid w:val="00384649"/>
    <w:rsid w:val="003B212E"/>
    <w:rsid w:val="003B6E6E"/>
    <w:rsid w:val="003E31AD"/>
    <w:rsid w:val="003E55BC"/>
    <w:rsid w:val="003E5BC2"/>
    <w:rsid w:val="003F49A6"/>
    <w:rsid w:val="003F7955"/>
    <w:rsid w:val="00446715"/>
    <w:rsid w:val="00465555"/>
    <w:rsid w:val="00477D8D"/>
    <w:rsid w:val="004903B7"/>
    <w:rsid w:val="00495425"/>
    <w:rsid w:val="00497E6F"/>
    <w:rsid w:val="004B72E8"/>
    <w:rsid w:val="004C1BC4"/>
    <w:rsid w:val="004D5AED"/>
    <w:rsid w:val="0051116F"/>
    <w:rsid w:val="005126BA"/>
    <w:rsid w:val="00516E19"/>
    <w:rsid w:val="00531E98"/>
    <w:rsid w:val="005322FD"/>
    <w:rsid w:val="005517C6"/>
    <w:rsid w:val="00561E79"/>
    <w:rsid w:val="00573177"/>
    <w:rsid w:val="0059241E"/>
    <w:rsid w:val="005A198E"/>
    <w:rsid w:val="005A44BC"/>
    <w:rsid w:val="005C3565"/>
    <w:rsid w:val="005C72B5"/>
    <w:rsid w:val="005D2886"/>
    <w:rsid w:val="005E667A"/>
    <w:rsid w:val="005F1041"/>
    <w:rsid w:val="005F1E0A"/>
    <w:rsid w:val="00603961"/>
    <w:rsid w:val="006342DB"/>
    <w:rsid w:val="006374B7"/>
    <w:rsid w:val="00641C2E"/>
    <w:rsid w:val="0065546F"/>
    <w:rsid w:val="00663885"/>
    <w:rsid w:val="00690FDA"/>
    <w:rsid w:val="006C2514"/>
    <w:rsid w:val="006C57D4"/>
    <w:rsid w:val="006D15BF"/>
    <w:rsid w:val="006F2A49"/>
    <w:rsid w:val="00723F9D"/>
    <w:rsid w:val="00733CB7"/>
    <w:rsid w:val="007376BA"/>
    <w:rsid w:val="00740401"/>
    <w:rsid w:val="00762E3C"/>
    <w:rsid w:val="007644E2"/>
    <w:rsid w:val="0076734D"/>
    <w:rsid w:val="00772FE4"/>
    <w:rsid w:val="0077449A"/>
    <w:rsid w:val="0078116F"/>
    <w:rsid w:val="007A1335"/>
    <w:rsid w:val="007B1DF4"/>
    <w:rsid w:val="007B452B"/>
    <w:rsid w:val="007B61F6"/>
    <w:rsid w:val="007E4E32"/>
    <w:rsid w:val="0080235D"/>
    <w:rsid w:val="00816D67"/>
    <w:rsid w:val="00832A75"/>
    <w:rsid w:val="008431CC"/>
    <w:rsid w:val="00843454"/>
    <w:rsid w:val="00844CE8"/>
    <w:rsid w:val="00845FE2"/>
    <w:rsid w:val="00861647"/>
    <w:rsid w:val="00887978"/>
    <w:rsid w:val="0089282B"/>
    <w:rsid w:val="008A4E5A"/>
    <w:rsid w:val="008D367F"/>
    <w:rsid w:val="008D705B"/>
    <w:rsid w:val="008E1BCA"/>
    <w:rsid w:val="008E664C"/>
    <w:rsid w:val="008E6FFA"/>
    <w:rsid w:val="008F143F"/>
    <w:rsid w:val="00912606"/>
    <w:rsid w:val="00923EB8"/>
    <w:rsid w:val="0093071F"/>
    <w:rsid w:val="00942A54"/>
    <w:rsid w:val="009554B0"/>
    <w:rsid w:val="0096175F"/>
    <w:rsid w:val="0096497C"/>
    <w:rsid w:val="00972B09"/>
    <w:rsid w:val="00975831"/>
    <w:rsid w:val="00984A56"/>
    <w:rsid w:val="00992BBF"/>
    <w:rsid w:val="00995686"/>
    <w:rsid w:val="009E4483"/>
    <w:rsid w:val="009E54B2"/>
    <w:rsid w:val="00A0474A"/>
    <w:rsid w:val="00A1215D"/>
    <w:rsid w:val="00A21D14"/>
    <w:rsid w:val="00A249B1"/>
    <w:rsid w:val="00A469C3"/>
    <w:rsid w:val="00A76228"/>
    <w:rsid w:val="00A77F51"/>
    <w:rsid w:val="00A8037D"/>
    <w:rsid w:val="00A85773"/>
    <w:rsid w:val="00A874E9"/>
    <w:rsid w:val="00AC4115"/>
    <w:rsid w:val="00AC7359"/>
    <w:rsid w:val="00AD10F9"/>
    <w:rsid w:val="00AD4A50"/>
    <w:rsid w:val="00AD4B6A"/>
    <w:rsid w:val="00AD79EF"/>
    <w:rsid w:val="00AE48EA"/>
    <w:rsid w:val="00AF0C6F"/>
    <w:rsid w:val="00B21DAA"/>
    <w:rsid w:val="00B353B0"/>
    <w:rsid w:val="00B35571"/>
    <w:rsid w:val="00B3796F"/>
    <w:rsid w:val="00B5271B"/>
    <w:rsid w:val="00B601BB"/>
    <w:rsid w:val="00B82D59"/>
    <w:rsid w:val="00B82FAD"/>
    <w:rsid w:val="00B910D2"/>
    <w:rsid w:val="00B92CFF"/>
    <w:rsid w:val="00B97F41"/>
    <w:rsid w:val="00BC0B59"/>
    <w:rsid w:val="00BD1871"/>
    <w:rsid w:val="00BD18CC"/>
    <w:rsid w:val="00BE7EB1"/>
    <w:rsid w:val="00C053E6"/>
    <w:rsid w:val="00C11C79"/>
    <w:rsid w:val="00C20F10"/>
    <w:rsid w:val="00C54C9D"/>
    <w:rsid w:val="00C76641"/>
    <w:rsid w:val="00CC2D8C"/>
    <w:rsid w:val="00CC6586"/>
    <w:rsid w:val="00CD7778"/>
    <w:rsid w:val="00CE0424"/>
    <w:rsid w:val="00CE0693"/>
    <w:rsid w:val="00CE729D"/>
    <w:rsid w:val="00CF4BDA"/>
    <w:rsid w:val="00D011D1"/>
    <w:rsid w:val="00D01B01"/>
    <w:rsid w:val="00D02B43"/>
    <w:rsid w:val="00D45A22"/>
    <w:rsid w:val="00D62C23"/>
    <w:rsid w:val="00D85C82"/>
    <w:rsid w:val="00DB6252"/>
    <w:rsid w:val="00DC55D9"/>
    <w:rsid w:val="00DE336A"/>
    <w:rsid w:val="00DE3560"/>
    <w:rsid w:val="00E25316"/>
    <w:rsid w:val="00E27159"/>
    <w:rsid w:val="00E35EB5"/>
    <w:rsid w:val="00E455C5"/>
    <w:rsid w:val="00E72206"/>
    <w:rsid w:val="00E72DA4"/>
    <w:rsid w:val="00E7468A"/>
    <w:rsid w:val="00E978BD"/>
    <w:rsid w:val="00EA5F33"/>
    <w:rsid w:val="00EA6F01"/>
    <w:rsid w:val="00EA7429"/>
    <w:rsid w:val="00EC030C"/>
    <w:rsid w:val="00EC2F25"/>
    <w:rsid w:val="00EC54AE"/>
    <w:rsid w:val="00ED39AE"/>
    <w:rsid w:val="00ED7CB2"/>
    <w:rsid w:val="00EE586A"/>
    <w:rsid w:val="00F05DCF"/>
    <w:rsid w:val="00F132C7"/>
    <w:rsid w:val="00F170EB"/>
    <w:rsid w:val="00F2495C"/>
    <w:rsid w:val="00F30EEE"/>
    <w:rsid w:val="00F313FE"/>
    <w:rsid w:val="00F3168D"/>
    <w:rsid w:val="00F45E76"/>
    <w:rsid w:val="00F50C32"/>
    <w:rsid w:val="00F62694"/>
    <w:rsid w:val="00F66FF7"/>
    <w:rsid w:val="00F83129"/>
    <w:rsid w:val="00F9271A"/>
    <w:rsid w:val="00F9570A"/>
    <w:rsid w:val="00F968A5"/>
    <w:rsid w:val="00F96900"/>
    <w:rsid w:val="00FA1AFF"/>
    <w:rsid w:val="00FA2FED"/>
    <w:rsid w:val="00FB72E3"/>
    <w:rsid w:val="00FD0469"/>
    <w:rsid w:val="00FD53DF"/>
    <w:rsid w:val="01081B3E"/>
    <w:rsid w:val="02D778C9"/>
    <w:rsid w:val="032C756B"/>
    <w:rsid w:val="04B009E5"/>
    <w:rsid w:val="05CF1611"/>
    <w:rsid w:val="06350552"/>
    <w:rsid w:val="068B51C8"/>
    <w:rsid w:val="072068A8"/>
    <w:rsid w:val="081A3F5B"/>
    <w:rsid w:val="08D170F7"/>
    <w:rsid w:val="09B9485A"/>
    <w:rsid w:val="0A9A74D8"/>
    <w:rsid w:val="0A9F717D"/>
    <w:rsid w:val="0B0B42AD"/>
    <w:rsid w:val="0D08511F"/>
    <w:rsid w:val="0DFA4CAF"/>
    <w:rsid w:val="0EAA7C1C"/>
    <w:rsid w:val="0EE000F6"/>
    <w:rsid w:val="0EF64818"/>
    <w:rsid w:val="0F6C7CDA"/>
    <w:rsid w:val="105534DB"/>
    <w:rsid w:val="10627D7E"/>
    <w:rsid w:val="11F93B8B"/>
    <w:rsid w:val="130472A7"/>
    <w:rsid w:val="137A4F81"/>
    <w:rsid w:val="143E0542"/>
    <w:rsid w:val="15A861C9"/>
    <w:rsid w:val="17131689"/>
    <w:rsid w:val="173F6E5A"/>
    <w:rsid w:val="178211BE"/>
    <w:rsid w:val="17970792"/>
    <w:rsid w:val="18553EFB"/>
    <w:rsid w:val="18677558"/>
    <w:rsid w:val="19CB14DE"/>
    <w:rsid w:val="1A117A54"/>
    <w:rsid w:val="1A483123"/>
    <w:rsid w:val="1ABD7B6C"/>
    <w:rsid w:val="1AC25D24"/>
    <w:rsid w:val="1BCD2313"/>
    <w:rsid w:val="1BD23E31"/>
    <w:rsid w:val="1D51059E"/>
    <w:rsid w:val="1E6905F2"/>
    <w:rsid w:val="1EAC455F"/>
    <w:rsid w:val="1F6659CE"/>
    <w:rsid w:val="1F8D14CF"/>
    <w:rsid w:val="1FC720E6"/>
    <w:rsid w:val="20BB5CB9"/>
    <w:rsid w:val="2110280D"/>
    <w:rsid w:val="217D6EDE"/>
    <w:rsid w:val="23620D1A"/>
    <w:rsid w:val="23AE6D9F"/>
    <w:rsid w:val="23BD0A62"/>
    <w:rsid w:val="23DD3A60"/>
    <w:rsid w:val="2436002A"/>
    <w:rsid w:val="24A81BC7"/>
    <w:rsid w:val="25224D3E"/>
    <w:rsid w:val="253C2BD0"/>
    <w:rsid w:val="27BC6441"/>
    <w:rsid w:val="281F14C0"/>
    <w:rsid w:val="2A863051"/>
    <w:rsid w:val="2BE54292"/>
    <w:rsid w:val="2BF44F91"/>
    <w:rsid w:val="2C587161"/>
    <w:rsid w:val="2E063012"/>
    <w:rsid w:val="2F737877"/>
    <w:rsid w:val="2F94151F"/>
    <w:rsid w:val="2FF7387C"/>
    <w:rsid w:val="32AD63CE"/>
    <w:rsid w:val="334B0336"/>
    <w:rsid w:val="338418CB"/>
    <w:rsid w:val="345A2F0A"/>
    <w:rsid w:val="34BF3583"/>
    <w:rsid w:val="34F605A6"/>
    <w:rsid w:val="353A55E3"/>
    <w:rsid w:val="363900BC"/>
    <w:rsid w:val="3682557A"/>
    <w:rsid w:val="36E84A0B"/>
    <w:rsid w:val="376D2721"/>
    <w:rsid w:val="37C56B6C"/>
    <w:rsid w:val="37E16244"/>
    <w:rsid w:val="37E42A3B"/>
    <w:rsid w:val="38A07EE1"/>
    <w:rsid w:val="38A65280"/>
    <w:rsid w:val="38C0489B"/>
    <w:rsid w:val="394B6AC4"/>
    <w:rsid w:val="39562971"/>
    <w:rsid w:val="3BA371E7"/>
    <w:rsid w:val="3BDD601C"/>
    <w:rsid w:val="3C3B065F"/>
    <w:rsid w:val="3CE50AF7"/>
    <w:rsid w:val="3CFF6620"/>
    <w:rsid w:val="3DC97EDB"/>
    <w:rsid w:val="3F4802E2"/>
    <w:rsid w:val="3F5013DF"/>
    <w:rsid w:val="3F6F51DD"/>
    <w:rsid w:val="409576D5"/>
    <w:rsid w:val="41AB5B1D"/>
    <w:rsid w:val="42E73C50"/>
    <w:rsid w:val="43767463"/>
    <w:rsid w:val="447A65E5"/>
    <w:rsid w:val="44B71CCD"/>
    <w:rsid w:val="44BF4B18"/>
    <w:rsid w:val="45941C60"/>
    <w:rsid w:val="459A1911"/>
    <w:rsid w:val="47610893"/>
    <w:rsid w:val="48135689"/>
    <w:rsid w:val="483F0C4B"/>
    <w:rsid w:val="48E61E2F"/>
    <w:rsid w:val="48EA7206"/>
    <w:rsid w:val="48F5565A"/>
    <w:rsid w:val="49357D67"/>
    <w:rsid w:val="493B7D47"/>
    <w:rsid w:val="4A0C54F3"/>
    <w:rsid w:val="4ACF4DCB"/>
    <w:rsid w:val="4B6B4C49"/>
    <w:rsid w:val="4C1827E3"/>
    <w:rsid w:val="4C804791"/>
    <w:rsid w:val="4C8477C2"/>
    <w:rsid w:val="4E5C0459"/>
    <w:rsid w:val="4F537DF9"/>
    <w:rsid w:val="4FCF4482"/>
    <w:rsid w:val="501C3A37"/>
    <w:rsid w:val="5060476D"/>
    <w:rsid w:val="50C75416"/>
    <w:rsid w:val="50C75C0A"/>
    <w:rsid w:val="50F41D56"/>
    <w:rsid w:val="51CE7F90"/>
    <w:rsid w:val="520D4538"/>
    <w:rsid w:val="52443211"/>
    <w:rsid w:val="52635E34"/>
    <w:rsid w:val="52AB7F4D"/>
    <w:rsid w:val="5332420A"/>
    <w:rsid w:val="53F26847"/>
    <w:rsid w:val="54A3757D"/>
    <w:rsid w:val="55276A9D"/>
    <w:rsid w:val="55EF3B46"/>
    <w:rsid w:val="572A4DF2"/>
    <w:rsid w:val="57917FB7"/>
    <w:rsid w:val="57A9565E"/>
    <w:rsid w:val="5862288E"/>
    <w:rsid w:val="59EE5898"/>
    <w:rsid w:val="59F93C29"/>
    <w:rsid w:val="5A562001"/>
    <w:rsid w:val="5B243716"/>
    <w:rsid w:val="5BBE4D55"/>
    <w:rsid w:val="5BE7356F"/>
    <w:rsid w:val="5BF25068"/>
    <w:rsid w:val="5CBB7BC5"/>
    <w:rsid w:val="5CD720D3"/>
    <w:rsid w:val="5CF15EDF"/>
    <w:rsid w:val="5DED7EF9"/>
    <w:rsid w:val="5F243C26"/>
    <w:rsid w:val="5F2F5192"/>
    <w:rsid w:val="60446A57"/>
    <w:rsid w:val="610A345E"/>
    <w:rsid w:val="6126686F"/>
    <w:rsid w:val="61863410"/>
    <w:rsid w:val="619523A6"/>
    <w:rsid w:val="61EB5333"/>
    <w:rsid w:val="63072608"/>
    <w:rsid w:val="63587A04"/>
    <w:rsid w:val="63A6340B"/>
    <w:rsid w:val="664C0099"/>
    <w:rsid w:val="66620D05"/>
    <w:rsid w:val="66B57F29"/>
    <w:rsid w:val="676F0692"/>
    <w:rsid w:val="684175C9"/>
    <w:rsid w:val="6AAE7116"/>
    <w:rsid w:val="6B973810"/>
    <w:rsid w:val="6D1B140E"/>
    <w:rsid w:val="6D4E2EE1"/>
    <w:rsid w:val="6DFA2FFA"/>
    <w:rsid w:val="6E491A2F"/>
    <w:rsid w:val="6EB720CE"/>
    <w:rsid w:val="6F011E61"/>
    <w:rsid w:val="724C3A64"/>
    <w:rsid w:val="725E322F"/>
    <w:rsid w:val="72835C0E"/>
    <w:rsid w:val="72EF5CC8"/>
    <w:rsid w:val="745F3C79"/>
    <w:rsid w:val="74884070"/>
    <w:rsid w:val="7877152B"/>
    <w:rsid w:val="78F30280"/>
    <w:rsid w:val="79A5244C"/>
    <w:rsid w:val="79FE4125"/>
    <w:rsid w:val="7C29756A"/>
    <w:rsid w:val="7CAF7C9B"/>
    <w:rsid w:val="7D9D1B22"/>
    <w:rsid w:val="7DE34815"/>
    <w:rsid w:val="7E3322A7"/>
    <w:rsid w:val="7E713DE3"/>
    <w:rsid w:val="7EE173A5"/>
    <w:rsid w:val="7F663065"/>
    <w:rsid w:val="7FD74F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link w:val="11"/>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3"/>
    <w:next w:val="3"/>
    <w:qFormat/>
    <w:uiPriority w:val="0"/>
    <w:pPr>
      <w:spacing w:before="0" w:after="120"/>
    </w:pPr>
  </w:style>
  <w:style w:type="paragraph" w:styleId="3">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5">
    <w:name w:val="footer"/>
    <w:basedOn w:val="1"/>
    <w:semiHidden/>
    <w:unhideWhenUsed/>
    <w:qFormat/>
    <w:uiPriority w:val="99"/>
    <w:pPr>
      <w:tabs>
        <w:tab w:val="center" w:pos="4153"/>
        <w:tab w:val="right" w:pos="8306"/>
      </w:tabs>
      <w:snapToGrid w:val="0"/>
      <w:jc w:val="left"/>
    </w:pPr>
    <w:rPr>
      <w:sz w:val="18"/>
    </w:rPr>
  </w:style>
  <w:style w:type="paragraph" w:styleId="6">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39"/>
    <w:pPr>
      <w:spacing w:before="120" w:after="120"/>
      <w:jc w:val="left"/>
    </w:pPr>
    <w:rPr>
      <w:b/>
      <w:bCs/>
      <w:caps/>
      <w:sz w:val="20"/>
    </w:rPr>
  </w:style>
  <w:style w:type="paragraph" w:customStyle="1" w:styleId="10">
    <w:name w:val="_Style 3"/>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11">
    <w:name w:val="标题 1 字符"/>
    <w:basedOn w:val="9"/>
    <w:link w:val="4"/>
    <w:qFormat/>
    <w:uiPriority w:val="0"/>
    <w:rPr>
      <w:rFonts w:ascii="Times New Roman" w:hAnsi="Times New Roman" w:eastAsia="宋体" w:cs="Times New Roman"/>
      <w:b/>
      <w:bCs/>
      <w:kern w:val="44"/>
      <w:sz w:val="44"/>
      <w:szCs w:val="44"/>
    </w:rPr>
  </w:style>
  <w:style w:type="paragraph" w:customStyle="1" w:styleId="12">
    <w:name w:val="Default"/>
    <w:qFormat/>
    <w:uiPriority w:val="0"/>
    <w:pPr>
      <w:widowControl w:val="0"/>
      <w:autoSpaceDE w:val="0"/>
      <w:autoSpaceDN w:val="0"/>
      <w:adjustRightInd w:val="0"/>
    </w:pPr>
    <w:rPr>
      <w:rFonts w:ascii="宋体" w:hAnsi="Calibri" w:eastAsia="宋体" w:cs="Times New Roman"/>
      <w:color w:val="000000"/>
      <w:sz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358</Words>
  <Characters>369</Characters>
  <Lines>41</Lines>
  <Paragraphs>40</Paragraphs>
  <TotalTime>3</TotalTime>
  <ScaleCrop>false</ScaleCrop>
  <LinksUpToDate>false</LinksUpToDate>
  <CharactersWithSpaces>687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2017-08-17T03:09:00Z</dcterms:created>
  <dc:creator>林玉凤</dc:creator>
  <cp:lastModifiedBy>00030412_cgy</cp:lastModifiedBy>
  <dcterms:modified xsi:type="dcterms:W3CDTF">2025-10-31T09:01:42Z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4F73468B304A4D4C9F7C39AF459BB5FE</vt:lpwstr>
  </property>
  <property fmtid="{D5CDD505-2E9C-101B-9397-08002B2CF9AE}" pid="4" name="KSOTemplateDocerSaveRecord">
    <vt:lpwstr>eyJoZGlkIjoiZTJkYzg5OWE1NDUyNDZiMjIxOGVlYTQ0MGNmMjE4N2EiLCJ1c2VySWQiOiI0MzQ5MzQ4NDkifQ==</vt:lpwstr>
  </property>
</Properties>
</file>