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360"/>
        </w:tabs>
        <w:spacing w:line="240" w:lineRule="auto"/>
        <w:ind w:firstLine="0" w:firstLineChars="0"/>
        <w:rPr>
          <w:rFonts w:ascii="华文中宋" w:hAnsi="华文中宋" w:eastAsia="华文中宋"/>
          <w:b/>
          <w:color w:val="auto"/>
          <w:sz w:val="52"/>
          <w:szCs w:val="52"/>
          <w:highlight w:val="none"/>
        </w:rPr>
      </w:pPr>
      <w:bookmarkStart w:id="0" w:name="_Toc6069"/>
      <w:bookmarkStart w:id="1" w:name="_Toc119268924"/>
      <w:r>
        <w:rPr>
          <w:rFonts w:ascii="宋体" w:hAnsi="宋体"/>
          <w:b w:val="0"/>
          <w:bCs/>
          <w:caps/>
          <w:color w:val="auto"/>
          <w:sz w:val="36"/>
          <w:szCs w:val="36"/>
          <w:highlight w:val="none"/>
        </w:rPr>
        <w:drawing>
          <wp:anchor distT="0" distB="0" distL="114300" distR="114300" simplePos="0" relativeHeight="251660288" behindDoc="1" locked="0" layoutInCell="1" allowOverlap="1">
            <wp:simplePos x="0" y="0"/>
            <wp:positionH relativeFrom="page">
              <wp:posOffset>-247650</wp:posOffset>
            </wp:positionH>
            <wp:positionV relativeFrom="page">
              <wp:posOffset>-429260</wp:posOffset>
            </wp:positionV>
            <wp:extent cx="7886700" cy="6486525"/>
            <wp:effectExtent l="0" t="0" r="0" b="9525"/>
            <wp:wrapNone/>
            <wp:docPr id="1" name="图片 1119" descr="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119" descr="D02-L [Converted]"/>
                    <pic:cNvPicPr>
                      <a:picLocks noChangeAspect="1" noChangeArrowheads="1"/>
                    </pic:cNvPicPr>
                  </pic:nvPicPr>
                  <pic:blipFill>
                    <a:blip r:embed="rId4" cstate="print"/>
                    <a:srcRect/>
                    <a:stretch>
                      <a:fillRect/>
                    </a:stretch>
                  </pic:blipFill>
                  <pic:spPr>
                    <a:xfrm>
                      <a:off x="0" y="0"/>
                      <a:ext cx="7886700" cy="6486525"/>
                    </a:xfrm>
                    <a:prstGeom prst="rect">
                      <a:avLst/>
                    </a:prstGeom>
                    <a:noFill/>
                    <a:ln w="9525">
                      <a:noFill/>
                      <a:miter lim="800000"/>
                      <a:headEnd/>
                      <a:tailEnd/>
                    </a:ln>
                  </pic:spPr>
                </pic:pic>
              </a:graphicData>
            </a:graphic>
          </wp:anchor>
        </w:drawing>
      </w:r>
    </w:p>
    <w:p>
      <w:pPr>
        <w:ind w:firstLine="1040"/>
        <w:jc w:val="right"/>
        <w:rPr>
          <w:rFonts w:ascii="黑体" w:eastAsia="黑体"/>
          <w:color w:val="auto"/>
          <w:sz w:val="52"/>
          <w:szCs w:val="52"/>
          <w:highlight w:val="none"/>
        </w:rPr>
      </w:pPr>
    </w:p>
    <w:p>
      <w:pPr>
        <w:pStyle w:val="6"/>
        <w:tabs>
          <w:tab w:val="left" w:pos="420"/>
          <w:tab w:val="right" w:leader="dot" w:pos="8296"/>
        </w:tabs>
        <w:ind w:firstLine="720"/>
        <w:rPr>
          <w:rFonts w:ascii="宋体" w:hAnsi="宋体"/>
          <w:b w:val="0"/>
          <w:color w:val="auto"/>
          <w:sz w:val="36"/>
          <w:szCs w:val="36"/>
          <w:highlight w:val="none"/>
        </w:rPr>
      </w:pPr>
    </w:p>
    <w:p>
      <w:pPr>
        <w:pStyle w:val="6"/>
        <w:tabs>
          <w:tab w:val="left" w:pos="420"/>
          <w:tab w:val="right" w:leader="dot" w:pos="8296"/>
        </w:tabs>
        <w:ind w:firstLine="720"/>
        <w:rPr>
          <w:rFonts w:ascii="宋体" w:hAnsi="宋体"/>
          <w:b w:val="0"/>
          <w:color w:val="auto"/>
          <w:sz w:val="36"/>
          <w:szCs w:val="36"/>
          <w:highlight w:val="none"/>
        </w:rPr>
      </w:pPr>
    </w:p>
    <w:p>
      <w:pPr>
        <w:pStyle w:val="6"/>
        <w:tabs>
          <w:tab w:val="left" w:pos="420"/>
          <w:tab w:val="right" w:leader="dot" w:pos="8296"/>
        </w:tabs>
        <w:ind w:firstLine="720"/>
        <w:rPr>
          <w:rFonts w:ascii="宋体" w:hAnsi="宋体"/>
          <w:b w:val="0"/>
          <w:color w:val="auto"/>
          <w:sz w:val="36"/>
          <w:szCs w:val="36"/>
          <w:highlight w:val="none"/>
        </w:rPr>
      </w:pPr>
    </w:p>
    <w:p>
      <w:pPr>
        <w:pStyle w:val="6"/>
        <w:tabs>
          <w:tab w:val="left" w:pos="420"/>
          <w:tab w:val="right" w:leader="dot" w:pos="8296"/>
        </w:tabs>
        <w:ind w:firstLine="720"/>
        <w:rPr>
          <w:rFonts w:ascii="宋体" w:hAnsi="宋体"/>
          <w:b w:val="0"/>
          <w:color w:val="auto"/>
          <w:sz w:val="36"/>
          <w:szCs w:val="36"/>
          <w:highlight w:val="none"/>
        </w:rPr>
      </w:pPr>
      <w:r>
        <w:rPr>
          <w:rFonts w:ascii="宋体" w:hAnsi="宋体"/>
          <w:b w:val="0"/>
          <w:color w:val="auto"/>
          <w:sz w:val="36"/>
          <w:szCs w:val="36"/>
          <w:highlight w:val="none"/>
        </w:rPr>
        <mc:AlternateContent>
          <mc:Choice Requires="wps">
            <w:drawing>
              <wp:anchor distT="0" distB="0" distL="114300" distR="114300" simplePos="0" relativeHeight="251659264" behindDoc="0" locked="0" layoutInCell="1" allowOverlap="1">
                <wp:simplePos x="0" y="0"/>
                <wp:positionH relativeFrom="column">
                  <wp:posOffset>-1328420</wp:posOffset>
                </wp:positionH>
                <wp:positionV relativeFrom="paragraph">
                  <wp:posOffset>357505</wp:posOffset>
                </wp:positionV>
                <wp:extent cx="7057390" cy="1800225"/>
                <wp:effectExtent l="0" t="0" r="0" b="0"/>
                <wp:wrapNone/>
                <wp:docPr id="8" name="文本框 8"/>
                <wp:cNvGraphicFramePr/>
                <a:graphic xmlns:a="http://schemas.openxmlformats.org/drawingml/2006/main">
                  <a:graphicData uri="http://schemas.microsoft.com/office/word/2010/wordprocessingShape">
                    <wps:wsp>
                      <wps:cNvSpPr txBox="1">
                        <a:spLocks noChangeArrowheads="1"/>
                      </wps:cNvSpPr>
                      <wps:spPr bwMode="auto">
                        <a:xfrm>
                          <a:off x="0" y="0"/>
                          <a:ext cx="7057390" cy="1800115"/>
                        </a:xfrm>
                        <a:prstGeom prst="rect">
                          <a:avLst/>
                        </a:prstGeom>
                        <a:noFill/>
                        <a:ln>
                          <a:noFill/>
                        </a:ln>
                        <a:effectLst/>
                      </wps:spPr>
                      <wps:txbx>
                        <w:txbxContent>
                          <w:p>
                            <w:pPr>
                              <w:pStyle w:val="2"/>
                              <w:ind w:firstLine="883" w:firstLineChars="200"/>
                              <w:jc w:val="center"/>
                              <w:rPr>
                                <w:rFonts w:hint="default" w:ascii="黑体" w:eastAsia="黑体"/>
                                <w:b/>
                                <w:bCs/>
                                <w:sz w:val="44"/>
                                <w:szCs w:val="44"/>
                                <w:lang w:val="en-US"/>
                              </w:rPr>
                            </w:pPr>
                            <w:r>
                              <w:rPr>
                                <w:rFonts w:hint="default" w:ascii="黑体" w:eastAsia="黑体"/>
                                <w:b/>
                                <w:bCs/>
                                <w:sz w:val="44"/>
                                <w:szCs w:val="44"/>
                                <w:lang w:val="en-US"/>
                              </w:rPr>
                              <w:t>2025-2026年南方电网传感科技（广东）有限公司物资搬迁采购项目</w:t>
                            </w:r>
                          </w:p>
                          <w:p>
                            <w:pPr>
                              <w:ind w:right="714" w:rightChars="340" w:firstLine="389" w:firstLineChars="88"/>
                              <w:jc w:val="right"/>
                              <w:rPr>
                                <w:rFonts w:ascii="黑体" w:eastAsia="黑体"/>
                                <w:b/>
                                <w:bCs/>
                                <w:sz w:val="44"/>
                                <w:szCs w:val="44"/>
                              </w:rPr>
                            </w:pPr>
                            <w:r>
                              <w:rPr>
                                <w:rFonts w:hint="eastAsia" w:ascii="黑体" w:eastAsia="黑体"/>
                                <w:b/>
                                <w:bCs/>
                                <w:sz w:val="44"/>
                                <w:szCs w:val="44"/>
                              </w:rPr>
                              <w:t>技术规范书</w:t>
                            </w:r>
                          </w:p>
                          <w:p>
                            <w:pPr>
                              <w:pStyle w:val="2"/>
                              <w:ind w:firstLine="419" w:firstLineChars="87"/>
                              <w:rPr>
                                <w:rFonts w:ascii="黑体" w:eastAsia="黑体"/>
                                <w:b/>
                                <w:bCs/>
                                <w:sz w:val="48"/>
                                <w:szCs w:val="48"/>
                              </w:rPr>
                            </w:pPr>
                          </w:p>
                          <w:p>
                            <w:pPr>
                              <w:pStyle w:val="2"/>
                              <w:ind w:firstLine="964"/>
                              <w:rPr>
                                <w:rFonts w:ascii="黑体" w:eastAsia="黑体"/>
                                <w:b/>
                                <w:bCs/>
                                <w:sz w:val="48"/>
                                <w:szCs w:val="48"/>
                              </w:rPr>
                            </w:pPr>
                          </w:p>
                          <w:p>
                            <w:pPr>
                              <w:pStyle w:val="2"/>
                              <w:ind w:firstLine="964"/>
                              <w:rPr>
                                <w:rFonts w:ascii="黑体" w:eastAsia="黑体"/>
                                <w:b/>
                                <w:bCs/>
                                <w:sz w:val="48"/>
                                <w:szCs w:val="48"/>
                              </w:rPr>
                            </w:pPr>
                          </w:p>
                          <w:p>
                            <w:pPr>
                              <w:pStyle w:val="2"/>
                              <w:ind w:firstLine="480"/>
                            </w:pPr>
                            <w:r>
                              <w:rPr>
                                <w:rFonts w:asciiTheme="minorEastAsia" w:hAnsiTheme="minorEastAsia"/>
                              </w:rPr>
                              <w:t>技术规范书</w:t>
                            </w:r>
                          </w:p>
                          <w:p>
                            <w:pPr>
                              <w:ind w:right="714" w:rightChars="340" w:firstLine="424" w:firstLineChars="88"/>
                              <w:jc w:val="center"/>
                              <w:rPr>
                                <w:rFonts w:eastAsia="黑体"/>
                                <w:szCs w:val="48"/>
                              </w:rPr>
                            </w:pPr>
                            <w:r>
                              <w:rPr>
                                <w:rFonts w:hint="eastAsia" w:ascii="黑体" w:eastAsia="黑体"/>
                                <w:b/>
                                <w:bCs/>
                                <w:sz w:val="48"/>
                                <w:szCs w:val="48"/>
                              </w:rPr>
                              <w:t>技术规范书</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04.6pt;margin-top:28.15pt;height:141.75pt;width:555.7pt;z-index:251659264;mso-width-relative:page;mso-height-relative:page;" filled="f" stroked="f" coordsize="21600,21600" o:gfxdata="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ybyvLtgAAAAL&#10;AQAADwAAAAAAAAABACAAAAAiAAAAZHJzL2Rvd25yZXYueG1sUEsBAhQAFAAAAAgAh07iQM4k6dsc&#10;AgAAJAQAAA4AAAAAAAAAAQAgAAAAJwEAAGRycy9lMm9Eb2MueG1sUEsFBgAAAAAGAAYAWQEAALUF&#10;AAAAAA==&#10;">
                <v:fill on="f" focussize="0,0"/>
                <v:stroke on="f"/>
                <v:imagedata o:title=""/>
                <o:lock v:ext="edit" aspectratio="f"/>
                <v:textbox>
                  <w:txbxContent>
                    <w:p>
                      <w:pPr>
                        <w:pStyle w:val="2"/>
                        <w:ind w:firstLine="883" w:firstLineChars="200"/>
                        <w:jc w:val="center"/>
                        <w:rPr>
                          <w:rFonts w:hint="default" w:ascii="黑体" w:eastAsia="黑体"/>
                          <w:b/>
                          <w:bCs/>
                          <w:sz w:val="44"/>
                          <w:szCs w:val="44"/>
                          <w:lang w:val="en-US"/>
                        </w:rPr>
                      </w:pPr>
                      <w:r>
                        <w:rPr>
                          <w:rFonts w:hint="default" w:ascii="黑体" w:eastAsia="黑体"/>
                          <w:b/>
                          <w:bCs/>
                          <w:sz w:val="44"/>
                          <w:szCs w:val="44"/>
                          <w:lang w:val="en-US"/>
                        </w:rPr>
                        <w:t>2025-2026年南方电网传感科技（广东）有限公司物资搬迁采购项目</w:t>
                      </w:r>
                    </w:p>
                    <w:p>
                      <w:pPr>
                        <w:ind w:right="714" w:rightChars="340" w:firstLine="389" w:firstLineChars="88"/>
                        <w:jc w:val="right"/>
                        <w:rPr>
                          <w:rFonts w:ascii="黑体" w:eastAsia="黑体"/>
                          <w:b/>
                          <w:bCs/>
                          <w:sz w:val="44"/>
                          <w:szCs w:val="44"/>
                        </w:rPr>
                      </w:pPr>
                      <w:r>
                        <w:rPr>
                          <w:rFonts w:hint="eastAsia" w:ascii="黑体" w:eastAsia="黑体"/>
                          <w:b/>
                          <w:bCs/>
                          <w:sz w:val="44"/>
                          <w:szCs w:val="44"/>
                        </w:rPr>
                        <w:t>技术规范书</w:t>
                      </w:r>
                    </w:p>
                    <w:p>
                      <w:pPr>
                        <w:pStyle w:val="2"/>
                        <w:ind w:firstLine="419" w:firstLineChars="87"/>
                        <w:rPr>
                          <w:rFonts w:ascii="黑体" w:eastAsia="黑体"/>
                          <w:b/>
                          <w:bCs/>
                          <w:sz w:val="48"/>
                          <w:szCs w:val="48"/>
                        </w:rPr>
                      </w:pPr>
                    </w:p>
                    <w:p>
                      <w:pPr>
                        <w:pStyle w:val="2"/>
                        <w:ind w:firstLine="964"/>
                        <w:rPr>
                          <w:rFonts w:ascii="黑体" w:eastAsia="黑体"/>
                          <w:b/>
                          <w:bCs/>
                          <w:sz w:val="48"/>
                          <w:szCs w:val="48"/>
                        </w:rPr>
                      </w:pPr>
                    </w:p>
                    <w:p>
                      <w:pPr>
                        <w:pStyle w:val="2"/>
                        <w:ind w:firstLine="964"/>
                        <w:rPr>
                          <w:rFonts w:ascii="黑体" w:eastAsia="黑体"/>
                          <w:b/>
                          <w:bCs/>
                          <w:sz w:val="48"/>
                          <w:szCs w:val="48"/>
                        </w:rPr>
                      </w:pPr>
                    </w:p>
                    <w:p>
                      <w:pPr>
                        <w:pStyle w:val="2"/>
                        <w:ind w:firstLine="480"/>
                      </w:pPr>
                      <w:r>
                        <w:rPr>
                          <w:rFonts w:asciiTheme="minorEastAsia" w:hAnsiTheme="minorEastAsia"/>
                        </w:rPr>
                        <w:t>技术规范书</w:t>
                      </w:r>
                    </w:p>
                    <w:p>
                      <w:pPr>
                        <w:ind w:right="714" w:rightChars="340" w:firstLine="424" w:firstLineChars="88"/>
                        <w:jc w:val="center"/>
                        <w:rPr>
                          <w:rFonts w:eastAsia="黑体"/>
                          <w:szCs w:val="48"/>
                        </w:rPr>
                      </w:pPr>
                      <w:r>
                        <w:rPr>
                          <w:rFonts w:hint="eastAsia" w:ascii="黑体" w:eastAsia="黑体"/>
                          <w:b/>
                          <w:bCs/>
                          <w:sz w:val="48"/>
                          <w:szCs w:val="48"/>
                        </w:rPr>
                        <w:t>技术规范书</w:t>
                      </w:r>
                    </w:p>
                  </w:txbxContent>
                </v:textbox>
              </v:shape>
            </w:pict>
          </mc:Fallback>
        </mc:AlternateContent>
      </w:r>
    </w:p>
    <w:p>
      <w:pPr>
        <w:pStyle w:val="6"/>
        <w:tabs>
          <w:tab w:val="left" w:pos="420"/>
          <w:tab w:val="right" w:leader="dot" w:pos="8296"/>
        </w:tabs>
        <w:ind w:firstLine="720"/>
        <w:rPr>
          <w:rFonts w:ascii="宋体" w:hAnsi="宋体"/>
          <w:b w:val="0"/>
          <w:color w:val="auto"/>
          <w:sz w:val="36"/>
          <w:szCs w:val="36"/>
          <w:highlight w:val="none"/>
        </w:rPr>
      </w:pPr>
    </w:p>
    <w:p>
      <w:pPr>
        <w:pStyle w:val="6"/>
        <w:tabs>
          <w:tab w:val="left" w:pos="420"/>
          <w:tab w:val="right" w:leader="dot" w:pos="8296"/>
        </w:tabs>
        <w:ind w:firstLine="720"/>
        <w:rPr>
          <w:rFonts w:ascii="宋体" w:hAnsi="宋体"/>
          <w:b w:val="0"/>
          <w:color w:val="auto"/>
          <w:sz w:val="36"/>
          <w:szCs w:val="36"/>
          <w:highlight w:val="none"/>
        </w:rPr>
      </w:pPr>
    </w:p>
    <w:p>
      <w:pPr>
        <w:pStyle w:val="6"/>
        <w:tabs>
          <w:tab w:val="left" w:pos="420"/>
          <w:tab w:val="right" w:leader="dot" w:pos="8296"/>
        </w:tabs>
        <w:ind w:firstLine="720"/>
        <w:rPr>
          <w:rFonts w:ascii="宋体" w:hAnsi="宋体"/>
          <w:b w:val="0"/>
          <w:color w:val="auto"/>
          <w:sz w:val="36"/>
          <w:szCs w:val="36"/>
          <w:highlight w:val="none"/>
        </w:rPr>
      </w:pPr>
    </w:p>
    <w:p>
      <w:pPr>
        <w:pStyle w:val="6"/>
        <w:tabs>
          <w:tab w:val="left" w:pos="420"/>
          <w:tab w:val="right" w:leader="dot" w:pos="8296"/>
        </w:tabs>
        <w:ind w:firstLine="720"/>
        <w:rPr>
          <w:rFonts w:ascii="宋体" w:hAnsi="宋体"/>
          <w:b w:val="0"/>
          <w:color w:val="auto"/>
          <w:sz w:val="36"/>
          <w:szCs w:val="36"/>
          <w:highlight w:val="none"/>
        </w:rPr>
      </w:pPr>
    </w:p>
    <w:p>
      <w:pPr>
        <w:pStyle w:val="6"/>
        <w:tabs>
          <w:tab w:val="left" w:pos="420"/>
          <w:tab w:val="right" w:leader="dot" w:pos="8296"/>
        </w:tabs>
        <w:ind w:firstLine="720"/>
        <w:rPr>
          <w:rFonts w:ascii="宋体" w:hAnsi="宋体"/>
          <w:b w:val="0"/>
          <w:color w:val="auto"/>
          <w:sz w:val="36"/>
          <w:szCs w:val="36"/>
          <w:highlight w:val="none"/>
        </w:rPr>
      </w:pPr>
    </w:p>
    <w:p>
      <w:pPr>
        <w:pStyle w:val="6"/>
        <w:tabs>
          <w:tab w:val="left" w:pos="420"/>
          <w:tab w:val="right" w:leader="dot" w:pos="8296"/>
        </w:tabs>
        <w:ind w:firstLine="720"/>
        <w:rPr>
          <w:rFonts w:ascii="宋体" w:hAnsi="宋体"/>
          <w:b w:val="0"/>
          <w:color w:val="auto"/>
          <w:sz w:val="36"/>
          <w:szCs w:val="36"/>
          <w:highlight w:val="none"/>
        </w:rPr>
      </w:pPr>
    </w:p>
    <w:p>
      <w:pPr>
        <w:jc w:val="both"/>
        <w:rPr>
          <w:rFonts w:ascii="宋体" w:hAnsi="宋体"/>
          <w:b/>
          <w:color w:val="auto"/>
          <w:sz w:val="32"/>
          <w:highlight w:val="none"/>
        </w:rPr>
      </w:pPr>
    </w:p>
    <w:p>
      <w:pPr>
        <w:ind w:firstLine="643"/>
        <w:jc w:val="center"/>
        <w:rPr>
          <w:rFonts w:ascii="宋体" w:hAnsi="宋体"/>
          <w:b/>
          <w:color w:val="auto"/>
          <w:sz w:val="32"/>
          <w:highlight w:val="none"/>
        </w:rPr>
      </w:pPr>
    </w:p>
    <w:p>
      <w:pPr>
        <w:jc w:val="both"/>
        <w:rPr>
          <w:rFonts w:ascii="宋体" w:hAnsi="宋体"/>
          <w:b/>
          <w:color w:val="auto"/>
          <w:sz w:val="32"/>
          <w:highlight w:val="none"/>
        </w:rPr>
      </w:pPr>
    </w:p>
    <w:p>
      <w:pPr>
        <w:ind w:firstLine="643"/>
        <w:jc w:val="both"/>
        <w:rPr>
          <w:rFonts w:ascii="宋体" w:hAnsi="宋体"/>
          <w:b/>
          <w:color w:val="auto"/>
          <w:sz w:val="32"/>
          <w:highlight w:val="none"/>
        </w:rPr>
      </w:pPr>
    </w:p>
    <w:p>
      <w:pPr>
        <w:jc w:val="center"/>
        <w:rPr>
          <w:rFonts w:hint="eastAsia" w:ascii="宋体" w:hAnsi="宋体" w:eastAsia="宋体"/>
          <w:b/>
          <w:color w:val="auto"/>
          <w:sz w:val="32"/>
          <w:highlight w:val="none"/>
          <w:lang w:val="en-US" w:eastAsia="zh-CN"/>
        </w:rPr>
      </w:pPr>
      <w:r>
        <w:rPr>
          <w:rFonts w:hint="eastAsia" w:ascii="宋体" w:hAnsi="宋体"/>
          <w:b/>
          <w:color w:val="auto"/>
          <w:sz w:val="32"/>
          <w:highlight w:val="none"/>
          <w:lang w:val="en-US" w:eastAsia="zh-CN"/>
        </w:rPr>
        <w:t>南方电网传感科技（广东）有限公司</w:t>
      </w:r>
    </w:p>
    <w:p>
      <w:pPr>
        <w:pStyle w:val="5"/>
        <w:spacing w:line="360" w:lineRule="auto"/>
        <w:ind w:left="0" w:leftChars="0" w:firstLine="0" w:firstLineChars="0"/>
        <w:jc w:val="center"/>
        <w:rPr>
          <w:rFonts w:hint="eastAsia" w:hAnsi="宋体" w:eastAsia="宋体" w:cs="宋体" w:asciiTheme="minorAscii"/>
          <w:color w:val="auto"/>
          <w:sz w:val="44"/>
          <w:highlight w:val="none"/>
        </w:rPr>
      </w:pPr>
      <w:r>
        <w:rPr>
          <w:rFonts w:hint="eastAsia"/>
          <w:color w:val="auto"/>
          <w:sz w:val="28"/>
          <w:szCs w:val="28"/>
          <w:highlight w:val="none"/>
        </w:rPr>
        <w:t>二○二</w:t>
      </w:r>
      <w:r>
        <w:rPr>
          <w:rFonts w:hint="eastAsia"/>
          <w:color w:val="auto"/>
          <w:sz w:val="28"/>
          <w:szCs w:val="28"/>
          <w:highlight w:val="none"/>
          <w:lang w:eastAsia="zh-CN"/>
        </w:rPr>
        <w:t>五</w:t>
      </w:r>
      <w:r>
        <w:rPr>
          <w:rFonts w:hint="eastAsia"/>
          <w:color w:val="auto"/>
          <w:sz w:val="28"/>
          <w:szCs w:val="28"/>
          <w:highlight w:val="none"/>
        </w:rPr>
        <w:t>年</w:t>
      </w:r>
      <w:r>
        <w:rPr>
          <w:rFonts w:hint="eastAsia"/>
          <w:color w:val="auto"/>
          <w:sz w:val="28"/>
          <w:szCs w:val="28"/>
          <w:highlight w:val="none"/>
          <w:lang w:val="en-US" w:eastAsia="zh-CN"/>
        </w:rPr>
        <w:t>十一</w:t>
      </w:r>
      <w:r>
        <w:rPr>
          <w:rFonts w:hint="eastAsia"/>
          <w:color w:val="auto"/>
          <w:sz w:val="28"/>
          <w:szCs w:val="28"/>
          <w:highlight w:val="none"/>
        </w:rPr>
        <w:t>月</w:t>
      </w:r>
    </w:p>
    <w:p>
      <w:pPr>
        <w:spacing w:line="360" w:lineRule="auto"/>
        <w:jc w:val="center"/>
        <w:outlineLvl w:val="1"/>
        <w:rPr>
          <w:rFonts w:hint="eastAsia" w:ascii="宋体" w:hAnsi="宋体" w:cs="宋体"/>
          <w:b/>
          <w:sz w:val="48"/>
          <w:szCs w:val="52"/>
          <w:lang w:val="en-US" w:eastAsia="zh-CN"/>
        </w:rPr>
      </w:pPr>
    </w:p>
    <w:p>
      <w:pPr>
        <w:spacing w:line="360" w:lineRule="auto"/>
        <w:jc w:val="center"/>
        <w:outlineLvl w:val="1"/>
        <w:rPr>
          <w:rFonts w:hint="eastAsia" w:ascii="宋体" w:hAnsi="宋体" w:cs="宋体"/>
          <w:b/>
          <w:sz w:val="32"/>
          <w:szCs w:val="32"/>
          <w:lang w:val="en-US" w:eastAsia="zh-CN"/>
        </w:rPr>
      </w:pPr>
    </w:p>
    <w:p>
      <w:pPr>
        <w:spacing w:line="360" w:lineRule="auto"/>
        <w:jc w:val="center"/>
        <w:outlineLvl w:val="1"/>
        <w:rPr>
          <w:rFonts w:hint="eastAsia" w:ascii="宋体" w:hAnsi="宋体" w:cs="宋体"/>
          <w:b/>
          <w:sz w:val="32"/>
          <w:szCs w:val="32"/>
          <w:lang w:val="en-US" w:eastAsia="zh-CN"/>
        </w:rPr>
      </w:pPr>
      <w:r>
        <w:rPr>
          <w:rFonts w:hint="eastAsia" w:ascii="宋体" w:hAnsi="宋体" w:cs="宋体"/>
          <w:b/>
          <w:sz w:val="32"/>
          <w:szCs w:val="32"/>
          <w:lang w:val="en-US" w:eastAsia="zh-CN"/>
        </w:rPr>
        <w:t>2025年-2026年南方电网传感科技（广东）有限公司物资搬迁</w:t>
      </w:r>
    </w:p>
    <w:p>
      <w:pPr>
        <w:spacing w:line="360" w:lineRule="auto"/>
        <w:jc w:val="center"/>
        <w:outlineLvl w:val="1"/>
        <w:rPr>
          <w:rFonts w:hint="eastAsia" w:ascii="宋体" w:hAnsi="宋体" w:cs="宋体"/>
          <w:b/>
          <w:sz w:val="32"/>
          <w:szCs w:val="32"/>
          <w:lang w:val="en-US" w:eastAsia="zh-CN"/>
        </w:rPr>
      </w:pPr>
      <w:r>
        <w:rPr>
          <w:rFonts w:hint="eastAsia" w:ascii="宋体" w:hAnsi="宋体" w:cs="宋体"/>
          <w:b/>
          <w:sz w:val="32"/>
          <w:szCs w:val="32"/>
          <w:lang w:val="en-US" w:eastAsia="zh-CN"/>
        </w:rPr>
        <w:t>采购项目技术规范书</w:t>
      </w:r>
    </w:p>
    <w:p>
      <w:pPr>
        <w:spacing w:line="360" w:lineRule="auto"/>
        <w:outlineLvl w:val="1"/>
        <w:rPr>
          <w:rFonts w:hint="eastAsia" w:ascii="宋体" w:hAnsi="宋体" w:eastAsia="宋体" w:cs="宋体"/>
          <w:b/>
          <w:sz w:val="28"/>
          <w:szCs w:val="28"/>
        </w:rPr>
      </w:pPr>
      <w:r>
        <w:rPr>
          <w:rFonts w:hint="eastAsia" w:ascii="宋体" w:hAnsi="宋体" w:eastAsia="宋体" w:cs="宋体"/>
          <w:b/>
          <w:sz w:val="28"/>
          <w:szCs w:val="28"/>
        </w:rPr>
        <w:t>一、项目概况</w:t>
      </w:r>
      <w:bookmarkEnd w:id="0"/>
      <w:bookmarkEnd w:id="1"/>
    </w:p>
    <w:p>
      <w:pPr>
        <w:pStyle w:val="4"/>
        <w:snapToGrid w:val="0"/>
        <w:spacing w:line="360" w:lineRule="auto"/>
        <w:ind w:left="0" w:leftChars="0" w:right="25" w:rightChars="12" w:firstLine="565" w:firstLineChars="202"/>
        <w:rPr>
          <w:rFonts w:hint="eastAsia" w:ascii="宋体" w:hAnsi="宋体" w:eastAsia="宋体" w:cs="宋体"/>
          <w:color w:val="000000"/>
          <w:sz w:val="28"/>
          <w:szCs w:val="28"/>
          <w:highlight w:val="yellow"/>
        </w:rPr>
      </w:pPr>
      <w:bookmarkStart w:id="2" w:name="XmInfoEntity_ZBNR_0_2"/>
      <w:r>
        <w:rPr>
          <w:rFonts w:hint="eastAsia" w:ascii="宋体" w:hAnsi="宋体" w:eastAsia="宋体" w:cs="宋体"/>
          <w:sz w:val="28"/>
          <w:szCs w:val="28"/>
          <w:u w:val="none"/>
          <w:lang w:val="en-US" w:eastAsia="zh-CN"/>
        </w:rPr>
        <w:t>因办公场地变更，拟采购专业的搬家公司提供搬运服务，协助公司设备设施、办公物资等的搬运与运输。</w:t>
      </w:r>
      <w:bookmarkEnd w:id="2"/>
      <w:r>
        <w:rPr>
          <w:rFonts w:hint="eastAsia" w:ascii="宋体" w:hAnsi="宋体" w:eastAsia="宋体" w:cs="宋体"/>
          <w:sz w:val="28"/>
          <w:szCs w:val="28"/>
          <w:u w:val="none"/>
          <w:lang w:val="en-US" w:eastAsia="zh-CN"/>
        </w:rPr>
        <w:t>服务期2年。签订主体为南方电网传感科技（广东）有限公司。</w:t>
      </w:r>
    </w:p>
    <w:p>
      <w:pPr>
        <w:spacing w:line="360" w:lineRule="auto"/>
        <w:outlineLvl w:val="1"/>
        <w:rPr>
          <w:rFonts w:hint="eastAsia" w:ascii="宋体" w:hAnsi="宋体" w:eastAsia="宋体" w:cs="宋体"/>
          <w:b/>
          <w:sz w:val="28"/>
          <w:szCs w:val="28"/>
        </w:rPr>
      </w:pPr>
      <w:bookmarkStart w:id="3" w:name="_Toc119268926"/>
      <w:r>
        <w:rPr>
          <w:rFonts w:hint="eastAsia" w:ascii="宋体" w:hAnsi="宋体" w:eastAsia="宋体" w:cs="宋体"/>
          <w:b/>
          <w:sz w:val="28"/>
          <w:szCs w:val="28"/>
          <w:lang w:val="en-US" w:eastAsia="zh-CN"/>
        </w:rPr>
        <w:t>二</w:t>
      </w:r>
      <w:r>
        <w:rPr>
          <w:rFonts w:hint="eastAsia" w:ascii="宋体" w:hAnsi="宋体" w:eastAsia="宋体" w:cs="宋体"/>
          <w:b/>
          <w:sz w:val="28"/>
          <w:szCs w:val="28"/>
        </w:rPr>
        <w:t>、技术要求</w:t>
      </w:r>
      <w:bookmarkEnd w:id="3"/>
    </w:p>
    <w:p>
      <w:pPr>
        <w:autoSpaceDE w:val="0"/>
        <w:autoSpaceDN w:val="0"/>
        <w:spacing w:line="360" w:lineRule="auto"/>
        <w:ind w:firstLine="562" w:firstLineChars="200"/>
        <w:outlineLvl w:val="2"/>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（一） 服务要求</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1、对</w:t>
      </w:r>
      <w:r>
        <w:rPr>
          <w:rFonts w:hint="eastAsia" w:ascii="宋体" w:hAnsi="宋体" w:eastAsia="宋体" w:cs="宋体"/>
          <w:color w:val="000000"/>
          <w:sz w:val="28"/>
          <w:szCs w:val="28"/>
          <w:lang w:val="en-US" w:eastAsia="zh-CN"/>
        </w:rPr>
        <w:t>需搬运的</w:t>
      </w:r>
      <w:r>
        <w:rPr>
          <w:rFonts w:hint="eastAsia" w:ascii="宋体" w:hAnsi="宋体" w:eastAsia="宋体" w:cs="宋体"/>
          <w:color w:val="000000"/>
          <w:sz w:val="28"/>
          <w:szCs w:val="28"/>
        </w:rPr>
        <w:t>所有物资搬运前后的状态确认、拆卸、包装、搬运、安装调试、性能验证、移交使用等均需由</w:t>
      </w:r>
      <w:r>
        <w:rPr>
          <w:rFonts w:hint="eastAsia" w:ascii="宋体" w:hAnsi="宋体" w:cs="宋体"/>
          <w:color w:val="000000"/>
          <w:sz w:val="28"/>
          <w:szCs w:val="28"/>
          <w:lang w:eastAsia="zh-CN"/>
        </w:rPr>
        <w:t>成交人</w:t>
      </w:r>
      <w:r>
        <w:rPr>
          <w:rFonts w:hint="eastAsia" w:ascii="宋体" w:hAnsi="宋体" w:eastAsia="宋体" w:cs="宋体"/>
          <w:color w:val="000000"/>
          <w:sz w:val="28"/>
          <w:szCs w:val="28"/>
        </w:rPr>
        <w:t>负责。</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2、制定详细的搬运方案：</w:t>
      </w:r>
      <w:r>
        <w:rPr>
          <w:rFonts w:hint="eastAsia" w:ascii="宋体" w:hAnsi="宋体" w:cs="宋体"/>
          <w:sz w:val="28"/>
          <w:szCs w:val="28"/>
          <w:lang w:val="en-US" w:eastAsia="zh-CN"/>
        </w:rPr>
        <w:t>成交人</w:t>
      </w:r>
      <w:r>
        <w:rPr>
          <w:rFonts w:hint="eastAsia" w:ascii="宋体" w:hAnsi="宋体" w:eastAsia="宋体" w:cs="宋体"/>
          <w:sz w:val="28"/>
          <w:szCs w:val="28"/>
        </w:rPr>
        <w:t>应对所有设备提供详细的搬运方案、项目的实施方案及意见建议等，包含完成本项目搬运的拆装、打包、装卸、运输、安装调试、检定等全部工作。搬运方案须经</w:t>
      </w:r>
      <w:r>
        <w:rPr>
          <w:rFonts w:hint="eastAsia" w:ascii="宋体" w:hAnsi="宋体" w:cs="宋体"/>
          <w:sz w:val="28"/>
          <w:szCs w:val="28"/>
          <w:lang w:eastAsia="zh-CN"/>
        </w:rPr>
        <w:t>采购人</w:t>
      </w:r>
      <w:r>
        <w:rPr>
          <w:rFonts w:hint="eastAsia" w:ascii="宋体" w:hAnsi="宋体" w:eastAsia="宋体" w:cs="宋体"/>
          <w:sz w:val="28"/>
          <w:szCs w:val="28"/>
        </w:rPr>
        <w:t>审核同意后实施。若出现不符合被搬运物品的搬运要求或不利于被搬运物品的保护等情形，</w:t>
      </w:r>
      <w:r>
        <w:rPr>
          <w:rFonts w:hint="eastAsia" w:ascii="宋体" w:hAnsi="宋体" w:cs="宋体"/>
          <w:sz w:val="28"/>
          <w:szCs w:val="28"/>
          <w:lang w:eastAsia="zh-CN"/>
        </w:rPr>
        <w:t>采购人</w:t>
      </w:r>
      <w:r>
        <w:rPr>
          <w:rFonts w:hint="eastAsia" w:ascii="宋体" w:hAnsi="宋体" w:eastAsia="宋体" w:cs="宋体"/>
          <w:sz w:val="28"/>
          <w:szCs w:val="28"/>
        </w:rPr>
        <w:t>提出意见的，</w:t>
      </w:r>
      <w:r>
        <w:rPr>
          <w:rFonts w:hint="eastAsia" w:ascii="宋体" w:hAnsi="宋体" w:cs="宋体"/>
          <w:sz w:val="28"/>
          <w:szCs w:val="28"/>
          <w:lang w:eastAsia="zh-CN"/>
        </w:rPr>
        <w:t>成交人</w:t>
      </w:r>
      <w:r>
        <w:rPr>
          <w:rFonts w:hint="eastAsia" w:ascii="宋体" w:hAnsi="宋体" w:eastAsia="宋体" w:cs="宋体"/>
          <w:sz w:val="28"/>
          <w:szCs w:val="28"/>
        </w:rPr>
        <w:t>应当予以纠正。</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3、能够制定合理且高效的搬运实施计划：能够合理安排标的物的搬运进度。</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4、能够制定有效安全保障措施及应急处理方案：针对整个搬运过程制定相关物品、人员、设备及现场的安全保护措施，根据以往经验对搬运过程中可能出现的突发事故或紧急情况制定应急处理方案。</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w:t>
      </w:r>
      <w:r>
        <w:rPr>
          <w:rFonts w:hint="eastAsia" w:ascii="宋体" w:hAnsi="宋体" w:cs="宋体"/>
          <w:color w:val="000000"/>
          <w:sz w:val="28"/>
          <w:szCs w:val="28"/>
          <w:lang w:eastAsia="zh-CN"/>
        </w:rPr>
        <w:t>成交</w:t>
      </w:r>
      <w:r>
        <w:rPr>
          <w:rFonts w:hint="eastAsia" w:ascii="宋体" w:hAnsi="宋体" w:eastAsia="宋体" w:cs="宋体"/>
          <w:color w:val="000000"/>
          <w:sz w:val="28"/>
          <w:szCs w:val="28"/>
          <w:lang w:eastAsia="zh-CN"/>
        </w:rPr>
        <w:t>人</w:t>
      </w:r>
      <w:r>
        <w:rPr>
          <w:rFonts w:hint="eastAsia" w:ascii="宋体" w:hAnsi="宋体" w:eastAsia="宋体" w:cs="宋体"/>
          <w:color w:val="000000"/>
          <w:sz w:val="28"/>
          <w:szCs w:val="28"/>
        </w:rPr>
        <w:t>应做好搬运现场的保护工作，对于搬运过程中涉及的实施现场（如电梯、地面、墙面、道路、楼梯、门窗、家具等）做到有效保护，如有损坏，按市场价原价进行赔偿。</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6、搬运服务过程如出现设备跌落、交通事故、物品丢失、重新安装失败、失火、水淹、触电及其他各种工作人员的身体损伤、死亡等事故，均由</w:t>
      </w:r>
      <w:r>
        <w:rPr>
          <w:rFonts w:hint="eastAsia" w:ascii="宋体" w:hAnsi="宋体" w:cs="宋体"/>
          <w:color w:val="000000"/>
          <w:sz w:val="28"/>
          <w:szCs w:val="28"/>
          <w:lang w:eastAsia="zh-CN"/>
        </w:rPr>
        <w:t>成交人</w:t>
      </w:r>
      <w:r>
        <w:rPr>
          <w:rFonts w:hint="eastAsia" w:ascii="宋体" w:hAnsi="宋体" w:eastAsia="宋体" w:cs="宋体"/>
          <w:color w:val="000000"/>
          <w:sz w:val="28"/>
          <w:szCs w:val="28"/>
        </w:rPr>
        <w:t>承担全部责任。</w:t>
      </w:r>
    </w:p>
    <w:p>
      <w:pPr>
        <w:autoSpaceDE w:val="0"/>
        <w:autoSpaceDN w:val="0"/>
        <w:spacing w:line="360" w:lineRule="auto"/>
        <w:ind w:firstLine="562" w:firstLineChars="200"/>
        <w:outlineLvl w:val="2"/>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（二）团队要求</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1、响应供应商应针对本项目配备足够的专业人员和专业配套设备。</w:t>
      </w:r>
    </w:p>
    <w:p>
      <w:pPr>
        <w:autoSpaceDE w:val="0"/>
        <w:autoSpaceDN w:val="0"/>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sz w:val="28"/>
          <w:szCs w:val="28"/>
        </w:rPr>
        <w:t>★</w:t>
      </w:r>
      <w:r>
        <w:rPr>
          <w:rFonts w:hint="eastAsia" w:ascii="宋体" w:hAnsi="宋体" w:eastAsia="宋体" w:cs="宋体"/>
          <w:color w:val="000000"/>
          <w:sz w:val="28"/>
          <w:szCs w:val="28"/>
          <w:lang w:val="en-US" w:eastAsia="zh-CN"/>
        </w:rPr>
        <w:t>2、</w:t>
      </w:r>
      <w:r>
        <w:rPr>
          <w:rFonts w:hint="eastAsia" w:ascii="宋体" w:hAnsi="宋体" w:eastAsia="宋体" w:cs="宋体"/>
          <w:b/>
          <w:bCs/>
          <w:color w:val="000000"/>
          <w:sz w:val="28"/>
          <w:szCs w:val="28"/>
          <w:lang w:val="en-US" w:eastAsia="zh-CN"/>
        </w:rPr>
        <w:t>本项目提供服务人员需大于</w:t>
      </w:r>
      <w:r>
        <w:rPr>
          <w:rFonts w:hint="eastAsia" w:ascii="宋体" w:hAnsi="宋体" w:cs="宋体"/>
          <w:b/>
          <w:bCs/>
          <w:color w:val="000000"/>
          <w:sz w:val="28"/>
          <w:szCs w:val="28"/>
          <w:lang w:val="en-US" w:eastAsia="zh-CN"/>
        </w:rPr>
        <w:t>20</w:t>
      </w:r>
      <w:r>
        <w:rPr>
          <w:rFonts w:hint="eastAsia" w:ascii="宋体" w:hAnsi="宋体" w:eastAsia="宋体" w:cs="宋体"/>
          <w:b/>
          <w:bCs/>
          <w:color w:val="000000"/>
          <w:sz w:val="28"/>
          <w:szCs w:val="28"/>
          <w:lang w:val="en-US" w:eastAsia="zh-CN"/>
        </w:rPr>
        <w:t>人，需全部购买意外保险，并提供意外保险单。</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、配备专业的物流运输团队，确保整体搬运过程在专业、安全的运输保障下完成。</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w:t>
      </w:r>
      <w:r>
        <w:rPr>
          <w:rFonts w:hint="eastAsia" w:ascii="宋体" w:hAnsi="宋体" w:cs="宋体"/>
          <w:color w:val="000000"/>
          <w:sz w:val="28"/>
          <w:szCs w:val="28"/>
          <w:lang w:eastAsia="zh-CN"/>
        </w:rPr>
        <w:t>成交人</w:t>
      </w:r>
      <w:r>
        <w:rPr>
          <w:rFonts w:hint="eastAsia" w:ascii="宋体" w:hAnsi="宋体" w:eastAsia="宋体" w:cs="宋体"/>
          <w:color w:val="000000"/>
          <w:sz w:val="28"/>
          <w:szCs w:val="28"/>
        </w:rPr>
        <w:t>须确保所派遣的工作人员只在指定项目实施场地活动，不得进入其他工作区域，不对工作进行干</w:t>
      </w:r>
      <w:bookmarkStart w:id="4" w:name="_GoBack"/>
      <w:bookmarkEnd w:id="4"/>
      <w:r>
        <w:rPr>
          <w:rFonts w:hint="eastAsia" w:ascii="宋体" w:hAnsi="宋体" w:eastAsia="宋体" w:cs="宋体"/>
          <w:color w:val="000000"/>
          <w:sz w:val="28"/>
          <w:szCs w:val="28"/>
        </w:rPr>
        <w:t>扰。</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w:t>
      </w:r>
      <w:r>
        <w:rPr>
          <w:rFonts w:hint="eastAsia" w:ascii="宋体" w:hAnsi="宋体" w:cs="宋体"/>
          <w:color w:val="000000"/>
          <w:sz w:val="28"/>
          <w:szCs w:val="28"/>
          <w:lang w:eastAsia="zh-CN"/>
        </w:rPr>
        <w:t>成交人</w:t>
      </w:r>
      <w:r>
        <w:rPr>
          <w:rFonts w:hint="eastAsia" w:ascii="宋体" w:hAnsi="宋体" w:eastAsia="宋体" w:cs="宋体"/>
          <w:color w:val="000000"/>
          <w:sz w:val="28"/>
          <w:szCs w:val="28"/>
        </w:rPr>
        <w:t>派遣的工作人员需统一着装，未统一着装人员不得进入项目实施场地。</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w:t>
      </w:r>
      <w:r>
        <w:rPr>
          <w:rFonts w:hint="eastAsia" w:ascii="宋体" w:hAnsi="宋体" w:cs="宋体"/>
          <w:color w:val="000000"/>
          <w:sz w:val="28"/>
          <w:szCs w:val="28"/>
          <w:lang w:eastAsia="zh-CN"/>
        </w:rPr>
        <w:t>成交人</w:t>
      </w:r>
      <w:r>
        <w:rPr>
          <w:rFonts w:hint="eastAsia" w:ascii="宋体" w:hAnsi="宋体" w:eastAsia="宋体" w:cs="宋体"/>
          <w:color w:val="000000"/>
          <w:sz w:val="28"/>
          <w:szCs w:val="28"/>
        </w:rPr>
        <w:t>派遣的工作人员不得在项目实施场地发生抽烟、喝酒、大声喧哗等不适当行为。</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7、</w:t>
      </w:r>
      <w:r>
        <w:rPr>
          <w:rFonts w:hint="eastAsia" w:ascii="宋体" w:hAnsi="宋体" w:cs="宋体"/>
          <w:color w:val="000000"/>
          <w:sz w:val="28"/>
          <w:szCs w:val="28"/>
          <w:lang w:eastAsia="zh-CN"/>
        </w:rPr>
        <w:t>成交人</w:t>
      </w:r>
      <w:r>
        <w:rPr>
          <w:rFonts w:hint="eastAsia" w:ascii="宋体" w:hAnsi="宋体" w:eastAsia="宋体" w:cs="宋体"/>
          <w:color w:val="000000"/>
          <w:sz w:val="28"/>
          <w:szCs w:val="28"/>
        </w:rPr>
        <w:t>对所派遣的工作人员做好安全教育。</w:t>
      </w:r>
    </w:p>
    <w:p>
      <w:pPr>
        <w:autoSpaceDE w:val="0"/>
        <w:autoSpaceDN w:val="0"/>
        <w:spacing w:line="360" w:lineRule="auto"/>
        <w:ind w:firstLine="562" w:firstLineChars="200"/>
        <w:outlineLvl w:val="2"/>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（三）安全要求</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cs="宋体"/>
          <w:color w:val="000000"/>
          <w:sz w:val="28"/>
          <w:szCs w:val="28"/>
          <w:lang w:val="en-US" w:eastAsia="zh-CN"/>
        </w:rPr>
        <w:t>成交人</w:t>
      </w:r>
      <w:r>
        <w:rPr>
          <w:rFonts w:hint="eastAsia" w:ascii="宋体" w:hAnsi="宋体" w:eastAsia="宋体" w:cs="宋体"/>
          <w:color w:val="000000"/>
          <w:sz w:val="28"/>
          <w:szCs w:val="28"/>
        </w:rPr>
        <w:t>需有科学、健全的搬运安全制度和措施。</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cs="宋体"/>
          <w:color w:val="000000"/>
          <w:sz w:val="28"/>
          <w:szCs w:val="28"/>
          <w:lang w:val="en-US" w:eastAsia="zh-CN"/>
        </w:rPr>
        <w:t>成交人</w:t>
      </w:r>
      <w:r>
        <w:rPr>
          <w:rFonts w:hint="eastAsia" w:ascii="宋体" w:hAnsi="宋体" w:eastAsia="宋体" w:cs="宋体"/>
          <w:color w:val="000000"/>
          <w:sz w:val="28"/>
          <w:szCs w:val="28"/>
        </w:rPr>
        <w:t>负责安全、照章搬运，建立保证人身、搬运车辆和财务安全的方案。</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3、做好搬运物品的保护，轻拿、轻放、轻拆、轻装、轻摆，做好物品固定和隔离。</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w:t>
      </w:r>
      <w:r>
        <w:rPr>
          <w:rFonts w:hint="eastAsia" w:ascii="宋体" w:hAnsi="宋体" w:cs="宋体"/>
          <w:color w:val="000000"/>
          <w:sz w:val="28"/>
          <w:szCs w:val="28"/>
          <w:lang w:val="en-US" w:eastAsia="zh-CN"/>
        </w:rPr>
        <w:t>成交人</w:t>
      </w:r>
      <w:r>
        <w:rPr>
          <w:rFonts w:hint="eastAsia" w:ascii="宋体" w:hAnsi="宋体" w:eastAsia="宋体" w:cs="宋体"/>
          <w:color w:val="000000"/>
          <w:sz w:val="28"/>
          <w:szCs w:val="28"/>
        </w:rPr>
        <w:t>驾驶员必须严格控制车速，平稳行车，避免运输物品的损坏和丢失。</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5、做好防雨、防水、防火、防压、防震和防撞措施。</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6、做好风险控制与人、机保障措施。</w:t>
      </w:r>
    </w:p>
    <w:p>
      <w:pPr>
        <w:autoSpaceDE w:val="0"/>
        <w:autoSpaceDN w:val="0"/>
        <w:spacing w:line="360" w:lineRule="auto"/>
        <w:ind w:firstLine="562" w:firstLineChars="200"/>
        <w:outlineLvl w:val="2"/>
        <w:rPr>
          <w:rFonts w:hint="eastAsia" w:ascii="宋体" w:hAnsi="宋体" w:eastAsia="宋体" w:cs="宋体"/>
          <w:b/>
          <w:bCs/>
          <w:color w:val="000000"/>
          <w:sz w:val="28"/>
          <w:szCs w:val="28"/>
        </w:rPr>
      </w:pPr>
      <w:r>
        <w:rPr>
          <w:rFonts w:hint="eastAsia" w:ascii="宋体" w:hAnsi="宋体" w:eastAsia="宋体" w:cs="宋体"/>
          <w:b/>
          <w:bCs/>
          <w:color w:val="000000"/>
          <w:sz w:val="28"/>
          <w:szCs w:val="28"/>
        </w:rPr>
        <w:t>（四）</w:t>
      </w:r>
      <w:r>
        <w:rPr>
          <w:rFonts w:hint="eastAsia" w:ascii="宋体" w:hAnsi="宋体" w:eastAsia="宋体" w:cs="宋体"/>
          <w:b/>
          <w:bCs/>
          <w:color w:val="000000"/>
          <w:sz w:val="28"/>
          <w:szCs w:val="28"/>
          <w:lang w:val="en-US" w:eastAsia="zh-CN"/>
        </w:rPr>
        <w:t>环境</w:t>
      </w:r>
      <w:r>
        <w:rPr>
          <w:rFonts w:hint="eastAsia" w:ascii="宋体" w:hAnsi="宋体" w:eastAsia="宋体" w:cs="宋体"/>
          <w:b/>
          <w:bCs/>
          <w:color w:val="000000"/>
          <w:sz w:val="28"/>
          <w:szCs w:val="28"/>
        </w:rPr>
        <w:t>保护要求</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rPr>
        <w:t>、</w:t>
      </w:r>
      <w:r>
        <w:rPr>
          <w:rFonts w:hint="eastAsia" w:ascii="宋体" w:hAnsi="宋体" w:cs="宋体"/>
          <w:color w:val="000000"/>
          <w:sz w:val="28"/>
          <w:szCs w:val="28"/>
          <w:lang w:eastAsia="zh-CN"/>
        </w:rPr>
        <w:t>成交人</w:t>
      </w:r>
      <w:r>
        <w:rPr>
          <w:rFonts w:hint="eastAsia" w:ascii="宋体" w:hAnsi="宋体" w:eastAsia="宋体" w:cs="宋体"/>
          <w:color w:val="000000"/>
          <w:sz w:val="28"/>
          <w:szCs w:val="28"/>
        </w:rPr>
        <w:t>需采用环保材料对迁进房间的地面、墙面进行保护，防地面、墙面划伤。</w:t>
      </w:r>
    </w:p>
    <w:p>
      <w:pPr>
        <w:autoSpaceDE w:val="0"/>
        <w:autoSpaceDN w:val="0"/>
        <w:spacing w:line="360" w:lineRule="auto"/>
        <w:ind w:firstLine="562" w:firstLineChars="200"/>
        <w:outlineLvl w:val="2"/>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（五）物资运输要求</w:t>
      </w:r>
    </w:p>
    <w:p>
      <w:pPr>
        <w:autoSpaceDE w:val="0"/>
        <w:autoSpaceDN w:val="0"/>
        <w:spacing w:line="360" w:lineRule="auto"/>
        <w:ind w:firstLine="562" w:firstLineChars="200"/>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rPr>
        <w:t>1、运输车辆为符合交通管理条例的货物运输车辆，需确保车辆状况良好</w:t>
      </w:r>
      <w:r>
        <w:rPr>
          <w:rFonts w:hint="eastAsia" w:ascii="宋体" w:hAnsi="宋体" w:eastAsia="宋体" w:cs="宋体"/>
          <w:b/>
          <w:bCs/>
          <w:color w:val="000000"/>
          <w:sz w:val="28"/>
          <w:szCs w:val="28"/>
          <w:lang w:eastAsia="zh-CN"/>
        </w:rPr>
        <w:t>。</w:t>
      </w:r>
    </w:p>
    <w:p>
      <w:pPr>
        <w:autoSpaceDE w:val="0"/>
        <w:autoSpaceDN w:val="0"/>
        <w:spacing w:line="360" w:lineRule="auto"/>
        <w:ind w:firstLine="562" w:firstLineChars="200"/>
        <w:rPr>
          <w:rFonts w:hint="eastAsia" w:ascii="宋体" w:hAnsi="宋体" w:eastAsia="宋体" w:cs="宋体"/>
          <w:b/>
          <w:bCs/>
          <w:color w:val="000000"/>
          <w:sz w:val="28"/>
          <w:szCs w:val="28"/>
        </w:rPr>
      </w:pPr>
      <w:r>
        <w:rPr>
          <w:rFonts w:hint="eastAsia" w:ascii="宋体" w:hAnsi="宋体" w:eastAsia="宋体" w:cs="宋体"/>
          <w:b/>
          <w:bCs/>
          <w:sz w:val="28"/>
          <w:szCs w:val="28"/>
        </w:rPr>
        <w:t>★</w:t>
      </w:r>
      <w:r>
        <w:rPr>
          <w:rFonts w:hint="eastAsia" w:ascii="宋体" w:hAnsi="宋体" w:eastAsia="宋体" w:cs="宋体"/>
          <w:b/>
          <w:bCs/>
          <w:sz w:val="28"/>
          <w:szCs w:val="28"/>
          <w:lang w:val="en-US" w:eastAsia="zh-CN"/>
        </w:rPr>
        <w:t>2、</w:t>
      </w:r>
      <w:r>
        <w:rPr>
          <w:rFonts w:hint="eastAsia" w:ascii="宋体" w:hAnsi="宋体" w:cs="宋体"/>
          <w:b/>
          <w:bCs/>
          <w:color w:val="000000"/>
          <w:sz w:val="28"/>
          <w:szCs w:val="28"/>
          <w:lang w:val="en-US" w:eastAsia="zh-CN"/>
        </w:rPr>
        <w:t>报价人</w:t>
      </w:r>
      <w:r>
        <w:rPr>
          <w:rFonts w:hint="eastAsia" w:ascii="宋体" w:hAnsi="宋体" w:eastAsia="宋体" w:cs="宋体"/>
          <w:b/>
          <w:bCs/>
          <w:color w:val="000000"/>
          <w:sz w:val="28"/>
          <w:szCs w:val="28"/>
        </w:rPr>
        <w:t>自有车辆</w:t>
      </w:r>
      <w:r>
        <w:rPr>
          <w:rFonts w:hint="eastAsia" w:ascii="宋体" w:hAnsi="宋体" w:eastAsia="宋体" w:cs="宋体"/>
          <w:b/>
          <w:bCs/>
          <w:color w:val="000000"/>
          <w:sz w:val="28"/>
          <w:szCs w:val="28"/>
          <w:lang w:val="en-US" w:eastAsia="zh-CN"/>
        </w:rPr>
        <w:t>不少于</w:t>
      </w:r>
      <w:r>
        <w:rPr>
          <w:rFonts w:hint="eastAsia" w:ascii="宋体" w:hAnsi="宋体" w:eastAsia="宋体" w:cs="宋体"/>
          <w:b/>
          <w:bCs/>
          <w:color w:val="000000"/>
          <w:sz w:val="28"/>
          <w:szCs w:val="28"/>
        </w:rPr>
        <w:t>10台</w:t>
      </w:r>
      <w:r>
        <w:rPr>
          <w:rFonts w:hint="eastAsia" w:ascii="宋体" w:hAnsi="宋体" w:eastAsia="宋体" w:cs="宋体"/>
          <w:b/>
          <w:bCs/>
          <w:color w:val="000000"/>
          <w:sz w:val="28"/>
          <w:szCs w:val="28"/>
          <w:lang w:val="en-US" w:eastAsia="zh-CN"/>
        </w:rPr>
        <w:t>，需提供有效期内的车辆行驶证及发票</w:t>
      </w:r>
      <w:r>
        <w:rPr>
          <w:rFonts w:hint="eastAsia" w:ascii="宋体" w:hAnsi="宋体" w:eastAsia="宋体" w:cs="宋体"/>
          <w:b/>
          <w:bCs/>
          <w:color w:val="000000"/>
          <w:sz w:val="28"/>
          <w:szCs w:val="28"/>
        </w:rPr>
        <w:t>。</w:t>
      </w:r>
    </w:p>
    <w:p>
      <w:pPr>
        <w:autoSpaceDE w:val="0"/>
        <w:autoSpaceDN w:val="0"/>
        <w:spacing w:line="360" w:lineRule="auto"/>
        <w:ind w:firstLine="562" w:firstLineChars="200"/>
        <w:rPr>
          <w:rFonts w:hint="eastAsia" w:ascii="宋体" w:hAnsi="宋体" w:eastAsia="宋体" w:cs="宋体"/>
          <w:b/>
          <w:bCs/>
          <w:color w:val="000000"/>
          <w:sz w:val="28"/>
          <w:szCs w:val="28"/>
          <w:lang w:val="en-US" w:eastAsia="zh-CN"/>
        </w:rPr>
      </w:pPr>
      <w:r>
        <w:rPr>
          <w:rFonts w:hint="eastAsia" w:ascii="宋体" w:hAnsi="宋体" w:eastAsia="宋体" w:cs="宋体"/>
          <w:b/>
          <w:bCs/>
          <w:sz w:val="28"/>
          <w:szCs w:val="28"/>
        </w:rPr>
        <w:t>★</w:t>
      </w:r>
      <w:r>
        <w:rPr>
          <w:rFonts w:hint="eastAsia" w:ascii="宋体" w:hAnsi="宋体" w:eastAsia="宋体" w:cs="宋体"/>
          <w:b/>
          <w:bCs/>
          <w:sz w:val="28"/>
          <w:szCs w:val="28"/>
          <w:lang w:val="en-US" w:eastAsia="zh-CN"/>
        </w:rPr>
        <w:t>3、</w:t>
      </w:r>
      <w:r>
        <w:rPr>
          <w:rFonts w:hint="eastAsia" w:ascii="宋体" w:hAnsi="宋体" w:cs="宋体"/>
          <w:b/>
          <w:bCs/>
          <w:color w:val="000000"/>
          <w:sz w:val="28"/>
          <w:szCs w:val="28"/>
          <w:lang w:val="en-US" w:eastAsia="zh-CN"/>
        </w:rPr>
        <w:t>报价人</w:t>
      </w:r>
      <w:r>
        <w:rPr>
          <w:rFonts w:hint="eastAsia" w:ascii="宋体" w:hAnsi="宋体" w:eastAsia="宋体" w:cs="宋体"/>
          <w:b/>
          <w:bCs/>
          <w:sz w:val="28"/>
          <w:szCs w:val="28"/>
          <w:lang w:val="en-US" w:eastAsia="zh-CN"/>
        </w:rPr>
        <w:t>需具备广州市禁行道路通行证（禁行路段城市货车通行码），提供证件截图。</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、根据物资搬运的要求，如：防水、防震、防倾斜等，运输车辆必须随带防雨、固定、填充物及隔离器材等。</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、物资在车厢需摆放合理，不得随意堆叠，造成的任何意外或物品损坏，由</w:t>
      </w:r>
      <w:r>
        <w:rPr>
          <w:rFonts w:hint="eastAsia" w:ascii="宋体" w:hAnsi="宋体" w:cs="宋体"/>
          <w:color w:val="000000"/>
          <w:sz w:val="28"/>
          <w:szCs w:val="28"/>
          <w:lang w:eastAsia="zh-CN"/>
        </w:rPr>
        <w:t>成交人</w:t>
      </w:r>
      <w:r>
        <w:rPr>
          <w:rFonts w:hint="eastAsia" w:ascii="宋体" w:hAnsi="宋体" w:eastAsia="宋体" w:cs="宋体"/>
          <w:color w:val="000000"/>
          <w:sz w:val="28"/>
          <w:szCs w:val="28"/>
        </w:rPr>
        <w:t>承担全部责任。</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w:t>
      </w:r>
      <w:r>
        <w:rPr>
          <w:rFonts w:hint="eastAsia" w:ascii="宋体" w:hAnsi="宋体" w:cs="宋体"/>
          <w:color w:val="000000"/>
          <w:sz w:val="28"/>
          <w:szCs w:val="28"/>
          <w:lang w:eastAsia="zh-CN"/>
        </w:rPr>
        <w:t>成交人</w:t>
      </w:r>
      <w:r>
        <w:rPr>
          <w:rFonts w:hint="eastAsia" w:ascii="宋体" w:hAnsi="宋体" w:eastAsia="宋体" w:cs="宋体"/>
          <w:color w:val="000000"/>
          <w:sz w:val="28"/>
          <w:szCs w:val="28"/>
        </w:rPr>
        <w:t>可采用拖车、液压车、移动平台车、叉车、吊车等辅助运输，所有运输工具做减震防护处理。对可能需要用到的各种特种设备，由</w:t>
      </w:r>
      <w:r>
        <w:rPr>
          <w:rFonts w:hint="eastAsia" w:ascii="宋体" w:hAnsi="宋体" w:cs="宋体"/>
          <w:color w:val="000000"/>
          <w:sz w:val="28"/>
          <w:szCs w:val="28"/>
          <w:lang w:eastAsia="zh-CN"/>
        </w:rPr>
        <w:t>成交人</w:t>
      </w:r>
      <w:r>
        <w:rPr>
          <w:rFonts w:hint="eastAsia" w:ascii="宋体" w:hAnsi="宋体" w:eastAsia="宋体" w:cs="宋体"/>
          <w:color w:val="000000"/>
          <w:sz w:val="28"/>
          <w:szCs w:val="28"/>
        </w:rPr>
        <w:t>安排提供，所有现场作业需用到的特种设备须保证干净且具备检验合格证书，操作人员应具备相应的操作证书。</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w:t>
      </w:r>
      <w:r>
        <w:rPr>
          <w:rFonts w:hint="eastAsia" w:ascii="宋体" w:hAnsi="宋体" w:cs="宋体"/>
          <w:color w:val="000000"/>
          <w:sz w:val="28"/>
          <w:szCs w:val="28"/>
          <w:lang w:eastAsia="zh-CN"/>
        </w:rPr>
        <w:t>成交人</w:t>
      </w:r>
      <w:r>
        <w:rPr>
          <w:rFonts w:hint="eastAsia" w:ascii="宋体" w:hAnsi="宋体" w:eastAsia="宋体" w:cs="宋体"/>
          <w:color w:val="000000"/>
          <w:sz w:val="28"/>
          <w:szCs w:val="28"/>
        </w:rPr>
        <w:t>应协助</w:t>
      </w:r>
      <w:r>
        <w:rPr>
          <w:rFonts w:hint="eastAsia" w:ascii="宋体" w:hAnsi="宋体" w:cs="宋体"/>
          <w:color w:val="000000"/>
          <w:sz w:val="28"/>
          <w:szCs w:val="28"/>
          <w:lang w:eastAsia="zh-CN"/>
        </w:rPr>
        <w:t>采购人</w:t>
      </w:r>
      <w:r>
        <w:rPr>
          <w:rFonts w:hint="eastAsia" w:ascii="宋体" w:hAnsi="宋体" w:eastAsia="宋体" w:cs="宋体"/>
          <w:color w:val="000000"/>
          <w:sz w:val="28"/>
          <w:szCs w:val="28"/>
        </w:rPr>
        <w:t>完成搬运计划的细化和现场管理，专门安排经验丰富的车辆调度人员进行现场调度，相关负责人现场办公，搬运高峰期增加调度和现场管理人员。</w:t>
      </w:r>
    </w:p>
    <w:p>
      <w:pPr>
        <w:autoSpaceDE w:val="0"/>
        <w:autoSpaceDN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8</w:t>
      </w:r>
      <w:r>
        <w:rPr>
          <w:rFonts w:hint="eastAsia" w:ascii="宋体" w:hAnsi="宋体" w:eastAsia="宋体" w:cs="宋体"/>
          <w:color w:val="000000"/>
          <w:sz w:val="28"/>
          <w:szCs w:val="28"/>
        </w:rPr>
        <w:t>、</w:t>
      </w:r>
      <w:r>
        <w:rPr>
          <w:rFonts w:hint="eastAsia" w:ascii="宋体" w:hAnsi="宋体" w:cs="宋体"/>
          <w:color w:val="000000"/>
          <w:sz w:val="28"/>
          <w:szCs w:val="28"/>
          <w:lang w:eastAsia="zh-CN"/>
        </w:rPr>
        <w:t>成交人</w:t>
      </w:r>
      <w:r>
        <w:rPr>
          <w:rFonts w:hint="eastAsia" w:ascii="宋体" w:hAnsi="宋体" w:eastAsia="宋体" w:cs="宋体"/>
          <w:color w:val="000000"/>
          <w:sz w:val="28"/>
          <w:szCs w:val="28"/>
        </w:rPr>
        <w:t>需确保随车配备足够的搬运工人，在</w:t>
      </w:r>
      <w:r>
        <w:rPr>
          <w:rFonts w:hint="eastAsia" w:ascii="宋体" w:hAnsi="宋体" w:cs="宋体"/>
          <w:color w:val="000000"/>
          <w:sz w:val="28"/>
          <w:szCs w:val="28"/>
          <w:lang w:eastAsia="zh-CN"/>
        </w:rPr>
        <w:t>采购人</w:t>
      </w:r>
      <w:r>
        <w:rPr>
          <w:rFonts w:hint="eastAsia" w:ascii="宋体" w:hAnsi="宋体" w:eastAsia="宋体" w:cs="宋体"/>
          <w:color w:val="000000"/>
          <w:sz w:val="28"/>
          <w:szCs w:val="28"/>
        </w:rPr>
        <w:t>指定人员及专业工程师的指导下，完成物资装车工作。</w:t>
      </w:r>
    </w:p>
    <w:p>
      <w:pPr>
        <w:spacing w:line="360" w:lineRule="auto"/>
        <w:outlineLvl w:val="1"/>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三、报价与结算</w:t>
      </w:r>
    </w:p>
    <w:p>
      <w:pPr>
        <w:autoSpaceDE w:val="0"/>
        <w:autoSpaceDN w:val="0"/>
        <w:spacing w:line="360" w:lineRule="auto"/>
        <w:ind w:firstLine="560" w:firstLineChars="200"/>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本项目报单价（具体见附件</w:t>
      </w:r>
      <w:r>
        <w:rPr>
          <w:rFonts w:hint="eastAsia" w:ascii="宋体" w:hAnsi="宋体" w:cs="宋体"/>
          <w:color w:val="000000"/>
          <w:sz w:val="28"/>
          <w:szCs w:val="28"/>
          <w:lang w:val="en-US" w:eastAsia="zh-CN"/>
        </w:rPr>
        <w:t>1</w:t>
      </w:r>
      <w:r>
        <w:rPr>
          <w:rFonts w:hint="eastAsia" w:ascii="宋体" w:hAnsi="宋体" w:eastAsia="宋体" w:cs="宋体"/>
          <w:color w:val="000000"/>
          <w:sz w:val="28"/>
          <w:szCs w:val="28"/>
          <w:lang w:val="en-US" w:eastAsia="zh-CN"/>
        </w:rPr>
        <w:t>：《报价表》），根据双方确认的具体工作量与单价，据实结算。</w:t>
      </w:r>
    </w:p>
    <w:p>
      <w:pPr>
        <w:rPr>
          <w:rFonts w:hint="eastAsia" w:ascii="宋体" w:hAnsi="宋体" w:eastAsia="宋体" w:cs="宋体"/>
          <w:sz w:val="28"/>
          <w:szCs w:val="28"/>
        </w:rPr>
      </w:pPr>
    </w:p>
    <w:sectPr>
      <w:pgSz w:w="11906" w:h="16838"/>
      <w:pgMar w:top="1134" w:right="1417"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5OGZmYTgxNTQyNDU1Nzk0YjVkYTliZmFkNTI2MTIifQ=="/>
  </w:docVars>
  <w:rsids>
    <w:rsidRoot w:val="3E3B7DCB"/>
    <w:rsid w:val="04FE7541"/>
    <w:rsid w:val="2DDB1DD0"/>
    <w:rsid w:val="37400EC2"/>
    <w:rsid w:val="3E3B7DCB"/>
    <w:rsid w:val="55DC0579"/>
    <w:rsid w:val="5DB079D2"/>
    <w:rsid w:val="69BE597D"/>
    <w:rsid w:val="7BDF0204"/>
    <w:rsid w:val="EBEFA73D"/>
    <w:rsid w:val="F9FFC84E"/>
    <w:rsid w:val="FF5B8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0"/>
    <w:pPr>
      <w:spacing w:before="240" w:after="60"/>
      <w:jc w:val="center"/>
      <w:outlineLvl w:val="0"/>
    </w:pPr>
    <w:rPr>
      <w:rFonts w:ascii="Cambria" w:hAnsi="Cambria" w:cs="Times New Roman"/>
      <w:b/>
      <w:bCs/>
      <w:sz w:val="32"/>
      <w:szCs w:val="32"/>
    </w:rPr>
  </w:style>
  <w:style w:type="paragraph" w:styleId="4">
    <w:name w:val="Body Text Indent"/>
    <w:basedOn w:val="1"/>
    <w:unhideWhenUsed/>
    <w:qFormat/>
    <w:uiPriority w:val="99"/>
    <w:pPr>
      <w:spacing w:after="120"/>
      <w:ind w:left="420" w:leftChars="200"/>
    </w:pPr>
  </w:style>
  <w:style w:type="paragraph" w:styleId="5">
    <w:name w:val="Date"/>
    <w:basedOn w:val="1"/>
    <w:next w:val="1"/>
    <w:qFormat/>
    <w:uiPriority w:val="99"/>
    <w:pPr>
      <w:adjustRightInd w:val="0"/>
      <w:spacing w:line="360" w:lineRule="atLeast"/>
      <w:ind w:left="100" w:leftChars="2500" w:firstLine="0" w:firstLineChars="0"/>
      <w:jc w:val="left"/>
      <w:textAlignment w:val="baseline"/>
    </w:pPr>
    <w:rPr>
      <w:kern w:val="0"/>
      <w:sz w:val="24"/>
      <w:szCs w:val="20"/>
    </w:rPr>
  </w:style>
  <w:style w:type="paragraph" w:styleId="6">
    <w:name w:val="toc 1"/>
    <w:basedOn w:val="1"/>
    <w:next w:val="1"/>
    <w:unhideWhenUsed/>
    <w:qFormat/>
    <w:uiPriority w:val="39"/>
    <w:pPr>
      <w:spacing w:before="120" w:after="120"/>
      <w:jc w:val="left"/>
    </w:pPr>
    <w:rPr>
      <w:rFonts w:cstheme="minorHAnsi"/>
      <w:b/>
      <w:bCs/>
      <w:caps/>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2024-05-14T08:36:00Z</dcterms:created>
  <dc:creator>80美猴王</dc:creator>
  <cp:lastModifiedBy>郭洁</cp:lastModifiedBy>
  <cp:lastPrinted>2025-11-04T06:13:19Z</cp:lastPrinted>
  <dcterms:modified xsi:type="dcterms:W3CDTF">2025-11-04T06:16:18Z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DE66CBBBCC3B4C60B7A98495431709F9_11</vt:lpwstr>
  </property>
</Properties>
</file>