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rPr>
          <w:rFonts w:hint="eastAsia"/>
          <w:color w:val="auto"/>
          <w:lang w:val="en-US" w:eastAsia="zh-CN"/>
        </w:rPr>
      </w:pPr>
      <w:bookmarkStart w:id="0" w:name="_Toc29701"/>
      <w:r>
        <w:rPr>
          <w:rStyle w:val="16"/>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bookmarkStart w:id="1" w:name="_GoBack"/>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w:t>
      </w:r>
      <w:bookmarkEnd w:id="1"/>
      <w:r>
        <w:rPr>
          <w:rFonts w:hint="eastAsia" w:cs="宋体"/>
          <w:snapToGrid w:val="0"/>
          <w:color w:val="auto"/>
          <w:kern w:val="24"/>
          <w:sz w:val="21"/>
          <w:szCs w:val="21"/>
        </w:rPr>
        <w:t>（公章）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84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br w:type="page"/>
      </w:r>
    </w:p>
    <w:p>
      <w:pPr>
        <w:pStyle w:val="9"/>
        <w:numPr>
          <w:ilvl w:val="0"/>
          <w:numId w:val="0"/>
        </w:numPr>
        <w:ind w:left="840" w:leftChars="0"/>
        <w:rPr>
          <w:rFonts w:hint="eastAsia" w:ascii="Times New Roman" w:hAnsi="Times New Roman" w:cs="Times New Roman"/>
          <w:b/>
          <w:bCs/>
          <w:color w:val="auto"/>
          <w:lang w:val="en-US" w:eastAsia="zh-CN"/>
        </w:rPr>
        <w:sectPr>
          <w:pgSz w:w="11906" w:h="16838"/>
          <w:pgMar w:top="1440" w:right="1800" w:bottom="1440" w:left="1800" w:header="851" w:footer="992" w:gutter="0"/>
          <w:cols w:space="720" w:num="1"/>
          <w:docGrid w:type="lines" w:linePitch="312" w:charSpace="0"/>
        </w:sectPr>
      </w:pPr>
    </w:p>
    <w:p>
      <w:pPr>
        <w:pStyle w:val="9"/>
        <w:numPr>
          <w:ilvl w:val="0"/>
          <w:numId w:val="1"/>
        </w:numPr>
        <w:ind w:left="840" w:leftChars="0" w:firstLineChars="0"/>
        <w:rPr>
          <w:rFonts w:hint="eastAsia"/>
          <w:b/>
          <w:bCs/>
          <w:color w:val="auto"/>
          <w:lang w:eastAsia="zh-CN"/>
        </w:rPr>
      </w:pPr>
      <w:r>
        <w:rPr>
          <w:rFonts w:hint="eastAsia"/>
          <w:b/>
          <w:bCs/>
          <w:color w:val="auto"/>
          <w:lang w:val="en-US" w:eastAsia="zh-CN"/>
        </w:rPr>
        <w:t>保密资质承诺书</w:t>
      </w:r>
    </w:p>
    <w:p>
      <w:pPr>
        <w:pStyle w:val="6"/>
        <w:spacing w:line="560" w:lineRule="exact"/>
        <w:ind w:firstLine="422"/>
        <w:jc w:val="center"/>
        <w:rPr>
          <w:rFonts w:hint="default" w:ascii="宋体" w:hAnsi="宋体" w:eastAsia="宋体" w:cs="宋体"/>
          <w:b/>
          <w:bCs/>
          <w:color w:val="auto"/>
          <w:lang w:val="en-US" w:eastAsia="zh-CN"/>
        </w:rPr>
      </w:pPr>
      <w:r>
        <w:rPr>
          <w:rFonts w:hint="eastAsia" w:ascii="宋体" w:hAnsi="宋体" w:cs="宋体"/>
          <w:b/>
          <w:bCs/>
          <w:color w:val="auto"/>
          <w:lang w:val="en-US" w:eastAsia="zh-CN"/>
        </w:rPr>
        <w:t>保密资质承诺书</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本单位</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单位全称）</w:t>
      </w:r>
      <w:r>
        <w:rPr>
          <w:rFonts w:hint="eastAsia" w:ascii="宋体" w:hAnsi="宋体" w:cs="宋体"/>
          <w:color w:val="auto"/>
          <w:szCs w:val="21"/>
          <w:u w:val="single"/>
          <w:lang w:val="en-US" w:eastAsia="zh-CN"/>
        </w:rPr>
        <w:t xml:space="preserve">   </w:t>
      </w:r>
      <w:r>
        <w:rPr>
          <w:rFonts w:hint="eastAsia" w:ascii="宋体" w:hAnsi="宋体" w:cs="宋体"/>
          <w:color w:val="auto"/>
          <w:szCs w:val="21"/>
        </w:rPr>
        <w:t>就参与</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项目名称</w:t>
      </w:r>
      <w:r>
        <w:rPr>
          <w:rFonts w:hint="eastAsia" w:ascii="宋体" w:hAnsi="宋体" w:cs="宋体"/>
          <w:color w:val="auto"/>
          <w:szCs w:val="21"/>
          <w:u w:val="single"/>
          <w:lang w:eastAsia="zh-CN"/>
        </w:rPr>
        <w:t>）</w:t>
      </w:r>
      <w:r>
        <w:rPr>
          <w:rFonts w:hint="eastAsia" w:ascii="宋体" w:hAnsi="宋体" w:cs="宋体"/>
          <w:color w:val="auto"/>
          <w:szCs w:val="21"/>
          <w:u w:val="single"/>
          <w:lang w:val="en-US" w:eastAsia="zh-CN"/>
        </w:rPr>
        <w:t xml:space="preserve">  </w:t>
      </w:r>
      <w:r>
        <w:rPr>
          <w:rFonts w:hint="eastAsia" w:ascii="宋体" w:hAnsi="宋体" w:cs="宋体"/>
          <w:color w:val="auto"/>
          <w:szCs w:val="21"/>
        </w:rPr>
        <w:t>投标事宜，郑重作出如下保密资质承诺：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jc w:val="left"/>
        <w:textAlignment w:val="auto"/>
        <w:rPr>
          <w:rFonts w:hint="eastAsia" w:ascii="宋体" w:hAnsi="宋体" w:eastAsia="宋体" w:cs="宋体"/>
          <w:color w:val="auto"/>
          <w:szCs w:val="21"/>
          <w:lang w:eastAsia="zh-CN"/>
        </w:rPr>
      </w:pPr>
      <w:r>
        <w:rPr>
          <w:rFonts w:hint="eastAsia" w:ascii="宋体" w:hAnsi="宋体" w:cs="宋体"/>
          <w:color w:val="auto"/>
          <w:szCs w:val="21"/>
        </w:rPr>
        <w:t>1.本单位已依法取得国家保密行政管理部门核发的“运行维护”类乙级及以上保密资质证书，证书编号为</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lang w:eastAsia="zh-CN"/>
        </w:rPr>
        <w:t>（</w:t>
      </w:r>
      <w:r>
        <w:rPr>
          <w:rFonts w:hint="eastAsia" w:ascii="宋体" w:hAnsi="宋体" w:cs="宋体"/>
          <w:color w:val="auto"/>
          <w:szCs w:val="21"/>
          <w:u w:val="single"/>
        </w:rPr>
        <w:t>资质证书编号</w:t>
      </w:r>
      <w:r>
        <w:rPr>
          <w:rFonts w:hint="eastAsia" w:ascii="宋体" w:hAnsi="宋体" w:cs="宋体"/>
          <w:color w:val="auto"/>
          <w:szCs w:val="21"/>
          <w:u w:val="single"/>
          <w:lang w:eastAsia="zh-CN"/>
        </w:rPr>
        <w:t>）</w:t>
      </w:r>
      <w:r>
        <w:rPr>
          <w:rFonts w:hint="eastAsia" w:ascii="宋体" w:hAnsi="宋体" w:cs="宋体"/>
          <w:color w:val="auto"/>
          <w:szCs w:val="21"/>
          <w:u w:val="single"/>
          <w:lang w:val="en-US" w:eastAsia="zh-CN"/>
        </w:rPr>
        <w:t xml:space="preserve">  </w:t>
      </w:r>
      <w:r>
        <w:rPr>
          <w:rFonts w:hint="eastAsia" w:ascii="宋体" w:hAnsi="宋体" w:cs="宋体"/>
          <w:color w:val="auto"/>
          <w:szCs w:val="21"/>
        </w:rPr>
        <w:t>，当前资质状态合法有效。</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2.本单位承诺，若能成功中标并签订合同，将确保在整个合同履行期限内，上述“运行维护”保密资质持续处于有效状态，绝不出现资质过期、被吊销或降级等影响项目保密要求的情况。</w:t>
      </w:r>
    </w:p>
    <w:p>
      <w:pPr>
        <w:keepNext w:val="0"/>
        <w:keepLines w:val="0"/>
        <w:pageBreakBefore w:val="0"/>
        <w:widowControl w:val="0"/>
        <w:kinsoku/>
        <w:wordWrap/>
        <w:overflowPunct/>
        <w:topLinePunct w:val="0"/>
        <w:autoSpaceDE w:val="0"/>
        <w:autoSpaceDN w:val="0"/>
        <w:bidi w:val="0"/>
        <w:adjustRightInd w:val="0"/>
        <w:snapToGrid/>
        <w:spacing w:line="560" w:lineRule="exact"/>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3.若本单位违反上述任何承诺，愿意承担由此给贵单位造成的一切损失，并接受贵单位依据相关规定作出的处理，同时自动丧失参与本项目的资格。</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特此承诺！</w:t>
      </w:r>
    </w:p>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ascii="宋体" w:hAnsi="宋体" w:eastAsia="宋体" w:cs="宋体"/>
          <w:color w:val="auto"/>
          <w:kern w:val="2"/>
          <w:sz w:val="21"/>
          <w:szCs w:val="21"/>
          <w:lang w:val="en-US" w:eastAsia="zh-CN" w:bidi="ar-SA"/>
        </w:rPr>
        <w:t>（公</w:t>
      </w:r>
      <w:r>
        <w:rPr>
          <w:rFonts w:hint="eastAsia" w:cs="宋体"/>
          <w:snapToGrid w:val="0"/>
          <w:color w:val="auto"/>
          <w:kern w:val="24"/>
          <w:sz w:val="21"/>
          <w:szCs w:val="21"/>
        </w:rPr>
        <w:t>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9"/>
        <w:numPr>
          <w:ilvl w:val="0"/>
          <w:numId w:val="0"/>
        </w:numPr>
        <w:ind w:left="840" w:leftChars="0"/>
        <w:rPr>
          <w:rFonts w:hint="eastAsia" w:ascii="Times New Roman" w:hAnsi="Times New Roman" w:cs="Times New Roman"/>
          <w:b/>
          <w:bCs/>
          <w:color w:val="auto"/>
          <w:lang w:val="en-US" w:eastAsia="zh-CN"/>
        </w:rPr>
        <w:sectPr>
          <w:type w:val="continuous"/>
          <w:pgSz w:w="11906" w:h="16838"/>
          <w:pgMar w:top="1440" w:right="1800" w:bottom="1440" w:left="1800" w:header="851" w:footer="992" w:gutter="0"/>
          <w:cols w:space="720" w:num="1"/>
          <w:docGrid w:type="lines" w:linePitch="312" w:charSpace="0"/>
        </w:sect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五</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jc w:val="center"/>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南宁供电局2025-2026年南宁网区涉密办公资产设备维护及技术支持项目</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rPr>
                <w:rFonts w:hint="default" w:ascii="宋体" w:hAnsi="宋体" w:eastAsia="宋体"/>
                <w:color w:val="auto"/>
                <w:sz w:val="24"/>
                <w:lang w:val="en-US" w:eastAsia="zh-CN"/>
              </w:rPr>
            </w:pPr>
            <w:r>
              <w:rPr>
                <w:rFonts w:hint="eastAsia" w:ascii="宋体" w:hAnsi="宋体" w:eastAsia="宋体"/>
                <w:color w:val="auto"/>
                <w:sz w:val="24"/>
                <w:lang w:eastAsia="zh-CN"/>
              </w:rPr>
              <w:t>南宁供电局2025-2026年南宁网区涉密办公资产设备维护及技术支持</w:t>
            </w:r>
            <w:r>
              <w:rPr>
                <w:rFonts w:hint="eastAsia" w:ascii="宋体" w:hAnsi="宋体"/>
                <w:color w:val="auto"/>
                <w:sz w:val="24"/>
                <w:lang w:eastAsia="zh-CN"/>
              </w:rPr>
              <w:t>项目</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olor w:val="auto"/>
                <w:sz w:val="24"/>
                <w:lang w:val="en-US" w:eastAsia="zh-CN"/>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12个月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142"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eastAsia="宋体"/>
                <w:color w:val="auto"/>
                <w:sz w:val="24"/>
                <w:lang w:eastAsia="zh-CN"/>
              </w:rPr>
              <w:t>南宁供电局2025-2026年南宁网区涉密办公资产设备维护及技术支持</w:t>
            </w:r>
            <w:r>
              <w:rPr>
                <w:rFonts w:hint="eastAsia" w:ascii="宋体" w:hAnsi="宋体"/>
                <w:color w:val="auto"/>
                <w:sz w:val="24"/>
                <w:lang w:eastAsia="zh-CN"/>
              </w:rPr>
              <w:t>项目</w:t>
            </w:r>
            <w:r>
              <w:rPr>
                <w:rFonts w:hint="eastAsia" w:ascii="宋体" w:hAnsi="宋体" w:eastAsia="宋体" w:cs="Times New Roman"/>
                <w:color w:val="auto"/>
                <w:sz w:val="24"/>
              </w:rPr>
              <w:t>要求及标准</w:t>
            </w:r>
            <w:r>
              <w:rPr>
                <w:rFonts w:hint="eastAsia" w:ascii="宋体" w:hAnsi="宋体" w:eastAsia="宋体" w:cs="Times New Roman"/>
                <w:color w:val="auto"/>
                <w:sz w:val="24"/>
                <w:lang w:eastAsia="zh-CN"/>
              </w:rPr>
              <w:t>》</w:t>
            </w:r>
            <w:r>
              <w:rPr>
                <w:rFonts w:hint="eastAsia" w:ascii="宋体" w:hAnsi="宋体" w:cs="Times New Roman"/>
                <w:color w:val="auto"/>
                <w:sz w:val="24"/>
                <w:lang w:eastAsia="zh-CN"/>
              </w:rPr>
              <w:t>和</w:t>
            </w:r>
            <w:r>
              <w:rPr>
                <w:rFonts w:hint="eastAsia" w:ascii="宋体" w:hAnsi="宋体" w:eastAsia="宋体" w:cs="Times New Roman"/>
                <w:color w:val="auto"/>
                <w:sz w:val="24"/>
                <w:lang w:eastAsia="zh-CN"/>
              </w:rPr>
              <w:t>《</w:t>
            </w:r>
            <w:r>
              <w:rPr>
                <w:rFonts w:hint="eastAsia" w:ascii="宋体" w:hAnsi="宋体" w:eastAsia="宋体"/>
                <w:color w:val="auto"/>
                <w:sz w:val="24"/>
                <w:lang w:eastAsia="zh-CN"/>
              </w:rPr>
              <w:t>南宁供电局2025-2026年南宁网区涉密办公资产设备维护及技术支持</w:t>
            </w:r>
            <w:r>
              <w:rPr>
                <w:rFonts w:hint="eastAsia" w:ascii="宋体" w:hAnsi="宋体"/>
                <w:color w:val="auto"/>
                <w:sz w:val="24"/>
                <w:lang w:eastAsia="zh-CN"/>
              </w:rPr>
              <w:t>项目</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六、</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17256"/>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12022"/>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85B69"/>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444CB2"/>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A1B76"/>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769</Words>
  <Characters>848</Characters>
  <Lines>0</Lines>
  <Paragraphs>0</Paragraphs>
  <TotalTime>0</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符华</cp:lastModifiedBy>
  <dcterms:modified xsi:type="dcterms:W3CDTF">2025-10-31T07:11:20Z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199B2B9346DB43F3A8335BA713FF0CF7</vt:lpwstr>
  </property>
</Properties>
</file>