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82A6D">
      <w:pPr>
        <w:jc w:val="center"/>
        <w:rPr>
          <w:rFonts w:hint="eastAsia" w:ascii="宋体" w:hAnsi="宋体" w:eastAsia="宋体" w:cs="宋体"/>
          <w:b/>
          <w:sz w:val="52"/>
        </w:rPr>
      </w:pPr>
      <w:r>
        <w:rPr>
          <w:rFonts w:hint="eastAsia" w:ascii="宋体" w:hAnsi="宋体" w:eastAsia="宋体" w:cs="宋体"/>
          <w:b/>
          <w:sz w:val="52"/>
        </w:rPr>
        <w:drawing>
          <wp:anchor distT="0" distB="0" distL="114300" distR="114300" simplePos="0" relativeHeight="251660288" behindDoc="1" locked="0" layoutInCell="1" allowOverlap="1">
            <wp:simplePos x="0" y="0"/>
            <wp:positionH relativeFrom="column">
              <wp:posOffset>-1143000</wp:posOffset>
            </wp:positionH>
            <wp:positionV relativeFrom="paragraph">
              <wp:posOffset>-913765</wp:posOffset>
            </wp:positionV>
            <wp:extent cx="8918575" cy="2736850"/>
            <wp:effectExtent l="0" t="0" r="15875" b="6350"/>
            <wp:wrapTight wrapText="bothSides">
              <wp:wrapPolygon>
                <wp:start x="0" y="0"/>
                <wp:lineTo x="0" y="21500"/>
                <wp:lineTo x="21546" y="21500"/>
                <wp:lineTo x="21546"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pic:cNvPicPr>
                  </pic:nvPicPr>
                  <pic:blipFill>
                    <a:blip r:embed="rId5"/>
                    <a:stretch>
                      <a:fillRect/>
                    </a:stretch>
                  </pic:blipFill>
                  <pic:spPr>
                    <a:xfrm>
                      <a:off x="0" y="0"/>
                      <a:ext cx="8918575" cy="2736850"/>
                    </a:xfrm>
                    <a:prstGeom prst="rect">
                      <a:avLst/>
                    </a:prstGeom>
                    <a:noFill/>
                    <a:ln>
                      <a:noFill/>
                    </a:ln>
                  </pic:spPr>
                </pic:pic>
              </a:graphicData>
            </a:graphic>
          </wp:anchor>
        </w:drawing>
      </w:r>
    </w:p>
    <w:p w14:paraId="7FCBF065">
      <w:pPr>
        <w:jc w:val="center"/>
        <w:rPr>
          <w:rFonts w:hint="eastAsia" w:ascii="黑体" w:hAnsi="黑体" w:eastAsia="黑体" w:cs="黑体"/>
          <w:b/>
          <w:sz w:val="52"/>
          <w:szCs w:val="52"/>
        </w:rPr>
      </w:pPr>
      <w:r>
        <w:rPr>
          <w:rFonts w:hint="eastAsia" w:ascii="黑体" w:hAnsi="黑体" w:eastAsia="黑体" w:cs="黑体"/>
          <w:b/>
          <w:sz w:val="52"/>
          <w:szCs w:val="52"/>
          <w:lang w:val="en-US" w:eastAsia="zh-CN"/>
        </w:rPr>
        <w:t>±500kV兴仁换流站直流控制保护设备改造项目：原材料检测技术</w:t>
      </w:r>
      <w:r>
        <w:rPr>
          <w:rFonts w:hint="eastAsia" w:ascii="黑体" w:hAnsi="黑体" w:eastAsia="黑体" w:cs="黑体"/>
          <w:b/>
          <w:sz w:val="52"/>
          <w:szCs w:val="52"/>
          <w:highlight w:val="none"/>
        </w:rPr>
        <w:t>服务</w:t>
      </w:r>
      <w:r>
        <w:rPr>
          <w:rFonts w:hint="eastAsia" w:ascii="黑体" w:hAnsi="黑体" w:eastAsia="黑体" w:cs="黑体"/>
          <w:b/>
          <w:sz w:val="52"/>
          <w:szCs w:val="52"/>
        </w:rPr>
        <w:t>技术规范书</w:t>
      </w:r>
    </w:p>
    <w:p w14:paraId="6AB1F439">
      <w:pPr>
        <w:adjustRightInd w:val="0"/>
        <w:snapToGrid w:val="0"/>
        <w:spacing w:before="652" w:beforeLines="200"/>
        <w:jc w:val="center"/>
        <w:rPr>
          <w:rFonts w:hint="eastAsia" w:ascii="宋体" w:hAnsi="宋体" w:eastAsia="宋体" w:cs="宋体"/>
          <w:b/>
          <w:sz w:val="36"/>
          <w:lang w:val="en-US" w:eastAsia="zh-CN"/>
        </w:rPr>
      </w:pPr>
      <w:r>
        <w:rPr>
          <w:rFonts w:hint="eastAsia" w:ascii="宋体" w:hAnsi="宋体" w:eastAsia="宋体" w:cs="宋体"/>
          <w:b/>
          <w:sz w:val="36"/>
          <w:lang w:val="en-US" w:eastAsia="zh-CN"/>
        </w:rPr>
        <w:t>批准：</w:t>
      </w:r>
    </w:p>
    <w:p w14:paraId="40DCF4F3">
      <w:pPr>
        <w:adjustRightInd w:val="0"/>
        <w:snapToGrid w:val="0"/>
        <w:spacing w:before="652" w:beforeLines="200"/>
        <w:jc w:val="center"/>
        <w:rPr>
          <w:rFonts w:hint="eastAsia" w:ascii="宋体" w:hAnsi="宋体" w:eastAsia="宋体" w:cs="宋体"/>
          <w:b/>
          <w:sz w:val="36"/>
          <w:lang w:val="en-US" w:eastAsia="zh-CN"/>
        </w:rPr>
      </w:pPr>
      <w:r>
        <w:rPr>
          <w:rFonts w:hint="eastAsia" w:ascii="宋体" w:hAnsi="宋体" w:eastAsia="宋体" w:cs="宋体"/>
          <w:b/>
          <w:sz w:val="36"/>
        </w:rPr>
        <w:t>审定：</w:t>
      </w:r>
      <w:r>
        <w:rPr>
          <w:rFonts w:hint="eastAsia" w:ascii="宋体" w:hAnsi="宋体" w:cs="宋体"/>
          <w:b/>
          <w:sz w:val="36"/>
          <w:lang w:val="en-US" w:eastAsia="zh-CN"/>
        </w:rPr>
        <w:t xml:space="preserve"> </w:t>
      </w:r>
    </w:p>
    <w:p w14:paraId="78692E1B">
      <w:pPr>
        <w:adjustRightInd w:val="0"/>
        <w:snapToGrid w:val="0"/>
        <w:spacing w:before="652" w:beforeLines="200"/>
        <w:jc w:val="center"/>
        <w:rPr>
          <w:rFonts w:hint="eastAsia" w:ascii="宋体" w:hAnsi="宋体" w:eastAsia="宋体" w:cs="宋体"/>
          <w:b/>
          <w:sz w:val="36"/>
        </w:rPr>
      </w:pPr>
      <w:r>
        <w:rPr>
          <w:rFonts w:hint="eastAsia" w:ascii="宋体" w:hAnsi="宋体" w:eastAsia="宋体" w:cs="宋体"/>
          <w:b/>
          <w:sz w:val="36"/>
        </w:rPr>
        <w:t>审核：</w:t>
      </w:r>
    </w:p>
    <w:p w14:paraId="5698B22C">
      <w:pPr>
        <w:adjustRightInd w:val="0"/>
        <w:snapToGrid w:val="0"/>
        <w:spacing w:before="652" w:beforeLines="200"/>
        <w:jc w:val="center"/>
        <w:rPr>
          <w:rFonts w:hint="eastAsia" w:ascii="宋体" w:hAnsi="宋体" w:eastAsia="宋体" w:cs="宋体"/>
          <w:b/>
          <w:spacing w:val="20"/>
          <w:w w:val="135"/>
          <w:sz w:val="30"/>
        </w:rPr>
      </w:pPr>
      <w:r>
        <w:rPr>
          <w:rFonts w:hint="eastAsia" w:ascii="宋体" w:hAnsi="宋体" w:eastAsia="宋体" w:cs="宋体"/>
          <w:b/>
          <w:sz w:val="36"/>
        </w:rPr>
        <w:t>编写：</w:t>
      </w:r>
    </w:p>
    <w:p w14:paraId="6EBE884B">
      <w:pPr>
        <w:bidi w:val="0"/>
        <w:jc w:val="left"/>
        <w:rPr>
          <w:rFonts w:hint="eastAsia" w:ascii="宋体" w:hAnsi="宋体" w:eastAsia="宋体" w:cs="宋体"/>
          <w:lang w:val="en-US" w:eastAsia="zh-CN"/>
        </w:rPr>
      </w:pPr>
    </w:p>
    <w:p w14:paraId="2434EAF9">
      <w:pPr>
        <w:spacing w:before="652" w:beforeLines="200"/>
        <w:jc w:val="center"/>
        <w:rPr>
          <w:rFonts w:hint="eastAsia" w:ascii="宋体" w:hAnsi="宋体" w:eastAsia="宋体" w:cs="宋体"/>
          <w:b/>
          <w:spacing w:val="20"/>
          <w:w w:val="135"/>
          <w:sz w:val="30"/>
          <w:lang w:eastAsia="zh-CN"/>
        </w:rPr>
      </w:pPr>
      <w:r>
        <w:rPr>
          <w:rFonts w:hint="eastAsia" w:ascii="宋体" w:hAnsi="宋体" w:eastAsia="宋体" w:cs="宋体"/>
          <w:b/>
          <w:spacing w:val="20"/>
          <w:w w:val="135"/>
          <w:sz w:val="30"/>
        </w:rPr>
        <w:t>超高压输电公司</w:t>
      </w:r>
      <w:r>
        <w:rPr>
          <w:rFonts w:hint="eastAsia" w:ascii="宋体" w:hAnsi="宋体" w:cs="宋体"/>
          <w:b/>
          <w:spacing w:val="20"/>
          <w:w w:val="135"/>
          <w:sz w:val="30"/>
          <w:lang w:val="en-US" w:eastAsia="zh-CN"/>
        </w:rPr>
        <w:t>电力科研院</w:t>
      </w:r>
    </w:p>
    <w:p w14:paraId="093B7EB7">
      <w:pPr>
        <w:jc w:val="center"/>
        <w:rPr>
          <w:rFonts w:hint="eastAsia" w:ascii="宋体" w:hAnsi="宋体" w:eastAsia="宋体" w:cs="宋体"/>
          <w:b/>
          <w:sz w:val="28"/>
        </w:rPr>
      </w:pPr>
      <w:r>
        <w:rPr>
          <w:rFonts w:hint="eastAsia" w:ascii="宋体" w:hAnsi="宋体" w:cs="宋体"/>
          <w:b/>
          <w:spacing w:val="20"/>
          <w:w w:val="135"/>
          <w:sz w:val="30"/>
          <w:lang w:val="en-US" w:eastAsia="zh-CN"/>
        </w:rPr>
        <w:t>2025</w:t>
      </w:r>
      <w:r>
        <w:rPr>
          <w:rFonts w:hint="eastAsia" w:ascii="宋体" w:hAnsi="宋体" w:eastAsia="宋体" w:cs="宋体"/>
          <w:b/>
          <w:spacing w:val="20"/>
          <w:w w:val="135"/>
          <w:sz w:val="30"/>
        </w:rPr>
        <w:t>年</w:t>
      </w:r>
      <w:r>
        <w:rPr>
          <w:rFonts w:hint="eastAsia" w:ascii="宋体" w:hAnsi="宋体" w:cs="宋体"/>
          <w:b/>
          <w:spacing w:val="20"/>
          <w:w w:val="135"/>
          <w:sz w:val="30"/>
          <w:lang w:val="en-US" w:eastAsia="zh-CN"/>
        </w:rPr>
        <w:t>9</w:t>
      </w:r>
      <w:r>
        <w:rPr>
          <w:rFonts w:hint="eastAsia" w:ascii="宋体" w:hAnsi="宋体" w:eastAsia="宋体" w:cs="宋体"/>
          <w:b/>
          <w:spacing w:val="20"/>
          <w:w w:val="135"/>
          <w:sz w:val="30"/>
        </w:rPr>
        <w:t>月</w:t>
      </w:r>
    </w:p>
    <w:p w14:paraId="543E1EBB">
      <w:pPr>
        <w:pStyle w:val="20"/>
        <w:adjustRightInd w:val="0"/>
        <w:snapToGrid w:val="0"/>
        <w:spacing w:line="360" w:lineRule="auto"/>
        <w:ind w:left="0" w:leftChars="0" w:firstLine="0" w:firstLineChars="0"/>
        <w:jc w:val="center"/>
        <w:rPr>
          <w:rFonts w:hint="eastAsia" w:ascii="宋体" w:hAnsi="宋体" w:eastAsia="宋体" w:cs="宋体"/>
          <w:b/>
          <w:sz w:val="28"/>
          <w:szCs w:val="28"/>
        </w:rPr>
      </w:pPr>
    </w:p>
    <w:p w14:paraId="373EBE02">
      <w:pPr>
        <w:pStyle w:val="20"/>
        <w:adjustRightInd w:val="0"/>
        <w:snapToGrid w:val="0"/>
        <w:spacing w:line="360" w:lineRule="auto"/>
        <w:ind w:left="0" w:leftChars="0" w:firstLine="0" w:firstLineChars="0"/>
        <w:jc w:val="center"/>
        <w:rPr>
          <w:rFonts w:hint="eastAsia" w:ascii="宋体" w:hAnsi="宋体" w:eastAsia="宋体" w:cs="宋体"/>
          <w:b/>
          <w:sz w:val="28"/>
          <w:szCs w:val="28"/>
        </w:rPr>
      </w:pPr>
      <w:r>
        <w:rPr>
          <w:rFonts w:hint="eastAsia" w:ascii="宋体" w:hAnsi="宋体" w:eastAsia="宋体" w:cs="宋体"/>
          <w:b/>
          <w:sz w:val="28"/>
          <w:szCs w:val="28"/>
        </w:rPr>
        <w:t>目  录</w:t>
      </w:r>
    </w:p>
    <w:p w14:paraId="401F7768">
      <w:pPr>
        <w:pStyle w:val="12"/>
        <w:tabs>
          <w:tab w:val="right" w:leader="dot" w:pos="8306"/>
        </w:tabs>
      </w:pPr>
      <w:r>
        <w:rPr>
          <w:rFonts w:hint="eastAsia" w:ascii="宋体" w:hAnsi="宋体" w:eastAsia="宋体" w:cs="宋体"/>
          <w:b w:val="0"/>
          <w:i/>
          <w:sz w:val="21"/>
          <w:szCs w:val="21"/>
        </w:rPr>
        <w:fldChar w:fldCharType="begin"/>
      </w:r>
      <w:r>
        <w:rPr>
          <w:rFonts w:hint="eastAsia" w:ascii="宋体" w:hAnsi="宋体" w:eastAsia="宋体" w:cs="宋体"/>
          <w:b w:val="0"/>
          <w:i/>
          <w:sz w:val="21"/>
          <w:szCs w:val="21"/>
        </w:rPr>
        <w:instrText xml:space="preserve"> TOC \o "1-2" \h \z \u </w:instrText>
      </w:r>
      <w:r>
        <w:rPr>
          <w:rFonts w:hint="eastAsia" w:ascii="宋体" w:hAnsi="宋体" w:eastAsia="宋体" w:cs="宋体"/>
          <w:b w:val="0"/>
          <w:i/>
          <w:sz w:val="21"/>
          <w:szCs w:val="21"/>
        </w:rPr>
        <w:fldChar w:fldCharType="separate"/>
      </w:r>
      <w:r>
        <w:rPr>
          <w:rFonts w:hint="eastAsia" w:ascii="宋体" w:hAnsi="宋体" w:eastAsia="宋体" w:cs="宋体"/>
          <w:i/>
          <w:szCs w:val="21"/>
        </w:rPr>
        <w:fldChar w:fldCharType="begin"/>
      </w:r>
      <w:r>
        <w:rPr>
          <w:rFonts w:hint="eastAsia" w:ascii="宋体" w:hAnsi="宋体" w:eastAsia="宋体" w:cs="宋体"/>
          <w:i/>
          <w:szCs w:val="21"/>
        </w:rPr>
        <w:instrText xml:space="preserve"> HYPERLINK \l _Toc9446 </w:instrText>
      </w:r>
      <w:r>
        <w:rPr>
          <w:rFonts w:hint="eastAsia" w:ascii="宋体" w:hAnsi="宋体" w:eastAsia="宋体" w:cs="宋体"/>
          <w:i/>
          <w:szCs w:val="21"/>
        </w:rPr>
        <w:fldChar w:fldCharType="separate"/>
      </w:r>
      <w:r>
        <w:rPr>
          <w:rFonts w:hint="eastAsia" w:ascii="宋体" w:hAnsi="宋体" w:eastAsia="宋体" w:cs="宋体"/>
          <w:bCs w:val="0"/>
          <w:szCs w:val="21"/>
          <w:lang w:val="en-US" w:eastAsia="zh-CN"/>
        </w:rPr>
        <w:t xml:space="preserve">1 </w:t>
      </w:r>
      <w:r>
        <w:rPr>
          <w:rFonts w:hint="eastAsia" w:ascii="宋体" w:hAnsi="宋体" w:eastAsia="宋体" w:cs="宋体"/>
          <w:bCs w:val="0"/>
          <w:szCs w:val="21"/>
        </w:rPr>
        <w:t>总则</w:t>
      </w:r>
      <w:r>
        <w:tab/>
      </w:r>
      <w:r>
        <w:fldChar w:fldCharType="begin"/>
      </w:r>
      <w:r>
        <w:instrText xml:space="preserve"> PAGEREF _Toc9446 \h </w:instrText>
      </w:r>
      <w:r>
        <w:fldChar w:fldCharType="separate"/>
      </w:r>
      <w:r>
        <w:t>1</w:t>
      </w:r>
      <w:r>
        <w:fldChar w:fldCharType="end"/>
      </w:r>
      <w:r>
        <w:rPr>
          <w:rFonts w:hint="eastAsia" w:ascii="宋体" w:hAnsi="宋体" w:eastAsia="宋体" w:cs="宋体"/>
          <w:i/>
          <w:szCs w:val="21"/>
        </w:rPr>
        <w:fldChar w:fldCharType="end"/>
      </w:r>
    </w:p>
    <w:p w14:paraId="3C4C16E7">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_Toc4670 </w:instrText>
      </w:r>
      <w:r>
        <w:rPr>
          <w:rFonts w:hint="eastAsia" w:ascii="宋体" w:hAnsi="宋体" w:eastAsia="宋体" w:cs="宋体"/>
        </w:rPr>
        <w:fldChar w:fldCharType="separate"/>
      </w:r>
      <w:r>
        <w:rPr>
          <w:rFonts w:hint="eastAsia" w:ascii="宋体" w:hAnsi="宋体" w:eastAsia="宋体" w:cs="宋体"/>
          <w:bCs w:val="0"/>
          <w:szCs w:val="21"/>
          <w:lang w:val="en-US" w:eastAsia="zh-CN"/>
        </w:rPr>
        <w:t>2 应遵循的主要标准</w:t>
      </w:r>
      <w:r>
        <w:tab/>
      </w:r>
      <w:r>
        <w:fldChar w:fldCharType="begin"/>
      </w:r>
      <w:r>
        <w:instrText xml:space="preserve"> PAGEREF _Toc4670 \h </w:instrText>
      </w:r>
      <w:r>
        <w:fldChar w:fldCharType="separate"/>
      </w:r>
      <w:r>
        <w:t>1</w:t>
      </w:r>
      <w:r>
        <w:fldChar w:fldCharType="end"/>
      </w:r>
      <w:r>
        <w:rPr>
          <w:rFonts w:hint="eastAsia" w:ascii="宋体" w:hAnsi="宋体" w:eastAsia="宋体" w:cs="宋体"/>
        </w:rPr>
        <w:fldChar w:fldCharType="end"/>
      </w:r>
    </w:p>
    <w:p w14:paraId="02E8F21C">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_Toc21521 </w:instrText>
      </w:r>
      <w:r>
        <w:rPr>
          <w:rFonts w:hint="eastAsia" w:ascii="宋体" w:hAnsi="宋体" w:eastAsia="宋体" w:cs="宋体"/>
        </w:rPr>
        <w:fldChar w:fldCharType="separate"/>
      </w:r>
      <w:r>
        <w:rPr>
          <w:rFonts w:hint="eastAsia" w:ascii="宋体" w:hAnsi="宋体" w:eastAsia="宋体" w:cs="宋体"/>
          <w:bCs w:val="0"/>
          <w:szCs w:val="21"/>
          <w:lang w:val="en-US" w:eastAsia="zh-CN"/>
        </w:rPr>
        <w:t>3 技术服务内容</w:t>
      </w:r>
      <w:r>
        <w:tab/>
      </w:r>
      <w:r>
        <w:fldChar w:fldCharType="begin"/>
      </w:r>
      <w:r>
        <w:instrText xml:space="preserve"> PAGEREF _Toc21521 \h </w:instrText>
      </w:r>
      <w:r>
        <w:fldChar w:fldCharType="separate"/>
      </w:r>
      <w:r>
        <w:t>1</w:t>
      </w:r>
      <w:r>
        <w:fldChar w:fldCharType="end"/>
      </w:r>
      <w:r>
        <w:rPr>
          <w:rFonts w:hint="eastAsia" w:ascii="宋体" w:hAnsi="宋体" w:eastAsia="宋体" w:cs="宋体"/>
        </w:rPr>
        <w:fldChar w:fldCharType="end"/>
      </w:r>
    </w:p>
    <w:p w14:paraId="10E498ED">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_Toc24821 </w:instrText>
      </w:r>
      <w:r>
        <w:rPr>
          <w:rFonts w:hint="eastAsia" w:ascii="宋体" w:hAnsi="宋体" w:eastAsia="宋体" w:cs="宋体"/>
        </w:rPr>
        <w:fldChar w:fldCharType="separate"/>
      </w:r>
      <w:r>
        <w:rPr>
          <w:rFonts w:hint="eastAsia" w:ascii="宋体" w:hAnsi="宋体" w:eastAsia="宋体" w:cs="宋体"/>
          <w:szCs w:val="21"/>
        </w:rPr>
        <w:t>3.1 项目概况</w:t>
      </w:r>
      <w:r>
        <w:tab/>
      </w:r>
      <w:r>
        <w:fldChar w:fldCharType="begin"/>
      </w:r>
      <w:r>
        <w:instrText xml:space="preserve"> PAGEREF _Toc24821 \h </w:instrText>
      </w:r>
      <w:r>
        <w:fldChar w:fldCharType="separate"/>
      </w:r>
      <w:r>
        <w:t>1</w:t>
      </w:r>
      <w:r>
        <w:fldChar w:fldCharType="end"/>
      </w:r>
      <w:r>
        <w:rPr>
          <w:rFonts w:hint="eastAsia" w:ascii="宋体" w:hAnsi="宋体" w:eastAsia="宋体" w:cs="宋体"/>
        </w:rPr>
        <w:fldChar w:fldCharType="end"/>
      </w:r>
    </w:p>
    <w:p w14:paraId="381863EC">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_Toc13151 </w:instrText>
      </w:r>
      <w:r>
        <w:rPr>
          <w:rFonts w:hint="eastAsia" w:ascii="宋体" w:hAnsi="宋体" w:eastAsia="宋体" w:cs="宋体"/>
        </w:rPr>
        <w:fldChar w:fldCharType="separate"/>
      </w:r>
      <w:r>
        <w:rPr>
          <w:rFonts w:hint="eastAsia" w:ascii="宋体" w:hAnsi="宋体" w:eastAsia="宋体" w:cs="宋体"/>
          <w:szCs w:val="21"/>
        </w:rPr>
        <w:t>3.</w:t>
      </w:r>
      <w:r>
        <w:rPr>
          <w:rFonts w:hint="eastAsia" w:ascii="宋体" w:hAnsi="宋体" w:eastAsia="宋体" w:cs="宋体"/>
          <w:szCs w:val="21"/>
          <w:highlight w:val="none"/>
        </w:rPr>
        <w:t>2 工期要求</w:t>
      </w:r>
      <w:r>
        <w:tab/>
      </w:r>
      <w:r>
        <w:fldChar w:fldCharType="begin"/>
      </w:r>
      <w:r>
        <w:instrText xml:space="preserve"> PAGEREF _Toc13151 \h </w:instrText>
      </w:r>
      <w:r>
        <w:fldChar w:fldCharType="separate"/>
      </w:r>
      <w:r>
        <w:t>2</w:t>
      </w:r>
      <w:r>
        <w:fldChar w:fldCharType="end"/>
      </w:r>
      <w:r>
        <w:rPr>
          <w:rFonts w:hint="eastAsia" w:ascii="宋体" w:hAnsi="宋体" w:eastAsia="宋体" w:cs="宋体"/>
        </w:rPr>
        <w:fldChar w:fldCharType="end"/>
      </w:r>
    </w:p>
    <w:p w14:paraId="6D0C8F03">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_Toc16465 </w:instrText>
      </w:r>
      <w:r>
        <w:rPr>
          <w:rFonts w:hint="eastAsia" w:ascii="宋体" w:hAnsi="宋体" w:eastAsia="宋体" w:cs="宋体"/>
        </w:rPr>
        <w:fldChar w:fldCharType="separate"/>
      </w:r>
      <w:r>
        <w:rPr>
          <w:rFonts w:hint="eastAsia" w:ascii="宋体" w:hAnsi="宋体" w:eastAsia="宋体" w:cs="宋体"/>
          <w:szCs w:val="21"/>
          <w:highlight w:val="none"/>
        </w:rPr>
        <w:t>3.3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技术服务内容</w:t>
      </w:r>
      <w:r>
        <w:tab/>
      </w:r>
      <w:r>
        <w:fldChar w:fldCharType="begin"/>
      </w:r>
      <w:r>
        <w:instrText xml:space="preserve"> PAGEREF _Toc16465 \h </w:instrText>
      </w:r>
      <w:r>
        <w:fldChar w:fldCharType="separate"/>
      </w:r>
      <w:r>
        <w:t>2</w:t>
      </w:r>
      <w:r>
        <w:fldChar w:fldCharType="end"/>
      </w:r>
      <w:r>
        <w:rPr>
          <w:rFonts w:hint="eastAsia" w:ascii="宋体" w:hAnsi="宋体" w:eastAsia="宋体" w:cs="宋体"/>
        </w:rPr>
        <w:fldChar w:fldCharType="end"/>
      </w:r>
    </w:p>
    <w:p w14:paraId="1AE96C2A">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_Toc32408 </w:instrText>
      </w:r>
      <w:r>
        <w:rPr>
          <w:rFonts w:hint="eastAsia" w:ascii="宋体" w:hAnsi="宋体" w:eastAsia="宋体" w:cs="宋体"/>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 xml:space="preserve">4 </w:t>
      </w:r>
      <w:r>
        <w:rPr>
          <w:rFonts w:hint="eastAsia" w:ascii="宋体" w:hAnsi="宋体" w:cs="宋体"/>
          <w:szCs w:val="21"/>
          <w:highlight w:val="none"/>
          <w:lang w:val="en-US" w:eastAsia="zh-CN"/>
        </w:rPr>
        <w:t>交付物</w:t>
      </w:r>
      <w:r>
        <w:tab/>
      </w:r>
      <w:r>
        <w:fldChar w:fldCharType="begin"/>
      </w:r>
      <w:r>
        <w:instrText xml:space="preserve"> PAGEREF _Toc32408 \h </w:instrText>
      </w:r>
      <w:r>
        <w:fldChar w:fldCharType="separate"/>
      </w:r>
      <w:r>
        <w:t>2</w:t>
      </w:r>
      <w:r>
        <w:fldChar w:fldCharType="end"/>
      </w:r>
      <w:r>
        <w:rPr>
          <w:rFonts w:hint="eastAsia" w:ascii="宋体" w:hAnsi="宋体" w:eastAsia="宋体" w:cs="宋体"/>
        </w:rPr>
        <w:fldChar w:fldCharType="end"/>
      </w:r>
    </w:p>
    <w:p w14:paraId="40262B6E">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_Toc32601 </w:instrText>
      </w:r>
      <w:r>
        <w:rPr>
          <w:rFonts w:hint="eastAsia" w:ascii="宋体" w:hAnsi="宋体" w:eastAsia="宋体" w:cs="宋体"/>
        </w:rPr>
        <w:fldChar w:fldCharType="separate"/>
      </w:r>
      <w:r>
        <w:rPr>
          <w:rFonts w:hint="eastAsia" w:ascii="宋体" w:hAnsi="宋体" w:eastAsia="宋体" w:cs="宋体"/>
          <w:bCs w:val="0"/>
          <w:szCs w:val="21"/>
          <w:lang w:val="en-US" w:eastAsia="zh-CN"/>
        </w:rPr>
        <w:t xml:space="preserve">4 </w:t>
      </w:r>
      <w:r>
        <w:rPr>
          <w:rFonts w:hint="eastAsia" w:ascii="宋体" w:hAnsi="宋体" w:cs="宋体"/>
          <w:bCs w:val="0"/>
          <w:szCs w:val="21"/>
          <w:lang w:val="en-US" w:eastAsia="zh-CN"/>
        </w:rPr>
        <w:t>其他</w:t>
      </w:r>
      <w:r>
        <w:tab/>
      </w:r>
      <w:r>
        <w:fldChar w:fldCharType="begin"/>
      </w:r>
      <w:r>
        <w:instrText xml:space="preserve"> PAGEREF _Toc32601 \h </w:instrText>
      </w:r>
      <w:r>
        <w:fldChar w:fldCharType="separate"/>
      </w:r>
      <w:r>
        <w:t>2</w:t>
      </w:r>
      <w:r>
        <w:fldChar w:fldCharType="end"/>
      </w:r>
      <w:r>
        <w:rPr>
          <w:rFonts w:hint="eastAsia" w:ascii="宋体" w:hAnsi="宋体" w:eastAsia="宋体" w:cs="宋体"/>
        </w:rPr>
        <w:fldChar w:fldCharType="end"/>
      </w:r>
    </w:p>
    <w:p w14:paraId="32B1A01E">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_Toc18820 </w:instrText>
      </w:r>
      <w:r>
        <w:rPr>
          <w:rFonts w:hint="eastAsia" w:ascii="宋体" w:hAnsi="宋体" w:eastAsia="宋体" w:cs="宋体"/>
        </w:rPr>
        <w:fldChar w:fldCharType="separate"/>
      </w:r>
      <w:r>
        <w:rPr>
          <w:rFonts w:hint="eastAsia" w:ascii="宋体" w:hAnsi="宋体" w:cs="宋体"/>
          <w:bCs w:val="0"/>
          <w:szCs w:val="21"/>
          <w:highlight w:val="none"/>
          <w:lang w:val="en-US" w:eastAsia="zh-CN"/>
        </w:rPr>
        <w:t>5</w:t>
      </w:r>
      <w:r>
        <w:rPr>
          <w:rFonts w:hint="eastAsia" w:ascii="宋体" w:hAnsi="宋体" w:eastAsia="宋体" w:cs="宋体"/>
          <w:bCs w:val="0"/>
          <w:szCs w:val="21"/>
          <w:highlight w:val="none"/>
          <w:lang w:val="en-US" w:eastAsia="zh-CN"/>
        </w:rPr>
        <w:t xml:space="preserve"> 附件</w:t>
      </w:r>
      <w:r>
        <w:tab/>
      </w:r>
      <w:r>
        <w:fldChar w:fldCharType="begin"/>
      </w:r>
      <w:r>
        <w:instrText xml:space="preserve"> PAGEREF _Toc18820 \h </w:instrText>
      </w:r>
      <w:r>
        <w:fldChar w:fldCharType="separate"/>
      </w:r>
      <w:r>
        <w:t>2</w:t>
      </w:r>
      <w:r>
        <w:fldChar w:fldCharType="end"/>
      </w:r>
      <w:r>
        <w:rPr>
          <w:rFonts w:hint="eastAsia" w:ascii="宋体" w:hAnsi="宋体" w:eastAsia="宋体" w:cs="宋体"/>
        </w:rPr>
        <w:fldChar w:fldCharType="end"/>
      </w:r>
    </w:p>
    <w:p w14:paraId="28AD3FC4">
      <w:pPr>
        <w:numPr>
          <w:ilvl w:val="0"/>
          <w:numId w:val="0"/>
        </w:numPr>
        <w:spacing w:before="166" w:beforeLines="50" w:after="166" w:afterLines="50" w:line="360" w:lineRule="auto"/>
        <w:ind w:leftChars="0"/>
        <w:outlineLvl w:val="9"/>
        <w:rPr>
          <w:rFonts w:hint="eastAsia" w:ascii="宋体" w:hAnsi="宋体" w:eastAsia="宋体" w:cs="宋体"/>
        </w:rPr>
      </w:pPr>
      <w:r>
        <w:rPr>
          <w:rFonts w:hint="eastAsia" w:ascii="宋体" w:hAnsi="宋体" w:eastAsia="宋体" w:cs="宋体"/>
        </w:rPr>
        <w:fldChar w:fldCharType="end"/>
      </w:r>
      <w:bookmarkStart w:id="0" w:name="_Toc213214964"/>
      <w:bookmarkStart w:id="1" w:name="_Toc369559700"/>
      <w:bookmarkStart w:id="2" w:name="_Toc6532"/>
      <w:bookmarkStart w:id="3" w:name="_Toc24974"/>
      <w:bookmarkStart w:id="4" w:name="_Toc369561303"/>
      <w:bookmarkStart w:id="5" w:name="_Toc2993"/>
      <w:bookmarkStart w:id="6" w:name="_Toc416294816"/>
    </w:p>
    <w:p w14:paraId="42AC7EE9">
      <w:pPr>
        <w:numPr>
          <w:ilvl w:val="0"/>
          <w:numId w:val="0"/>
        </w:numPr>
        <w:spacing w:before="166" w:beforeLines="50" w:after="166" w:afterLines="50" w:line="360" w:lineRule="auto"/>
        <w:ind w:leftChars="0"/>
        <w:outlineLvl w:val="9"/>
        <w:rPr>
          <w:rFonts w:hint="eastAsia" w:ascii="宋体" w:hAnsi="宋体" w:eastAsia="宋体" w:cs="宋体"/>
        </w:rPr>
      </w:pPr>
    </w:p>
    <w:p w14:paraId="43E3FEA0">
      <w:pPr>
        <w:numPr>
          <w:ilvl w:val="0"/>
          <w:numId w:val="0"/>
        </w:numPr>
        <w:spacing w:before="166" w:beforeLines="50" w:after="166" w:afterLines="50" w:line="360" w:lineRule="auto"/>
        <w:ind w:leftChars="0"/>
        <w:outlineLvl w:val="9"/>
        <w:rPr>
          <w:rFonts w:hint="eastAsia" w:ascii="宋体" w:hAnsi="宋体" w:eastAsia="宋体" w:cs="宋体"/>
        </w:rPr>
      </w:pPr>
    </w:p>
    <w:p w14:paraId="4A3F5DF5">
      <w:pPr>
        <w:numPr>
          <w:ilvl w:val="0"/>
          <w:numId w:val="0"/>
        </w:numPr>
        <w:spacing w:before="166" w:beforeLines="50" w:after="166" w:afterLines="50" w:line="360" w:lineRule="auto"/>
        <w:ind w:leftChars="0"/>
        <w:outlineLvl w:val="9"/>
        <w:rPr>
          <w:rFonts w:hint="eastAsia" w:ascii="宋体" w:hAnsi="宋体" w:eastAsia="宋体" w:cs="宋体"/>
        </w:rPr>
      </w:pPr>
    </w:p>
    <w:p w14:paraId="56E48915">
      <w:pPr>
        <w:numPr>
          <w:ilvl w:val="0"/>
          <w:numId w:val="0"/>
        </w:numPr>
        <w:spacing w:before="166" w:beforeLines="50" w:after="166" w:afterLines="50" w:line="360" w:lineRule="auto"/>
        <w:ind w:leftChars="0"/>
        <w:outlineLvl w:val="9"/>
        <w:rPr>
          <w:rFonts w:hint="eastAsia" w:ascii="宋体" w:hAnsi="宋体" w:eastAsia="宋体" w:cs="宋体"/>
        </w:rPr>
      </w:pPr>
    </w:p>
    <w:p w14:paraId="35F9F00E">
      <w:pPr>
        <w:numPr>
          <w:ilvl w:val="0"/>
          <w:numId w:val="0"/>
        </w:numPr>
        <w:spacing w:before="166" w:beforeLines="50" w:after="166" w:afterLines="50" w:line="360" w:lineRule="auto"/>
        <w:ind w:leftChars="0"/>
        <w:outlineLvl w:val="9"/>
        <w:rPr>
          <w:rFonts w:hint="eastAsia" w:ascii="宋体" w:hAnsi="宋体" w:eastAsia="宋体" w:cs="宋体"/>
        </w:rPr>
      </w:pPr>
    </w:p>
    <w:p w14:paraId="24FDBDDF">
      <w:pPr>
        <w:numPr>
          <w:ilvl w:val="0"/>
          <w:numId w:val="0"/>
        </w:numPr>
        <w:spacing w:before="166" w:beforeLines="50" w:after="166" w:afterLines="50" w:line="360" w:lineRule="auto"/>
        <w:ind w:leftChars="0"/>
        <w:outlineLvl w:val="9"/>
        <w:rPr>
          <w:rFonts w:hint="eastAsia" w:ascii="宋体" w:hAnsi="宋体" w:eastAsia="宋体" w:cs="宋体"/>
        </w:rPr>
      </w:pPr>
    </w:p>
    <w:p w14:paraId="11B4477C">
      <w:pPr>
        <w:outlineLvl w:val="9"/>
        <w:rPr>
          <w:rFonts w:hint="eastAsia" w:ascii="宋体" w:hAnsi="宋体" w:eastAsia="宋体" w:cs="宋体"/>
        </w:rPr>
      </w:pPr>
    </w:p>
    <w:p w14:paraId="41069CDE">
      <w:pPr>
        <w:pStyle w:val="19"/>
        <w:outlineLvl w:val="9"/>
        <w:rPr>
          <w:rFonts w:hint="eastAsia" w:ascii="宋体" w:hAnsi="宋体" w:eastAsia="宋体" w:cs="宋体"/>
        </w:rPr>
      </w:pPr>
    </w:p>
    <w:p w14:paraId="773D5471">
      <w:pPr>
        <w:outlineLvl w:val="9"/>
        <w:rPr>
          <w:rFonts w:hint="eastAsia" w:ascii="宋体" w:hAnsi="宋体" w:eastAsia="宋体" w:cs="宋体"/>
        </w:rPr>
      </w:pPr>
    </w:p>
    <w:p w14:paraId="1370EF4B">
      <w:pPr>
        <w:pStyle w:val="19"/>
        <w:rPr>
          <w:rFonts w:hint="eastAsia" w:ascii="宋体" w:hAnsi="宋体" w:eastAsia="宋体" w:cs="宋体"/>
        </w:rPr>
      </w:pPr>
    </w:p>
    <w:p w14:paraId="76555519">
      <w:pPr>
        <w:pStyle w:val="3"/>
        <w:numPr>
          <w:ilvl w:val="0"/>
          <w:numId w:val="0"/>
        </w:numPr>
        <w:spacing w:before="166" w:beforeLines="50" w:after="166" w:afterLines="50" w:line="360" w:lineRule="auto"/>
        <w:ind w:leftChars="0"/>
        <w:rPr>
          <w:rFonts w:hint="eastAsia" w:ascii="宋体" w:hAnsi="宋体" w:eastAsia="宋体" w:cs="宋体"/>
          <w:sz w:val="32"/>
          <w:szCs w:val="32"/>
          <w:lang w:val="en-US" w:eastAsia="zh-CN"/>
        </w:rPr>
        <w:sectPr>
          <w:pgSz w:w="11906" w:h="16838"/>
          <w:pgMar w:top="1440" w:right="1800" w:bottom="1440" w:left="1800" w:header="851" w:footer="992" w:gutter="0"/>
          <w:cols w:space="425" w:num="1"/>
          <w:docGrid w:type="lines" w:linePitch="312" w:charSpace="0"/>
        </w:sectPr>
      </w:pPr>
    </w:p>
    <w:p w14:paraId="27B9F2A6">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rPr>
      </w:pPr>
      <w:bookmarkStart w:id="7" w:name="_Toc18291"/>
      <w:bookmarkStart w:id="8" w:name="_Toc9446"/>
      <w:r>
        <w:rPr>
          <w:rFonts w:hint="eastAsia" w:ascii="宋体" w:hAnsi="宋体" w:eastAsia="宋体" w:cs="宋体"/>
          <w:b/>
          <w:bCs w:val="0"/>
          <w:sz w:val="21"/>
          <w:szCs w:val="21"/>
          <w:lang w:val="en-US" w:eastAsia="zh-CN"/>
        </w:rPr>
        <w:t xml:space="preserve">1 </w:t>
      </w:r>
      <w:r>
        <w:rPr>
          <w:rFonts w:hint="eastAsia" w:ascii="宋体" w:hAnsi="宋体" w:eastAsia="宋体" w:cs="宋体"/>
          <w:b/>
          <w:bCs w:val="0"/>
          <w:sz w:val="21"/>
          <w:szCs w:val="21"/>
        </w:rPr>
        <w:t>总则</w:t>
      </w:r>
      <w:bookmarkEnd w:id="0"/>
      <w:bookmarkEnd w:id="1"/>
      <w:bookmarkEnd w:id="2"/>
      <w:bookmarkEnd w:id="3"/>
      <w:bookmarkEnd w:id="4"/>
      <w:bookmarkEnd w:id="5"/>
      <w:bookmarkEnd w:id="7"/>
      <w:bookmarkEnd w:id="8"/>
      <w:r>
        <w:rPr>
          <w:rFonts w:hint="eastAsia" w:ascii="宋体" w:hAnsi="宋体" w:eastAsia="宋体" w:cs="宋体"/>
          <w:b/>
          <w:bCs w:val="0"/>
          <w:sz w:val="21"/>
          <w:szCs w:val="21"/>
        </w:rPr>
        <w:t xml:space="preserve"> </w:t>
      </w:r>
      <w:bookmarkEnd w:id="6"/>
    </w:p>
    <w:p w14:paraId="1D88DEC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1.1 本技术规范书适用于中国南方电网有限责任公司超高压输电公</w:t>
      </w:r>
      <w:r>
        <w:rPr>
          <w:rFonts w:hint="eastAsia" w:ascii="宋体" w:hAnsi="宋体" w:eastAsia="宋体" w:cs="宋体"/>
          <w:sz w:val="21"/>
          <w:szCs w:val="21"/>
          <w:highlight w:val="none"/>
        </w:rPr>
        <w:t>司</w:t>
      </w:r>
      <w:r>
        <w:rPr>
          <w:rFonts w:hint="eastAsia" w:ascii="宋体" w:hAnsi="宋体" w:cs="宋体"/>
          <w:sz w:val="21"/>
          <w:szCs w:val="21"/>
          <w:highlight w:val="none"/>
          <w:lang w:val="en-US" w:eastAsia="zh-CN"/>
        </w:rPr>
        <w:t>电力科研院±500kV兴仁换流站直流控制保护设备改造项目：原材料检测技术服务采购</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，本技术规范书提出了项目的技术内容、工期进度等要求，规范书的所有解释权归中国南方电网超高压输电公司</w:t>
      </w:r>
      <w:r>
        <w:rPr>
          <w:rFonts w:hint="eastAsia" w:ascii="宋体" w:hAnsi="宋体" w:cs="宋体"/>
          <w:sz w:val="21"/>
          <w:szCs w:val="21"/>
          <w:highlight w:val="none"/>
          <w:lang w:val="en-US" w:eastAsia="zh-CN"/>
        </w:rPr>
        <w:t>电力科研院</w:t>
      </w:r>
      <w:r>
        <w:rPr>
          <w:rFonts w:hint="eastAsia" w:ascii="宋体" w:hAnsi="宋体" w:eastAsia="宋体" w:cs="宋体"/>
          <w:sz w:val="21"/>
          <w:szCs w:val="21"/>
          <w:highlight w:val="none"/>
        </w:rPr>
        <w:t>所有。</w:t>
      </w:r>
    </w:p>
    <w:p w14:paraId="57BC0D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 本技术规范书提出的是最低限度的技术要求，并未对一切技术细节做出规定，投标方应提供符合本规范书的技术服务。</w:t>
      </w:r>
    </w:p>
    <w:p w14:paraId="188433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7F55B10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1.4 在根据本技术规范书签订协议之后，招标方有权提出因标准或规程规范发生变化而产生的一些补充，具体项目由招标方、投标方双方共同商定。</w:t>
      </w:r>
    </w:p>
    <w:p w14:paraId="7576D2B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1.5本技术规范书所使用的标准如遇与投标方所执行的标准发生矛盾时，按较高标准执行，本技术规范书未全部引用应用标准，凡是本技术规范书牵涉的各项内容均按最新标准实施。</w:t>
      </w:r>
    </w:p>
    <w:p w14:paraId="297805FA">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lang w:val="en-US" w:eastAsia="zh-CN"/>
        </w:rPr>
      </w:pPr>
      <w:bookmarkStart w:id="9" w:name="_Toc29332"/>
      <w:bookmarkStart w:id="10" w:name="_Toc416294817"/>
      <w:bookmarkStart w:id="11" w:name="_Toc369559709"/>
      <w:bookmarkStart w:id="12" w:name="_Toc23326"/>
      <w:bookmarkStart w:id="13" w:name="_Toc369561312"/>
      <w:bookmarkStart w:id="14" w:name="_Toc25418"/>
      <w:bookmarkStart w:id="15" w:name="_Toc4670"/>
      <w:r>
        <w:rPr>
          <w:rFonts w:hint="eastAsia" w:ascii="宋体" w:hAnsi="宋体" w:eastAsia="宋体" w:cs="宋体"/>
          <w:b/>
          <w:bCs w:val="0"/>
          <w:sz w:val="21"/>
          <w:szCs w:val="21"/>
          <w:lang w:val="en-US" w:eastAsia="zh-CN"/>
        </w:rPr>
        <w:t>2 应遵循的主要标准</w:t>
      </w:r>
      <w:bookmarkEnd w:id="9"/>
      <w:bookmarkEnd w:id="10"/>
      <w:bookmarkEnd w:id="11"/>
      <w:bookmarkEnd w:id="12"/>
      <w:bookmarkEnd w:id="13"/>
      <w:bookmarkEnd w:id="14"/>
      <w:bookmarkEnd w:id="15"/>
    </w:p>
    <w:p w14:paraId="0235773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除规范书中技术数据和要求外，</w:t>
      </w:r>
      <w:r>
        <w:rPr>
          <w:rFonts w:hint="eastAsia" w:ascii="宋体" w:hAnsi="宋体" w:cs="宋体"/>
          <w:sz w:val="21"/>
          <w:szCs w:val="21"/>
          <w:lang w:val="en-US" w:eastAsia="zh-CN"/>
        </w:rPr>
        <w:t>投标方</w:t>
      </w:r>
      <w:r>
        <w:rPr>
          <w:rFonts w:hint="eastAsia" w:ascii="宋体" w:hAnsi="宋体" w:eastAsia="宋体" w:cs="宋体"/>
          <w:sz w:val="21"/>
          <w:szCs w:val="21"/>
        </w:rPr>
        <w:t>所提供的技术服务须满足规定的标准和规程的最新版本。如果这些标准内容有矛盾时,应按最高标准的条款执行或按双方商定的标准执行。如果投标方选用本</w:t>
      </w:r>
      <w:r>
        <w:rPr>
          <w:rFonts w:hint="eastAsia" w:ascii="宋体" w:hAnsi="宋体" w:cs="宋体"/>
          <w:sz w:val="21"/>
          <w:szCs w:val="21"/>
          <w:lang w:val="en-US" w:eastAsia="zh-CN"/>
        </w:rPr>
        <w:t>技术规范书</w:t>
      </w:r>
      <w:r>
        <w:rPr>
          <w:rFonts w:hint="eastAsia" w:ascii="宋体" w:hAnsi="宋体" w:eastAsia="宋体" w:cs="宋体"/>
          <w:sz w:val="21"/>
          <w:szCs w:val="21"/>
        </w:rPr>
        <w:t>规定以外的标准时,则需提交这种替换标准供审查和分析。仅在投标方已证明替换标准相当或优于</w:t>
      </w:r>
      <w:r>
        <w:rPr>
          <w:rFonts w:hint="eastAsia" w:ascii="宋体" w:hAnsi="宋体" w:cs="宋体"/>
          <w:sz w:val="21"/>
          <w:szCs w:val="21"/>
          <w:lang w:eastAsia="zh-CN"/>
        </w:rPr>
        <w:t>技术规范书</w:t>
      </w:r>
      <w:r>
        <w:rPr>
          <w:rFonts w:hint="eastAsia" w:ascii="宋体" w:hAnsi="宋体" w:eastAsia="宋体" w:cs="宋体"/>
          <w:sz w:val="21"/>
          <w:szCs w:val="21"/>
        </w:rPr>
        <w:t>规定的标准,并从招标方处获得书面的认可才能使用。提交供审查的标准应为中文或英文版本。主要引用标准如下：</w:t>
      </w:r>
    </w:p>
    <w:tbl>
      <w:tblPr>
        <w:tblStyle w:val="15"/>
        <w:tblW w:w="81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9"/>
        <w:gridCol w:w="5494"/>
        <w:gridCol w:w="1945"/>
      </w:tblGrid>
      <w:tr w14:paraId="49B87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9" w:type="dxa"/>
            <w:vAlign w:val="center"/>
          </w:tcPr>
          <w:p w14:paraId="7D821C92">
            <w:pPr>
              <w:widowControl/>
              <w:jc w:val="center"/>
              <w:rPr>
                <w:rFonts w:hint="eastAsia" w:ascii="宋体" w:hAnsi="宋体" w:cs="宋体" w:eastAsiaTheme="minorEastAsia"/>
                <w:color w:val="000000"/>
                <w:kern w:val="0"/>
                <w:sz w:val="21"/>
                <w:szCs w:val="21"/>
                <w:lang w:val="en-US" w:eastAsia="zh-CN" w:bidi="ar-SA"/>
              </w:rPr>
            </w:pPr>
            <w:r>
              <w:rPr>
                <w:rFonts w:hint="eastAsia" w:ascii="宋体" w:hAnsi="宋体" w:cs="宋体"/>
                <w:color w:val="000000"/>
                <w:kern w:val="0"/>
                <w:szCs w:val="21"/>
                <w:lang w:val="en-US" w:eastAsia="zh-CN"/>
              </w:rPr>
              <w:t>1</w:t>
            </w:r>
          </w:p>
        </w:tc>
        <w:tc>
          <w:tcPr>
            <w:tcW w:w="5494" w:type="dxa"/>
            <w:vAlign w:val="center"/>
          </w:tcPr>
          <w:p w14:paraId="687CDA4D">
            <w:pPr>
              <w:widowControl/>
              <w:jc w:val="left"/>
              <w:textAlignment w:val="center"/>
              <w:rPr>
                <w:rFonts w:hint="eastAsia" w:ascii="宋体" w:hAnsi="宋体" w:cs="宋体" w:eastAsiaTheme="minorEastAsia"/>
                <w:kern w:val="0"/>
                <w:sz w:val="21"/>
                <w:szCs w:val="21"/>
                <w:highlight w:val="none"/>
                <w:lang w:val="en-US" w:eastAsia="zh-CN" w:bidi="ar-SA"/>
              </w:rPr>
            </w:pPr>
            <w:r>
              <w:rPr>
                <w:rFonts w:hint="eastAsia" w:ascii="宋体" w:hAnsi="宋体" w:cs="宋体"/>
                <w:kern w:val="0"/>
                <w:szCs w:val="21"/>
                <w:highlight w:val="none"/>
                <w:lang w:eastAsia="zh-CN"/>
              </w:rPr>
              <w:t>《</w:t>
            </w:r>
            <w:r>
              <w:rPr>
                <w:rFonts w:hint="eastAsia" w:ascii="宋体" w:hAnsi="宋体" w:cs="宋体"/>
                <w:kern w:val="0"/>
                <w:szCs w:val="21"/>
                <w:highlight w:val="none"/>
              </w:rPr>
              <w:t>电力建设土建工程施工技术检验规范</w:t>
            </w:r>
            <w:r>
              <w:rPr>
                <w:rFonts w:hint="eastAsia" w:ascii="宋体" w:hAnsi="宋体" w:cs="宋体"/>
                <w:kern w:val="0"/>
                <w:szCs w:val="21"/>
                <w:highlight w:val="none"/>
                <w:lang w:eastAsia="zh-CN"/>
              </w:rPr>
              <w:t>》</w:t>
            </w:r>
          </w:p>
        </w:tc>
        <w:tc>
          <w:tcPr>
            <w:tcW w:w="1945" w:type="dxa"/>
            <w:vAlign w:val="center"/>
          </w:tcPr>
          <w:p w14:paraId="4BA20E85">
            <w:pPr>
              <w:jc w:val="left"/>
              <w:rPr>
                <w:rFonts w:hint="eastAsia" w:asciiTheme="minorHAnsi" w:hAnsiTheme="minorHAnsi" w:eastAsiaTheme="minorEastAsia" w:cstheme="minorBidi"/>
                <w:kern w:val="2"/>
                <w:sz w:val="21"/>
                <w:szCs w:val="24"/>
                <w:highlight w:val="none"/>
                <w:lang w:val="en-US" w:eastAsia="zh-CN" w:bidi="ar-SA"/>
              </w:rPr>
            </w:pPr>
            <w:r>
              <w:rPr>
                <w:rFonts w:hint="eastAsia" w:ascii="宋体" w:hAnsi="宋体" w:cs="宋体"/>
                <w:kern w:val="0"/>
                <w:szCs w:val="21"/>
                <w:highlight w:val="none"/>
              </w:rPr>
              <w:t>DL</w:t>
            </w:r>
            <w:r>
              <w:rPr>
                <w:rFonts w:hint="eastAsia" w:ascii="宋体" w:hAnsi="宋体" w:cs="宋体"/>
                <w:kern w:val="0"/>
                <w:szCs w:val="21"/>
                <w:highlight w:val="none"/>
                <w:lang w:val="en-US" w:eastAsia="zh-CN"/>
              </w:rPr>
              <w:t>/</w:t>
            </w:r>
            <w:r>
              <w:rPr>
                <w:rFonts w:hint="eastAsia" w:ascii="宋体" w:hAnsi="宋体" w:cs="宋体"/>
                <w:kern w:val="0"/>
                <w:szCs w:val="21"/>
                <w:highlight w:val="none"/>
              </w:rPr>
              <w:t>T 5710</w:t>
            </w:r>
          </w:p>
        </w:tc>
      </w:tr>
      <w:tr w14:paraId="3B50C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9" w:type="dxa"/>
            <w:vAlign w:val="center"/>
          </w:tcPr>
          <w:p w14:paraId="32CC0DB0">
            <w:pPr>
              <w:widowControl/>
              <w:jc w:val="center"/>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2</w:t>
            </w:r>
          </w:p>
        </w:tc>
        <w:tc>
          <w:tcPr>
            <w:tcW w:w="5494" w:type="dxa"/>
            <w:vAlign w:val="center"/>
          </w:tcPr>
          <w:p w14:paraId="6A7CA99B">
            <w:pPr>
              <w:widowControl/>
              <w:jc w:val="left"/>
              <w:textAlignment w:val="center"/>
              <w:rPr>
                <w:rFonts w:hint="eastAsia" w:ascii="宋体" w:hAnsi="宋体" w:cs="宋体"/>
                <w:kern w:val="0"/>
                <w:szCs w:val="21"/>
                <w:highlight w:val="none"/>
                <w:lang w:eastAsia="zh-CN"/>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建设用砂</w:t>
            </w:r>
            <w:r>
              <w:rPr>
                <w:rFonts w:hint="eastAsia" w:ascii="宋体" w:hAnsi="宋体" w:cs="宋体"/>
                <w:kern w:val="0"/>
                <w:szCs w:val="21"/>
                <w:highlight w:val="none"/>
                <w:lang w:eastAsia="zh-CN"/>
              </w:rPr>
              <w:t>》</w:t>
            </w:r>
          </w:p>
        </w:tc>
        <w:tc>
          <w:tcPr>
            <w:tcW w:w="1945" w:type="dxa"/>
            <w:vAlign w:val="center"/>
          </w:tcPr>
          <w:p w14:paraId="1DAA4B77">
            <w:pPr>
              <w:jc w:val="left"/>
              <w:rPr>
                <w:rFonts w:hint="eastAsia" w:ascii="宋体" w:hAnsi="宋体" w:cs="宋体"/>
                <w:kern w:val="0"/>
                <w:szCs w:val="21"/>
                <w:highlight w:val="none"/>
              </w:rPr>
            </w:pPr>
            <w:r>
              <w:rPr>
                <w:rFonts w:hint="eastAsia" w:ascii="宋体" w:hAnsi="宋体" w:cs="宋体"/>
                <w:kern w:val="0"/>
                <w:szCs w:val="21"/>
                <w:highlight w:val="none"/>
                <w:lang w:val="en-US" w:eastAsia="zh-CN"/>
              </w:rPr>
              <w:t>GB/T 14684</w:t>
            </w:r>
          </w:p>
        </w:tc>
      </w:tr>
    </w:tbl>
    <w:p w14:paraId="2E721780">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以上标准和条文应以最新版本为准。本项目实施过程中所应用到的其它标准，可由投标方推荐，经招标方确认后由投标方提供并在项目中使用。</w:t>
      </w:r>
    </w:p>
    <w:p w14:paraId="0F69E0FB">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lang w:val="en-US" w:eastAsia="zh-CN"/>
        </w:rPr>
      </w:pPr>
      <w:bookmarkStart w:id="16" w:name="_Toc416294818"/>
      <w:bookmarkStart w:id="17" w:name="_Toc29182"/>
      <w:bookmarkStart w:id="18" w:name="_Toc21521"/>
      <w:r>
        <w:rPr>
          <w:rFonts w:hint="eastAsia" w:ascii="宋体" w:hAnsi="宋体" w:eastAsia="宋体" w:cs="宋体"/>
          <w:b/>
          <w:bCs w:val="0"/>
          <w:sz w:val="21"/>
          <w:szCs w:val="21"/>
          <w:lang w:val="en-US" w:eastAsia="zh-CN"/>
        </w:rPr>
        <w:t>3 技术服务内容</w:t>
      </w:r>
      <w:bookmarkEnd w:id="16"/>
      <w:bookmarkEnd w:id="17"/>
      <w:bookmarkEnd w:id="18"/>
    </w:p>
    <w:p w14:paraId="6B6F337E">
      <w:pPr>
        <w:pStyle w:val="4"/>
        <w:pageBreakBefore w:val="0"/>
        <w:widowControl w:val="0"/>
        <w:tabs>
          <w:tab w:val="left" w:pos="576"/>
        </w:tabs>
        <w:kinsoku/>
        <w:wordWrap/>
        <w:overflowPunct/>
        <w:topLinePunct/>
        <w:autoSpaceDE/>
        <w:autoSpaceDN/>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rPr>
      </w:pPr>
      <w:bookmarkStart w:id="19" w:name="_Toc24821"/>
      <w:bookmarkStart w:id="20" w:name="_Toc416294819"/>
      <w:bookmarkStart w:id="21" w:name="_Toc25195"/>
      <w:bookmarkStart w:id="22" w:name="_Toc369561306"/>
      <w:bookmarkStart w:id="23" w:name="_Toc369559703"/>
      <w:r>
        <w:rPr>
          <w:rFonts w:hint="eastAsia" w:ascii="宋体" w:hAnsi="宋体" w:eastAsia="宋体" w:cs="宋体"/>
          <w:sz w:val="21"/>
          <w:szCs w:val="21"/>
        </w:rPr>
        <w:t>3.1 项目概况</w:t>
      </w:r>
      <w:bookmarkEnd w:id="19"/>
      <w:r>
        <w:rPr>
          <w:rFonts w:hint="eastAsia" w:ascii="宋体" w:hAnsi="宋体" w:eastAsia="宋体" w:cs="宋体"/>
          <w:sz w:val="21"/>
          <w:szCs w:val="21"/>
        </w:rPr>
        <w:t xml:space="preserve"> </w:t>
      </w:r>
      <w:bookmarkEnd w:id="20"/>
      <w:bookmarkEnd w:id="21"/>
    </w:p>
    <w:bookmarkEnd w:id="22"/>
    <w:bookmarkEnd w:id="23"/>
    <w:p w14:paraId="2C2261F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rPr>
      </w:pPr>
      <w:bookmarkStart w:id="24" w:name="_Toc369559704"/>
      <w:bookmarkStart w:id="25" w:name="_Toc369561307"/>
      <w:bookmarkStart w:id="26" w:name="_Toc416294820"/>
      <w:r>
        <w:rPr>
          <w:rFonts w:hint="eastAsia" w:ascii="宋体" w:hAnsi="宋体" w:eastAsia="宋体" w:cs="宋体"/>
          <w:sz w:val="21"/>
          <w:szCs w:val="21"/>
          <w:highlight w:val="none"/>
        </w:rPr>
        <w:t>本</w:t>
      </w:r>
      <w:r>
        <w:rPr>
          <w:rFonts w:hint="eastAsia" w:ascii="宋体" w:hAnsi="宋体" w:eastAsia="宋体" w:cs="宋体"/>
          <w:sz w:val="21"/>
          <w:szCs w:val="21"/>
          <w:highlight w:val="none"/>
          <w:lang w:val="en-US" w:eastAsia="zh-CN"/>
        </w:rPr>
        <w:t>技术</w:t>
      </w:r>
      <w:r>
        <w:rPr>
          <w:rFonts w:hint="eastAsia" w:ascii="宋体" w:hAnsi="宋体" w:eastAsia="宋体" w:cs="宋体"/>
          <w:sz w:val="21"/>
          <w:szCs w:val="21"/>
          <w:highlight w:val="none"/>
        </w:rPr>
        <w:t>规范书适用</w:t>
      </w:r>
      <w:r>
        <w:rPr>
          <w:rFonts w:hint="eastAsia" w:ascii="宋体" w:hAnsi="宋体" w:eastAsia="宋体" w:cs="宋体"/>
          <w:sz w:val="21"/>
          <w:szCs w:val="21"/>
          <w:highlight w:val="none"/>
          <w:lang w:val="en-US" w:eastAsia="zh-CN"/>
        </w:rPr>
        <w:t>的项目</w:t>
      </w:r>
      <w:r>
        <w:rPr>
          <w:rFonts w:hint="eastAsia" w:ascii="宋体" w:hAnsi="宋体" w:eastAsia="宋体" w:cs="宋体"/>
          <w:sz w:val="21"/>
          <w:szCs w:val="21"/>
          <w:highlight w:val="none"/>
        </w:rPr>
        <w:t>概况见表</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概况一览表。</w:t>
      </w:r>
    </w:p>
    <w:p w14:paraId="19246228">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概况一览表 （项目单位填写）</w:t>
      </w:r>
    </w:p>
    <w:tbl>
      <w:tblPr>
        <w:tblStyle w:val="15"/>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1784"/>
        <w:gridCol w:w="5847"/>
      </w:tblGrid>
      <w:tr w14:paraId="458E1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7" w:type="dxa"/>
            <w:noWrap w:val="0"/>
            <w:vAlign w:val="center"/>
          </w:tcPr>
          <w:p w14:paraId="4F6BF9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784" w:type="dxa"/>
            <w:noWrap w:val="0"/>
            <w:vAlign w:val="center"/>
          </w:tcPr>
          <w:p w14:paraId="5BDA185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名 称</w:t>
            </w:r>
          </w:p>
        </w:tc>
        <w:tc>
          <w:tcPr>
            <w:tcW w:w="5847" w:type="dxa"/>
            <w:noWrap w:val="0"/>
            <w:vAlign w:val="center"/>
          </w:tcPr>
          <w:p w14:paraId="75E1DDC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内  容</w:t>
            </w:r>
          </w:p>
        </w:tc>
      </w:tr>
      <w:tr w14:paraId="6DC30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737" w:type="dxa"/>
            <w:noWrap w:val="0"/>
            <w:vAlign w:val="center"/>
          </w:tcPr>
          <w:p w14:paraId="12C21E2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784" w:type="dxa"/>
            <w:noWrap w:val="0"/>
            <w:vAlign w:val="center"/>
          </w:tcPr>
          <w:p w14:paraId="761D13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名称</w:t>
            </w:r>
          </w:p>
        </w:tc>
        <w:tc>
          <w:tcPr>
            <w:tcW w:w="5847" w:type="dxa"/>
            <w:noWrap w:val="0"/>
            <w:vAlign w:val="center"/>
          </w:tcPr>
          <w:p w14:paraId="0E3DDFB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±500kV兴仁换流站直流控制保护设备改造项目：原材料检测技术服务采购</w:t>
            </w:r>
          </w:p>
        </w:tc>
      </w:tr>
      <w:tr w14:paraId="2EF79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37" w:type="dxa"/>
            <w:noWrap w:val="0"/>
            <w:vAlign w:val="center"/>
          </w:tcPr>
          <w:p w14:paraId="1A28F1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784" w:type="dxa"/>
            <w:noWrap w:val="0"/>
            <w:vAlign w:val="center"/>
          </w:tcPr>
          <w:p w14:paraId="4F90BC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建设单位</w:t>
            </w:r>
          </w:p>
        </w:tc>
        <w:tc>
          <w:tcPr>
            <w:tcW w:w="5847" w:type="dxa"/>
            <w:noWrap w:val="0"/>
            <w:vAlign w:val="center"/>
          </w:tcPr>
          <w:p w14:paraId="0D52B0DE">
            <w:pPr>
              <w:keepNext w:val="0"/>
              <w:keepLines w:val="0"/>
              <w:pageBreakBefore w:val="0"/>
              <w:widowControl w:val="0"/>
              <w:kinsoku/>
              <w:wordWrap/>
              <w:overflowPunct/>
              <w:topLinePunct w:val="0"/>
              <w:autoSpaceDE/>
              <w:autoSpaceDN/>
              <w:bidi w:val="0"/>
              <w:spacing w:line="240" w:lineRule="auto"/>
              <w:ind w:firstLine="0" w:firstLineChars="0"/>
              <w:jc w:val="both"/>
              <w:textAlignment w:val="auto"/>
              <w:rPr>
                <w:rFonts w:hint="eastAsia" w:ascii="宋体" w:hAnsi="宋体" w:eastAsia="宋体" w:cs="宋体"/>
                <w:sz w:val="21"/>
                <w:szCs w:val="21"/>
                <w:highlight w:val="none"/>
              </w:rPr>
            </w:pPr>
            <w:r>
              <w:rPr>
                <w:rFonts w:hint="eastAsia" w:ascii="Times New Roman" w:hAnsi="Times New Roman" w:eastAsia="宋体" w:cs="Times New Roman"/>
                <w:sz w:val="21"/>
                <w:szCs w:val="20"/>
                <w:lang w:eastAsia="zh-CN"/>
              </w:rPr>
              <w:t>中国南方电网有限责任公司超高压输电公司电力科研院</w:t>
            </w:r>
          </w:p>
        </w:tc>
      </w:tr>
      <w:tr w14:paraId="4CCF7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noWrap w:val="0"/>
            <w:vAlign w:val="center"/>
          </w:tcPr>
          <w:p w14:paraId="5EEBEB5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784" w:type="dxa"/>
            <w:noWrap w:val="0"/>
            <w:vAlign w:val="center"/>
          </w:tcPr>
          <w:p w14:paraId="5B5ADC5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地址</w:t>
            </w:r>
          </w:p>
        </w:tc>
        <w:tc>
          <w:tcPr>
            <w:tcW w:w="5847" w:type="dxa"/>
            <w:noWrap w:val="0"/>
            <w:vAlign w:val="center"/>
          </w:tcPr>
          <w:p w14:paraId="2EAF0110">
            <w:pPr>
              <w:keepNext w:val="0"/>
              <w:keepLines w:val="0"/>
              <w:pageBreakBefore w:val="0"/>
              <w:widowControl w:val="0"/>
              <w:kinsoku/>
              <w:wordWrap/>
              <w:overflowPunct/>
              <w:topLinePunct w:val="0"/>
              <w:autoSpaceDE/>
              <w:autoSpaceDN/>
              <w:bidi w:val="0"/>
              <w:spacing w:line="240" w:lineRule="auto"/>
              <w:ind w:firstLine="0" w:firstLineChars="0"/>
              <w:jc w:val="both"/>
              <w:textAlignment w:val="auto"/>
              <w:rPr>
                <w:rFonts w:hint="eastAsia" w:ascii="宋体" w:hAnsi="宋体" w:eastAsia="宋体" w:cs="宋体"/>
                <w:sz w:val="21"/>
                <w:szCs w:val="21"/>
                <w:highlight w:val="none"/>
              </w:rPr>
            </w:pPr>
            <w:r>
              <w:rPr>
                <w:rFonts w:hint="eastAsia"/>
                <w:highlight w:val="none"/>
              </w:rPr>
              <w:t>贵州省黔西南州兴仁市陆官街道瓦窑寨村兴仁换流站</w:t>
            </w:r>
          </w:p>
        </w:tc>
      </w:tr>
    </w:tbl>
    <w:p w14:paraId="6305878F">
      <w:pPr>
        <w:pStyle w:val="4"/>
        <w:keepNext/>
        <w:keepLines/>
        <w:pageBreakBefore w:val="0"/>
        <w:widowControl w:val="0"/>
        <w:tabs>
          <w:tab w:val="left" w:pos="576"/>
        </w:tabs>
        <w:kinsoku/>
        <w:wordWrap/>
        <w:overflowPunct/>
        <w:topLinePunct/>
        <w:autoSpaceDE/>
        <w:autoSpaceDN/>
        <w:bidi w:val="0"/>
        <w:adjustRightInd w:val="0"/>
        <w:snapToGrid w:val="0"/>
        <w:spacing w:before="157" w:beforeLines="50" w:after="0" w:afterLines="0" w:line="360" w:lineRule="auto"/>
        <w:ind w:left="0" w:leftChars="0" w:right="0" w:firstLine="0" w:firstLineChars="0"/>
        <w:jc w:val="left"/>
        <w:textAlignment w:val="center"/>
        <w:rPr>
          <w:rFonts w:hint="eastAsia" w:ascii="宋体" w:hAnsi="宋体" w:eastAsia="宋体" w:cs="宋体"/>
          <w:sz w:val="21"/>
          <w:szCs w:val="21"/>
          <w:highlight w:val="none"/>
        </w:rPr>
      </w:pPr>
      <w:bookmarkStart w:id="27" w:name="_Toc12787"/>
      <w:bookmarkStart w:id="28" w:name="_Toc13151"/>
      <w:r>
        <w:rPr>
          <w:rFonts w:hint="eastAsia" w:ascii="宋体" w:hAnsi="宋体" w:eastAsia="宋体" w:cs="宋体"/>
          <w:sz w:val="21"/>
          <w:szCs w:val="21"/>
        </w:rPr>
        <w:t>3.</w:t>
      </w:r>
      <w:r>
        <w:rPr>
          <w:rFonts w:hint="eastAsia" w:ascii="宋体" w:hAnsi="宋体" w:eastAsia="宋体" w:cs="宋体"/>
          <w:sz w:val="21"/>
          <w:szCs w:val="21"/>
          <w:highlight w:val="none"/>
        </w:rPr>
        <w:t xml:space="preserve">2 </w:t>
      </w:r>
      <w:bookmarkEnd w:id="24"/>
      <w:bookmarkEnd w:id="25"/>
      <w:bookmarkStart w:id="29" w:name="_Toc369561308"/>
      <w:bookmarkStart w:id="30" w:name="_Toc369559705"/>
      <w:r>
        <w:rPr>
          <w:rFonts w:hint="eastAsia" w:ascii="宋体" w:hAnsi="宋体" w:eastAsia="宋体" w:cs="宋体"/>
          <w:sz w:val="21"/>
          <w:szCs w:val="21"/>
          <w:highlight w:val="none"/>
        </w:rPr>
        <w:t>工期要求</w:t>
      </w:r>
      <w:bookmarkEnd w:id="26"/>
      <w:bookmarkEnd w:id="27"/>
      <w:bookmarkEnd w:id="28"/>
    </w:p>
    <w:bookmarkEnd w:id="29"/>
    <w:bookmarkEnd w:id="30"/>
    <w:p w14:paraId="18B1343D">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firstLine="420" w:firstLineChars="200"/>
        <w:textAlignment w:val="bottom"/>
        <w:rPr>
          <w:rFonts w:hint="eastAsia" w:ascii="宋体" w:hAnsi="宋体" w:eastAsia="宋体" w:cs="宋体"/>
          <w:sz w:val="21"/>
          <w:szCs w:val="21"/>
          <w:highlight w:val="none"/>
        </w:rPr>
      </w:pPr>
      <w:bookmarkStart w:id="31" w:name="_Toc369559707"/>
      <w:bookmarkStart w:id="32" w:name="_Toc369561310"/>
      <w:r>
        <w:rPr>
          <w:rFonts w:hint="eastAsia" w:ascii="宋体" w:hAnsi="宋体" w:cs="宋体"/>
          <w:sz w:val="21"/>
          <w:szCs w:val="21"/>
          <w:highlight w:val="none"/>
          <w:lang w:eastAsia="zh-CN"/>
        </w:rPr>
        <w:t>服务周期从中标单位进场至所有服务项目完成为止，须满足实际施工要求。</w:t>
      </w:r>
      <w:r>
        <w:rPr>
          <w:rFonts w:hint="eastAsia" w:ascii="宋体" w:hAnsi="宋体" w:eastAsia="宋体" w:cs="宋体"/>
          <w:sz w:val="21"/>
          <w:szCs w:val="21"/>
          <w:highlight w:val="none"/>
        </w:rPr>
        <w:t xml:space="preserve"> </w:t>
      </w:r>
    </w:p>
    <w:p w14:paraId="24E34D46">
      <w:pPr>
        <w:pStyle w:val="4"/>
        <w:pageBreakBefore w:val="0"/>
        <w:tabs>
          <w:tab w:val="left" w:pos="576"/>
        </w:tabs>
        <w:kinsoku/>
        <w:wordWrap/>
        <w:overflowPunct/>
        <w:topLinePunct/>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highlight w:val="none"/>
        </w:rPr>
      </w:pPr>
      <w:bookmarkStart w:id="33" w:name="_Toc416294821"/>
      <w:bookmarkStart w:id="34" w:name="_Toc15774"/>
      <w:bookmarkStart w:id="35" w:name="_Toc16465"/>
      <w:r>
        <w:rPr>
          <w:rFonts w:hint="eastAsia" w:ascii="宋体" w:hAnsi="宋体" w:eastAsia="宋体" w:cs="宋体"/>
          <w:sz w:val="21"/>
          <w:szCs w:val="21"/>
          <w:highlight w:val="none"/>
        </w:rPr>
        <w:t>3.3</w:t>
      </w:r>
      <w:bookmarkEnd w:id="31"/>
      <w:bookmarkEnd w:id="32"/>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技术服务内容</w:t>
      </w:r>
      <w:bookmarkEnd w:id="33"/>
      <w:bookmarkEnd w:id="34"/>
      <w:bookmarkEnd w:id="35"/>
    </w:p>
    <w:p w14:paraId="5A869C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bookmarkStart w:id="36" w:name="_Toc416294822"/>
      <w:bookmarkStart w:id="37" w:name="_Toc27075"/>
      <w:bookmarkStart w:id="38" w:name="_Toc12318"/>
      <w:r>
        <w:rPr>
          <w:rFonts w:hint="eastAsia" w:ascii="宋体" w:hAnsi="宋体" w:cs="宋体"/>
          <w:sz w:val="21"/>
          <w:szCs w:val="21"/>
          <w:highlight w:val="none"/>
          <w:lang w:val="en-US" w:eastAsia="zh-CN"/>
        </w:rPr>
        <w:t>《±500kV兴仁换流站直流控制保护设备改造项目》施工及验收阶段相关的建筑材料质量检测和实体工程质量按规范和验收要求必须检测的项目</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主要检测</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lang w:val="en-US" w:eastAsia="zh-CN"/>
        </w:rPr>
        <w:t>见附件</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实际内容以各方根据审定版施工图图纸、设计变更和有关规范要求等确认的检测服务工作量为准。</w:t>
      </w:r>
    </w:p>
    <w:p w14:paraId="46382101">
      <w:pPr>
        <w:pStyle w:val="4"/>
        <w:pageBreakBefore w:val="0"/>
        <w:tabs>
          <w:tab w:val="left" w:pos="576"/>
        </w:tabs>
        <w:kinsoku/>
        <w:wordWrap/>
        <w:overflowPunct/>
        <w:topLinePunct/>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highlight w:val="none"/>
          <w:lang w:val="en-US" w:eastAsia="zh-CN"/>
        </w:rPr>
      </w:pPr>
      <w:bookmarkStart w:id="39" w:name="_Toc21961"/>
      <w:bookmarkStart w:id="40" w:name="_Toc32408"/>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 xml:space="preserve">4 </w:t>
      </w:r>
      <w:bookmarkEnd w:id="36"/>
      <w:bookmarkEnd w:id="37"/>
      <w:bookmarkEnd w:id="38"/>
      <w:bookmarkEnd w:id="39"/>
      <w:r>
        <w:rPr>
          <w:rFonts w:hint="eastAsia" w:ascii="宋体" w:hAnsi="宋体" w:cs="宋体"/>
          <w:sz w:val="21"/>
          <w:szCs w:val="21"/>
          <w:highlight w:val="none"/>
          <w:lang w:val="en-US" w:eastAsia="zh-CN"/>
        </w:rPr>
        <w:t>交付物</w:t>
      </w:r>
      <w:bookmarkEnd w:id="40"/>
    </w:p>
    <w:p w14:paraId="2F2319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bookmarkStart w:id="41" w:name="_Toc12691"/>
      <w:bookmarkStart w:id="42" w:name="_Toc2581"/>
      <w:bookmarkStart w:id="43" w:name="_Toc369559710"/>
      <w:bookmarkStart w:id="44" w:name="_Toc369561313"/>
      <w:r>
        <w:rPr>
          <w:rFonts w:hint="eastAsia" w:ascii="宋体" w:hAnsi="宋体" w:eastAsia="宋体" w:cs="宋体"/>
          <w:sz w:val="21"/>
          <w:szCs w:val="21"/>
          <w:highlight w:val="none"/>
          <w:lang w:val="en-US" w:eastAsia="zh-CN"/>
        </w:rPr>
        <w:t>检测报告。检测工作全部完成后</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天内整理全部检测资料并装订成册，一式4份（同时提交电子文档1份）向招标方提交检测成果报告，检测报告需加盖检测报告专用章和计量认证章（CMA章）。</w:t>
      </w:r>
    </w:p>
    <w:bookmarkEnd w:id="41"/>
    <w:bookmarkEnd w:id="42"/>
    <w:bookmarkEnd w:id="43"/>
    <w:bookmarkEnd w:id="44"/>
    <w:p w14:paraId="21395FA1">
      <w:pPr>
        <w:pStyle w:val="3"/>
        <w:pageBreakBefore w:val="0"/>
        <w:kinsoku/>
        <w:wordWrap/>
        <w:overflowPunct/>
        <w:bidi w:val="0"/>
        <w:adjustRightInd w:val="0"/>
        <w:snapToGrid w:val="0"/>
        <w:spacing w:before="0" w:beforeLines="0" w:after="0" w:afterLines="0" w:line="360" w:lineRule="auto"/>
        <w:ind w:left="0" w:leftChars="0" w:right="0" w:firstLine="0" w:firstLineChars="0"/>
        <w:rPr>
          <w:rFonts w:hint="default" w:ascii="宋体" w:hAnsi="宋体" w:eastAsia="宋体" w:cs="宋体"/>
          <w:b w:val="0"/>
          <w:bCs w:val="0"/>
          <w:sz w:val="21"/>
          <w:szCs w:val="21"/>
          <w:highlight w:val="none"/>
          <w:lang w:val="en-US" w:eastAsia="zh-CN"/>
        </w:rPr>
      </w:pPr>
      <w:bookmarkStart w:id="45" w:name="_Toc416294825"/>
      <w:bookmarkStart w:id="46" w:name="_Toc3282"/>
      <w:bookmarkStart w:id="47" w:name="_Toc32601"/>
      <w:r>
        <w:rPr>
          <w:rFonts w:hint="eastAsia" w:ascii="宋体" w:hAnsi="宋体" w:eastAsia="宋体" w:cs="宋体"/>
          <w:b/>
          <w:bCs w:val="0"/>
          <w:sz w:val="21"/>
          <w:szCs w:val="21"/>
          <w:lang w:val="en-US" w:eastAsia="zh-CN"/>
        </w:rPr>
        <w:t xml:space="preserve">4 </w:t>
      </w:r>
      <w:bookmarkEnd w:id="45"/>
      <w:bookmarkEnd w:id="46"/>
      <w:bookmarkStart w:id="48" w:name="_Toc7920"/>
      <w:bookmarkStart w:id="49" w:name="_Toc369561316"/>
      <w:bookmarkStart w:id="50" w:name="_Toc23577"/>
      <w:bookmarkStart w:id="51" w:name="_Toc369559713"/>
      <w:r>
        <w:rPr>
          <w:rFonts w:hint="eastAsia" w:ascii="宋体" w:hAnsi="宋体" w:cs="宋体"/>
          <w:b/>
          <w:bCs w:val="0"/>
          <w:sz w:val="21"/>
          <w:szCs w:val="21"/>
          <w:lang w:val="en-US" w:eastAsia="zh-CN"/>
        </w:rPr>
        <w:t>其他</w:t>
      </w:r>
      <w:bookmarkEnd w:id="47"/>
    </w:p>
    <w:p w14:paraId="5601E3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投标方应具备国家颁发的建设工程质量检测机构资质证书，检测范围及项目涵盖本技术规范书要求检测项目内容</w:t>
      </w:r>
      <w:r>
        <w:rPr>
          <w:rFonts w:hint="eastAsia" w:ascii="宋体" w:hAnsi="宋体" w:eastAsia="宋体" w:cs="宋体"/>
          <w:sz w:val="21"/>
          <w:szCs w:val="21"/>
          <w:highlight w:val="none"/>
          <w:lang w:eastAsia="zh-CN"/>
        </w:rPr>
        <w:t>。</w:t>
      </w:r>
    </w:p>
    <w:p w14:paraId="625291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w:t>
      </w:r>
      <w:bookmarkEnd w:id="48"/>
      <w:bookmarkEnd w:id="49"/>
      <w:bookmarkEnd w:id="50"/>
      <w:bookmarkEnd w:id="51"/>
      <w:r>
        <w:rPr>
          <w:rFonts w:hint="eastAsia" w:ascii="宋体" w:hAnsi="宋体" w:eastAsia="宋体" w:cs="宋体"/>
          <w:sz w:val="21"/>
          <w:szCs w:val="21"/>
          <w:highlight w:val="none"/>
          <w:lang w:val="en-US" w:eastAsia="zh-CN"/>
        </w:rPr>
        <w:t>本技术规范书中已列明的检测</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lang w:val="en-US" w:eastAsia="zh-CN"/>
        </w:rPr>
        <w:t>为根据相关检测规定计算的预估检测项目及工作量，</w:t>
      </w:r>
      <w:r>
        <w:rPr>
          <w:rFonts w:hint="eastAsia" w:ascii="宋体" w:hAnsi="宋体" w:cs="宋体"/>
          <w:sz w:val="21"/>
          <w:szCs w:val="21"/>
          <w:highlight w:val="none"/>
          <w:lang w:val="en-US" w:eastAsia="zh-CN"/>
        </w:rPr>
        <w:t>具体</w:t>
      </w:r>
      <w:r>
        <w:rPr>
          <w:rFonts w:hint="eastAsia" w:ascii="宋体" w:hAnsi="宋体" w:eastAsia="宋体" w:cs="宋体"/>
          <w:sz w:val="21"/>
          <w:szCs w:val="21"/>
          <w:highlight w:val="none"/>
          <w:lang w:val="en-US" w:eastAsia="zh-CN"/>
        </w:rPr>
        <w:t>检测参数和检测量以实际工程及施工过程中发生设计变更为准</w:t>
      </w:r>
      <w:r>
        <w:rPr>
          <w:rFonts w:hint="eastAsia" w:ascii="宋体" w:hAnsi="宋体" w:eastAsia="宋体" w:cs="宋体"/>
          <w:sz w:val="21"/>
          <w:szCs w:val="21"/>
          <w:highlight w:val="none"/>
          <w:lang w:val="en-US" w:eastAsia="zh-CN"/>
        </w:rPr>
        <w:t>。</w:t>
      </w:r>
    </w:p>
    <w:p w14:paraId="6D2255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4.3投标方需按主要检测参数分项报价，验收时根据招标确定的单价及投标方完成的实际工作量</w:t>
      </w:r>
      <w:r>
        <w:rPr>
          <w:rFonts w:hint="eastAsia" w:ascii="宋体" w:hAnsi="宋体" w:eastAsia="宋体" w:cs="宋体"/>
          <w:sz w:val="21"/>
          <w:szCs w:val="21"/>
          <w:highlight w:val="none"/>
          <w:lang w:val="en-US" w:eastAsia="zh-CN"/>
        </w:rPr>
        <w:t>结算总费用</w:t>
      </w:r>
      <w:r>
        <w:rPr>
          <w:rFonts w:hint="eastAsia" w:ascii="宋体" w:hAnsi="宋体" w:eastAsia="宋体" w:cs="宋体"/>
          <w:sz w:val="21"/>
          <w:szCs w:val="21"/>
          <w:highlight w:val="none"/>
          <w:lang w:val="en-US" w:eastAsia="zh-CN"/>
        </w:rPr>
        <w:t>。</w:t>
      </w:r>
    </w:p>
    <w:p w14:paraId="555B01F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4.4取样送检所产生的运输费用由投标方承担。</w:t>
      </w:r>
    </w:p>
    <w:p w14:paraId="0273C39C">
      <w:pPr>
        <w:pStyle w:val="3"/>
        <w:pageBreakBefore w:val="0"/>
        <w:kinsoku/>
        <w:wordWrap/>
        <w:overflowPunct/>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highlight w:val="none"/>
          <w:lang w:val="en-US" w:eastAsia="zh-CN"/>
        </w:rPr>
      </w:pPr>
      <w:bookmarkStart w:id="52" w:name="_Toc416294828"/>
      <w:bookmarkStart w:id="53" w:name="_Toc30511"/>
      <w:bookmarkStart w:id="54" w:name="_Toc18820"/>
      <w:r>
        <w:rPr>
          <w:rFonts w:hint="eastAsia" w:ascii="宋体" w:hAnsi="宋体" w:cs="宋体"/>
          <w:b/>
          <w:bCs w:val="0"/>
          <w:sz w:val="21"/>
          <w:szCs w:val="21"/>
          <w:highlight w:val="none"/>
          <w:lang w:val="en-US" w:eastAsia="zh-CN"/>
        </w:rPr>
        <w:t>5</w:t>
      </w:r>
      <w:r>
        <w:rPr>
          <w:rFonts w:hint="eastAsia" w:ascii="宋体" w:hAnsi="宋体" w:eastAsia="宋体" w:cs="宋体"/>
          <w:b/>
          <w:bCs w:val="0"/>
          <w:sz w:val="21"/>
          <w:szCs w:val="21"/>
          <w:highlight w:val="none"/>
          <w:lang w:val="en-US" w:eastAsia="zh-CN"/>
        </w:rPr>
        <w:t xml:space="preserve"> 附件</w:t>
      </w:r>
      <w:bookmarkEnd w:id="52"/>
      <w:bookmarkEnd w:id="53"/>
      <w:bookmarkEnd w:id="54"/>
    </w:p>
    <w:p w14:paraId="4A4A4C0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检测项目及数量清单</w:t>
      </w:r>
    </w:p>
    <w:tbl>
      <w:tblPr>
        <w:tblW w:w="8420"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528"/>
        <w:gridCol w:w="1715"/>
        <w:gridCol w:w="4028"/>
        <w:gridCol w:w="782"/>
        <w:gridCol w:w="1367"/>
      </w:tblGrid>
      <w:tr w14:paraId="0F375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tcBorders>
              <w:top w:val="single" w:color="000000" w:sz="8" w:space="0"/>
              <w:left w:val="single" w:color="000000" w:sz="8" w:space="0"/>
              <w:bottom w:val="single" w:color="000000" w:sz="8" w:space="0"/>
              <w:right w:val="single" w:color="000000" w:sz="8" w:space="0"/>
            </w:tcBorders>
            <w:shd w:val="clear"/>
            <w:vAlign w:val="center"/>
          </w:tcPr>
          <w:p w14:paraId="7811B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1715" w:type="dxa"/>
            <w:tcBorders>
              <w:top w:val="single" w:color="000000" w:sz="8" w:space="0"/>
              <w:left w:val="nil"/>
              <w:bottom w:val="single" w:color="000000" w:sz="8" w:space="0"/>
              <w:right w:val="single" w:color="000000" w:sz="8" w:space="0"/>
            </w:tcBorders>
            <w:shd w:val="clear"/>
            <w:vAlign w:val="center"/>
          </w:tcPr>
          <w:p w14:paraId="2C398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检验项目</w:t>
            </w:r>
          </w:p>
        </w:tc>
        <w:tc>
          <w:tcPr>
            <w:tcW w:w="4028" w:type="dxa"/>
            <w:tcBorders>
              <w:top w:val="single" w:color="000000" w:sz="8" w:space="0"/>
              <w:left w:val="nil"/>
              <w:bottom w:val="single" w:color="000000" w:sz="8" w:space="0"/>
              <w:right w:val="single" w:color="000000" w:sz="8" w:space="0"/>
            </w:tcBorders>
            <w:shd w:val="clear"/>
            <w:vAlign w:val="center"/>
          </w:tcPr>
          <w:p w14:paraId="1CBF3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主要检测参数</w:t>
            </w:r>
          </w:p>
        </w:tc>
        <w:tc>
          <w:tcPr>
            <w:tcW w:w="782" w:type="dxa"/>
            <w:tcBorders>
              <w:top w:val="single" w:color="000000" w:sz="8" w:space="0"/>
              <w:left w:val="nil"/>
              <w:bottom w:val="single" w:color="000000" w:sz="8" w:space="0"/>
              <w:right w:val="single" w:color="000000" w:sz="8" w:space="0"/>
            </w:tcBorders>
            <w:shd w:val="clear"/>
            <w:vAlign w:val="center"/>
          </w:tcPr>
          <w:p w14:paraId="43755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预估工作量</w:t>
            </w:r>
          </w:p>
        </w:tc>
        <w:tc>
          <w:tcPr>
            <w:tcW w:w="1367" w:type="dxa"/>
            <w:tcBorders>
              <w:top w:val="single" w:color="000000" w:sz="8" w:space="0"/>
              <w:left w:val="nil"/>
              <w:bottom w:val="single" w:color="000000" w:sz="8" w:space="0"/>
              <w:right w:val="single" w:color="000000" w:sz="8" w:space="0"/>
            </w:tcBorders>
            <w:shd w:val="clear"/>
            <w:vAlign w:val="center"/>
          </w:tcPr>
          <w:p w14:paraId="01A77A01">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7389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restart"/>
            <w:tcBorders>
              <w:top w:val="single" w:color="000000" w:sz="8" w:space="0"/>
              <w:left w:val="single" w:color="000000" w:sz="8" w:space="0"/>
              <w:bottom w:val="single" w:color="000000" w:sz="8" w:space="0"/>
              <w:right w:val="single" w:color="000000" w:sz="8" w:space="0"/>
            </w:tcBorders>
            <w:shd w:val="clear"/>
            <w:vAlign w:val="center"/>
          </w:tcPr>
          <w:p w14:paraId="2249C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1715" w:type="dxa"/>
            <w:vMerge w:val="restart"/>
            <w:tcBorders>
              <w:top w:val="nil"/>
              <w:left w:val="nil"/>
              <w:bottom w:val="single" w:color="000000" w:sz="8" w:space="0"/>
              <w:right w:val="single" w:color="000000" w:sz="8" w:space="0"/>
            </w:tcBorders>
            <w:shd w:val="clear"/>
            <w:vAlign w:val="center"/>
          </w:tcPr>
          <w:p w14:paraId="52CF2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通用硅酸盐水泥</w:t>
            </w:r>
          </w:p>
        </w:tc>
        <w:tc>
          <w:tcPr>
            <w:tcW w:w="4028" w:type="dxa"/>
            <w:tcBorders>
              <w:top w:val="nil"/>
              <w:left w:val="nil"/>
              <w:bottom w:val="single" w:color="000000" w:sz="8" w:space="0"/>
              <w:right w:val="single" w:color="000000" w:sz="8" w:space="0"/>
            </w:tcBorders>
            <w:shd w:val="clear"/>
            <w:vAlign w:val="center"/>
          </w:tcPr>
          <w:p w14:paraId="08561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胶砂强度</w:t>
            </w:r>
          </w:p>
        </w:tc>
        <w:tc>
          <w:tcPr>
            <w:tcW w:w="782" w:type="dxa"/>
            <w:vMerge w:val="restart"/>
            <w:tcBorders>
              <w:top w:val="nil"/>
              <w:left w:val="nil"/>
              <w:bottom w:val="single" w:color="000000" w:sz="8" w:space="0"/>
              <w:right w:val="single" w:color="000000" w:sz="8" w:space="0"/>
            </w:tcBorders>
            <w:shd w:val="clear"/>
            <w:vAlign w:val="center"/>
          </w:tcPr>
          <w:p w14:paraId="08CDC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48FFCC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12kg每组</w:t>
            </w:r>
          </w:p>
        </w:tc>
      </w:tr>
      <w:tr w14:paraId="3ABCE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0062FABB">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2E929A5E">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6374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安定性</w:t>
            </w:r>
          </w:p>
        </w:tc>
        <w:tc>
          <w:tcPr>
            <w:tcW w:w="782" w:type="dxa"/>
            <w:vMerge w:val="continue"/>
            <w:tcBorders>
              <w:top w:val="nil"/>
              <w:left w:val="nil"/>
              <w:bottom w:val="single" w:color="000000" w:sz="8" w:space="0"/>
              <w:right w:val="single" w:color="000000" w:sz="8" w:space="0"/>
            </w:tcBorders>
            <w:shd w:val="clear"/>
            <w:vAlign w:val="center"/>
          </w:tcPr>
          <w:p w14:paraId="18C34C38">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00347B8D">
            <w:pPr>
              <w:jc w:val="center"/>
              <w:rPr>
                <w:rFonts w:hint="eastAsia" w:ascii="宋体" w:hAnsi="宋体" w:eastAsia="宋体" w:cs="宋体"/>
                <w:i w:val="0"/>
                <w:iCs w:val="0"/>
                <w:color w:val="000000"/>
                <w:sz w:val="18"/>
                <w:szCs w:val="18"/>
                <w:u w:val="none"/>
              </w:rPr>
            </w:pPr>
          </w:p>
        </w:tc>
      </w:tr>
      <w:tr w14:paraId="58D0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23EF590E">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6B751917">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422E8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凝结时间</w:t>
            </w:r>
          </w:p>
        </w:tc>
        <w:tc>
          <w:tcPr>
            <w:tcW w:w="782" w:type="dxa"/>
            <w:vMerge w:val="continue"/>
            <w:tcBorders>
              <w:top w:val="nil"/>
              <w:left w:val="nil"/>
              <w:bottom w:val="single" w:color="000000" w:sz="8" w:space="0"/>
              <w:right w:val="single" w:color="000000" w:sz="8" w:space="0"/>
            </w:tcBorders>
            <w:shd w:val="clear"/>
            <w:vAlign w:val="center"/>
          </w:tcPr>
          <w:p w14:paraId="512E2AE0">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1FE5077B">
            <w:pPr>
              <w:jc w:val="center"/>
              <w:rPr>
                <w:rFonts w:hint="eastAsia" w:ascii="宋体" w:hAnsi="宋体" w:eastAsia="宋体" w:cs="宋体"/>
                <w:i w:val="0"/>
                <w:iCs w:val="0"/>
                <w:color w:val="000000"/>
                <w:sz w:val="18"/>
                <w:szCs w:val="18"/>
                <w:u w:val="none"/>
              </w:rPr>
            </w:pPr>
          </w:p>
        </w:tc>
      </w:tr>
      <w:tr w14:paraId="281D9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588C817">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65FA802A">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2BBA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标准稠度用水量</w:t>
            </w:r>
          </w:p>
        </w:tc>
        <w:tc>
          <w:tcPr>
            <w:tcW w:w="782" w:type="dxa"/>
            <w:vMerge w:val="continue"/>
            <w:tcBorders>
              <w:top w:val="nil"/>
              <w:left w:val="nil"/>
              <w:bottom w:val="single" w:color="000000" w:sz="8" w:space="0"/>
              <w:right w:val="single" w:color="000000" w:sz="8" w:space="0"/>
            </w:tcBorders>
            <w:shd w:val="clear"/>
            <w:vAlign w:val="center"/>
          </w:tcPr>
          <w:p w14:paraId="27693149">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5760CDA4">
            <w:pPr>
              <w:jc w:val="center"/>
              <w:rPr>
                <w:rFonts w:hint="eastAsia" w:ascii="宋体" w:hAnsi="宋体" w:eastAsia="宋体" w:cs="宋体"/>
                <w:i w:val="0"/>
                <w:iCs w:val="0"/>
                <w:color w:val="000000"/>
                <w:sz w:val="18"/>
                <w:szCs w:val="18"/>
                <w:u w:val="none"/>
              </w:rPr>
            </w:pPr>
          </w:p>
        </w:tc>
      </w:tr>
      <w:tr w14:paraId="5FAD7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C82F412">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464F79E2">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421B2A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氯离子</w:t>
            </w:r>
          </w:p>
        </w:tc>
        <w:tc>
          <w:tcPr>
            <w:tcW w:w="782" w:type="dxa"/>
            <w:vMerge w:val="continue"/>
            <w:tcBorders>
              <w:top w:val="nil"/>
              <w:left w:val="nil"/>
              <w:bottom w:val="single" w:color="000000" w:sz="8" w:space="0"/>
              <w:right w:val="single" w:color="000000" w:sz="8" w:space="0"/>
            </w:tcBorders>
            <w:shd w:val="clear"/>
            <w:vAlign w:val="center"/>
          </w:tcPr>
          <w:p w14:paraId="522A6357">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0A233E82">
            <w:pPr>
              <w:jc w:val="center"/>
              <w:rPr>
                <w:rFonts w:hint="eastAsia" w:ascii="宋体" w:hAnsi="宋体" w:eastAsia="宋体" w:cs="宋体"/>
                <w:i w:val="0"/>
                <w:iCs w:val="0"/>
                <w:color w:val="000000"/>
                <w:sz w:val="18"/>
                <w:szCs w:val="18"/>
                <w:u w:val="none"/>
              </w:rPr>
            </w:pPr>
          </w:p>
        </w:tc>
      </w:tr>
      <w:tr w14:paraId="6619B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restart"/>
            <w:tcBorders>
              <w:top w:val="single" w:color="000000" w:sz="8" w:space="0"/>
              <w:left w:val="single" w:color="000000" w:sz="8" w:space="0"/>
              <w:bottom w:val="single" w:color="000000" w:sz="8" w:space="0"/>
              <w:right w:val="single" w:color="000000" w:sz="8" w:space="0"/>
            </w:tcBorders>
            <w:shd w:val="clear"/>
            <w:vAlign w:val="center"/>
          </w:tcPr>
          <w:p w14:paraId="5647E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715" w:type="dxa"/>
            <w:vMerge w:val="restart"/>
            <w:tcBorders>
              <w:top w:val="nil"/>
              <w:left w:val="nil"/>
              <w:bottom w:val="single" w:color="000000" w:sz="8" w:space="0"/>
              <w:right w:val="single" w:color="000000" w:sz="8" w:space="0"/>
            </w:tcBorders>
            <w:shd w:val="clear"/>
            <w:vAlign w:val="center"/>
          </w:tcPr>
          <w:p w14:paraId="7F918D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机制砂</w:t>
            </w:r>
            <w:bookmarkStart w:id="55" w:name="_GoBack"/>
            <w:bookmarkEnd w:id="55"/>
          </w:p>
        </w:tc>
        <w:tc>
          <w:tcPr>
            <w:tcW w:w="4028" w:type="dxa"/>
            <w:tcBorders>
              <w:top w:val="nil"/>
              <w:left w:val="nil"/>
              <w:bottom w:val="single" w:color="000000" w:sz="8" w:space="0"/>
              <w:right w:val="single" w:color="000000" w:sz="8" w:space="0"/>
            </w:tcBorders>
            <w:shd w:val="clear"/>
            <w:vAlign w:val="center"/>
          </w:tcPr>
          <w:p w14:paraId="01D97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颗粒级配</w:t>
            </w:r>
            <w:r>
              <w:rPr>
                <w:rFonts w:hint="eastAsia" w:ascii="宋体" w:hAnsi="宋体" w:cs="宋体"/>
                <w:i w:val="0"/>
                <w:iCs w:val="0"/>
                <w:color w:val="000000"/>
                <w:kern w:val="0"/>
                <w:sz w:val="18"/>
                <w:szCs w:val="18"/>
                <w:u w:val="none"/>
                <w:lang w:val="en-US" w:eastAsia="zh-CN" w:bidi="ar"/>
              </w:rPr>
              <w:t>（含细度模数）</w:t>
            </w:r>
          </w:p>
        </w:tc>
        <w:tc>
          <w:tcPr>
            <w:tcW w:w="782" w:type="dxa"/>
            <w:vMerge w:val="restart"/>
            <w:tcBorders>
              <w:top w:val="nil"/>
              <w:left w:val="nil"/>
              <w:bottom w:val="single" w:color="000000" w:sz="8" w:space="0"/>
              <w:right w:val="single" w:color="000000" w:sz="8" w:space="0"/>
            </w:tcBorders>
            <w:shd w:val="clear"/>
            <w:vAlign w:val="center"/>
          </w:tcPr>
          <w:p w14:paraId="00177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5DEFE44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40kg每组</w:t>
            </w:r>
          </w:p>
        </w:tc>
      </w:tr>
      <w:tr w14:paraId="5E539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7058D96">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60A908E5">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5CAD1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亚甲蓝值</w:t>
            </w:r>
          </w:p>
        </w:tc>
        <w:tc>
          <w:tcPr>
            <w:tcW w:w="782" w:type="dxa"/>
            <w:vMerge w:val="continue"/>
            <w:tcBorders>
              <w:top w:val="nil"/>
              <w:left w:val="nil"/>
              <w:bottom w:val="single" w:color="000000" w:sz="8" w:space="0"/>
              <w:right w:val="single" w:color="000000" w:sz="8" w:space="0"/>
            </w:tcBorders>
            <w:shd w:val="clear"/>
            <w:vAlign w:val="center"/>
          </w:tcPr>
          <w:p w14:paraId="5B355410">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168B6DA5">
            <w:pPr>
              <w:jc w:val="center"/>
              <w:rPr>
                <w:rFonts w:hint="eastAsia" w:ascii="宋体" w:hAnsi="宋体" w:eastAsia="宋体" w:cs="宋体"/>
                <w:i w:val="0"/>
                <w:iCs w:val="0"/>
                <w:color w:val="000000"/>
                <w:sz w:val="18"/>
                <w:szCs w:val="18"/>
                <w:u w:val="none"/>
              </w:rPr>
            </w:pPr>
          </w:p>
        </w:tc>
      </w:tr>
      <w:tr w14:paraId="3B729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2278FB27">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528528E">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02F34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石粉含量</w:t>
            </w:r>
          </w:p>
        </w:tc>
        <w:tc>
          <w:tcPr>
            <w:tcW w:w="782" w:type="dxa"/>
            <w:vMerge w:val="continue"/>
            <w:tcBorders>
              <w:top w:val="nil"/>
              <w:left w:val="nil"/>
              <w:bottom w:val="single" w:color="000000" w:sz="8" w:space="0"/>
              <w:right w:val="single" w:color="000000" w:sz="8" w:space="0"/>
            </w:tcBorders>
            <w:shd w:val="clear"/>
            <w:vAlign w:val="center"/>
          </w:tcPr>
          <w:p w14:paraId="5B2B2ACD">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57C32A7A">
            <w:pPr>
              <w:jc w:val="center"/>
              <w:rPr>
                <w:rFonts w:hint="eastAsia" w:ascii="宋体" w:hAnsi="宋体" w:eastAsia="宋体" w:cs="宋体"/>
                <w:i w:val="0"/>
                <w:iCs w:val="0"/>
                <w:color w:val="000000"/>
                <w:sz w:val="18"/>
                <w:szCs w:val="18"/>
                <w:u w:val="none"/>
              </w:rPr>
            </w:pPr>
          </w:p>
        </w:tc>
      </w:tr>
      <w:tr w14:paraId="4891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BD8A081">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5EA3482">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866A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泥块含量</w:t>
            </w:r>
          </w:p>
        </w:tc>
        <w:tc>
          <w:tcPr>
            <w:tcW w:w="782" w:type="dxa"/>
            <w:vMerge w:val="continue"/>
            <w:tcBorders>
              <w:top w:val="nil"/>
              <w:left w:val="nil"/>
              <w:bottom w:val="single" w:color="000000" w:sz="8" w:space="0"/>
              <w:right w:val="single" w:color="000000" w:sz="8" w:space="0"/>
            </w:tcBorders>
            <w:shd w:val="clear"/>
            <w:vAlign w:val="center"/>
          </w:tcPr>
          <w:p w14:paraId="4D20D891">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681D701B">
            <w:pPr>
              <w:jc w:val="center"/>
              <w:rPr>
                <w:rFonts w:hint="eastAsia" w:ascii="宋体" w:hAnsi="宋体" w:eastAsia="宋体" w:cs="宋体"/>
                <w:i w:val="0"/>
                <w:iCs w:val="0"/>
                <w:color w:val="000000"/>
                <w:sz w:val="18"/>
                <w:szCs w:val="18"/>
                <w:u w:val="none"/>
              </w:rPr>
            </w:pPr>
          </w:p>
        </w:tc>
      </w:tr>
      <w:tr w14:paraId="61DC4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302DE07D">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743D70F9">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1BB07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压碎值指标</w:t>
            </w:r>
          </w:p>
        </w:tc>
        <w:tc>
          <w:tcPr>
            <w:tcW w:w="782" w:type="dxa"/>
            <w:vMerge w:val="continue"/>
            <w:tcBorders>
              <w:top w:val="nil"/>
              <w:left w:val="nil"/>
              <w:bottom w:val="single" w:color="000000" w:sz="8" w:space="0"/>
              <w:right w:val="single" w:color="000000" w:sz="8" w:space="0"/>
            </w:tcBorders>
            <w:shd w:val="clear"/>
            <w:vAlign w:val="center"/>
          </w:tcPr>
          <w:p w14:paraId="411BEE33">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7C5BEF6E">
            <w:pPr>
              <w:jc w:val="center"/>
              <w:rPr>
                <w:rFonts w:hint="eastAsia" w:ascii="宋体" w:hAnsi="宋体" w:eastAsia="宋体" w:cs="宋体"/>
                <w:i w:val="0"/>
                <w:iCs w:val="0"/>
                <w:color w:val="000000"/>
                <w:sz w:val="18"/>
                <w:szCs w:val="18"/>
                <w:u w:val="none"/>
              </w:rPr>
            </w:pPr>
          </w:p>
        </w:tc>
      </w:tr>
      <w:tr w14:paraId="77C5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30814E7F">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A1254DC">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218E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松散堆积密度</w:t>
            </w:r>
          </w:p>
        </w:tc>
        <w:tc>
          <w:tcPr>
            <w:tcW w:w="782" w:type="dxa"/>
            <w:vMerge w:val="continue"/>
            <w:tcBorders>
              <w:top w:val="nil"/>
              <w:left w:val="nil"/>
              <w:bottom w:val="single" w:color="000000" w:sz="8" w:space="0"/>
              <w:right w:val="single" w:color="000000" w:sz="8" w:space="0"/>
            </w:tcBorders>
            <w:shd w:val="clear"/>
            <w:vAlign w:val="center"/>
          </w:tcPr>
          <w:p w14:paraId="2E2BDF8C">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2451C080">
            <w:pPr>
              <w:jc w:val="center"/>
              <w:rPr>
                <w:rFonts w:hint="eastAsia" w:ascii="宋体" w:hAnsi="宋体" w:eastAsia="宋体" w:cs="宋体"/>
                <w:i w:val="0"/>
                <w:iCs w:val="0"/>
                <w:color w:val="000000"/>
                <w:sz w:val="18"/>
                <w:szCs w:val="18"/>
                <w:u w:val="none"/>
              </w:rPr>
            </w:pPr>
          </w:p>
        </w:tc>
      </w:tr>
      <w:tr w14:paraId="791A0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2B7B36E">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660A916">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1CC293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片状颗粒含量</w:t>
            </w:r>
          </w:p>
        </w:tc>
        <w:tc>
          <w:tcPr>
            <w:tcW w:w="782" w:type="dxa"/>
            <w:vMerge w:val="continue"/>
            <w:tcBorders>
              <w:top w:val="nil"/>
              <w:left w:val="nil"/>
              <w:bottom w:val="single" w:color="000000" w:sz="8" w:space="0"/>
              <w:right w:val="single" w:color="000000" w:sz="8" w:space="0"/>
            </w:tcBorders>
            <w:shd w:val="clear"/>
            <w:vAlign w:val="center"/>
          </w:tcPr>
          <w:p w14:paraId="350066F4">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4BD881D1">
            <w:pPr>
              <w:jc w:val="center"/>
              <w:rPr>
                <w:rFonts w:hint="eastAsia" w:ascii="宋体" w:hAnsi="宋体" w:eastAsia="宋体" w:cs="宋体"/>
                <w:i w:val="0"/>
                <w:iCs w:val="0"/>
                <w:color w:val="000000"/>
                <w:sz w:val="18"/>
                <w:szCs w:val="18"/>
                <w:u w:val="none"/>
              </w:rPr>
            </w:pPr>
          </w:p>
        </w:tc>
      </w:tr>
      <w:tr w14:paraId="59B81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restart"/>
            <w:tcBorders>
              <w:top w:val="single" w:color="000000" w:sz="8" w:space="0"/>
              <w:left w:val="single" w:color="000000" w:sz="8" w:space="0"/>
              <w:bottom w:val="single" w:color="000000" w:sz="8" w:space="0"/>
              <w:right w:val="single" w:color="000000" w:sz="8" w:space="0"/>
            </w:tcBorders>
            <w:shd w:val="clear"/>
            <w:vAlign w:val="center"/>
          </w:tcPr>
          <w:p w14:paraId="68801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715" w:type="dxa"/>
            <w:vMerge w:val="restart"/>
            <w:tcBorders>
              <w:top w:val="nil"/>
              <w:left w:val="nil"/>
              <w:bottom w:val="single" w:color="000000" w:sz="8" w:space="0"/>
              <w:right w:val="single" w:color="000000" w:sz="8" w:space="0"/>
            </w:tcBorders>
            <w:shd w:val="clear"/>
            <w:vAlign w:val="center"/>
          </w:tcPr>
          <w:p w14:paraId="2EF499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碎石</w:t>
            </w:r>
          </w:p>
        </w:tc>
        <w:tc>
          <w:tcPr>
            <w:tcW w:w="4028" w:type="dxa"/>
            <w:tcBorders>
              <w:top w:val="nil"/>
              <w:left w:val="nil"/>
              <w:bottom w:val="single" w:color="000000" w:sz="8" w:space="0"/>
              <w:right w:val="single" w:color="000000" w:sz="8" w:space="0"/>
            </w:tcBorders>
            <w:shd w:val="clear"/>
            <w:vAlign w:val="center"/>
          </w:tcPr>
          <w:p w14:paraId="6935B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颗粒级配</w:t>
            </w:r>
          </w:p>
        </w:tc>
        <w:tc>
          <w:tcPr>
            <w:tcW w:w="782" w:type="dxa"/>
            <w:vMerge w:val="restart"/>
            <w:tcBorders>
              <w:top w:val="nil"/>
              <w:left w:val="nil"/>
              <w:bottom w:val="single" w:color="000000" w:sz="8" w:space="0"/>
              <w:right w:val="single" w:color="000000" w:sz="8" w:space="0"/>
            </w:tcBorders>
            <w:shd w:val="clear"/>
            <w:vAlign w:val="center"/>
          </w:tcPr>
          <w:p w14:paraId="3F047F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332015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40kg每组</w:t>
            </w:r>
          </w:p>
        </w:tc>
      </w:tr>
      <w:tr w14:paraId="6BCBA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64A7DCFF">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20B9EED2">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CB2D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针片状颗粒含量</w:t>
            </w:r>
          </w:p>
        </w:tc>
        <w:tc>
          <w:tcPr>
            <w:tcW w:w="782" w:type="dxa"/>
            <w:vMerge w:val="continue"/>
            <w:tcBorders>
              <w:top w:val="nil"/>
              <w:left w:val="nil"/>
              <w:bottom w:val="single" w:color="000000" w:sz="8" w:space="0"/>
              <w:right w:val="single" w:color="000000" w:sz="8" w:space="0"/>
            </w:tcBorders>
            <w:shd w:val="clear"/>
            <w:vAlign w:val="center"/>
          </w:tcPr>
          <w:p w14:paraId="18EB2E02">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1EE137B5">
            <w:pPr>
              <w:jc w:val="center"/>
              <w:rPr>
                <w:rFonts w:hint="eastAsia" w:ascii="宋体" w:hAnsi="宋体" w:eastAsia="宋体" w:cs="宋体"/>
                <w:i w:val="0"/>
                <w:iCs w:val="0"/>
                <w:color w:val="000000"/>
                <w:sz w:val="18"/>
                <w:szCs w:val="18"/>
                <w:u w:val="none"/>
              </w:rPr>
            </w:pPr>
          </w:p>
        </w:tc>
      </w:tr>
      <w:tr w14:paraId="4F2BE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2FBFE5E9">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29206085">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F695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含泥量</w:t>
            </w:r>
          </w:p>
        </w:tc>
        <w:tc>
          <w:tcPr>
            <w:tcW w:w="782" w:type="dxa"/>
            <w:vMerge w:val="continue"/>
            <w:tcBorders>
              <w:top w:val="nil"/>
              <w:left w:val="nil"/>
              <w:bottom w:val="single" w:color="000000" w:sz="8" w:space="0"/>
              <w:right w:val="single" w:color="000000" w:sz="8" w:space="0"/>
            </w:tcBorders>
            <w:shd w:val="clear"/>
            <w:vAlign w:val="center"/>
          </w:tcPr>
          <w:p w14:paraId="5FC68437">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02C0D9F6">
            <w:pPr>
              <w:jc w:val="center"/>
              <w:rPr>
                <w:rFonts w:hint="eastAsia" w:ascii="宋体" w:hAnsi="宋体" w:eastAsia="宋体" w:cs="宋体"/>
                <w:i w:val="0"/>
                <w:iCs w:val="0"/>
                <w:color w:val="000000"/>
                <w:sz w:val="18"/>
                <w:szCs w:val="18"/>
                <w:u w:val="none"/>
              </w:rPr>
            </w:pPr>
          </w:p>
        </w:tc>
      </w:tr>
      <w:tr w14:paraId="38356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0B2BD4C3">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79228EA5">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9DED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泥块含量</w:t>
            </w:r>
          </w:p>
        </w:tc>
        <w:tc>
          <w:tcPr>
            <w:tcW w:w="782" w:type="dxa"/>
            <w:vMerge w:val="continue"/>
            <w:tcBorders>
              <w:top w:val="nil"/>
              <w:left w:val="nil"/>
              <w:bottom w:val="single" w:color="000000" w:sz="8" w:space="0"/>
              <w:right w:val="single" w:color="000000" w:sz="8" w:space="0"/>
            </w:tcBorders>
            <w:shd w:val="clear"/>
            <w:vAlign w:val="center"/>
          </w:tcPr>
          <w:p w14:paraId="233BB25F">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3028357E">
            <w:pPr>
              <w:jc w:val="center"/>
              <w:rPr>
                <w:rFonts w:hint="eastAsia" w:ascii="宋体" w:hAnsi="宋体" w:eastAsia="宋体" w:cs="宋体"/>
                <w:i w:val="0"/>
                <w:iCs w:val="0"/>
                <w:color w:val="000000"/>
                <w:sz w:val="18"/>
                <w:szCs w:val="18"/>
                <w:u w:val="none"/>
              </w:rPr>
            </w:pPr>
          </w:p>
        </w:tc>
      </w:tr>
      <w:tr w14:paraId="0CE5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43A014E2">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2F413147">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46E8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压碎值指标</w:t>
            </w:r>
          </w:p>
        </w:tc>
        <w:tc>
          <w:tcPr>
            <w:tcW w:w="782" w:type="dxa"/>
            <w:vMerge w:val="continue"/>
            <w:tcBorders>
              <w:top w:val="nil"/>
              <w:left w:val="nil"/>
              <w:bottom w:val="single" w:color="000000" w:sz="8" w:space="0"/>
              <w:right w:val="single" w:color="000000" w:sz="8" w:space="0"/>
            </w:tcBorders>
            <w:shd w:val="clear"/>
            <w:vAlign w:val="center"/>
          </w:tcPr>
          <w:p w14:paraId="3AC74E44">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431213EC">
            <w:pPr>
              <w:jc w:val="center"/>
              <w:rPr>
                <w:rFonts w:hint="eastAsia" w:ascii="宋体" w:hAnsi="宋体" w:eastAsia="宋体" w:cs="宋体"/>
                <w:i w:val="0"/>
                <w:iCs w:val="0"/>
                <w:color w:val="000000"/>
                <w:sz w:val="18"/>
                <w:szCs w:val="18"/>
                <w:u w:val="none"/>
              </w:rPr>
            </w:pPr>
          </w:p>
        </w:tc>
      </w:tr>
      <w:tr w14:paraId="20664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59EE392B">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5A500219">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4DCA2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坚固性</w:t>
            </w:r>
          </w:p>
        </w:tc>
        <w:tc>
          <w:tcPr>
            <w:tcW w:w="782" w:type="dxa"/>
            <w:vMerge w:val="continue"/>
            <w:tcBorders>
              <w:top w:val="nil"/>
              <w:left w:val="nil"/>
              <w:bottom w:val="single" w:color="000000" w:sz="8" w:space="0"/>
              <w:right w:val="single" w:color="000000" w:sz="8" w:space="0"/>
            </w:tcBorders>
            <w:shd w:val="clear"/>
            <w:vAlign w:val="center"/>
          </w:tcPr>
          <w:p w14:paraId="36730036">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3E7E954E">
            <w:pPr>
              <w:jc w:val="center"/>
              <w:rPr>
                <w:rFonts w:hint="eastAsia" w:ascii="宋体" w:hAnsi="宋体" w:eastAsia="宋体" w:cs="宋体"/>
                <w:i w:val="0"/>
                <w:iCs w:val="0"/>
                <w:color w:val="000000"/>
                <w:sz w:val="18"/>
                <w:szCs w:val="18"/>
                <w:u w:val="none"/>
              </w:rPr>
            </w:pPr>
          </w:p>
        </w:tc>
      </w:tr>
      <w:tr w14:paraId="6E85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restart"/>
            <w:tcBorders>
              <w:top w:val="single" w:color="000000" w:sz="8" w:space="0"/>
              <w:left w:val="single" w:color="000000" w:sz="8" w:space="0"/>
              <w:bottom w:val="single" w:color="000000" w:sz="8" w:space="0"/>
              <w:right w:val="single" w:color="000000" w:sz="8" w:space="0"/>
            </w:tcBorders>
            <w:shd w:val="clear"/>
            <w:vAlign w:val="center"/>
          </w:tcPr>
          <w:p w14:paraId="76E3D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715" w:type="dxa"/>
            <w:vMerge w:val="restart"/>
            <w:tcBorders>
              <w:top w:val="nil"/>
              <w:left w:val="nil"/>
              <w:bottom w:val="single" w:color="000000" w:sz="8" w:space="0"/>
              <w:right w:val="single" w:color="000000" w:sz="8" w:space="0"/>
            </w:tcBorders>
            <w:shd w:val="clear"/>
            <w:vAlign w:val="center"/>
          </w:tcPr>
          <w:p w14:paraId="742AC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热轧光圆钢筋（HPB300：直径4）</w:t>
            </w:r>
          </w:p>
        </w:tc>
        <w:tc>
          <w:tcPr>
            <w:tcW w:w="4028" w:type="dxa"/>
            <w:tcBorders>
              <w:top w:val="nil"/>
              <w:left w:val="nil"/>
              <w:bottom w:val="single" w:color="000000" w:sz="8" w:space="0"/>
              <w:right w:val="single" w:color="000000" w:sz="8" w:space="0"/>
            </w:tcBorders>
            <w:shd w:val="clear"/>
            <w:vAlign w:val="center"/>
          </w:tcPr>
          <w:p w14:paraId="20AABA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力学性能（下屈服强度、抗拉强度、断后伸长率）</w:t>
            </w:r>
          </w:p>
        </w:tc>
        <w:tc>
          <w:tcPr>
            <w:tcW w:w="782" w:type="dxa"/>
            <w:vMerge w:val="restart"/>
            <w:tcBorders>
              <w:top w:val="nil"/>
              <w:left w:val="nil"/>
              <w:bottom w:val="single" w:color="000000" w:sz="8" w:space="0"/>
              <w:right w:val="single" w:color="000000" w:sz="8" w:space="0"/>
            </w:tcBorders>
            <w:shd w:val="clear"/>
            <w:vAlign w:val="center"/>
          </w:tcPr>
          <w:p w14:paraId="7C992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3E5AFC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lang w:val="en-US" w:eastAsia="zh-CN" w:bidi="ar"/>
              </w:rPr>
              <w:t>每种直径一组，每组五个试件，长一般不小于500mm。</w:t>
            </w:r>
          </w:p>
        </w:tc>
      </w:tr>
      <w:tr w14:paraId="5F2F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0E0BD760">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8435ED7">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02FF0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弯曲性能</w:t>
            </w:r>
          </w:p>
        </w:tc>
        <w:tc>
          <w:tcPr>
            <w:tcW w:w="782" w:type="dxa"/>
            <w:vMerge w:val="continue"/>
            <w:tcBorders>
              <w:top w:val="nil"/>
              <w:left w:val="nil"/>
              <w:bottom w:val="single" w:color="000000" w:sz="8" w:space="0"/>
              <w:right w:val="single" w:color="000000" w:sz="8" w:space="0"/>
            </w:tcBorders>
            <w:shd w:val="clear"/>
            <w:vAlign w:val="center"/>
          </w:tcPr>
          <w:p w14:paraId="11DA3A9F">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131BD128">
            <w:pPr>
              <w:jc w:val="center"/>
              <w:rPr>
                <w:rFonts w:hint="eastAsia" w:ascii="宋体" w:hAnsi="宋体" w:eastAsia="宋体" w:cs="宋体"/>
                <w:i w:val="0"/>
                <w:iCs w:val="0"/>
                <w:color w:val="000000"/>
                <w:sz w:val="18"/>
                <w:szCs w:val="18"/>
                <w:u w:val="none"/>
              </w:rPr>
            </w:pPr>
          </w:p>
        </w:tc>
      </w:tr>
      <w:tr w14:paraId="265B9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34BE6732">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1AB41262">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4D7C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重量偏差</w:t>
            </w:r>
          </w:p>
        </w:tc>
        <w:tc>
          <w:tcPr>
            <w:tcW w:w="782" w:type="dxa"/>
            <w:vMerge w:val="continue"/>
            <w:tcBorders>
              <w:top w:val="nil"/>
              <w:left w:val="nil"/>
              <w:bottom w:val="single" w:color="000000" w:sz="8" w:space="0"/>
              <w:right w:val="single" w:color="000000" w:sz="8" w:space="0"/>
            </w:tcBorders>
            <w:shd w:val="clear"/>
            <w:vAlign w:val="center"/>
          </w:tcPr>
          <w:p w14:paraId="76D74204">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682908D3">
            <w:pPr>
              <w:jc w:val="center"/>
              <w:rPr>
                <w:rFonts w:hint="eastAsia" w:ascii="宋体" w:hAnsi="宋体" w:eastAsia="宋体" w:cs="宋体"/>
                <w:i w:val="0"/>
                <w:iCs w:val="0"/>
                <w:color w:val="000000"/>
                <w:sz w:val="18"/>
                <w:szCs w:val="18"/>
                <w:u w:val="none"/>
              </w:rPr>
            </w:pPr>
          </w:p>
        </w:tc>
      </w:tr>
      <w:tr w14:paraId="171EB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restart"/>
            <w:tcBorders>
              <w:top w:val="single" w:color="000000" w:sz="8" w:space="0"/>
              <w:left w:val="single" w:color="000000" w:sz="8" w:space="0"/>
              <w:bottom w:val="single" w:color="000000" w:sz="8" w:space="0"/>
              <w:right w:val="single" w:color="000000" w:sz="8" w:space="0"/>
            </w:tcBorders>
            <w:shd w:val="clear"/>
            <w:vAlign w:val="center"/>
          </w:tcPr>
          <w:p w14:paraId="37F8A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715" w:type="dxa"/>
            <w:vMerge w:val="restart"/>
            <w:tcBorders>
              <w:top w:val="nil"/>
              <w:left w:val="nil"/>
              <w:bottom w:val="single" w:color="000000" w:sz="8" w:space="0"/>
              <w:right w:val="single" w:color="000000" w:sz="8" w:space="0"/>
            </w:tcBorders>
            <w:shd w:val="clear"/>
            <w:vAlign w:val="center"/>
          </w:tcPr>
          <w:p w14:paraId="5191C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热轧带肋钢筋（HRB400E直径6/8/10/12/14/16/18/20/22/25）</w:t>
            </w:r>
          </w:p>
        </w:tc>
        <w:tc>
          <w:tcPr>
            <w:tcW w:w="4028" w:type="dxa"/>
            <w:tcBorders>
              <w:top w:val="nil"/>
              <w:left w:val="nil"/>
              <w:bottom w:val="single" w:color="000000" w:sz="8" w:space="0"/>
              <w:right w:val="single" w:color="000000" w:sz="8" w:space="0"/>
            </w:tcBorders>
            <w:shd w:val="clear"/>
            <w:vAlign w:val="center"/>
          </w:tcPr>
          <w:p w14:paraId="58D12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力学性能（下屈服强度、抗拉强度、断后伸长率）</w:t>
            </w:r>
          </w:p>
        </w:tc>
        <w:tc>
          <w:tcPr>
            <w:tcW w:w="782" w:type="dxa"/>
            <w:vMerge w:val="restart"/>
            <w:tcBorders>
              <w:top w:val="nil"/>
              <w:left w:val="nil"/>
              <w:bottom w:val="single" w:color="000000" w:sz="8" w:space="0"/>
              <w:right w:val="single" w:color="000000" w:sz="8" w:space="0"/>
            </w:tcBorders>
            <w:shd w:val="clear"/>
            <w:vAlign w:val="center"/>
          </w:tcPr>
          <w:p w14:paraId="5E255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10组</w:t>
            </w:r>
          </w:p>
        </w:tc>
        <w:tc>
          <w:tcPr>
            <w:tcW w:w="1367" w:type="dxa"/>
            <w:vMerge w:val="restart"/>
            <w:tcBorders>
              <w:top w:val="nil"/>
              <w:left w:val="nil"/>
              <w:right w:val="single" w:color="000000" w:sz="8" w:space="0"/>
            </w:tcBorders>
            <w:shd w:val="clear"/>
            <w:vAlign w:val="center"/>
          </w:tcPr>
          <w:p w14:paraId="3E0967ED">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每种直径一组，每组五个试件，长一般不小于500mm。</w:t>
            </w:r>
          </w:p>
        </w:tc>
      </w:tr>
      <w:tr w14:paraId="11497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1E93431B">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58A5DDBE">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ADBF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反向完全性能</w:t>
            </w:r>
          </w:p>
        </w:tc>
        <w:tc>
          <w:tcPr>
            <w:tcW w:w="782" w:type="dxa"/>
            <w:vMerge w:val="continue"/>
            <w:tcBorders>
              <w:top w:val="nil"/>
              <w:left w:val="nil"/>
              <w:bottom w:val="single" w:color="000000" w:sz="8" w:space="0"/>
              <w:right w:val="single" w:color="000000" w:sz="8" w:space="0"/>
            </w:tcBorders>
            <w:shd w:val="clear"/>
            <w:vAlign w:val="center"/>
          </w:tcPr>
          <w:p w14:paraId="26F0B89D">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50DAAB94">
            <w:pPr>
              <w:jc w:val="center"/>
              <w:rPr>
                <w:rFonts w:hint="eastAsia" w:ascii="宋体" w:hAnsi="宋体" w:eastAsia="宋体" w:cs="宋体"/>
                <w:i w:val="0"/>
                <w:iCs w:val="0"/>
                <w:color w:val="000000"/>
                <w:sz w:val="18"/>
                <w:szCs w:val="18"/>
                <w:u w:val="none"/>
              </w:rPr>
            </w:pPr>
          </w:p>
        </w:tc>
      </w:tr>
      <w:tr w14:paraId="26AF5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2C0ED56C">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49D4D694">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4D3F9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弯曲性能</w:t>
            </w:r>
          </w:p>
        </w:tc>
        <w:tc>
          <w:tcPr>
            <w:tcW w:w="782" w:type="dxa"/>
            <w:vMerge w:val="continue"/>
            <w:tcBorders>
              <w:top w:val="nil"/>
              <w:left w:val="nil"/>
              <w:bottom w:val="single" w:color="000000" w:sz="8" w:space="0"/>
              <w:right w:val="single" w:color="000000" w:sz="8" w:space="0"/>
            </w:tcBorders>
            <w:shd w:val="clear"/>
            <w:vAlign w:val="center"/>
          </w:tcPr>
          <w:p w14:paraId="3AACCEE1">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5EF7BC7D">
            <w:pPr>
              <w:jc w:val="center"/>
              <w:rPr>
                <w:rFonts w:hint="eastAsia" w:ascii="宋体" w:hAnsi="宋体" w:eastAsia="宋体" w:cs="宋体"/>
                <w:i w:val="0"/>
                <w:iCs w:val="0"/>
                <w:color w:val="000000"/>
                <w:sz w:val="18"/>
                <w:szCs w:val="18"/>
                <w:u w:val="none"/>
              </w:rPr>
            </w:pPr>
          </w:p>
        </w:tc>
      </w:tr>
      <w:tr w14:paraId="0583D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single" w:color="000000" w:sz="8" w:space="0"/>
              <w:left w:val="single" w:color="000000" w:sz="8" w:space="0"/>
              <w:bottom w:val="single" w:color="000000" w:sz="8" w:space="0"/>
              <w:right w:val="single" w:color="000000" w:sz="8" w:space="0"/>
            </w:tcBorders>
            <w:shd w:val="clear"/>
            <w:vAlign w:val="center"/>
          </w:tcPr>
          <w:p w14:paraId="03708D89">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BD10A35">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0ECE3F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重量偏差</w:t>
            </w:r>
          </w:p>
        </w:tc>
        <w:tc>
          <w:tcPr>
            <w:tcW w:w="782" w:type="dxa"/>
            <w:vMerge w:val="continue"/>
            <w:tcBorders>
              <w:top w:val="nil"/>
              <w:left w:val="nil"/>
              <w:bottom w:val="single" w:color="000000" w:sz="8" w:space="0"/>
              <w:right w:val="single" w:color="000000" w:sz="8" w:space="0"/>
            </w:tcBorders>
            <w:shd w:val="clear"/>
            <w:vAlign w:val="center"/>
          </w:tcPr>
          <w:p w14:paraId="45372BF1">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02F44755">
            <w:pPr>
              <w:jc w:val="center"/>
              <w:rPr>
                <w:rFonts w:hint="eastAsia" w:ascii="宋体" w:hAnsi="宋体" w:eastAsia="宋体" w:cs="宋体"/>
                <w:i w:val="0"/>
                <w:iCs w:val="0"/>
                <w:color w:val="000000"/>
                <w:sz w:val="18"/>
                <w:szCs w:val="18"/>
                <w:u w:val="none"/>
              </w:rPr>
            </w:pPr>
          </w:p>
        </w:tc>
      </w:tr>
      <w:tr w14:paraId="02E29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restart"/>
            <w:tcBorders>
              <w:top w:val="nil"/>
              <w:left w:val="single" w:color="000000" w:sz="8" w:space="0"/>
              <w:bottom w:val="single" w:color="000000" w:sz="8" w:space="0"/>
              <w:right w:val="single" w:color="000000" w:sz="8" w:space="0"/>
            </w:tcBorders>
            <w:shd w:val="clear"/>
            <w:vAlign w:val="center"/>
          </w:tcPr>
          <w:p w14:paraId="3F023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1715" w:type="dxa"/>
            <w:vMerge w:val="restart"/>
            <w:tcBorders>
              <w:top w:val="single" w:color="000000" w:sz="8" w:space="0"/>
              <w:left w:val="single" w:color="000000" w:sz="8" w:space="0"/>
              <w:bottom w:val="single" w:color="000000" w:sz="8" w:space="0"/>
              <w:right w:val="single" w:color="000000" w:sz="8" w:space="0"/>
            </w:tcBorders>
            <w:shd w:val="clear"/>
            <w:vAlign w:val="center"/>
          </w:tcPr>
          <w:p w14:paraId="20FD6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蒸压灰砂砖</w:t>
            </w:r>
          </w:p>
        </w:tc>
        <w:tc>
          <w:tcPr>
            <w:tcW w:w="4028" w:type="dxa"/>
            <w:tcBorders>
              <w:top w:val="nil"/>
              <w:left w:val="nil"/>
              <w:bottom w:val="single" w:color="000000" w:sz="8" w:space="0"/>
              <w:right w:val="single" w:color="000000" w:sz="8" w:space="0"/>
            </w:tcBorders>
            <w:shd w:val="clear"/>
            <w:vAlign w:val="center"/>
          </w:tcPr>
          <w:p w14:paraId="78739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强度等级</w:t>
            </w:r>
          </w:p>
        </w:tc>
        <w:tc>
          <w:tcPr>
            <w:tcW w:w="782" w:type="dxa"/>
            <w:vMerge w:val="restart"/>
            <w:tcBorders>
              <w:top w:val="nil"/>
              <w:left w:val="nil"/>
              <w:bottom w:val="single" w:color="000000" w:sz="8" w:space="0"/>
              <w:right w:val="single" w:color="000000" w:sz="8" w:space="0"/>
            </w:tcBorders>
            <w:shd w:val="clear"/>
            <w:vAlign w:val="center"/>
          </w:tcPr>
          <w:p w14:paraId="51B80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55F68A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20块每组</w:t>
            </w:r>
          </w:p>
        </w:tc>
      </w:tr>
      <w:tr w14:paraId="2531E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0553F52B">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4E3FAA75">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6B6B4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抗折强度</w:t>
            </w:r>
          </w:p>
        </w:tc>
        <w:tc>
          <w:tcPr>
            <w:tcW w:w="782" w:type="dxa"/>
            <w:vMerge w:val="continue"/>
            <w:tcBorders>
              <w:top w:val="nil"/>
              <w:left w:val="nil"/>
              <w:bottom w:val="single" w:color="000000" w:sz="8" w:space="0"/>
              <w:right w:val="single" w:color="000000" w:sz="8" w:space="0"/>
            </w:tcBorders>
            <w:shd w:val="clear"/>
            <w:vAlign w:val="center"/>
          </w:tcPr>
          <w:p w14:paraId="735D6FC5">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470C79B8">
            <w:pPr>
              <w:jc w:val="center"/>
              <w:rPr>
                <w:rFonts w:hint="eastAsia" w:ascii="宋体" w:hAnsi="宋体" w:eastAsia="宋体" w:cs="宋体"/>
                <w:i w:val="0"/>
                <w:iCs w:val="0"/>
                <w:color w:val="000000"/>
                <w:sz w:val="18"/>
                <w:szCs w:val="18"/>
                <w:u w:val="none"/>
              </w:rPr>
            </w:pPr>
          </w:p>
        </w:tc>
      </w:tr>
      <w:tr w14:paraId="10881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restart"/>
            <w:tcBorders>
              <w:top w:val="nil"/>
              <w:left w:val="single" w:color="000000" w:sz="8" w:space="0"/>
              <w:bottom w:val="single" w:color="000000" w:sz="8" w:space="0"/>
              <w:right w:val="single" w:color="000000" w:sz="8" w:space="0"/>
            </w:tcBorders>
            <w:shd w:val="clear"/>
            <w:vAlign w:val="center"/>
          </w:tcPr>
          <w:p w14:paraId="72E9C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1715" w:type="dxa"/>
            <w:vMerge w:val="restart"/>
            <w:tcBorders>
              <w:top w:val="single" w:color="000000" w:sz="8" w:space="0"/>
              <w:left w:val="single" w:color="000000" w:sz="8" w:space="0"/>
              <w:bottom w:val="single" w:color="000000" w:sz="8" w:space="0"/>
              <w:right w:val="single" w:color="000000" w:sz="8" w:space="0"/>
            </w:tcBorders>
            <w:shd w:val="clear"/>
            <w:vAlign w:val="center"/>
          </w:tcPr>
          <w:p w14:paraId="290BC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高聚物改性沥青防水卷材</w:t>
            </w:r>
          </w:p>
        </w:tc>
        <w:tc>
          <w:tcPr>
            <w:tcW w:w="4028" w:type="dxa"/>
            <w:tcBorders>
              <w:top w:val="nil"/>
              <w:left w:val="nil"/>
              <w:bottom w:val="single" w:color="000000" w:sz="8" w:space="0"/>
              <w:right w:val="single" w:color="000000" w:sz="8" w:space="0"/>
            </w:tcBorders>
            <w:shd w:val="clear"/>
            <w:vAlign w:val="center"/>
          </w:tcPr>
          <w:p w14:paraId="560AA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可溶物含量</w:t>
            </w:r>
          </w:p>
        </w:tc>
        <w:tc>
          <w:tcPr>
            <w:tcW w:w="782" w:type="dxa"/>
            <w:vMerge w:val="restart"/>
            <w:tcBorders>
              <w:top w:val="nil"/>
              <w:left w:val="nil"/>
              <w:bottom w:val="single" w:color="000000" w:sz="8" w:space="0"/>
              <w:right w:val="single" w:color="000000" w:sz="8" w:space="0"/>
            </w:tcBorders>
            <w:shd w:val="clear"/>
            <w:vAlign w:val="center"/>
          </w:tcPr>
          <w:p w14:paraId="59075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nil"/>
              <w:left w:val="nil"/>
              <w:right w:val="single" w:color="000000" w:sz="8" w:space="0"/>
            </w:tcBorders>
            <w:shd w:val="clear"/>
            <w:vAlign w:val="center"/>
          </w:tcPr>
          <w:p w14:paraId="5EC3395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w:t>
            </w:r>
          </w:p>
        </w:tc>
      </w:tr>
      <w:tr w14:paraId="4748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2C4CDF05">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618E53DF">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9663E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拉力</w:t>
            </w:r>
          </w:p>
        </w:tc>
        <w:tc>
          <w:tcPr>
            <w:tcW w:w="782" w:type="dxa"/>
            <w:vMerge w:val="continue"/>
            <w:tcBorders>
              <w:top w:val="nil"/>
              <w:left w:val="nil"/>
              <w:bottom w:val="single" w:color="000000" w:sz="8" w:space="0"/>
              <w:right w:val="single" w:color="000000" w:sz="8" w:space="0"/>
            </w:tcBorders>
            <w:shd w:val="clear"/>
            <w:vAlign w:val="center"/>
          </w:tcPr>
          <w:p w14:paraId="44BDF59C">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0990CE2D">
            <w:pPr>
              <w:jc w:val="center"/>
              <w:rPr>
                <w:rFonts w:hint="eastAsia" w:ascii="宋体" w:hAnsi="宋体" w:eastAsia="宋体" w:cs="宋体"/>
                <w:i w:val="0"/>
                <w:iCs w:val="0"/>
                <w:color w:val="000000"/>
                <w:sz w:val="18"/>
                <w:szCs w:val="18"/>
                <w:u w:val="none"/>
              </w:rPr>
            </w:pPr>
          </w:p>
        </w:tc>
      </w:tr>
      <w:tr w14:paraId="52156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5B4D76E7">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23AE9E20">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732D35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不透水性</w:t>
            </w:r>
          </w:p>
        </w:tc>
        <w:tc>
          <w:tcPr>
            <w:tcW w:w="782" w:type="dxa"/>
            <w:vMerge w:val="continue"/>
            <w:tcBorders>
              <w:top w:val="nil"/>
              <w:left w:val="nil"/>
              <w:bottom w:val="single" w:color="000000" w:sz="8" w:space="0"/>
              <w:right w:val="single" w:color="000000" w:sz="8" w:space="0"/>
            </w:tcBorders>
            <w:shd w:val="clear"/>
            <w:vAlign w:val="center"/>
          </w:tcPr>
          <w:p w14:paraId="1F70FE7D">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04D7A29F">
            <w:pPr>
              <w:jc w:val="center"/>
              <w:rPr>
                <w:rFonts w:hint="eastAsia" w:ascii="宋体" w:hAnsi="宋体" w:eastAsia="宋体" w:cs="宋体"/>
                <w:i w:val="0"/>
                <w:iCs w:val="0"/>
                <w:color w:val="000000"/>
                <w:sz w:val="18"/>
                <w:szCs w:val="18"/>
                <w:u w:val="none"/>
              </w:rPr>
            </w:pPr>
          </w:p>
        </w:tc>
      </w:tr>
      <w:tr w14:paraId="3DEFF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352FA6CC">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3CA21E82">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1EEE5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低温柔度</w:t>
            </w:r>
          </w:p>
        </w:tc>
        <w:tc>
          <w:tcPr>
            <w:tcW w:w="782" w:type="dxa"/>
            <w:vMerge w:val="continue"/>
            <w:tcBorders>
              <w:top w:val="nil"/>
              <w:left w:val="nil"/>
              <w:bottom w:val="single" w:color="000000" w:sz="8" w:space="0"/>
              <w:right w:val="single" w:color="000000" w:sz="8" w:space="0"/>
            </w:tcBorders>
            <w:shd w:val="clear"/>
            <w:vAlign w:val="center"/>
          </w:tcPr>
          <w:p w14:paraId="74B890E8">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3B365C25">
            <w:pPr>
              <w:jc w:val="center"/>
              <w:rPr>
                <w:rFonts w:hint="eastAsia" w:ascii="宋体" w:hAnsi="宋体" w:eastAsia="宋体" w:cs="宋体"/>
                <w:i w:val="0"/>
                <w:iCs w:val="0"/>
                <w:color w:val="000000"/>
                <w:sz w:val="18"/>
                <w:szCs w:val="18"/>
                <w:u w:val="none"/>
              </w:rPr>
            </w:pPr>
          </w:p>
        </w:tc>
      </w:tr>
      <w:tr w14:paraId="059E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69BAD082">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07DEE4F6">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17B4EF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热老化后低温柔度</w:t>
            </w:r>
          </w:p>
        </w:tc>
        <w:tc>
          <w:tcPr>
            <w:tcW w:w="782" w:type="dxa"/>
            <w:vMerge w:val="continue"/>
            <w:tcBorders>
              <w:top w:val="nil"/>
              <w:left w:val="nil"/>
              <w:bottom w:val="single" w:color="000000" w:sz="8" w:space="0"/>
              <w:right w:val="single" w:color="000000" w:sz="8" w:space="0"/>
            </w:tcBorders>
            <w:shd w:val="clear"/>
            <w:vAlign w:val="center"/>
          </w:tcPr>
          <w:p w14:paraId="178736F1">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1CAEE064">
            <w:pPr>
              <w:jc w:val="center"/>
              <w:rPr>
                <w:rFonts w:hint="eastAsia" w:ascii="宋体" w:hAnsi="宋体" w:eastAsia="宋体" w:cs="宋体"/>
                <w:i w:val="0"/>
                <w:iCs w:val="0"/>
                <w:color w:val="000000"/>
                <w:sz w:val="18"/>
                <w:szCs w:val="18"/>
                <w:u w:val="none"/>
              </w:rPr>
            </w:pPr>
          </w:p>
        </w:tc>
      </w:tr>
      <w:tr w14:paraId="44763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0B97E31E">
            <w:pPr>
              <w:jc w:val="center"/>
              <w:rPr>
                <w:rFonts w:hint="eastAsia" w:ascii="宋体" w:hAnsi="宋体" w:eastAsia="宋体" w:cs="宋体"/>
                <w:i w:val="0"/>
                <w:iCs w:val="0"/>
                <w:color w:val="000000"/>
                <w:sz w:val="18"/>
                <w:szCs w:val="18"/>
                <w:u w:val="none"/>
              </w:rPr>
            </w:pPr>
          </w:p>
        </w:tc>
        <w:tc>
          <w:tcPr>
            <w:tcW w:w="1715" w:type="dxa"/>
            <w:vMerge w:val="continue"/>
            <w:tcBorders>
              <w:top w:val="single" w:color="000000" w:sz="8" w:space="0"/>
              <w:left w:val="single" w:color="000000" w:sz="8" w:space="0"/>
              <w:bottom w:val="single" w:color="000000" w:sz="8" w:space="0"/>
              <w:right w:val="single" w:color="000000" w:sz="8" w:space="0"/>
            </w:tcBorders>
            <w:shd w:val="clear"/>
            <w:vAlign w:val="center"/>
          </w:tcPr>
          <w:p w14:paraId="47BE105D">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2D10A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延伸性</w:t>
            </w:r>
          </w:p>
        </w:tc>
        <w:tc>
          <w:tcPr>
            <w:tcW w:w="782" w:type="dxa"/>
            <w:vMerge w:val="continue"/>
            <w:tcBorders>
              <w:top w:val="nil"/>
              <w:left w:val="nil"/>
              <w:bottom w:val="single" w:color="000000" w:sz="8" w:space="0"/>
              <w:right w:val="single" w:color="000000" w:sz="8" w:space="0"/>
            </w:tcBorders>
            <w:shd w:val="clear"/>
            <w:vAlign w:val="center"/>
          </w:tcPr>
          <w:p w14:paraId="61057678">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3CB84989">
            <w:pPr>
              <w:jc w:val="center"/>
              <w:rPr>
                <w:rFonts w:hint="eastAsia" w:ascii="宋体" w:hAnsi="宋体" w:eastAsia="宋体" w:cs="宋体"/>
                <w:i w:val="0"/>
                <w:iCs w:val="0"/>
                <w:color w:val="000000"/>
                <w:sz w:val="18"/>
                <w:szCs w:val="18"/>
                <w:u w:val="none"/>
              </w:rPr>
            </w:pPr>
          </w:p>
        </w:tc>
      </w:tr>
      <w:tr w14:paraId="060D2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restart"/>
            <w:tcBorders>
              <w:top w:val="nil"/>
              <w:left w:val="single" w:color="000000" w:sz="8" w:space="0"/>
              <w:bottom w:val="single" w:color="000000" w:sz="8" w:space="0"/>
              <w:right w:val="single" w:color="000000" w:sz="8" w:space="0"/>
            </w:tcBorders>
            <w:shd w:val="clear"/>
            <w:vAlign w:val="center"/>
          </w:tcPr>
          <w:p w14:paraId="60143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1715" w:type="dxa"/>
            <w:vMerge w:val="restart"/>
            <w:tcBorders>
              <w:top w:val="nil"/>
              <w:left w:val="nil"/>
              <w:bottom w:val="single" w:color="000000" w:sz="8" w:space="0"/>
              <w:right w:val="single" w:color="000000" w:sz="8" w:space="0"/>
            </w:tcBorders>
            <w:shd w:val="clear"/>
            <w:vAlign w:val="center"/>
          </w:tcPr>
          <w:p w14:paraId="3E758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砂浆配合比设计</w:t>
            </w:r>
          </w:p>
        </w:tc>
        <w:tc>
          <w:tcPr>
            <w:tcW w:w="4028" w:type="dxa"/>
            <w:tcBorders>
              <w:top w:val="nil"/>
              <w:left w:val="nil"/>
              <w:bottom w:val="single" w:color="000000" w:sz="8" w:space="0"/>
              <w:right w:val="single" w:color="000000" w:sz="8" w:space="0"/>
            </w:tcBorders>
            <w:shd w:val="clear"/>
            <w:vAlign w:val="center"/>
          </w:tcPr>
          <w:p w14:paraId="3A683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稠度</w:t>
            </w:r>
          </w:p>
        </w:tc>
        <w:tc>
          <w:tcPr>
            <w:tcW w:w="782" w:type="dxa"/>
            <w:vMerge w:val="restart"/>
            <w:tcBorders>
              <w:top w:val="single" w:color="000000" w:sz="8" w:space="0"/>
              <w:left w:val="nil"/>
              <w:bottom w:val="single" w:color="000000" w:sz="8" w:space="0"/>
              <w:right w:val="single" w:color="000000" w:sz="8" w:space="0"/>
            </w:tcBorders>
            <w:shd w:val="clear"/>
            <w:vAlign w:val="center"/>
          </w:tcPr>
          <w:p w14:paraId="3660A7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1组</w:t>
            </w:r>
          </w:p>
        </w:tc>
        <w:tc>
          <w:tcPr>
            <w:tcW w:w="1367" w:type="dxa"/>
            <w:vMerge w:val="restart"/>
            <w:tcBorders>
              <w:top w:val="single" w:color="000000" w:sz="8" w:space="0"/>
              <w:left w:val="nil"/>
              <w:right w:val="single" w:color="000000" w:sz="8" w:space="0"/>
            </w:tcBorders>
            <w:shd w:val="clear"/>
            <w:vAlign w:val="center"/>
          </w:tcPr>
          <w:p w14:paraId="7B3BBCFA">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bdr w:val="none" w:color="auto" w:sz="0" w:space="0"/>
                <w:lang w:val="en-US" w:eastAsia="zh-CN" w:bidi="ar"/>
              </w:rPr>
              <w:t>标准养护试块</w:t>
            </w:r>
          </w:p>
        </w:tc>
      </w:tr>
      <w:tr w14:paraId="48E6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0BBCE28B">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2FB854F">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73951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保水率</w:t>
            </w:r>
          </w:p>
        </w:tc>
        <w:tc>
          <w:tcPr>
            <w:tcW w:w="782" w:type="dxa"/>
            <w:vMerge w:val="continue"/>
            <w:tcBorders>
              <w:top w:val="single" w:color="000000" w:sz="8" w:space="0"/>
              <w:left w:val="nil"/>
              <w:bottom w:val="single" w:color="000000" w:sz="8" w:space="0"/>
              <w:right w:val="single" w:color="000000" w:sz="8" w:space="0"/>
            </w:tcBorders>
            <w:shd w:val="clear"/>
            <w:vAlign w:val="center"/>
          </w:tcPr>
          <w:p w14:paraId="35C1F666">
            <w:pPr>
              <w:jc w:val="center"/>
              <w:rPr>
                <w:rFonts w:hint="eastAsia" w:ascii="宋体" w:hAnsi="宋体" w:eastAsia="宋体" w:cs="宋体"/>
                <w:i w:val="0"/>
                <w:iCs w:val="0"/>
                <w:color w:val="000000"/>
                <w:sz w:val="18"/>
                <w:szCs w:val="18"/>
                <w:u w:val="none"/>
              </w:rPr>
            </w:pPr>
          </w:p>
        </w:tc>
        <w:tc>
          <w:tcPr>
            <w:tcW w:w="1367" w:type="dxa"/>
            <w:vMerge w:val="continue"/>
            <w:tcBorders>
              <w:left w:val="nil"/>
              <w:right w:val="single" w:color="000000" w:sz="8" w:space="0"/>
            </w:tcBorders>
            <w:shd w:val="clear"/>
            <w:vAlign w:val="center"/>
          </w:tcPr>
          <w:p w14:paraId="784EAA2E">
            <w:pPr>
              <w:jc w:val="center"/>
              <w:rPr>
                <w:rFonts w:hint="eastAsia" w:ascii="宋体" w:hAnsi="宋体" w:eastAsia="宋体" w:cs="宋体"/>
                <w:i w:val="0"/>
                <w:iCs w:val="0"/>
                <w:color w:val="000000"/>
                <w:sz w:val="18"/>
                <w:szCs w:val="18"/>
                <w:u w:val="none"/>
              </w:rPr>
            </w:pPr>
          </w:p>
        </w:tc>
      </w:tr>
      <w:tr w14:paraId="0FA9B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0" w:hRule="atLeast"/>
        </w:trPr>
        <w:tc>
          <w:tcPr>
            <w:tcW w:w="528" w:type="dxa"/>
            <w:vMerge w:val="continue"/>
            <w:tcBorders>
              <w:top w:val="nil"/>
              <w:left w:val="single" w:color="000000" w:sz="8" w:space="0"/>
              <w:bottom w:val="single" w:color="000000" w:sz="8" w:space="0"/>
              <w:right w:val="single" w:color="000000" w:sz="8" w:space="0"/>
            </w:tcBorders>
            <w:shd w:val="clear"/>
            <w:vAlign w:val="center"/>
          </w:tcPr>
          <w:p w14:paraId="6DECB502">
            <w:pPr>
              <w:jc w:val="center"/>
              <w:rPr>
                <w:rFonts w:hint="eastAsia" w:ascii="宋体" w:hAnsi="宋体" w:eastAsia="宋体" w:cs="宋体"/>
                <w:i w:val="0"/>
                <w:iCs w:val="0"/>
                <w:color w:val="000000"/>
                <w:sz w:val="18"/>
                <w:szCs w:val="18"/>
                <w:u w:val="none"/>
              </w:rPr>
            </w:pPr>
          </w:p>
        </w:tc>
        <w:tc>
          <w:tcPr>
            <w:tcW w:w="1715" w:type="dxa"/>
            <w:vMerge w:val="continue"/>
            <w:tcBorders>
              <w:top w:val="nil"/>
              <w:left w:val="nil"/>
              <w:bottom w:val="single" w:color="000000" w:sz="8" w:space="0"/>
              <w:right w:val="single" w:color="000000" w:sz="8" w:space="0"/>
            </w:tcBorders>
            <w:shd w:val="clear"/>
            <w:vAlign w:val="center"/>
          </w:tcPr>
          <w:p w14:paraId="0CEC1C1D">
            <w:pPr>
              <w:jc w:val="center"/>
              <w:rPr>
                <w:rFonts w:hint="eastAsia" w:ascii="宋体" w:hAnsi="宋体" w:eastAsia="宋体" w:cs="宋体"/>
                <w:i w:val="0"/>
                <w:iCs w:val="0"/>
                <w:color w:val="000000"/>
                <w:sz w:val="18"/>
                <w:szCs w:val="18"/>
                <w:u w:val="none"/>
              </w:rPr>
            </w:pPr>
          </w:p>
        </w:tc>
        <w:tc>
          <w:tcPr>
            <w:tcW w:w="4028" w:type="dxa"/>
            <w:tcBorders>
              <w:top w:val="nil"/>
              <w:left w:val="nil"/>
              <w:bottom w:val="single" w:color="000000" w:sz="8" w:space="0"/>
              <w:right w:val="single" w:color="000000" w:sz="8" w:space="0"/>
            </w:tcBorders>
            <w:shd w:val="clear"/>
            <w:vAlign w:val="center"/>
          </w:tcPr>
          <w:p w14:paraId="0FCFA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抗压强度</w:t>
            </w:r>
          </w:p>
        </w:tc>
        <w:tc>
          <w:tcPr>
            <w:tcW w:w="782" w:type="dxa"/>
            <w:vMerge w:val="continue"/>
            <w:tcBorders>
              <w:top w:val="single" w:color="000000" w:sz="8" w:space="0"/>
              <w:left w:val="nil"/>
              <w:bottom w:val="single" w:color="000000" w:sz="8" w:space="0"/>
              <w:right w:val="single" w:color="000000" w:sz="8" w:space="0"/>
            </w:tcBorders>
            <w:shd w:val="clear"/>
            <w:vAlign w:val="center"/>
          </w:tcPr>
          <w:p w14:paraId="4B0FB0EB">
            <w:pPr>
              <w:jc w:val="center"/>
              <w:rPr>
                <w:rFonts w:hint="eastAsia" w:ascii="宋体" w:hAnsi="宋体" w:eastAsia="宋体" w:cs="宋体"/>
                <w:i w:val="0"/>
                <w:iCs w:val="0"/>
                <w:color w:val="000000"/>
                <w:sz w:val="18"/>
                <w:szCs w:val="18"/>
                <w:u w:val="none"/>
              </w:rPr>
            </w:pPr>
          </w:p>
        </w:tc>
        <w:tc>
          <w:tcPr>
            <w:tcW w:w="1367" w:type="dxa"/>
            <w:vMerge w:val="continue"/>
            <w:tcBorders>
              <w:left w:val="nil"/>
              <w:bottom w:val="single" w:color="000000" w:sz="8" w:space="0"/>
              <w:right w:val="single" w:color="000000" w:sz="8" w:space="0"/>
            </w:tcBorders>
            <w:shd w:val="clear"/>
            <w:vAlign w:val="center"/>
          </w:tcPr>
          <w:p w14:paraId="0DC35E4D">
            <w:pPr>
              <w:jc w:val="center"/>
              <w:rPr>
                <w:rFonts w:hint="eastAsia" w:ascii="宋体" w:hAnsi="宋体" w:eastAsia="宋体" w:cs="宋体"/>
                <w:i w:val="0"/>
                <w:iCs w:val="0"/>
                <w:color w:val="000000"/>
                <w:sz w:val="18"/>
                <w:szCs w:val="18"/>
                <w:u w:val="none"/>
              </w:rPr>
            </w:pPr>
          </w:p>
        </w:tc>
      </w:tr>
      <w:tr w14:paraId="0902E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28" w:type="dxa"/>
            <w:tcBorders>
              <w:top w:val="single" w:color="000000" w:sz="8" w:space="0"/>
              <w:left w:val="single" w:color="000000" w:sz="8" w:space="0"/>
              <w:bottom w:val="single" w:color="000000" w:sz="8" w:space="0"/>
              <w:right w:val="single" w:color="000000" w:sz="8" w:space="0"/>
            </w:tcBorders>
            <w:shd w:val="clear"/>
            <w:vAlign w:val="center"/>
          </w:tcPr>
          <w:p w14:paraId="41721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1715" w:type="dxa"/>
            <w:tcBorders>
              <w:top w:val="single" w:color="000000" w:sz="8" w:space="0"/>
              <w:left w:val="single" w:color="000000" w:sz="8" w:space="0"/>
              <w:bottom w:val="single" w:color="000000" w:sz="8" w:space="0"/>
              <w:right w:val="single" w:color="000000" w:sz="8" w:space="0"/>
            </w:tcBorders>
            <w:shd w:val="clear"/>
            <w:vAlign w:val="center"/>
          </w:tcPr>
          <w:p w14:paraId="353B5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混凝土结构</w:t>
            </w:r>
          </w:p>
        </w:tc>
        <w:tc>
          <w:tcPr>
            <w:tcW w:w="4028" w:type="dxa"/>
            <w:tcBorders>
              <w:top w:val="single" w:color="000000" w:sz="8" w:space="0"/>
              <w:left w:val="single" w:color="000000" w:sz="8" w:space="0"/>
              <w:bottom w:val="single" w:color="000000" w:sz="8" w:space="0"/>
              <w:right w:val="single" w:color="000000" w:sz="8" w:space="0"/>
            </w:tcBorders>
            <w:shd w:val="clear"/>
            <w:vAlign w:val="center"/>
          </w:tcPr>
          <w:p w14:paraId="269BEC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抗压强度</w:t>
            </w:r>
          </w:p>
        </w:tc>
        <w:tc>
          <w:tcPr>
            <w:tcW w:w="782" w:type="dxa"/>
            <w:tcBorders>
              <w:top w:val="single" w:color="000000" w:sz="8" w:space="0"/>
              <w:left w:val="single" w:color="000000" w:sz="8" w:space="0"/>
              <w:bottom w:val="single" w:color="000000" w:sz="8" w:space="0"/>
              <w:right w:val="single" w:color="000000" w:sz="8" w:space="0"/>
            </w:tcBorders>
            <w:shd w:val="clear"/>
            <w:vAlign w:val="center"/>
          </w:tcPr>
          <w:p w14:paraId="2EE18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15组</w:t>
            </w:r>
          </w:p>
        </w:tc>
        <w:tc>
          <w:tcPr>
            <w:tcW w:w="1367" w:type="dxa"/>
            <w:tcBorders>
              <w:top w:val="single" w:color="000000" w:sz="8" w:space="0"/>
              <w:left w:val="single" w:color="000000" w:sz="8" w:space="0"/>
              <w:bottom w:val="single" w:color="000000" w:sz="8" w:space="0"/>
              <w:right w:val="single" w:color="000000" w:sz="8" w:space="0"/>
            </w:tcBorders>
            <w:shd w:val="clear"/>
            <w:vAlign w:val="center"/>
          </w:tcPr>
          <w:p w14:paraId="5F79D5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bdr w:val="none" w:color="auto" w:sz="0" w:space="0"/>
                <w:lang w:val="en-US" w:eastAsia="zh-CN" w:bidi="ar"/>
              </w:rPr>
            </w:pPr>
            <w:r>
              <w:rPr>
                <w:rFonts w:hint="eastAsia" w:ascii="宋体" w:hAnsi="宋体" w:eastAsia="宋体" w:cs="宋体"/>
                <w:i w:val="0"/>
                <w:iCs w:val="0"/>
                <w:color w:val="000000"/>
                <w:kern w:val="0"/>
                <w:sz w:val="18"/>
                <w:szCs w:val="18"/>
                <w:u w:val="none"/>
                <w:lang w:val="en-US" w:eastAsia="zh-CN" w:bidi="ar"/>
              </w:rPr>
              <w:t>同条件养护试件</w:t>
            </w:r>
          </w:p>
        </w:tc>
      </w:tr>
    </w:tbl>
    <w:p w14:paraId="10F29CDB">
      <w:pPr>
        <w:pStyle w:val="7"/>
        <w:jc w:val="center"/>
        <w:rPr>
          <w:rFonts w:hint="eastAsia"/>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3A2E">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5C78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F5C78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C97341"/>
    <w:rsid w:val="001744FD"/>
    <w:rsid w:val="002C48AD"/>
    <w:rsid w:val="00381487"/>
    <w:rsid w:val="006D126B"/>
    <w:rsid w:val="00A37BD5"/>
    <w:rsid w:val="00AF6974"/>
    <w:rsid w:val="00D0415F"/>
    <w:rsid w:val="00E00CC7"/>
    <w:rsid w:val="00EE3749"/>
    <w:rsid w:val="014F70D0"/>
    <w:rsid w:val="0163262B"/>
    <w:rsid w:val="017426CB"/>
    <w:rsid w:val="01746CEE"/>
    <w:rsid w:val="018E22C8"/>
    <w:rsid w:val="01997B12"/>
    <w:rsid w:val="01B35137"/>
    <w:rsid w:val="01E43280"/>
    <w:rsid w:val="01FA2D0B"/>
    <w:rsid w:val="02086C07"/>
    <w:rsid w:val="020C3A02"/>
    <w:rsid w:val="023E433F"/>
    <w:rsid w:val="0252620F"/>
    <w:rsid w:val="02B74438"/>
    <w:rsid w:val="02E01558"/>
    <w:rsid w:val="02EC08BB"/>
    <w:rsid w:val="033173EE"/>
    <w:rsid w:val="03335B21"/>
    <w:rsid w:val="03465CED"/>
    <w:rsid w:val="0358181C"/>
    <w:rsid w:val="03781D32"/>
    <w:rsid w:val="038B1726"/>
    <w:rsid w:val="03A35469"/>
    <w:rsid w:val="03CA2BCD"/>
    <w:rsid w:val="03D5591E"/>
    <w:rsid w:val="03D6510A"/>
    <w:rsid w:val="03E913C7"/>
    <w:rsid w:val="040B5784"/>
    <w:rsid w:val="043A216E"/>
    <w:rsid w:val="044B1342"/>
    <w:rsid w:val="04652876"/>
    <w:rsid w:val="04784274"/>
    <w:rsid w:val="04866DA4"/>
    <w:rsid w:val="04C648EB"/>
    <w:rsid w:val="04CF39DC"/>
    <w:rsid w:val="04D9669E"/>
    <w:rsid w:val="04DD13E0"/>
    <w:rsid w:val="0517067E"/>
    <w:rsid w:val="058E33DE"/>
    <w:rsid w:val="05A37CCE"/>
    <w:rsid w:val="05B07685"/>
    <w:rsid w:val="05DD759F"/>
    <w:rsid w:val="05E771D5"/>
    <w:rsid w:val="05F728C4"/>
    <w:rsid w:val="061D4E5E"/>
    <w:rsid w:val="063013A4"/>
    <w:rsid w:val="06305396"/>
    <w:rsid w:val="06474032"/>
    <w:rsid w:val="064F391F"/>
    <w:rsid w:val="067E4ED0"/>
    <w:rsid w:val="06862116"/>
    <w:rsid w:val="06A31BD4"/>
    <w:rsid w:val="06B3054A"/>
    <w:rsid w:val="06D30522"/>
    <w:rsid w:val="06DE516E"/>
    <w:rsid w:val="06F329E3"/>
    <w:rsid w:val="072B0B56"/>
    <w:rsid w:val="079E209B"/>
    <w:rsid w:val="0858542C"/>
    <w:rsid w:val="085B077B"/>
    <w:rsid w:val="087D42AF"/>
    <w:rsid w:val="087F0F3B"/>
    <w:rsid w:val="089C18ED"/>
    <w:rsid w:val="089C3C4A"/>
    <w:rsid w:val="08A00A2D"/>
    <w:rsid w:val="08B57DCE"/>
    <w:rsid w:val="08D24305"/>
    <w:rsid w:val="08D93C76"/>
    <w:rsid w:val="08F276E3"/>
    <w:rsid w:val="09034684"/>
    <w:rsid w:val="09CE07DB"/>
    <w:rsid w:val="09D53659"/>
    <w:rsid w:val="09E14E94"/>
    <w:rsid w:val="09E76094"/>
    <w:rsid w:val="09F936E5"/>
    <w:rsid w:val="0A0C281D"/>
    <w:rsid w:val="0A1C586B"/>
    <w:rsid w:val="0A4F572C"/>
    <w:rsid w:val="0A811DE8"/>
    <w:rsid w:val="0AB85051"/>
    <w:rsid w:val="0ABA3DC9"/>
    <w:rsid w:val="0AD021F5"/>
    <w:rsid w:val="0AD20EA8"/>
    <w:rsid w:val="0AFD53DB"/>
    <w:rsid w:val="0B2E5519"/>
    <w:rsid w:val="0B371052"/>
    <w:rsid w:val="0B411722"/>
    <w:rsid w:val="0B5026E5"/>
    <w:rsid w:val="0B532A7F"/>
    <w:rsid w:val="0B544C4E"/>
    <w:rsid w:val="0BBD6710"/>
    <w:rsid w:val="0BDD2684"/>
    <w:rsid w:val="0BDF3BED"/>
    <w:rsid w:val="0BF22A0E"/>
    <w:rsid w:val="0BFB2DFB"/>
    <w:rsid w:val="0BFB7A0C"/>
    <w:rsid w:val="0C2D07C9"/>
    <w:rsid w:val="0C640E3E"/>
    <w:rsid w:val="0C751182"/>
    <w:rsid w:val="0C7811DE"/>
    <w:rsid w:val="0C79767B"/>
    <w:rsid w:val="0C9F76E0"/>
    <w:rsid w:val="0CC04DB8"/>
    <w:rsid w:val="0CCE5177"/>
    <w:rsid w:val="0CE64C42"/>
    <w:rsid w:val="0CEC1167"/>
    <w:rsid w:val="0D2037AA"/>
    <w:rsid w:val="0D246E56"/>
    <w:rsid w:val="0D29333D"/>
    <w:rsid w:val="0D2A476E"/>
    <w:rsid w:val="0D611FBA"/>
    <w:rsid w:val="0D732059"/>
    <w:rsid w:val="0D8E0080"/>
    <w:rsid w:val="0DA803CC"/>
    <w:rsid w:val="0DBA25CA"/>
    <w:rsid w:val="0DD33EEF"/>
    <w:rsid w:val="0DD545B9"/>
    <w:rsid w:val="0DE76E9D"/>
    <w:rsid w:val="0DEB7EE2"/>
    <w:rsid w:val="0E171CEE"/>
    <w:rsid w:val="0E37003E"/>
    <w:rsid w:val="0E370F64"/>
    <w:rsid w:val="0E4E0AD5"/>
    <w:rsid w:val="0E611F0C"/>
    <w:rsid w:val="0E76400D"/>
    <w:rsid w:val="0EA35889"/>
    <w:rsid w:val="0EA3674A"/>
    <w:rsid w:val="0EB80D9C"/>
    <w:rsid w:val="0EBA7E9D"/>
    <w:rsid w:val="0EBF5C2F"/>
    <w:rsid w:val="0EF57F83"/>
    <w:rsid w:val="0F2A33C5"/>
    <w:rsid w:val="0F3B56BE"/>
    <w:rsid w:val="0F3F2978"/>
    <w:rsid w:val="0F6364C3"/>
    <w:rsid w:val="0F694981"/>
    <w:rsid w:val="0F6C01C4"/>
    <w:rsid w:val="0FB14D7D"/>
    <w:rsid w:val="0FCE7DDB"/>
    <w:rsid w:val="0FD366A7"/>
    <w:rsid w:val="0FFA7BF0"/>
    <w:rsid w:val="0FFE16A2"/>
    <w:rsid w:val="1010622C"/>
    <w:rsid w:val="101D51C1"/>
    <w:rsid w:val="102F2BD7"/>
    <w:rsid w:val="104106FD"/>
    <w:rsid w:val="10433CE8"/>
    <w:rsid w:val="104D07DC"/>
    <w:rsid w:val="1073028F"/>
    <w:rsid w:val="1074693B"/>
    <w:rsid w:val="10777B86"/>
    <w:rsid w:val="107A3921"/>
    <w:rsid w:val="108324D9"/>
    <w:rsid w:val="108B63A6"/>
    <w:rsid w:val="1095024E"/>
    <w:rsid w:val="10E91D7F"/>
    <w:rsid w:val="10EF022B"/>
    <w:rsid w:val="111F429A"/>
    <w:rsid w:val="114E30E6"/>
    <w:rsid w:val="116D4C61"/>
    <w:rsid w:val="11BB1C1E"/>
    <w:rsid w:val="11BE16E8"/>
    <w:rsid w:val="11D66699"/>
    <w:rsid w:val="11DC7A34"/>
    <w:rsid w:val="11FC53C0"/>
    <w:rsid w:val="11FE2DF3"/>
    <w:rsid w:val="121A770D"/>
    <w:rsid w:val="12211EB4"/>
    <w:rsid w:val="124D00B6"/>
    <w:rsid w:val="126661C2"/>
    <w:rsid w:val="12752102"/>
    <w:rsid w:val="129B68F5"/>
    <w:rsid w:val="12C16F1B"/>
    <w:rsid w:val="12CD2F98"/>
    <w:rsid w:val="12D87541"/>
    <w:rsid w:val="12E67740"/>
    <w:rsid w:val="12FC54C7"/>
    <w:rsid w:val="1314499D"/>
    <w:rsid w:val="132A2201"/>
    <w:rsid w:val="13344B63"/>
    <w:rsid w:val="133C50B1"/>
    <w:rsid w:val="13631AD8"/>
    <w:rsid w:val="13635CA8"/>
    <w:rsid w:val="137C383C"/>
    <w:rsid w:val="13913B2C"/>
    <w:rsid w:val="13C07753"/>
    <w:rsid w:val="13D37BBD"/>
    <w:rsid w:val="13E45331"/>
    <w:rsid w:val="13E81C21"/>
    <w:rsid w:val="142761FF"/>
    <w:rsid w:val="142E1A35"/>
    <w:rsid w:val="14665314"/>
    <w:rsid w:val="14933A3E"/>
    <w:rsid w:val="14AF79F7"/>
    <w:rsid w:val="14C247E9"/>
    <w:rsid w:val="14C50C9C"/>
    <w:rsid w:val="14E00226"/>
    <w:rsid w:val="14E30B52"/>
    <w:rsid w:val="14F06F2A"/>
    <w:rsid w:val="151350A2"/>
    <w:rsid w:val="15167214"/>
    <w:rsid w:val="1522433B"/>
    <w:rsid w:val="15320F0B"/>
    <w:rsid w:val="153466E7"/>
    <w:rsid w:val="153C1F5E"/>
    <w:rsid w:val="153F6B18"/>
    <w:rsid w:val="15706B5F"/>
    <w:rsid w:val="15987871"/>
    <w:rsid w:val="159B11C7"/>
    <w:rsid w:val="15B034A2"/>
    <w:rsid w:val="15B62ED6"/>
    <w:rsid w:val="15C9201C"/>
    <w:rsid w:val="15E67E32"/>
    <w:rsid w:val="15F315C2"/>
    <w:rsid w:val="15FB0AC8"/>
    <w:rsid w:val="160349AB"/>
    <w:rsid w:val="16070E41"/>
    <w:rsid w:val="1638341C"/>
    <w:rsid w:val="16562C19"/>
    <w:rsid w:val="167977F1"/>
    <w:rsid w:val="167D7F64"/>
    <w:rsid w:val="169B188C"/>
    <w:rsid w:val="16AE37B0"/>
    <w:rsid w:val="16B56745"/>
    <w:rsid w:val="16E05ED0"/>
    <w:rsid w:val="16E20590"/>
    <w:rsid w:val="16F2601D"/>
    <w:rsid w:val="17026E1F"/>
    <w:rsid w:val="1738659C"/>
    <w:rsid w:val="17441CC2"/>
    <w:rsid w:val="17553477"/>
    <w:rsid w:val="176139D8"/>
    <w:rsid w:val="17CF466B"/>
    <w:rsid w:val="17EA37B3"/>
    <w:rsid w:val="17EA7125"/>
    <w:rsid w:val="17F50B3F"/>
    <w:rsid w:val="18180426"/>
    <w:rsid w:val="181D13F7"/>
    <w:rsid w:val="1850167B"/>
    <w:rsid w:val="18746CA9"/>
    <w:rsid w:val="18A90C1F"/>
    <w:rsid w:val="18B6512C"/>
    <w:rsid w:val="18CE46B1"/>
    <w:rsid w:val="18DF489C"/>
    <w:rsid w:val="18E0168C"/>
    <w:rsid w:val="18F269D0"/>
    <w:rsid w:val="19030805"/>
    <w:rsid w:val="190607FF"/>
    <w:rsid w:val="19141984"/>
    <w:rsid w:val="19195919"/>
    <w:rsid w:val="19337D46"/>
    <w:rsid w:val="19494395"/>
    <w:rsid w:val="19536C80"/>
    <w:rsid w:val="195A6CB4"/>
    <w:rsid w:val="196044A0"/>
    <w:rsid w:val="19656B85"/>
    <w:rsid w:val="197D2872"/>
    <w:rsid w:val="19CC02C4"/>
    <w:rsid w:val="1A0E28CA"/>
    <w:rsid w:val="1A3B3944"/>
    <w:rsid w:val="1A9B4C3A"/>
    <w:rsid w:val="1AC067E2"/>
    <w:rsid w:val="1ADB26D1"/>
    <w:rsid w:val="1AFD7A32"/>
    <w:rsid w:val="1B0876C4"/>
    <w:rsid w:val="1B221FC9"/>
    <w:rsid w:val="1B2D0195"/>
    <w:rsid w:val="1B422CF4"/>
    <w:rsid w:val="1B423728"/>
    <w:rsid w:val="1B5A23AB"/>
    <w:rsid w:val="1B5F1FA7"/>
    <w:rsid w:val="1B7616B7"/>
    <w:rsid w:val="1B820D29"/>
    <w:rsid w:val="1B9C16A9"/>
    <w:rsid w:val="1BA860A8"/>
    <w:rsid w:val="1BAE1421"/>
    <w:rsid w:val="1BBA31F6"/>
    <w:rsid w:val="1BBC2033"/>
    <w:rsid w:val="1BCE70B8"/>
    <w:rsid w:val="1BDB194E"/>
    <w:rsid w:val="1BFF79CD"/>
    <w:rsid w:val="1C251F77"/>
    <w:rsid w:val="1C551EFB"/>
    <w:rsid w:val="1C5537C3"/>
    <w:rsid w:val="1C656F08"/>
    <w:rsid w:val="1C7452CD"/>
    <w:rsid w:val="1CA84CF8"/>
    <w:rsid w:val="1CC03E49"/>
    <w:rsid w:val="1CDE02F9"/>
    <w:rsid w:val="1CE31784"/>
    <w:rsid w:val="1D1144DE"/>
    <w:rsid w:val="1D341FC2"/>
    <w:rsid w:val="1D392183"/>
    <w:rsid w:val="1D4D16BC"/>
    <w:rsid w:val="1D6D1946"/>
    <w:rsid w:val="1D755810"/>
    <w:rsid w:val="1D773F68"/>
    <w:rsid w:val="1DAC370C"/>
    <w:rsid w:val="1DD2442A"/>
    <w:rsid w:val="1DDB1AD5"/>
    <w:rsid w:val="1DF016E6"/>
    <w:rsid w:val="1E05136C"/>
    <w:rsid w:val="1E196731"/>
    <w:rsid w:val="1E6A0168"/>
    <w:rsid w:val="1E711793"/>
    <w:rsid w:val="1E782B68"/>
    <w:rsid w:val="1EA026C9"/>
    <w:rsid w:val="1EA460D9"/>
    <w:rsid w:val="1EB94814"/>
    <w:rsid w:val="1EFC639A"/>
    <w:rsid w:val="1F0F20F4"/>
    <w:rsid w:val="1F372975"/>
    <w:rsid w:val="1F3E0B34"/>
    <w:rsid w:val="1F5C6A19"/>
    <w:rsid w:val="1F621753"/>
    <w:rsid w:val="1F6C093E"/>
    <w:rsid w:val="1F7D52A0"/>
    <w:rsid w:val="1F9E44FF"/>
    <w:rsid w:val="1FB96D9D"/>
    <w:rsid w:val="1FBB49D0"/>
    <w:rsid w:val="1FD81FFF"/>
    <w:rsid w:val="1FDD58F2"/>
    <w:rsid w:val="20174DF1"/>
    <w:rsid w:val="201F035C"/>
    <w:rsid w:val="20235F48"/>
    <w:rsid w:val="20404E71"/>
    <w:rsid w:val="204D1385"/>
    <w:rsid w:val="20597A65"/>
    <w:rsid w:val="205E69C3"/>
    <w:rsid w:val="20904206"/>
    <w:rsid w:val="20C1603A"/>
    <w:rsid w:val="20F83746"/>
    <w:rsid w:val="21054E81"/>
    <w:rsid w:val="212A17FA"/>
    <w:rsid w:val="212C2787"/>
    <w:rsid w:val="21341BD7"/>
    <w:rsid w:val="214B3E7A"/>
    <w:rsid w:val="21740472"/>
    <w:rsid w:val="21817CF9"/>
    <w:rsid w:val="21A15580"/>
    <w:rsid w:val="21B75E05"/>
    <w:rsid w:val="21E7527E"/>
    <w:rsid w:val="21EE401A"/>
    <w:rsid w:val="21FD4CA7"/>
    <w:rsid w:val="221267DA"/>
    <w:rsid w:val="22210AF2"/>
    <w:rsid w:val="222567CE"/>
    <w:rsid w:val="22394B64"/>
    <w:rsid w:val="223D3FD6"/>
    <w:rsid w:val="226C4875"/>
    <w:rsid w:val="22771751"/>
    <w:rsid w:val="227C7422"/>
    <w:rsid w:val="227E1452"/>
    <w:rsid w:val="22984420"/>
    <w:rsid w:val="22C322D2"/>
    <w:rsid w:val="22CB60C3"/>
    <w:rsid w:val="22F226B3"/>
    <w:rsid w:val="22F576BB"/>
    <w:rsid w:val="230A4848"/>
    <w:rsid w:val="230E7F1B"/>
    <w:rsid w:val="233F6845"/>
    <w:rsid w:val="2343775F"/>
    <w:rsid w:val="234F3BED"/>
    <w:rsid w:val="2368303D"/>
    <w:rsid w:val="23716863"/>
    <w:rsid w:val="237C3143"/>
    <w:rsid w:val="237E38BF"/>
    <w:rsid w:val="23855111"/>
    <w:rsid w:val="23861E07"/>
    <w:rsid w:val="23C41B75"/>
    <w:rsid w:val="23CD3A7C"/>
    <w:rsid w:val="246D517A"/>
    <w:rsid w:val="24715976"/>
    <w:rsid w:val="247F6189"/>
    <w:rsid w:val="249E3A4F"/>
    <w:rsid w:val="25111A12"/>
    <w:rsid w:val="251138B0"/>
    <w:rsid w:val="25343E97"/>
    <w:rsid w:val="255B3064"/>
    <w:rsid w:val="25E53886"/>
    <w:rsid w:val="25EC5A09"/>
    <w:rsid w:val="25EE4E2A"/>
    <w:rsid w:val="25F43611"/>
    <w:rsid w:val="25FD7741"/>
    <w:rsid w:val="2602406B"/>
    <w:rsid w:val="260E0DCD"/>
    <w:rsid w:val="263949CB"/>
    <w:rsid w:val="266C3E87"/>
    <w:rsid w:val="268452CB"/>
    <w:rsid w:val="2694792D"/>
    <w:rsid w:val="26981BE9"/>
    <w:rsid w:val="26AC7B90"/>
    <w:rsid w:val="26C74414"/>
    <w:rsid w:val="26CB606D"/>
    <w:rsid w:val="26F94F75"/>
    <w:rsid w:val="27225652"/>
    <w:rsid w:val="27331285"/>
    <w:rsid w:val="27430EEF"/>
    <w:rsid w:val="274E3E52"/>
    <w:rsid w:val="27714E82"/>
    <w:rsid w:val="277626B6"/>
    <w:rsid w:val="277D16EF"/>
    <w:rsid w:val="277E4664"/>
    <w:rsid w:val="27884B1B"/>
    <w:rsid w:val="27A60CA6"/>
    <w:rsid w:val="27AB2FE8"/>
    <w:rsid w:val="27C9339E"/>
    <w:rsid w:val="27CE42E9"/>
    <w:rsid w:val="27F318E2"/>
    <w:rsid w:val="283C2BCC"/>
    <w:rsid w:val="28454F0E"/>
    <w:rsid w:val="28AB7640"/>
    <w:rsid w:val="28C146C7"/>
    <w:rsid w:val="28D04B71"/>
    <w:rsid w:val="28D92A79"/>
    <w:rsid w:val="28F925A9"/>
    <w:rsid w:val="290416B5"/>
    <w:rsid w:val="294710AA"/>
    <w:rsid w:val="29581B9D"/>
    <w:rsid w:val="29F96644"/>
    <w:rsid w:val="2A2051C8"/>
    <w:rsid w:val="2A346DA2"/>
    <w:rsid w:val="2A6B3286"/>
    <w:rsid w:val="2A7B6A69"/>
    <w:rsid w:val="2A7E6923"/>
    <w:rsid w:val="2A9975AA"/>
    <w:rsid w:val="2A9E152E"/>
    <w:rsid w:val="2AA017D0"/>
    <w:rsid w:val="2AC15F04"/>
    <w:rsid w:val="2AE87B33"/>
    <w:rsid w:val="2AF50012"/>
    <w:rsid w:val="2AFB5ED8"/>
    <w:rsid w:val="2B0E2293"/>
    <w:rsid w:val="2B5223A8"/>
    <w:rsid w:val="2B5E0890"/>
    <w:rsid w:val="2B8560B6"/>
    <w:rsid w:val="2BB33CC8"/>
    <w:rsid w:val="2BDD7271"/>
    <w:rsid w:val="2C1C565D"/>
    <w:rsid w:val="2C1D6546"/>
    <w:rsid w:val="2C2617C2"/>
    <w:rsid w:val="2C337289"/>
    <w:rsid w:val="2C3E746F"/>
    <w:rsid w:val="2C452C73"/>
    <w:rsid w:val="2CAD2B2C"/>
    <w:rsid w:val="2CCA2517"/>
    <w:rsid w:val="2D011376"/>
    <w:rsid w:val="2D346220"/>
    <w:rsid w:val="2D3C4F33"/>
    <w:rsid w:val="2D451AC9"/>
    <w:rsid w:val="2D4A2E94"/>
    <w:rsid w:val="2D627802"/>
    <w:rsid w:val="2D8B42B0"/>
    <w:rsid w:val="2DC45280"/>
    <w:rsid w:val="2DC66157"/>
    <w:rsid w:val="2DE446CC"/>
    <w:rsid w:val="2DF012F5"/>
    <w:rsid w:val="2DFD7642"/>
    <w:rsid w:val="2E0F1B9C"/>
    <w:rsid w:val="2E0F761E"/>
    <w:rsid w:val="2E2814DD"/>
    <w:rsid w:val="2E4B0800"/>
    <w:rsid w:val="2E676D23"/>
    <w:rsid w:val="2E7639F5"/>
    <w:rsid w:val="2EA0327E"/>
    <w:rsid w:val="2EB3322A"/>
    <w:rsid w:val="2ED93C86"/>
    <w:rsid w:val="2EFF4898"/>
    <w:rsid w:val="2F492302"/>
    <w:rsid w:val="2F5E7D5D"/>
    <w:rsid w:val="2F7504E0"/>
    <w:rsid w:val="2F862858"/>
    <w:rsid w:val="2F8C11F5"/>
    <w:rsid w:val="2FB865D7"/>
    <w:rsid w:val="2FD72D72"/>
    <w:rsid w:val="2FDA174F"/>
    <w:rsid w:val="2FE06B16"/>
    <w:rsid w:val="2FFC44A6"/>
    <w:rsid w:val="3001694F"/>
    <w:rsid w:val="30185637"/>
    <w:rsid w:val="30513AA5"/>
    <w:rsid w:val="30B41CA5"/>
    <w:rsid w:val="30D94B0A"/>
    <w:rsid w:val="30FF3091"/>
    <w:rsid w:val="31036A19"/>
    <w:rsid w:val="310F64D4"/>
    <w:rsid w:val="311A0906"/>
    <w:rsid w:val="313D1703"/>
    <w:rsid w:val="31402948"/>
    <w:rsid w:val="31407D22"/>
    <w:rsid w:val="314746E2"/>
    <w:rsid w:val="31495ACA"/>
    <w:rsid w:val="316067A2"/>
    <w:rsid w:val="31661F06"/>
    <w:rsid w:val="31837FFB"/>
    <w:rsid w:val="31A37972"/>
    <w:rsid w:val="31A72E62"/>
    <w:rsid w:val="31BA3F80"/>
    <w:rsid w:val="31C87A42"/>
    <w:rsid w:val="31D00C94"/>
    <w:rsid w:val="31FC38B3"/>
    <w:rsid w:val="32174468"/>
    <w:rsid w:val="321C28E2"/>
    <w:rsid w:val="321F2C11"/>
    <w:rsid w:val="32436616"/>
    <w:rsid w:val="32650828"/>
    <w:rsid w:val="32746A14"/>
    <w:rsid w:val="327D31D2"/>
    <w:rsid w:val="329A34EC"/>
    <w:rsid w:val="32C818D4"/>
    <w:rsid w:val="32EB2327"/>
    <w:rsid w:val="32F02E3E"/>
    <w:rsid w:val="331A5CF4"/>
    <w:rsid w:val="332956B6"/>
    <w:rsid w:val="333B56CC"/>
    <w:rsid w:val="33454B2A"/>
    <w:rsid w:val="334D10C2"/>
    <w:rsid w:val="33816FCE"/>
    <w:rsid w:val="338A463E"/>
    <w:rsid w:val="339177DE"/>
    <w:rsid w:val="33A23BE3"/>
    <w:rsid w:val="33A45726"/>
    <w:rsid w:val="33E022E4"/>
    <w:rsid w:val="34031749"/>
    <w:rsid w:val="340E0A65"/>
    <w:rsid w:val="343B4A6C"/>
    <w:rsid w:val="34573C0A"/>
    <w:rsid w:val="345918FB"/>
    <w:rsid w:val="346C49E4"/>
    <w:rsid w:val="34722090"/>
    <w:rsid w:val="34985085"/>
    <w:rsid w:val="34B578ED"/>
    <w:rsid w:val="34C60F2C"/>
    <w:rsid w:val="34F226A3"/>
    <w:rsid w:val="34F860B8"/>
    <w:rsid w:val="352562D5"/>
    <w:rsid w:val="35313646"/>
    <w:rsid w:val="35427424"/>
    <w:rsid w:val="35520653"/>
    <w:rsid w:val="35544781"/>
    <w:rsid w:val="357D4A91"/>
    <w:rsid w:val="35824100"/>
    <w:rsid w:val="35A04C3A"/>
    <w:rsid w:val="35D271A0"/>
    <w:rsid w:val="35D76FE0"/>
    <w:rsid w:val="35DB7EC8"/>
    <w:rsid w:val="35EA4ED8"/>
    <w:rsid w:val="35FD0596"/>
    <w:rsid w:val="360913E8"/>
    <w:rsid w:val="362B79CD"/>
    <w:rsid w:val="362D7EC8"/>
    <w:rsid w:val="36395776"/>
    <w:rsid w:val="365764AE"/>
    <w:rsid w:val="36781DB9"/>
    <w:rsid w:val="368F3C2A"/>
    <w:rsid w:val="369B4612"/>
    <w:rsid w:val="36AA6B44"/>
    <w:rsid w:val="36C6583B"/>
    <w:rsid w:val="36DA7820"/>
    <w:rsid w:val="36DF134B"/>
    <w:rsid w:val="36FD5C18"/>
    <w:rsid w:val="373078E4"/>
    <w:rsid w:val="37455AC0"/>
    <w:rsid w:val="374A4972"/>
    <w:rsid w:val="37695DB7"/>
    <w:rsid w:val="37763E0B"/>
    <w:rsid w:val="37BC36C3"/>
    <w:rsid w:val="37D32428"/>
    <w:rsid w:val="37FE463D"/>
    <w:rsid w:val="3802174C"/>
    <w:rsid w:val="38291701"/>
    <w:rsid w:val="386179ED"/>
    <w:rsid w:val="387F0B11"/>
    <w:rsid w:val="38D47355"/>
    <w:rsid w:val="38E81D17"/>
    <w:rsid w:val="393213C0"/>
    <w:rsid w:val="394505D8"/>
    <w:rsid w:val="394D5057"/>
    <w:rsid w:val="394F1538"/>
    <w:rsid w:val="39543D99"/>
    <w:rsid w:val="3965468C"/>
    <w:rsid w:val="39A057CC"/>
    <w:rsid w:val="39A513A7"/>
    <w:rsid w:val="39AA5812"/>
    <w:rsid w:val="39B93C93"/>
    <w:rsid w:val="39EB7533"/>
    <w:rsid w:val="39F368E5"/>
    <w:rsid w:val="3A0B2488"/>
    <w:rsid w:val="3A164395"/>
    <w:rsid w:val="3A1A0C7E"/>
    <w:rsid w:val="3A290750"/>
    <w:rsid w:val="3A2A619F"/>
    <w:rsid w:val="3A2D6266"/>
    <w:rsid w:val="3A4962AF"/>
    <w:rsid w:val="3A4D576A"/>
    <w:rsid w:val="3A522110"/>
    <w:rsid w:val="3A797E7D"/>
    <w:rsid w:val="3A800EB7"/>
    <w:rsid w:val="3A8162F6"/>
    <w:rsid w:val="3A843D89"/>
    <w:rsid w:val="3A947877"/>
    <w:rsid w:val="3AA26468"/>
    <w:rsid w:val="3AB96183"/>
    <w:rsid w:val="3B111CCB"/>
    <w:rsid w:val="3B274937"/>
    <w:rsid w:val="3B3230A4"/>
    <w:rsid w:val="3B5065DF"/>
    <w:rsid w:val="3B5D137F"/>
    <w:rsid w:val="3B5F69E6"/>
    <w:rsid w:val="3B633083"/>
    <w:rsid w:val="3B6D72DC"/>
    <w:rsid w:val="3B9B69FF"/>
    <w:rsid w:val="3BA36D7A"/>
    <w:rsid w:val="3BBA2524"/>
    <w:rsid w:val="3BBF26D1"/>
    <w:rsid w:val="3BDC22A4"/>
    <w:rsid w:val="3BE6667F"/>
    <w:rsid w:val="3BEA791B"/>
    <w:rsid w:val="3C0D0F83"/>
    <w:rsid w:val="3C6D3C32"/>
    <w:rsid w:val="3C7D71F8"/>
    <w:rsid w:val="3CA11DF8"/>
    <w:rsid w:val="3CA22E8A"/>
    <w:rsid w:val="3CAA265E"/>
    <w:rsid w:val="3CAD55C1"/>
    <w:rsid w:val="3CB72E00"/>
    <w:rsid w:val="3CD1792F"/>
    <w:rsid w:val="3CD72A6B"/>
    <w:rsid w:val="3D0B25E6"/>
    <w:rsid w:val="3D0F160A"/>
    <w:rsid w:val="3D117D8F"/>
    <w:rsid w:val="3D476FAC"/>
    <w:rsid w:val="3D650670"/>
    <w:rsid w:val="3D786D80"/>
    <w:rsid w:val="3D8B374E"/>
    <w:rsid w:val="3D993888"/>
    <w:rsid w:val="3DB3303F"/>
    <w:rsid w:val="3DD565E4"/>
    <w:rsid w:val="3E156A7C"/>
    <w:rsid w:val="3E1921EE"/>
    <w:rsid w:val="3E1B7DAF"/>
    <w:rsid w:val="3E8F7CDF"/>
    <w:rsid w:val="3E925B3E"/>
    <w:rsid w:val="3EA6576F"/>
    <w:rsid w:val="3EAE50D9"/>
    <w:rsid w:val="3EBF08A7"/>
    <w:rsid w:val="3ED72E04"/>
    <w:rsid w:val="3EFA15D2"/>
    <w:rsid w:val="3F022902"/>
    <w:rsid w:val="3F175B17"/>
    <w:rsid w:val="3F280295"/>
    <w:rsid w:val="3F3331C0"/>
    <w:rsid w:val="3F571E89"/>
    <w:rsid w:val="3F6533B7"/>
    <w:rsid w:val="3F75710D"/>
    <w:rsid w:val="3F76323E"/>
    <w:rsid w:val="3F7B5368"/>
    <w:rsid w:val="3F816DC5"/>
    <w:rsid w:val="3FB76CAF"/>
    <w:rsid w:val="3FC44122"/>
    <w:rsid w:val="3FF054F7"/>
    <w:rsid w:val="3FFA0DA1"/>
    <w:rsid w:val="40111E30"/>
    <w:rsid w:val="4065612A"/>
    <w:rsid w:val="40704C77"/>
    <w:rsid w:val="40911B1F"/>
    <w:rsid w:val="409946BB"/>
    <w:rsid w:val="40A43A88"/>
    <w:rsid w:val="40A87443"/>
    <w:rsid w:val="40AF623F"/>
    <w:rsid w:val="40C32DE4"/>
    <w:rsid w:val="40DD0BA5"/>
    <w:rsid w:val="41641AF6"/>
    <w:rsid w:val="416F2965"/>
    <w:rsid w:val="417C70ED"/>
    <w:rsid w:val="41AC72A3"/>
    <w:rsid w:val="41AD122A"/>
    <w:rsid w:val="41EC389D"/>
    <w:rsid w:val="42021A6C"/>
    <w:rsid w:val="423660D9"/>
    <w:rsid w:val="4239531F"/>
    <w:rsid w:val="423E454A"/>
    <w:rsid w:val="426D18DE"/>
    <w:rsid w:val="42753707"/>
    <w:rsid w:val="42804832"/>
    <w:rsid w:val="42B06936"/>
    <w:rsid w:val="42B5116A"/>
    <w:rsid w:val="42BF0FFF"/>
    <w:rsid w:val="42C751D1"/>
    <w:rsid w:val="42DC45BE"/>
    <w:rsid w:val="42DC5F40"/>
    <w:rsid w:val="42F82EC2"/>
    <w:rsid w:val="42F91416"/>
    <w:rsid w:val="431E48AD"/>
    <w:rsid w:val="4327175E"/>
    <w:rsid w:val="43351F58"/>
    <w:rsid w:val="433739A1"/>
    <w:rsid w:val="4338694F"/>
    <w:rsid w:val="434A551A"/>
    <w:rsid w:val="435F025C"/>
    <w:rsid w:val="4369307F"/>
    <w:rsid w:val="43733CAD"/>
    <w:rsid w:val="437D2846"/>
    <w:rsid w:val="437D4119"/>
    <w:rsid w:val="43840D16"/>
    <w:rsid w:val="439E30C9"/>
    <w:rsid w:val="43BC1972"/>
    <w:rsid w:val="43CC1AE6"/>
    <w:rsid w:val="43E16A35"/>
    <w:rsid w:val="445E0CF9"/>
    <w:rsid w:val="44724C5A"/>
    <w:rsid w:val="449B5961"/>
    <w:rsid w:val="44B05361"/>
    <w:rsid w:val="44D165C9"/>
    <w:rsid w:val="44E45AB4"/>
    <w:rsid w:val="44E70C3B"/>
    <w:rsid w:val="4501278E"/>
    <w:rsid w:val="4501393F"/>
    <w:rsid w:val="450F3668"/>
    <w:rsid w:val="452665C5"/>
    <w:rsid w:val="45294CD1"/>
    <w:rsid w:val="45381F82"/>
    <w:rsid w:val="45732E0C"/>
    <w:rsid w:val="45927B07"/>
    <w:rsid w:val="459F0BE1"/>
    <w:rsid w:val="45A264A3"/>
    <w:rsid w:val="45CB4370"/>
    <w:rsid w:val="45F762B7"/>
    <w:rsid w:val="46077CA9"/>
    <w:rsid w:val="4609791A"/>
    <w:rsid w:val="460C21EF"/>
    <w:rsid w:val="4629255B"/>
    <w:rsid w:val="462F5869"/>
    <w:rsid w:val="463679AC"/>
    <w:rsid w:val="463C1ED6"/>
    <w:rsid w:val="46411313"/>
    <w:rsid w:val="464207B3"/>
    <w:rsid w:val="464E1F7F"/>
    <w:rsid w:val="46657A68"/>
    <w:rsid w:val="469B655E"/>
    <w:rsid w:val="46A906B6"/>
    <w:rsid w:val="46CC75E5"/>
    <w:rsid w:val="4732775F"/>
    <w:rsid w:val="476424EF"/>
    <w:rsid w:val="478832E0"/>
    <w:rsid w:val="479F4291"/>
    <w:rsid w:val="47A95A64"/>
    <w:rsid w:val="47C7092D"/>
    <w:rsid w:val="47C80EB7"/>
    <w:rsid w:val="47D8181F"/>
    <w:rsid w:val="47ED339C"/>
    <w:rsid w:val="47F3093B"/>
    <w:rsid w:val="481424A0"/>
    <w:rsid w:val="481803DA"/>
    <w:rsid w:val="484C2AB0"/>
    <w:rsid w:val="485443FC"/>
    <w:rsid w:val="485A0BCD"/>
    <w:rsid w:val="48B52F52"/>
    <w:rsid w:val="48B65CD5"/>
    <w:rsid w:val="48E031C4"/>
    <w:rsid w:val="491754B7"/>
    <w:rsid w:val="49250AB3"/>
    <w:rsid w:val="49257032"/>
    <w:rsid w:val="49260F19"/>
    <w:rsid w:val="49464433"/>
    <w:rsid w:val="49497980"/>
    <w:rsid w:val="495C53C8"/>
    <w:rsid w:val="4967476F"/>
    <w:rsid w:val="49B210CA"/>
    <w:rsid w:val="49B964ED"/>
    <w:rsid w:val="49D63279"/>
    <w:rsid w:val="49DF6570"/>
    <w:rsid w:val="49F44620"/>
    <w:rsid w:val="49F47C35"/>
    <w:rsid w:val="4A1235F5"/>
    <w:rsid w:val="4A1637F3"/>
    <w:rsid w:val="4A277721"/>
    <w:rsid w:val="4A422F7F"/>
    <w:rsid w:val="4A56103C"/>
    <w:rsid w:val="4A652F18"/>
    <w:rsid w:val="4A6B595F"/>
    <w:rsid w:val="4A73368C"/>
    <w:rsid w:val="4A7B219E"/>
    <w:rsid w:val="4A8D224A"/>
    <w:rsid w:val="4A934467"/>
    <w:rsid w:val="4A9C00C4"/>
    <w:rsid w:val="4AA14860"/>
    <w:rsid w:val="4ABD37B9"/>
    <w:rsid w:val="4AE23306"/>
    <w:rsid w:val="4AF0580B"/>
    <w:rsid w:val="4B024B9A"/>
    <w:rsid w:val="4B175B10"/>
    <w:rsid w:val="4B36682E"/>
    <w:rsid w:val="4B367E62"/>
    <w:rsid w:val="4B606B7E"/>
    <w:rsid w:val="4B886662"/>
    <w:rsid w:val="4BA71467"/>
    <w:rsid w:val="4BC9615C"/>
    <w:rsid w:val="4BE74FD6"/>
    <w:rsid w:val="4BF03EFA"/>
    <w:rsid w:val="4C0C32B1"/>
    <w:rsid w:val="4C105E07"/>
    <w:rsid w:val="4C1F5230"/>
    <w:rsid w:val="4C3A66E5"/>
    <w:rsid w:val="4C555A75"/>
    <w:rsid w:val="4C633032"/>
    <w:rsid w:val="4C7A5B4E"/>
    <w:rsid w:val="4C7E78A1"/>
    <w:rsid w:val="4C985685"/>
    <w:rsid w:val="4CAC58F4"/>
    <w:rsid w:val="4CAD5F30"/>
    <w:rsid w:val="4CAF09B8"/>
    <w:rsid w:val="4CB676E9"/>
    <w:rsid w:val="4CB85753"/>
    <w:rsid w:val="4CC77104"/>
    <w:rsid w:val="4CCB07C7"/>
    <w:rsid w:val="4CCE2DAF"/>
    <w:rsid w:val="4CCE3E8B"/>
    <w:rsid w:val="4CE02492"/>
    <w:rsid w:val="4CE9632A"/>
    <w:rsid w:val="4D300EED"/>
    <w:rsid w:val="4D536AB0"/>
    <w:rsid w:val="4D632104"/>
    <w:rsid w:val="4D81369D"/>
    <w:rsid w:val="4D815E0E"/>
    <w:rsid w:val="4DB951C4"/>
    <w:rsid w:val="4DB9673E"/>
    <w:rsid w:val="4DF26192"/>
    <w:rsid w:val="4E0F730A"/>
    <w:rsid w:val="4E1C3404"/>
    <w:rsid w:val="4E26232B"/>
    <w:rsid w:val="4E7E4640"/>
    <w:rsid w:val="4EBB689B"/>
    <w:rsid w:val="4ECC26F1"/>
    <w:rsid w:val="4F3B61DD"/>
    <w:rsid w:val="4F636FEA"/>
    <w:rsid w:val="4F7A4308"/>
    <w:rsid w:val="4F83735D"/>
    <w:rsid w:val="4F9A1592"/>
    <w:rsid w:val="4FB02BA4"/>
    <w:rsid w:val="4FC3128D"/>
    <w:rsid w:val="4FDD1E16"/>
    <w:rsid w:val="4FE94644"/>
    <w:rsid w:val="503739B0"/>
    <w:rsid w:val="504B0C4F"/>
    <w:rsid w:val="507A4F15"/>
    <w:rsid w:val="50977AEF"/>
    <w:rsid w:val="509B1870"/>
    <w:rsid w:val="50B43EDA"/>
    <w:rsid w:val="50B65674"/>
    <w:rsid w:val="50C87E0C"/>
    <w:rsid w:val="50D5731D"/>
    <w:rsid w:val="50DE21C3"/>
    <w:rsid w:val="50E471BA"/>
    <w:rsid w:val="50EF4FB2"/>
    <w:rsid w:val="510D23B3"/>
    <w:rsid w:val="51133D6F"/>
    <w:rsid w:val="512760A9"/>
    <w:rsid w:val="515F6ED0"/>
    <w:rsid w:val="51734E9E"/>
    <w:rsid w:val="517532FF"/>
    <w:rsid w:val="51CA59AA"/>
    <w:rsid w:val="51CE0826"/>
    <w:rsid w:val="51D8266F"/>
    <w:rsid w:val="51EA14D4"/>
    <w:rsid w:val="51ED1A84"/>
    <w:rsid w:val="51F50B8E"/>
    <w:rsid w:val="51FD1267"/>
    <w:rsid w:val="52091D44"/>
    <w:rsid w:val="520E232A"/>
    <w:rsid w:val="52387937"/>
    <w:rsid w:val="524630A2"/>
    <w:rsid w:val="52521137"/>
    <w:rsid w:val="52521282"/>
    <w:rsid w:val="525F7CD8"/>
    <w:rsid w:val="526C2489"/>
    <w:rsid w:val="52825F41"/>
    <w:rsid w:val="529902F1"/>
    <w:rsid w:val="52BA0CF6"/>
    <w:rsid w:val="52BD2D77"/>
    <w:rsid w:val="52ED493F"/>
    <w:rsid w:val="532C690E"/>
    <w:rsid w:val="532E2A1E"/>
    <w:rsid w:val="534A392B"/>
    <w:rsid w:val="5356618D"/>
    <w:rsid w:val="5363561D"/>
    <w:rsid w:val="53656598"/>
    <w:rsid w:val="536726F1"/>
    <w:rsid w:val="53B453B9"/>
    <w:rsid w:val="53CA133A"/>
    <w:rsid w:val="53DA1357"/>
    <w:rsid w:val="53E76F27"/>
    <w:rsid w:val="53E9596B"/>
    <w:rsid w:val="541C450C"/>
    <w:rsid w:val="54476238"/>
    <w:rsid w:val="54533BCA"/>
    <w:rsid w:val="546211F4"/>
    <w:rsid w:val="54630653"/>
    <w:rsid w:val="547030A9"/>
    <w:rsid w:val="54835C71"/>
    <w:rsid w:val="54930E84"/>
    <w:rsid w:val="54CB4F06"/>
    <w:rsid w:val="54EA7D23"/>
    <w:rsid w:val="54EB5CEF"/>
    <w:rsid w:val="55001037"/>
    <w:rsid w:val="55004B2A"/>
    <w:rsid w:val="550F798A"/>
    <w:rsid w:val="55284588"/>
    <w:rsid w:val="552B5B34"/>
    <w:rsid w:val="55694D4F"/>
    <w:rsid w:val="557A5DF0"/>
    <w:rsid w:val="557C5AAE"/>
    <w:rsid w:val="55896B9A"/>
    <w:rsid w:val="559B144A"/>
    <w:rsid w:val="55AF5A3F"/>
    <w:rsid w:val="55FD27BA"/>
    <w:rsid w:val="55FD7E2C"/>
    <w:rsid w:val="560D144C"/>
    <w:rsid w:val="560E3FBC"/>
    <w:rsid w:val="563F1955"/>
    <w:rsid w:val="56DF0BEF"/>
    <w:rsid w:val="57234AC1"/>
    <w:rsid w:val="57596263"/>
    <w:rsid w:val="57661A1F"/>
    <w:rsid w:val="577B0269"/>
    <w:rsid w:val="57AE0B6B"/>
    <w:rsid w:val="57D2786A"/>
    <w:rsid w:val="57D91209"/>
    <w:rsid w:val="58092A7E"/>
    <w:rsid w:val="580D034A"/>
    <w:rsid w:val="583401B2"/>
    <w:rsid w:val="584D2F11"/>
    <w:rsid w:val="586D4BB3"/>
    <w:rsid w:val="5870415C"/>
    <w:rsid w:val="58757CB7"/>
    <w:rsid w:val="589B3089"/>
    <w:rsid w:val="58A43ABB"/>
    <w:rsid w:val="58B84534"/>
    <w:rsid w:val="58E002F6"/>
    <w:rsid w:val="58FB6780"/>
    <w:rsid w:val="590A1CCE"/>
    <w:rsid w:val="591A4054"/>
    <w:rsid w:val="591D2CB3"/>
    <w:rsid w:val="59274242"/>
    <w:rsid w:val="5931670A"/>
    <w:rsid w:val="59527BF2"/>
    <w:rsid w:val="595F2539"/>
    <w:rsid w:val="596A783F"/>
    <w:rsid w:val="59867A06"/>
    <w:rsid w:val="598F0655"/>
    <w:rsid w:val="59AE6A0E"/>
    <w:rsid w:val="5A4C37FF"/>
    <w:rsid w:val="5A5E2952"/>
    <w:rsid w:val="5A627CB0"/>
    <w:rsid w:val="5A6A383D"/>
    <w:rsid w:val="5A7A506C"/>
    <w:rsid w:val="5A843A38"/>
    <w:rsid w:val="5A8476C1"/>
    <w:rsid w:val="5AAC6B28"/>
    <w:rsid w:val="5ACB7C92"/>
    <w:rsid w:val="5AD418F9"/>
    <w:rsid w:val="5ADA174A"/>
    <w:rsid w:val="5ADC67E0"/>
    <w:rsid w:val="5AFF11DA"/>
    <w:rsid w:val="5B0D3F0A"/>
    <w:rsid w:val="5B340DD1"/>
    <w:rsid w:val="5B5657C3"/>
    <w:rsid w:val="5B5677E6"/>
    <w:rsid w:val="5B657092"/>
    <w:rsid w:val="5B8A159D"/>
    <w:rsid w:val="5B8C44CE"/>
    <w:rsid w:val="5BA55BE9"/>
    <w:rsid w:val="5BD347B4"/>
    <w:rsid w:val="5BE1006F"/>
    <w:rsid w:val="5C0E60C6"/>
    <w:rsid w:val="5C316EFF"/>
    <w:rsid w:val="5C432CA0"/>
    <w:rsid w:val="5C4D141D"/>
    <w:rsid w:val="5C737DAF"/>
    <w:rsid w:val="5C7A05B9"/>
    <w:rsid w:val="5C7E0870"/>
    <w:rsid w:val="5C83604E"/>
    <w:rsid w:val="5CA169FD"/>
    <w:rsid w:val="5CA92351"/>
    <w:rsid w:val="5CDA2DF8"/>
    <w:rsid w:val="5CE06EA2"/>
    <w:rsid w:val="5D077CEB"/>
    <w:rsid w:val="5D127ACD"/>
    <w:rsid w:val="5D216EEE"/>
    <w:rsid w:val="5D5C0924"/>
    <w:rsid w:val="5D730449"/>
    <w:rsid w:val="5D8F1B41"/>
    <w:rsid w:val="5D962788"/>
    <w:rsid w:val="5DAB3CDB"/>
    <w:rsid w:val="5DAD66BF"/>
    <w:rsid w:val="5DB37281"/>
    <w:rsid w:val="5DD10BC7"/>
    <w:rsid w:val="5DE177A1"/>
    <w:rsid w:val="5DE67A7B"/>
    <w:rsid w:val="5E3866C2"/>
    <w:rsid w:val="5E457E64"/>
    <w:rsid w:val="5E6661F0"/>
    <w:rsid w:val="5E797970"/>
    <w:rsid w:val="5E810359"/>
    <w:rsid w:val="5E944DEF"/>
    <w:rsid w:val="5EB17871"/>
    <w:rsid w:val="5EC74616"/>
    <w:rsid w:val="5ED02DB5"/>
    <w:rsid w:val="5F16503A"/>
    <w:rsid w:val="5F27758A"/>
    <w:rsid w:val="5F2B1831"/>
    <w:rsid w:val="5F32331B"/>
    <w:rsid w:val="5F393290"/>
    <w:rsid w:val="5F5077C7"/>
    <w:rsid w:val="5F7359DE"/>
    <w:rsid w:val="5FD1324D"/>
    <w:rsid w:val="5FE60F64"/>
    <w:rsid w:val="60012316"/>
    <w:rsid w:val="6023583F"/>
    <w:rsid w:val="60507910"/>
    <w:rsid w:val="6080653E"/>
    <w:rsid w:val="608653D2"/>
    <w:rsid w:val="608A6A5E"/>
    <w:rsid w:val="609533C0"/>
    <w:rsid w:val="61150CAC"/>
    <w:rsid w:val="61301A24"/>
    <w:rsid w:val="61704389"/>
    <w:rsid w:val="61893BF3"/>
    <w:rsid w:val="61AD38C2"/>
    <w:rsid w:val="61B0283C"/>
    <w:rsid w:val="61C5311B"/>
    <w:rsid w:val="61DA3C9F"/>
    <w:rsid w:val="61F412F8"/>
    <w:rsid w:val="62223B63"/>
    <w:rsid w:val="62275024"/>
    <w:rsid w:val="62284B35"/>
    <w:rsid w:val="6251056C"/>
    <w:rsid w:val="625F4024"/>
    <w:rsid w:val="626F71AC"/>
    <w:rsid w:val="627E5CB9"/>
    <w:rsid w:val="628E63D2"/>
    <w:rsid w:val="62997BE4"/>
    <w:rsid w:val="62A525EF"/>
    <w:rsid w:val="630976CC"/>
    <w:rsid w:val="632C273C"/>
    <w:rsid w:val="637C4CA0"/>
    <w:rsid w:val="639E576E"/>
    <w:rsid w:val="639F7383"/>
    <w:rsid w:val="63C3599D"/>
    <w:rsid w:val="63E6407A"/>
    <w:rsid w:val="63E95D86"/>
    <w:rsid w:val="64361539"/>
    <w:rsid w:val="643B19AE"/>
    <w:rsid w:val="64597A91"/>
    <w:rsid w:val="64757DBF"/>
    <w:rsid w:val="647C7CB2"/>
    <w:rsid w:val="649115A0"/>
    <w:rsid w:val="64A00360"/>
    <w:rsid w:val="64CE6A90"/>
    <w:rsid w:val="64DD7AC6"/>
    <w:rsid w:val="64ED385B"/>
    <w:rsid w:val="64F20C62"/>
    <w:rsid w:val="64F26950"/>
    <w:rsid w:val="65041419"/>
    <w:rsid w:val="650B2B74"/>
    <w:rsid w:val="650D5BDD"/>
    <w:rsid w:val="651C4E4E"/>
    <w:rsid w:val="656D12BE"/>
    <w:rsid w:val="659D4BAA"/>
    <w:rsid w:val="65B87011"/>
    <w:rsid w:val="65D0082D"/>
    <w:rsid w:val="65D447CB"/>
    <w:rsid w:val="65E72C43"/>
    <w:rsid w:val="65FF1422"/>
    <w:rsid w:val="66050D3B"/>
    <w:rsid w:val="661743FF"/>
    <w:rsid w:val="661C7630"/>
    <w:rsid w:val="661E7654"/>
    <w:rsid w:val="66247FD5"/>
    <w:rsid w:val="666E7A3D"/>
    <w:rsid w:val="6685526A"/>
    <w:rsid w:val="66922B31"/>
    <w:rsid w:val="66AB6449"/>
    <w:rsid w:val="66B67203"/>
    <w:rsid w:val="66CC5CD2"/>
    <w:rsid w:val="66D01A53"/>
    <w:rsid w:val="671150FD"/>
    <w:rsid w:val="671E1284"/>
    <w:rsid w:val="67222D32"/>
    <w:rsid w:val="67242712"/>
    <w:rsid w:val="674F539A"/>
    <w:rsid w:val="67571870"/>
    <w:rsid w:val="67826251"/>
    <w:rsid w:val="67AF7D0E"/>
    <w:rsid w:val="67B072A2"/>
    <w:rsid w:val="67B42E16"/>
    <w:rsid w:val="67C10B3E"/>
    <w:rsid w:val="67D40F8E"/>
    <w:rsid w:val="67DC32BA"/>
    <w:rsid w:val="67E80F22"/>
    <w:rsid w:val="67F07B63"/>
    <w:rsid w:val="67FD2A8F"/>
    <w:rsid w:val="68245911"/>
    <w:rsid w:val="68465A8E"/>
    <w:rsid w:val="684C539A"/>
    <w:rsid w:val="684F3AEA"/>
    <w:rsid w:val="68550B54"/>
    <w:rsid w:val="68570641"/>
    <w:rsid w:val="68597F77"/>
    <w:rsid w:val="68702D47"/>
    <w:rsid w:val="6873116C"/>
    <w:rsid w:val="687E2E00"/>
    <w:rsid w:val="689C0543"/>
    <w:rsid w:val="68BD03DD"/>
    <w:rsid w:val="68CB61FE"/>
    <w:rsid w:val="68D35E1A"/>
    <w:rsid w:val="68FE3D6F"/>
    <w:rsid w:val="6900583E"/>
    <w:rsid w:val="69010A94"/>
    <w:rsid w:val="69204059"/>
    <w:rsid w:val="69335EE8"/>
    <w:rsid w:val="69424C47"/>
    <w:rsid w:val="6948047B"/>
    <w:rsid w:val="695551A6"/>
    <w:rsid w:val="696F15A1"/>
    <w:rsid w:val="699942B5"/>
    <w:rsid w:val="69AA6B07"/>
    <w:rsid w:val="69AC15B4"/>
    <w:rsid w:val="69B06603"/>
    <w:rsid w:val="69C61163"/>
    <w:rsid w:val="69CB0AC6"/>
    <w:rsid w:val="69F97F13"/>
    <w:rsid w:val="6A0D4A5E"/>
    <w:rsid w:val="6A157C22"/>
    <w:rsid w:val="6A3773AF"/>
    <w:rsid w:val="6A5A5C41"/>
    <w:rsid w:val="6A6B6E30"/>
    <w:rsid w:val="6A863349"/>
    <w:rsid w:val="6ACB2E67"/>
    <w:rsid w:val="6B3654A3"/>
    <w:rsid w:val="6B413622"/>
    <w:rsid w:val="6B523B7E"/>
    <w:rsid w:val="6B6B582C"/>
    <w:rsid w:val="6B975191"/>
    <w:rsid w:val="6BAB5BE7"/>
    <w:rsid w:val="6BB762EC"/>
    <w:rsid w:val="6BFA731B"/>
    <w:rsid w:val="6C366CBA"/>
    <w:rsid w:val="6C5662D7"/>
    <w:rsid w:val="6C62427E"/>
    <w:rsid w:val="6C675D45"/>
    <w:rsid w:val="6C790442"/>
    <w:rsid w:val="6C7C291D"/>
    <w:rsid w:val="6C7F4906"/>
    <w:rsid w:val="6CB47E7C"/>
    <w:rsid w:val="6CB87D98"/>
    <w:rsid w:val="6CBB37DB"/>
    <w:rsid w:val="6CDB17C3"/>
    <w:rsid w:val="6CDD7BF0"/>
    <w:rsid w:val="6CED6698"/>
    <w:rsid w:val="6CF73A63"/>
    <w:rsid w:val="6D025681"/>
    <w:rsid w:val="6D204CBE"/>
    <w:rsid w:val="6D457FDB"/>
    <w:rsid w:val="6D6024FC"/>
    <w:rsid w:val="6D663BE0"/>
    <w:rsid w:val="6D7E5F35"/>
    <w:rsid w:val="6D7F619D"/>
    <w:rsid w:val="6DC02F24"/>
    <w:rsid w:val="6DE15914"/>
    <w:rsid w:val="6DF33CFE"/>
    <w:rsid w:val="6DF75110"/>
    <w:rsid w:val="6E283880"/>
    <w:rsid w:val="6E320483"/>
    <w:rsid w:val="6E423DF7"/>
    <w:rsid w:val="6E4C2A0A"/>
    <w:rsid w:val="6E550940"/>
    <w:rsid w:val="6E5F21CE"/>
    <w:rsid w:val="6E682342"/>
    <w:rsid w:val="6E6E0BD2"/>
    <w:rsid w:val="6E794815"/>
    <w:rsid w:val="6E7A75BF"/>
    <w:rsid w:val="6E7D3525"/>
    <w:rsid w:val="6EAE614D"/>
    <w:rsid w:val="6EC02940"/>
    <w:rsid w:val="6ED43798"/>
    <w:rsid w:val="6EE73E24"/>
    <w:rsid w:val="6EE8610F"/>
    <w:rsid w:val="6EEB3F0B"/>
    <w:rsid w:val="6F066751"/>
    <w:rsid w:val="6F141413"/>
    <w:rsid w:val="6F2A32E6"/>
    <w:rsid w:val="6F6A7C92"/>
    <w:rsid w:val="6F887EF4"/>
    <w:rsid w:val="6F8E64E3"/>
    <w:rsid w:val="6FCA0F16"/>
    <w:rsid w:val="6FE32BC2"/>
    <w:rsid w:val="6FE86F92"/>
    <w:rsid w:val="700A196F"/>
    <w:rsid w:val="700D7E50"/>
    <w:rsid w:val="703874D2"/>
    <w:rsid w:val="704D4DF0"/>
    <w:rsid w:val="705247CB"/>
    <w:rsid w:val="70C97341"/>
    <w:rsid w:val="70CA0E42"/>
    <w:rsid w:val="70D7038B"/>
    <w:rsid w:val="70DB7047"/>
    <w:rsid w:val="70DD5960"/>
    <w:rsid w:val="70EA65A8"/>
    <w:rsid w:val="70ED3050"/>
    <w:rsid w:val="7109775F"/>
    <w:rsid w:val="71191A1F"/>
    <w:rsid w:val="711E070B"/>
    <w:rsid w:val="716343BA"/>
    <w:rsid w:val="717754AB"/>
    <w:rsid w:val="71786A41"/>
    <w:rsid w:val="718816F2"/>
    <w:rsid w:val="718D18DA"/>
    <w:rsid w:val="719C48E0"/>
    <w:rsid w:val="71A749B3"/>
    <w:rsid w:val="71B30709"/>
    <w:rsid w:val="71BA7FEC"/>
    <w:rsid w:val="71CB4786"/>
    <w:rsid w:val="71DE22ED"/>
    <w:rsid w:val="72040847"/>
    <w:rsid w:val="72073599"/>
    <w:rsid w:val="72546F7F"/>
    <w:rsid w:val="72630B51"/>
    <w:rsid w:val="726E307F"/>
    <w:rsid w:val="729330D1"/>
    <w:rsid w:val="729F6E72"/>
    <w:rsid w:val="72A139E1"/>
    <w:rsid w:val="72C334DB"/>
    <w:rsid w:val="73106F3E"/>
    <w:rsid w:val="73187077"/>
    <w:rsid w:val="73290F55"/>
    <w:rsid w:val="733F1916"/>
    <w:rsid w:val="73454993"/>
    <w:rsid w:val="734669ED"/>
    <w:rsid w:val="73505C3A"/>
    <w:rsid w:val="73514DD5"/>
    <w:rsid w:val="73773C7E"/>
    <w:rsid w:val="738E5DBA"/>
    <w:rsid w:val="73B03D0B"/>
    <w:rsid w:val="73C041E2"/>
    <w:rsid w:val="73D07C7E"/>
    <w:rsid w:val="73D27916"/>
    <w:rsid w:val="73DC4AB7"/>
    <w:rsid w:val="742D6BAB"/>
    <w:rsid w:val="7453059A"/>
    <w:rsid w:val="74542618"/>
    <w:rsid w:val="74A02A65"/>
    <w:rsid w:val="74AC4C66"/>
    <w:rsid w:val="74B62127"/>
    <w:rsid w:val="74B96004"/>
    <w:rsid w:val="74C23257"/>
    <w:rsid w:val="74E74CB7"/>
    <w:rsid w:val="74F9095B"/>
    <w:rsid w:val="74FB5FBC"/>
    <w:rsid w:val="7521106B"/>
    <w:rsid w:val="75211DA5"/>
    <w:rsid w:val="7557722F"/>
    <w:rsid w:val="75632F51"/>
    <w:rsid w:val="757F0D81"/>
    <w:rsid w:val="7593407F"/>
    <w:rsid w:val="75C03020"/>
    <w:rsid w:val="75F95E33"/>
    <w:rsid w:val="7623117E"/>
    <w:rsid w:val="762B3B58"/>
    <w:rsid w:val="76371D92"/>
    <w:rsid w:val="7647791D"/>
    <w:rsid w:val="76542B26"/>
    <w:rsid w:val="76733037"/>
    <w:rsid w:val="7679408D"/>
    <w:rsid w:val="7679542B"/>
    <w:rsid w:val="768014A2"/>
    <w:rsid w:val="76881CDB"/>
    <w:rsid w:val="76896E41"/>
    <w:rsid w:val="768C75A6"/>
    <w:rsid w:val="768D026D"/>
    <w:rsid w:val="769945EB"/>
    <w:rsid w:val="76AB73E6"/>
    <w:rsid w:val="76B639CE"/>
    <w:rsid w:val="76BB672B"/>
    <w:rsid w:val="76F91297"/>
    <w:rsid w:val="770D3849"/>
    <w:rsid w:val="771976F5"/>
    <w:rsid w:val="77244DA5"/>
    <w:rsid w:val="77381CBC"/>
    <w:rsid w:val="773E78CA"/>
    <w:rsid w:val="778715A1"/>
    <w:rsid w:val="77B83E4D"/>
    <w:rsid w:val="77BD1607"/>
    <w:rsid w:val="77BD5FDA"/>
    <w:rsid w:val="77C71EBA"/>
    <w:rsid w:val="77DD1B93"/>
    <w:rsid w:val="780F17EC"/>
    <w:rsid w:val="780F75A3"/>
    <w:rsid w:val="781E3DCF"/>
    <w:rsid w:val="782C7E18"/>
    <w:rsid w:val="785C46E2"/>
    <w:rsid w:val="785C7254"/>
    <w:rsid w:val="7865619F"/>
    <w:rsid w:val="78702856"/>
    <w:rsid w:val="787D3E37"/>
    <w:rsid w:val="789513B5"/>
    <w:rsid w:val="78985901"/>
    <w:rsid w:val="78A82868"/>
    <w:rsid w:val="78A8643E"/>
    <w:rsid w:val="78C3327A"/>
    <w:rsid w:val="78C51E1C"/>
    <w:rsid w:val="78FA435C"/>
    <w:rsid w:val="792067C5"/>
    <w:rsid w:val="79307A6F"/>
    <w:rsid w:val="79335959"/>
    <w:rsid w:val="793860C6"/>
    <w:rsid w:val="7964370C"/>
    <w:rsid w:val="79656B51"/>
    <w:rsid w:val="79C0037D"/>
    <w:rsid w:val="79ED717C"/>
    <w:rsid w:val="79FD76E5"/>
    <w:rsid w:val="7A0636DD"/>
    <w:rsid w:val="7A2E6897"/>
    <w:rsid w:val="7A3C3DD4"/>
    <w:rsid w:val="7A8005E3"/>
    <w:rsid w:val="7A803E0D"/>
    <w:rsid w:val="7A835AEE"/>
    <w:rsid w:val="7A853E77"/>
    <w:rsid w:val="7A912C7F"/>
    <w:rsid w:val="7ADD4F01"/>
    <w:rsid w:val="7AF06A06"/>
    <w:rsid w:val="7B071F06"/>
    <w:rsid w:val="7B154DCE"/>
    <w:rsid w:val="7B411D2A"/>
    <w:rsid w:val="7B71127E"/>
    <w:rsid w:val="7B7C5233"/>
    <w:rsid w:val="7B7D113C"/>
    <w:rsid w:val="7B7F332D"/>
    <w:rsid w:val="7B905217"/>
    <w:rsid w:val="7BA569C6"/>
    <w:rsid w:val="7BA96E3D"/>
    <w:rsid w:val="7BBD4E60"/>
    <w:rsid w:val="7BE426CD"/>
    <w:rsid w:val="7C5D1A38"/>
    <w:rsid w:val="7C70500A"/>
    <w:rsid w:val="7C780230"/>
    <w:rsid w:val="7C831FFF"/>
    <w:rsid w:val="7C9F7BEC"/>
    <w:rsid w:val="7CAA288A"/>
    <w:rsid w:val="7CBC2451"/>
    <w:rsid w:val="7CBE53FC"/>
    <w:rsid w:val="7CCB2E87"/>
    <w:rsid w:val="7CDC4B2D"/>
    <w:rsid w:val="7CDC5229"/>
    <w:rsid w:val="7CE40AE2"/>
    <w:rsid w:val="7D133D7A"/>
    <w:rsid w:val="7D154F16"/>
    <w:rsid w:val="7D1B1B70"/>
    <w:rsid w:val="7D670372"/>
    <w:rsid w:val="7D69129D"/>
    <w:rsid w:val="7D7367EE"/>
    <w:rsid w:val="7D7B39DB"/>
    <w:rsid w:val="7D891A57"/>
    <w:rsid w:val="7DB15723"/>
    <w:rsid w:val="7DC00F34"/>
    <w:rsid w:val="7DE95B7F"/>
    <w:rsid w:val="7E2E3BC2"/>
    <w:rsid w:val="7E3762D1"/>
    <w:rsid w:val="7E530CE1"/>
    <w:rsid w:val="7E567522"/>
    <w:rsid w:val="7E58619C"/>
    <w:rsid w:val="7E6B47E6"/>
    <w:rsid w:val="7E9F6E18"/>
    <w:rsid w:val="7EB43F60"/>
    <w:rsid w:val="7EBC4EEE"/>
    <w:rsid w:val="7EF52619"/>
    <w:rsid w:val="7F1E175C"/>
    <w:rsid w:val="7F4538E4"/>
    <w:rsid w:val="7F703558"/>
    <w:rsid w:val="7F8204F9"/>
    <w:rsid w:val="7F8E7209"/>
    <w:rsid w:val="7F950242"/>
    <w:rsid w:val="7F955852"/>
    <w:rsid w:val="7FA71725"/>
    <w:rsid w:val="7FBA6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6" w:lineRule="auto"/>
      <w:outlineLvl w:val="1"/>
    </w:pPr>
    <w:rPr>
      <w:rFonts w:ascii="Cambria" w:hAnsi="Cambria"/>
      <w:b/>
      <w:bCs/>
      <w:sz w:val="30"/>
      <w:szCs w:val="32"/>
    </w:rPr>
  </w:style>
  <w:style w:type="paragraph" w:styleId="2">
    <w:name w:val="heading 4"/>
    <w:basedOn w:val="1"/>
    <w:next w:val="1"/>
    <w:qFormat/>
    <w:uiPriority w:val="9"/>
    <w:pPr>
      <w:keepNext/>
      <w:keepLines/>
      <w:spacing w:before="280" w:after="290" w:line="374" w:lineRule="auto"/>
      <w:outlineLvl w:val="3"/>
    </w:pPr>
    <w:rPr>
      <w:rFonts w:ascii="Arial" w:hAnsi="Arial" w:eastAsia="黑体"/>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annotation text"/>
    <w:basedOn w:val="1"/>
    <w:qFormat/>
    <w:uiPriority w:val="0"/>
    <w:pPr>
      <w:jc w:val="left"/>
    </w:pPr>
  </w:style>
  <w:style w:type="paragraph" w:styleId="7">
    <w:name w:val="Body Text"/>
    <w:basedOn w:val="1"/>
    <w:next w:val="8"/>
    <w:qFormat/>
    <w:uiPriority w:val="0"/>
    <w:pPr>
      <w:spacing w:line="420" w:lineRule="exact"/>
      <w:textAlignment w:val="center"/>
    </w:pPr>
    <w:rPr>
      <w:szCs w:val="20"/>
    </w:rPr>
  </w:style>
  <w:style w:type="paragraph" w:styleId="8">
    <w:name w:val="Title"/>
    <w:basedOn w:val="1"/>
    <w:next w:val="1"/>
    <w:qFormat/>
    <w:uiPriority w:val="0"/>
    <w:pPr>
      <w:spacing w:before="240" w:after="60"/>
      <w:jc w:val="center"/>
      <w:outlineLvl w:val="0"/>
    </w:pPr>
    <w:rPr>
      <w:rFonts w:ascii="Arial" w:hAnsi="Arial" w:cs="Arial"/>
      <w:b/>
      <w:bCs/>
      <w:sz w:val="32"/>
      <w:szCs w:val="32"/>
    </w:rPr>
  </w:style>
  <w:style w:type="paragraph" w:styleId="9">
    <w:name w:val="Plain Text"/>
    <w:basedOn w:val="1"/>
    <w:qFormat/>
    <w:uiPriority w:val="0"/>
    <w:pPr>
      <w:adjustRightInd w:val="0"/>
      <w:spacing w:line="312" w:lineRule="atLeast"/>
      <w:textAlignment w:val="baseline"/>
    </w:pPr>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toc 1"/>
    <w:basedOn w:val="1"/>
    <w:next w:val="1"/>
    <w:qFormat/>
    <w:uiPriority w:val="39"/>
    <w:pPr>
      <w:spacing w:before="120" w:after="120"/>
      <w:jc w:val="left"/>
    </w:pPr>
    <w:rPr>
      <w:b/>
      <w:bCs/>
      <w:caps/>
      <w:sz w:val="20"/>
      <w:szCs w:val="20"/>
    </w:rPr>
  </w:style>
  <w:style w:type="paragraph" w:styleId="13">
    <w:name w:val="toc 2"/>
    <w:basedOn w:val="1"/>
    <w:next w:val="1"/>
    <w:qFormat/>
    <w:uiPriority w:val="39"/>
    <w:pPr>
      <w:tabs>
        <w:tab w:val="left" w:pos="900"/>
        <w:tab w:val="right" w:leader="dot" w:pos="8296"/>
      </w:tabs>
      <w:ind w:left="420" w:leftChars="200"/>
    </w:pPr>
  </w:style>
  <w:style w:type="paragraph" w:styleId="14">
    <w:name w:val="Body Text First Indent"/>
    <w:basedOn w:val="1"/>
    <w:qFormat/>
    <w:uiPriority w:val="0"/>
    <w:pPr>
      <w:ind w:firstLine="420"/>
    </w:pPr>
  </w:style>
  <w:style w:type="table" w:styleId="16">
    <w:name w:val="Table Grid"/>
    <w:basedOn w:val="1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paragraph" w:customStyle="1" w:styleId="19">
    <w:name w:val="目录 21"/>
    <w:basedOn w:val="1"/>
    <w:next w:val="1"/>
    <w:qFormat/>
    <w:uiPriority w:val="0"/>
    <w:pPr>
      <w:spacing w:before="100" w:beforeAutospacing="1" w:after="100" w:afterAutospacing="1"/>
      <w:ind w:left="420" w:leftChars="200"/>
    </w:pPr>
    <w:rPr>
      <w:rFonts w:ascii="Times New Roman" w:hAnsi="Times New Roman"/>
      <w:szCs w:val="24"/>
    </w:rPr>
  </w:style>
  <w:style w:type="paragraph" w:customStyle="1" w:styleId="20">
    <w:name w:val="首行缩进"/>
    <w:basedOn w:val="1"/>
    <w:qFormat/>
    <w:uiPriority w:val="0"/>
    <w:pPr>
      <w:spacing w:line="300" w:lineRule="auto"/>
      <w:ind w:firstLine="420" w:firstLineChars="200"/>
    </w:pPr>
    <w:rPr>
      <w:rFonts w:eastAsia="方正书宋简体" w:cs="宋体"/>
      <w:szCs w:val="20"/>
    </w:rPr>
  </w:style>
  <w:style w:type="paragraph" w:customStyle="1" w:styleId="21">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23">
    <w:name w:val="font41"/>
    <w:basedOn w:val="17"/>
    <w:qFormat/>
    <w:uiPriority w:val="0"/>
    <w:rPr>
      <w:rFonts w:hint="default" w:ascii="Times New Roman" w:hAnsi="Times New Roman" w:cs="Times New Roman"/>
      <w:color w:val="000000"/>
      <w:sz w:val="21"/>
      <w:szCs w:val="21"/>
      <w:u w:val="none"/>
    </w:rPr>
  </w:style>
  <w:style w:type="character" w:customStyle="1" w:styleId="24">
    <w:name w:val="font31"/>
    <w:basedOn w:val="17"/>
    <w:qFormat/>
    <w:uiPriority w:val="0"/>
    <w:rPr>
      <w:rFonts w:hint="eastAsia" w:ascii="宋体" w:hAnsi="宋体" w:eastAsia="宋体" w:cs="宋体"/>
      <w:color w:val="000000"/>
      <w:sz w:val="21"/>
      <w:szCs w:val="21"/>
      <w:u w:val="none"/>
    </w:rPr>
  </w:style>
  <w:style w:type="character" w:customStyle="1" w:styleId="25">
    <w:name w:val="font11"/>
    <w:basedOn w:val="17"/>
    <w:uiPriority w:val="0"/>
    <w:rPr>
      <w:rFonts w:hint="eastAsia" w:ascii="宋体" w:hAnsi="宋体" w:eastAsia="宋体" w:cs="宋体"/>
      <w:color w:val="000000"/>
      <w:sz w:val="18"/>
      <w:szCs w:val="18"/>
      <w:u w:val="none"/>
    </w:rPr>
  </w:style>
  <w:style w:type="character" w:customStyle="1" w:styleId="26">
    <w:name w:val="font21"/>
    <w:basedOn w:val="17"/>
    <w:uiPriority w:val="0"/>
    <w:rPr>
      <w:rFonts w:hint="eastAsia" w:ascii="宋体" w:hAnsi="宋体" w:eastAsia="宋体" w:cs="宋体"/>
      <w:color w:val="000000"/>
      <w:sz w:val="18"/>
      <w:szCs w:val="18"/>
      <w:u w:val="none"/>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10121</Words>
  <Characters>10753</Characters>
  <Lines>0</Lines>
  <Paragraphs>0</Paragraphs>
  <TotalTime>22</TotalTime>
  <ScaleCrop>false</ScaleCrop>
  <LinksUpToDate>false</LinksUpToDate>
  <CharactersWithSpaces>11064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2025-03-06T07:50:00Z</dcterms:created>
  <dc:creator>Huangshen</dc:creator>
  <cp:lastModifiedBy>WPS_1736751552</cp:lastModifiedBy>
  <dcterms:modified xsi:type="dcterms:W3CDTF">2025-09-15T02:49:30Z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1DFE410145EB47D2BAAF90B7F29F234E_13</vt:lpwstr>
  </property>
  <property fmtid="{D5CDD505-2E9C-101B-9397-08002B2CF9AE}" pid="4" name="KSOTemplateDocerSaveRecord">
    <vt:lpwstr>eyJoZGlkIjoiMDYyYjkzOGY5YTJjNjhiMDg0MTQ2MDQ0MDIxYzhkNjQiLCJ1c2VySWQiOiIxNjczNzAxNzcyIn0=</vt:lpwstr>
  </property>
</Properties>
</file>