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shd w:val="clear"/>
        <w:jc w:val="center"/>
        <w:rPr>
          <w:rFonts w:ascii="隶书" w:eastAsia="隶书"/>
          <w:color w:val="auto"/>
          <w:sz w:val="56"/>
          <w:szCs w:val="56"/>
          <w:highlight w:val="none"/>
        </w:rPr>
      </w:pPr>
    </w:p>
    <w:p>
      <w:pPr>
        <w:pStyle w:val="8"/>
        <w:shd w:val="clear"/>
        <w:jc w:val="center"/>
        <w:rPr>
          <w:rFonts w:ascii="隶书" w:eastAsia="隶书"/>
          <w:color w:val="auto"/>
          <w:sz w:val="56"/>
          <w:szCs w:val="56"/>
          <w:highlight w:val="none"/>
        </w:rPr>
      </w:pPr>
    </w:p>
    <w:p>
      <w:pPr>
        <w:pStyle w:val="18"/>
        <w:shd w:val="clear"/>
        <w:rPr>
          <w:rFonts w:hint="eastAsia" w:ascii="黑体" w:hAnsi="黑体" w:eastAsia="黑体" w:cs="黑体"/>
          <w:b/>
          <w:bCs/>
          <w:color w:val="auto"/>
          <w:szCs w:val="52"/>
          <w:highlight w:val="none"/>
        </w:rPr>
      </w:pPr>
      <w:r>
        <w:rPr>
          <w:rFonts w:hint="eastAsia" w:ascii="黑体" w:hAnsi="黑体" w:eastAsia="黑体" w:cs="黑体"/>
          <w:b/>
          <w:bCs/>
          <w:color w:val="auto"/>
          <w:szCs w:val="52"/>
          <w:highlight w:val="none"/>
          <w:lang w:val="en-US" w:eastAsia="zh-CN"/>
        </w:rPr>
        <w:t>数字电网公司2025年电力开源技术与标准交流会会务服务项目</w:t>
      </w:r>
    </w:p>
    <w:p>
      <w:pPr>
        <w:pStyle w:val="8"/>
        <w:shd w:val="clear"/>
        <w:jc w:val="center"/>
        <w:rPr>
          <w:rFonts w:ascii="隶书" w:eastAsia="隶书"/>
          <w:color w:val="auto"/>
          <w:sz w:val="48"/>
          <w:szCs w:val="48"/>
          <w:highlight w:val="none"/>
        </w:rPr>
      </w:pPr>
    </w:p>
    <w:p>
      <w:pPr>
        <w:pStyle w:val="8"/>
        <w:shd w:val="clear"/>
        <w:jc w:val="center"/>
        <w:rPr>
          <w:rFonts w:ascii="隶书" w:eastAsia="隶书"/>
          <w:color w:val="auto"/>
          <w:sz w:val="48"/>
          <w:szCs w:val="48"/>
          <w:highlight w:val="none"/>
        </w:rPr>
      </w:pPr>
    </w:p>
    <w:p>
      <w:pPr>
        <w:pStyle w:val="8"/>
        <w:shd w:val="clear"/>
        <w:jc w:val="center"/>
        <w:rPr>
          <w:rFonts w:ascii="黑体" w:hAnsi="黑体" w:eastAsia="黑体" w:cs="黑体"/>
          <w:b/>
          <w:bCs/>
          <w:color w:val="auto"/>
          <w:sz w:val="52"/>
          <w:szCs w:val="52"/>
          <w:highlight w:val="none"/>
        </w:rPr>
      </w:pPr>
      <w:r>
        <w:rPr>
          <w:rFonts w:hint="eastAsia" w:ascii="黑体" w:hAnsi="黑体" w:eastAsia="黑体" w:cs="黑体"/>
          <w:b/>
          <w:bCs/>
          <w:color w:val="auto"/>
          <w:sz w:val="52"/>
          <w:szCs w:val="52"/>
          <w:highlight w:val="none"/>
        </w:rPr>
        <w:t>技术规范书</w:t>
      </w:r>
    </w:p>
    <w:p>
      <w:pPr>
        <w:shd w:val="clear"/>
        <w:spacing w:before="156" w:beforeLines="50"/>
        <w:rPr>
          <w:rFonts w:ascii="楷体_GB2312" w:hAnsi="宋体" w:eastAsia="楷体_GB2312"/>
          <w:color w:val="auto"/>
          <w:sz w:val="32"/>
          <w:szCs w:val="32"/>
          <w:highlight w:val="none"/>
        </w:rPr>
      </w:pPr>
    </w:p>
    <w:p>
      <w:pPr>
        <w:shd w:val="clear"/>
        <w:spacing w:before="156" w:beforeLines="50"/>
        <w:jc w:val="center"/>
        <w:rPr>
          <w:rFonts w:ascii="楷体_GB2312" w:hAnsi="宋体" w:eastAsia="楷体_GB2312"/>
          <w:color w:val="auto"/>
          <w:sz w:val="32"/>
          <w:szCs w:val="32"/>
          <w:highlight w:val="none"/>
        </w:rPr>
      </w:pPr>
    </w:p>
    <w:p>
      <w:pPr>
        <w:shd w:val="clear"/>
        <w:spacing w:before="156" w:beforeLines="50"/>
        <w:jc w:val="center"/>
        <w:rPr>
          <w:rFonts w:ascii="楷体_GB2312" w:hAnsi="宋体" w:eastAsia="楷体_GB2312"/>
          <w:color w:val="auto"/>
          <w:sz w:val="32"/>
          <w:szCs w:val="32"/>
          <w:highlight w:val="none"/>
        </w:rPr>
      </w:pPr>
    </w:p>
    <w:p>
      <w:pPr>
        <w:shd w:val="clear"/>
        <w:spacing w:before="156" w:beforeLines="50"/>
        <w:jc w:val="center"/>
        <w:rPr>
          <w:rFonts w:ascii="楷体_GB2312" w:hAnsi="宋体" w:eastAsia="楷体_GB2312"/>
          <w:color w:val="auto"/>
          <w:sz w:val="32"/>
          <w:szCs w:val="32"/>
          <w:highlight w:val="none"/>
        </w:rPr>
      </w:pPr>
    </w:p>
    <w:p>
      <w:pPr>
        <w:shd w:val="clear"/>
        <w:spacing w:before="156" w:beforeLines="50"/>
        <w:rPr>
          <w:rFonts w:ascii="楷体_GB2312" w:hAnsi="宋体" w:eastAsia="楷体_GB2312"/>
          <w:color w:val="auto"/>
          <w:sz w:val="32"/>
          <w:szCs w:val="32"/>
          <w:highlight w:val="none"/>
        </w:rPr>
      </w:pPr>
    </w:p>
    <w:p>
      <w:pPr>
        <w:shd w:val="clear"/>
        <w:spacing w:before="156" w:beforeLines="50"/>
        <w:rPr>
          <w:rFonts w:ascii="楷体_GB2312" w:hAnsi="宋体" w:eastAsia="楷体_GB2312"/>
          <w:color w:val="auto"/>
          <w:sz w:val="32"/>
          <w:szCs w:val="32"/>
          <w:highlight w:val="none"/>
        </w:rPr>
      </w:pPr>
    </w:p>
    <w:p>
      <w:pPr>
        <w:keepNext w:val="0"/>
        <w:keepLines w:val="0"/>
        <w:pageBreakBefore w:val="0"/>
        <w:widowControl w:val="0"/>
        <w:shd w:val="clear"/>
        <w:kinsoku/>
        <w:wordWrap/>
        <w:overflowPunct/>
        <w:topLinePunct w:val="0"/>
        <w:autoSpaceDE/>
        <w:autoSpaceDN/>
        <w:bidi w:val="0"/>
        <w:adjustRightInd/>
        <w:snapToGrid/>
        <w:spacing w:line="480" w:lineRule="auto"/>
        <w:jc w:val="center"/>
        <w:textAlignment w:val="auto"/>
        <w:outlineLvl w:val="9"/>
        <w:rPr>
          <w:rFonts w:asciiTheme="minorEastAsia" w:hAnsiTheme="minorEastAsia" w:eastAsiaTheme="minorEastAsia" w:cstheme="minorEastAsia"/>
          <w:bCs/>
          <w:color w:val="auto"/>
          <w:sz w:val="44"/>
          <w:szCs w:val="36"/>
          <w:highlight w:val="none"/>
        </w:rPr>
      </w:pPr>
      <w:bookmarkStart w:id="0" w:name="_Toc6059"/>
      <w:bookmarkStart w:id="1" w:name="_Toc29868"/>
      <w:bookmarkStart w:id="2" w:name="_Toc26266"/>
    </w:p>
    <w:p>
      <w:pPr>
        <w:keepNext w:val="0"/>
        <w:keepLines w:val="0"/>
        <w:pageBreakBefore w:val="0"/>
        <w:widowControl w:val="0"/>
        <w:shd w:val="clear"/>
        <w:kinsoku/>
        <w:wordWrap/>
        <w:overflowPunct/>
        <w:topLinePunct w:val="0"/>
        <w:autoSpaceDE/>
        <w:autoSpaceDN/>
        <w:bidi w:val="0"/>
        <w:adjustRightInd/>
        <w:snapToGrid/>
        <w:spacing w:line="480" w:lineRule="auto"/>
        <w:jc w:val="center"/>
        <w:textAlignment w:val="auto"/>
        <w:outlineLvl w:val="9"/>
        <w:rPr>
          <w:rStyle w:val="21"/>
          <w:rFonts w:hint="eastAsia" w:ascii="黑体" w:hAnsi="黑体" w:eastAsia="黑体" w:cs="黑体"/>
          <w:color w:val="auto"/>
          <w:highlight w:val="none"/>
          <w:lang w:val="en-US" w:eastAsia="zh-CN"/>
        </w:rPr>
      </w:pPr>
      <w:r>
        <w:rPr>
          <w:rStyle w:val="21"/>
          <w:rFonts w:hint="eastAsia" w:ascii="黑体" w:hAnsi="黑体" w:eastAsia="黑体" w:cs="黑体"/>
          <w:color w:val="auto"/>
          <w:highlight w:val="none"/>
          <w:lang w:val="en-US" w:eastAsia="zh-CN"/>
        </w:rPr>
        <w:t>二〇二五年十一月</w:t>
      </w:r>
    </w:p>
    <w:bookmarkEnd w:id="0"/>
    <w:bookmarkEnd w:id="1"/>
    <w:bookmarkEnd w:id="2"/>
    <w:p>
      <w:pPr>
        <w:rPr>
          <w:rFonts w:hint="eastAsia" w:ascii="宋体" w:hAnsi="宋体"/>
          <w:b/>
          <w:color w:val="auto"/>
          <w:sz w:val="32"/>
          <w:highlight w:val="none"/>
        </w:rPr>
      </w:pPr>
      <w:bookmarkStart w:id="3" w:name="_Toc9243"/>
      <w:bookmarkStart w:id="4" w:name="_Toc17611"/>
      <w:bookmarkStart w:id="5" w:name="_Toc32342"/>
      <w:bookmarkStart w:id="6" w:name="_Toc19589"/>
      <w:bookmarkStart w:id="7" w:name="_Toc266713645"/>
      <w:r>
        <w:rPr>
          <w:rFonts w:hint="eastAsia" w:ascii="宋体" w:hAnsi="宋体"/>
          <w:b/>
          <w:color w:val="auto"/>
          <w:sz w:val="32"/>
          <w:highlight w:val="none"/>
        </w:rPr>
        <w:br w:type="page"/>
      </w:r>
    </w:p>
    <w:p>
      <w:pPr>
        <w:shd w:val="clear"/>
        <w:spacing w:line="480" w:lineRule="auto"/>
        <w:jc w:val="center"/>
        <w:outlineLvl w:val="0"/>
        <w:rPr>
          <w:rFonts w:ascii="宋体" w:hAnsi="宋体"/>
          <w:b/>
          <w:color w:val="auto"/>
          <w:sz w:val="32"/>
          <w:highlight w:val="none"/>
        </w:rPr>
      </w:pPr>
      <w:r>
        <w:rPr>
          <w:rFonts w:hint="eastAsia" w:ascii="宋体" w:hAnsi="宋体"/>
          <w:b/>
          <w:color w:val="auto"/>
          <w:sz w:val="32"/>
          <w:highlight w:val="none"/>
        </w:rPr>
        <w:t>总则</w:t>
      </w:r>
      <w:bookmarkEnd w:id="3"/>
      <w:bookmarkEnd w:id="4"/>
      <w:bookmarkEnd w:id="5"/>
      <w:bookmarkEnd w:id="6"/>
      <w:bookmarkEnd w:id="7"/>
    </w:p>
    <w:p>
      <w:pPr>
        <w:numPr>
          <w:ilvl w:val="0"/>
          <w:numId w:val="2"/>
        </w:numPr>
        <w:shd w:val="clear"/>
        <w:spacing w:line="360" w:lineRule="auto"/>
        <w:rPr>
          <w:rFonts w:hint="eastAsia" w:ascii="宋体" w:hAnsi="宋体"/>
          <w:bCs/>
          <w:color w:val="auto"/>
          <w:sz w:val="24"/>
          <w:highlight w:val="none"/>
        </w:rPr>
      </w:pPr>
      <w:r>
        <w:rPr>
          <w:rFonts w:hint="eastAsia" w:ascii="宋体" w:hAnsi="宋体"/>
          <w:bCs/>
          <w:color w:val="auto"/>
          <w:sz w:val="24"/>
          <w:highlight w:val="none"/>
        </w:rPr>
        <w:t>本文件为</w:t>
      </w:r>
      <w:r>
        <w:rPr>
          <w:rFonts w:hint="eastAsia" w:ascii="宋体" w:hAnsi="宋体"/>
          <w:bCs/>
          <w:color w:val="auto"/>
          <w:sz w:val="24"/>
          <w:highlight w:val="none"/>
          <w:lang w:eastAsia="zh-CN"/>
        </w:rPr>
        <w:t>“</w:t>
      </w:r>
      <w:r>
        <w:rPr>
          <w:rFonts w:hint="eastAsia" w:ascii="宋体" w:hAnsi="宋体"/>
          <w:b w:val="0"/>
          <w:bCs/>
          <w:sz w:val="24"/>
          <w:szCs w:val="24"/>
          <w:highlight w:val="none"/>
          <w:lang w:val="en-US" w:eastAsia="zh-CN"/>
        </w:rPr>
        <w:t>数字电网公司2025年开源技术与标准交流会会务服务项目</w:t>
      </w:r>
      <w:r>
        <w:rPr>
          <w:rFonts w:hint="eastAsia" w:ascii="宋体" w:hAnsi="宋体"/>
          <w:b w:val="0"/>
          <w:bCs/>
          <w:sz w:val="24"/>
          <w:szCs w:val="24"/>
          <w:highlight w:val="none"/>
          <w:lang w:eastAsia="zh-CN"/>
        </w:rPr>
        <w:t>”</w:t>
      </w:r>
      <w:r>
        <w:rPr>
          <w:rFonts w:hint="eastAsia" w:ascii="宋体" w:hAnsi="宋体"/>
          <w:bCs/>
          <w:color w:val="auto"/>
          <w:sz w:val="24"/>
          <w:highlight w:val="none"/>
          <w:lang w:val="en-US" w:eastAsia="zh-CN"/>
        </w:rPr>
        <w:t>采购</w:t>
      </w:r>
      <w:r>
        <w:rPr>
          <w:rFonts w:hint="eastAsia" w:ascii="宋体" w:hAnsi="宋体"/>
          <w:bCs/>
          <w:color w:val="auto"/>
          <w:sz w:val="24"/>
          <w:highlight w:val="none"/>
        </w:rPr>
        <w:t>技术文件。</w:t>
      </w:r>
    </w:p>
    <w:p>
      <w:pPr>
        <w:numPr>
          <w:ilvl w:val="0"/>
          <w:numId w:val="2"/>
        </w:numPr>
        <w:shd w:val="clear"/>
        <w:spacing w:line="360" w:lineRule="auto"/>
        <w:rPr>
          <w:rFonts w:ascii="宋体" w:hAnsi="宋体"/>
          <w:bCs/>
          <w:color w:val="auto"/>
          <w:sz w:val="24"/>
          <w:highlight w:val="none"/>
        </w:rPr>
      </w:pPr>
      <w:r>
        <w:rPr>
          <w:rFonts w:hint="eastAsia" w:ascii="宋体" w:hAnsi="宋体"/>
          <w:bCs/>
          <w:color w:val="auto"/>
          <w:sz w:val="24"/>
          <w:highlight w:val="none"/>
        </w:rPr>
        <w:t>本文件所描述的各</w:t>
      </w:r>
      <w:r>
        <w:rPr>
          <w:rFonts w:hint="eastAsia" w:hAnsi="宋体"/>
          <w:bCs/>
          <w:color w:val="auto"/>
          <w:sz w:val="24"/>
          <w:highlight w:val="none"/>
        </w:rPr>
        <w:t>项技术要求</w:t>
      </w:r>
      <w:r>
        <w:rPr>
          <w:rFonts w:hint="eastAsia" w:ascii="宋体" w:hAnsi="宋体"/>
          <w:bCs/>
          <w:color w:val="auto"/>
          <w:sz w:val="24"/>
          <w:highlight w:val="none"/>
        </w:rPr>
        <w:t>仅供</w:t>
      </w:r>
      <w:r>
        <w:rPr>
          <w:rFonts w:hint="eastAsia" w:ascii="宋体" w:hAnsi="宋体"/>
          <w:bCs/>
          <w:color w:val="auto"/>
          <w:sz w:val="24"/>
          <w:highlight w:val="none"/>
          <w:lang w:eastAsia="zh-CN"/>
        </w:rPr>
        <w:t>报价方</w:t>
      </w:r>
      <w:r>
        <w:rPr>
          <w:rFonts w:hint="eastAsia" w:ascii="宋体" w:hAnsi="宋体"/>
          <w:bCs/>
          <w:color w:val="auto"/>
          <w:sz w:val="24"/>
          <w:highlight w:val="none"/>
        </w:rPr>
        <w:t>编制</w:t>
      </w:r>
      <w:r>
        <w:rPr>
          <w:rFonts w:hint="eastAsia" w:ascii="宋体" w:hAnsi="宋体"/>
          <w:bCs/>
          <w:color w:val="auto"/>
          <w:sz w:val="24"/>
          <w:highlight w:val="none"/>
          <w:lang w:val="en-US" w:eastAsia="zh-CN"/>
        </w:rPr>
        <w:t>报价技术</w:t>
      </w:r>
      <w:r>
        <w:rPr>
          <w:rFonts w:hint="eastAsia" w:ascii="宋体" w:hAnsi="宋体"/>
          <w:bCs/>
          <w:color w:val="auto"/>
          <w:sz w:val="24"/>
          <w:highlight w:val="none"/>
        </w:rPr>
        <w:t>文件之用。</w:t>
      </w:r>
    </w:p>
    <w:p>
      <w:pPr>
        <w:numPr>
          <w:ilvl w:val="0"/>
          <w:numId w:val="2"/>
        </w:numPr>
        <w:shd w:val="clear"/>
        <w:spacing w:line="360" w:lineRule="auto"/>
        <w:rPr>
          <w:rFonts w:ascii="宋体" w:hAnsi="宋体"/>
          <w:bCs/>
          <w:color w:val="auto"/>
          <w:sz w:val="24"/>
          <w:highlight w:val="none"/>
        </w:rPr>
      </w:pPr>
      <w:r>
        <w:rPr>
          <w:rFonts w:hint="eastAsia" w:ascii="宋体" w:hAnsi="宋体"/>
          <w:bCs/>
          <w:color w:val="auto"/>
          <w:sz w:val="24"/>
          <w:highlight w:val="none"/>
        </w:rPr>
        <w:t>本文件仅描述基本的技术需求，并未对一切技术细节做出规定，也未充分引述有关标准和技术条文，</w:t>
      </w:r>
      <w:r>
        <w:rPr>
          <w:rFonts w:hint="eastAsia" w:ascii="宋体" w:hAnsi="宋体"/>
          <w:bCs/>
          <w:color w:val="auto"/>
          <w:sz w:val="24"/>
          <w:highlight w:val="none"/>
          <w:lang w:val="en-US" w:eastAsia="zh-CN"/>
        </w:rPr>
        <w:t>报价方</w:t>
      </w:r>
      <w:r>
        <w:rPr>
          <w:rFonts w:hint="eastAsia" w:ascii="宋体" w:hAnsi="宋体"/>
          <w:bCs/>
          <w:color w:val="auto"/>
          <w:sz w:val="24"/>
          <w:highlight w:val="none"/>
        </w:rPr>
        <w:t>应根据需求目标提供进一步具体的可满足要求的</w:t>
      </w:r>
      <w:r>
        <w:rPr>
          <w:rFonts w:hint="eastAsia" w:hAnsi="宋体"/>
          <w:bCs/>
          <w:color w:val="auto"/>
          <w:sz w:val="24"/>
          <w:highlight w:val="none"/>
        </w:rPr>
        <w:t>技术</w:t>
      </w:r>
      <w:r>
        <w:rPr>
          <w:rFonts w:hint="eastAsia" w:ascii="宋体" w:hAnsi="宋体"/>
          <w:bCs/>
          <w:color w:val="auto"/>
          <w:sz w:val="24"/>
          <w:highlight w:val="none"/>
        </w:rPr>
        <w:t>指标。</w:t>
      </w:r>
    </w:p>
    <w:p>
      <w:pPr>
        <w:numPr>
          <w:ilvl w:val="0"/>
          <w:numId w:val="2"/>
        </w:numPr>
        <w:shd w:val="clear"/>
        <w:spacing w:line="360" w:lineRule="auto"/>
        <w:rPr>
          <w:rFonts w:ascii="宋体" w:hAnsi="宋体"/>
          <w:bCs/>
          <w:color w:val="auto"/>
          <w:sz w:val="24"/>
          <w:highlight w:val="none"/>
        </w:rPr>
      </w:pPr>
      <w:r>
        <w:rPr>
          <w:rFonts w:hint="eastAsia" w:ascii="宋体" w:hAnsi="宋体"/>
          <w:bCs/>
          <w:color w:val="auto"/>
          <w:sz w:val="24"/>
          <w:highlight w:val="none"/>
          <w:lang w:val="en-US" w:eastAsia="zh-CN"/>
        </w:rPr>
        <w:t>报价</w:t>
      </w:r>
      <w:r>
        <w:rPr>
          <w:rFonts w:hint="eastAsia" w:ascii="宋体" w:hAnsi="宋体"/>
          <w:bCs/>
          <w:color w:val="auto"/>
          <w:sz w:val="24"/>
          <w:highlight w:val="none"/>
        </w:rPr>
        <w:t>技术文件要求文字精练、数据准确、表述及图示清晰明确，具有针对性。</w:t>
      </w:r>
    </w:p>
    <w:p>
      <w:pPr>
        <w:numPr>
          <w:ilvl w:val="0"/>
          <w:numId w:val="2"/>
        </w:numPr>
        <w:shd w:val="clear"/>
        <w:spacing w:line="360" w:lineRule="auto"/>
        <w:rPr>
          <w:rFonts w:ascii="宋体" w:hAnsi="宋体"/>
          <w:bCs/>
          <w:color w:val="auto"/>
          <w:sz w:val="24"/>
          <w:highlight w:val="none"/>
        </w:rPr>
      </w:pPr>
      <w:r>
        <w:rPr>
          <w:rFonts w:hint="eastAsia" w:ascii="宋体" w:hAnsi="宋体"/>
          <w:bCs/>
          <w:color w:val="auto"/>
          <w:sz w:val="24"/>
          <w:highlight w:val="none"/>
          <w:lang w:val="en-US" w:eastAsia="zh-CN"/>
        </w:rPr>
        <w:t>报价方</w:t>
      </w:r>
      <w:r>
        <w:rPr>
          <w:rFonts w:hint="eastAsia" w:ascii="宋体" w:hAnsi="宋体"/>
          <w:bCs/>
          <w:color w:val="auto"/>
          <w:sz w:val="24"/>
          <w:szCs w:val="22"/>
          <w:highlight w:val="none"/>
        </w:rPr>
        <w:t>在</w:t>
      </w:r>
      <w:r>
        <w:rPr>
          <w:rFonts w:hint="eastAsia" w:ascii="宋体" w:hAnsi="宋体"/>
          <w:bCs/>
          <w:color w:val="auto"/>
          <w:sz w:val="24"/>
          <w:highlight w:val="none"/>
          <w:lang w:val="en-US" w:eastAsia="zh-CN"/>
        </w:rPr>
        <w:t>报价</w:t>
      </w:r>
      <w:r>
        <w:rPr>
          <w:rFonts w:hint="eastAsia" w:ascii="宋体" w:hAnsi="宋体"/>
          <w:bCs/>
          <w:color w:val="auto"/>
          <w:sz w:val="24"/>
          <w:szCs w:val="22"/>
          <w:highlight w:val="none"/>
        </w:rPr>
        <w:t>技术文件中应对本</w:t>
      </w:r>
      <w:r>
        <w:rPr>
          <w:rFonts w:hint="eastAsia" w:ascii="宋体" w:hAnsi="宋体"/>
          <w:bCs/>
          <w:color w:val="auto"/>
          <w:sz w:val="24"/>
          <w:szCs w:val="22"/>
          <w:highlight w:val="none"/>
          <w:lang w:val="en-US" w:eastAsia="zh-CN"/>
        </w:rPr>
        <w:t>文件</w:t>
      </w:r>
      <w:r>
        <w:rPr>
          <w:rFonts w:hint="eastAsia" w:ascii="宋体" w:hAnsi="宋体"/>
          <w:bCs/>
          <w:color w:val="auto"/>
          <w:sz w:val="24"/>
          <w:szCs w:val="22"/>
          <w:highlight w:val="none"/>
        </w:rPr>
        <w:t>逐项予以说明和答复,应如实反映</w:t>
      </w:r>
      <w:r>
        <w:rPr>
          <w:rFonts w:hint="eastAsia" w:ascii="宋体" w:hAnsi="宋体"/>
          <w:bCs/>
          <w:color w:val="auto"/>
          <w:sz w:val="24"/>
          <w:highlight w:val="none"/>
          <w:lang w:val="en-US" w:eastAsia="zh-CN"/>
        </w:rPr>
        <w:t>报价方</w:t>
      </w:r>
      <w:r>
        <w:rPr>
          <w:rFonts w:hint="eastAsia" w:hAnsi="宋体"/>
          <w:bCs/>
          <w:color w:val="auto"/>
          <w:sz w:val="24"/>
          <w:szCs w:val="22"/>
          <w:highlight w:val="none"/>
        </w:rPr>
        <w:t>服务</w:t>
      </w:r>
      <w:r>
        <w:rPr>
          <w:rFonts w:hint="eastAsia" w:ascii="宋体" w:hAnsi="宋体"/>
          <w:bCs/>
          <w:color w:val="auto"/>
          <w:sz w:val="24"/>
          <w:szCs w:val="22"/>
          <w:highlight w:val="none"/>
        </w:rPr>
        <w:t>与本技术规范书的技术差异。如果</w:t>
      </w:r>
      <w:r>
        <w:rPr>
          <w:rFonts w:hint="eastAsia" w:ascii="宋体" w:hAnsi="宋体"/>
          <w:bCs/>
          <w:color w:val="auto"/>
          <w:sz w:val="24"/>
          <w:highlight w:val="none"/>
          <w:lang w:val="en-US" w:eastAsia="zh-CN"/>
        </w:rPr>
        <w:t>报价方</w:t>
      </w:r>
      <w:r>
        <w:rPr>
          <w:rFonts w:hint="eastAsia" w:ascii="宋体" w:hAnsi="宋体"/>
          <w:bCs/>
          <w:color w:val="auto"/>
          <w:sz w:val="24"/>
          <w:szCs w:val="22"/>
          <w:highlight w:val="none"/>
        </w:rPr>
        <w:t>没有提出技术差异，而在执行合同的过程中，</w:t>
      </w:r>
      <w:r>
        <w:rPr>
          <w:rFonts w:hint="eastAsia" w:ascii="宋体" w:hAnsi="宋体"/>
          <w:bCs/>
          <w:color w:val="auto"/>
          <w:sz w:val="24"/>
          <w:szCs w:val="22"/>
          <w:highlight w:val="none"/>
          <w:lang w:val="en-US" w:eastAsia="zh-CN"/>
        </w:rPr>
        <w:t>采购方</w:t>
      </w:r>
      <w:r>
        <w:rPr>
          <w:rFonts w:hint="eastAsia" w:ascii="宋体" w:hAnsi="宋体"/>
          <w:bCs/>
          <w:color w:val="auto"/>
          <w:sz w:val="24"/>
          <w:szCs w:val="22"/>
          <w:highlight w:val="none"/>
        </w:rPr>
        <w:t>发现</w:t>
      </w:r>
      <w:r>
        <w:rPr>
          <w:rFonts w:hint="eastAsia" w:ascii="宋体" w:hAnsi="宋体"/>
          <w:bCs/>
          <w:color w:val="auto"/>
          <w:sz w:val="24"/>
          <w:highlight w:val="none"/>
          <w:lang w:val="en-US" w:eastAsia="zh-CN"/>
        </w:rPr>
        <w:t>报价方</w:t>
      </w:r>
      <w:r>
        <w:rPr>
          <w:rFonts w:hint="eastAsia" w:ascii="宋体" w:hAnsi="宋体"/>
          <w:bCs/>
          <w:color w:val="auto"/>
          <w:sz w:val="24"/>
          <w:szCs w:val="22"/>
          <w:highlight w:val="none"/>
        </w:rPr>
        <w:t>提供的</w:t>
      </w:r>
      <w:r>
        <w:rPr>
          <w:rFonts w:hint="eastAsia" w:hAnsi="宋体"/>
          <w:bCs/>
          <w:color w:val="auto"/>
          <w:sz w:val="24"/>
          <w:szCs w:val="22"/>
          <w:highlight w:val="none"/>
        </w:rPr>
        <w:t>服务</w:t>
      </w:r>
      <w:r>
        <w:rPr>
          <w:rFonts w:hint="eastAsia" w:ascii="宋体" w:hAnsi="宋体"/>
          <w:bCs/>
          <w:color w:val="auto"/>
          <w:sz w:val="24"/>
          <w:szCs w:val="22"/>
          <w:highlight w:val="none"/>
        </w:rPr>
        <w:t>与其</w:t>
      </w:r>
      <w:r>
        <w:rPr>
          <w:rFonts w:hint="eastAsia" w:ascii="宋体" w:hAnsi="宋体"/>
          <w:bCs/>
          <w:color w:val="auto"/>
          <w:sz w:val="24"/>
          <w:highlight w:val="none"/>
          <w:lang w:val="en-US" w:eastAsia="zh-CN"/>
        </w:rPr>
        <w:t>报价</w:t>
      </w:r>
      <w:r>
        <w:rPr>
          <w:rFonts w:hint="eastAsia" w:ascii="宋体" w:hAnsi="宋体"/>
          <w:bCs/>
          <w:color w:val="auto"/>
          <w:sz w:val="24"/>
          <w:szCs w:val="22"/>
          <w:highlight w:val="none"/>
        </w:rPr>
        <w:t>技术文件的条文存在差异，</w:t>
      </w:r>
      <w:r>
        <w:rPr>
          <w:rFonts w:hint="eastAsia" w:ascii="宋体" w:hAnsi="宋体"/>
          <w:bCs/>
          <w:color w:val="auto"/>
          <w:sz w:val="24"/>
          <w:szCs w:val="22"/>
          <w:highlight w:val="none"/>
          <w:lang w:val="en-US" w:eastAsia="zh-CN"/>
        </w:rPr>
        <w:t>采购方</w:t>
      </w:r>
      <w:r>
        <w:rPr>
          <w:rFonts w:hint="eastAsia" w:hAnsi="宋体"/>
          <w:bCs/>
          <w:color w:val="auto"/>
          <w:sz w:val="24"/>
          <w:szCs w:val="22"/>
          <w:highlight w:val="none"/>
        </w:rPr>
        <w:t>将</w:t>
      </w:r>
      <w:r>
        <w:rPr>
          <w:rFonts w:hint="eastAsia" w:ascii="宋体" w:hAnsi="宋体"/>
          <w:bCs/>
          <w:color w:val="auto"/>
          <w:sz w:val="24"/>
          <w:szCs w:val="22"/>
          <w:highlight w:val="none"/>
        </w:rPr>
        <w:t>追究</w:t>
      </w:r>
      <w:r>
        <w:rPr>
          <w:rFonts w:hint="eastAsia" w:ascii="宋体" w:hAnsi="宋体"/>
          <w:bCs/>
          <w:color w:val="auto"/>
          <w:sz w:val="24"/>
          <w:szCs w:val="22"/>
          <w:highlight w:val="none"/>
          <w:lang w:val="en-US" w:eastAsia="zh-CN"/>
        </w:rPr>
        <w:t>报价方</w:t>
      </w:r>
      <w:r>
        <w:rPr>
          <w:rFonts w:hint="eastAsia" w:ascii="宋体" w:hAnsi="宋体"/>
          <w:bCs/>
          <w:color w:val="auto"/>
          <w:sz w:val="24"/>
          <w:szCs w:val="22"/>
          <w:highlight w:val="none"/>
        </w:rPr>
        <w:t>违约责任</w:t>
      </w:r>
      <w:r>
        <w:rPr>
          <w:rFonts w:hint="eastAsia" w:ascii="宋体" w:hAnsi="宋体"/>
          <w:bCs/>
          <w:color w:val="auto"/>
          <w:sz w:val="24"/>
          <w:highlight w:val="none"/>
        </w:rPr>
        <w:t>。</w:t>
      </w:r>
    </w:p>
    <w:p>
      <w:pPr>
        <w:numPr>
          <w:ilvl w:val="0"/>
          <w:numId w:val="2"/>
        </w:numPr>
        <w:shd w:val="clear"/>
        <w:spacing w:line="360" w:lineRule="auto"/>
        <w:rPr>
          <w:rFonts w:ascii="宋体" w:hAnsi="宋体"/>
          <w:bCs/>
          <w:color w:val="auto"/>
          <w:sz w:val="24"/>
          <w:highlight w:val="none"/>
        </w:rPr>
      </w:pPr>
      <w:r>
        <w:rPr>
          <w:rFonts w:hint="eastAsia" w:ascii="宋体" w:hAnsi="宋体"/>
          <w:bCs/>
          <w:color w:val="auto"/>
          <w:sz w:val="24"/>
          <w:szCs w:val="22"/>
          <w:highlight w:val="none"/>
          <w:lang w:val="en-US" w:eastAsia="zh-CN"/>
        </w:rPr>
        <w:t>报价方</w:t>
      </w:r>
      <w:r>
        <w:rPr>
          <w:rFonts w:hint="eastAsia" w:ascii="宋体" w:hAnsi="宋体"/>
          <w:bCs/>
          <w:color w:val="auto"/>
          <w:sz w:val="24"/>
          <w:szCs w:val="22"/>
          <w:highlight w:val="none"/>
        </w:rPr>
        <w:t>应在</w:t>
      </w:r>
      <w:r>
        <w:rPr>
          <w:rFonts w:hint="eastAsia" w:ascii="宋体" w:hAnsi="宋体"/>
          <w:bCs/>
          <w:color w:val="auto"/>
          <w:sz w:val="24"/>
          <w:szCs w:val="22"/>
          <w:highlight w:val="none"/>
          <w:lang w:val="en-US" w:eastAsia="zh-CN"/>
        </w:rPr>
        <w:t>报价</w:t>
      </w:r>
      <w:r>
        <w:rPr>
          <w:rFonts w:hint="eastAsia" w:ascii="宋体" w:hAnsi="宋体"/>
          <w:bCs/>
          <w:color w:val="auto"/>
          <w:sz w:val="24"/>
          <w:szCs w:val="22"/>
          <w:highlight w:val="none"/>
        </w:rPr>
        <w:t>技术部分按本技术规范书的要求</w:t>
      </w:r>
      <w:r>
        <w:rPr>
          <w:rFonts w:hint="eastAsia" w:hAnsi="宋体"/>
          <w:bCs/>
          <w:color w:val="auto"/>
          <w:sz w:val="24"/>
          <w:szCs w:val="22"/>
          <w:highlight w:val="none"/>
        </w:rPr>
        <w:t>内容</w:t>
      </w:r>
      <w:r>
        <w:rPr>
          <w:rFonts w:hint="eastAsia" w:ascii="宋体" w:hAnsi="宋体"/>
          <w:bCs/>
          <w:color w:val="auto"/>
          <w:sz w:val="24"/>
          <w:szCs w:val="22"/>
          <w:highlight w:val="none"/>
        </w:rPr>
        <w:t>如实详细填写</w:t>
      </w:r>
      <w:r>
        <w:rPr>
          <w:rFonts w:hint="eastAsia" w:ascii="宋体" w:hAnsi="宋体"/>
          <w:bCs/>
          <w:color w:val="auto"/>
          <w:sz w:val="24"/>
          <w:szCs w:val="22"/>
          <w:highlight w:val="none"/>
          <w:lang w:val="en-US" w:eastAsia="zh-CN"/>
        </w:rPr>
        <w:t>报价方</w:t>
      </w:r>
      <w:r>
        <w:rPr>
          <w:rFonts w:hint="eastAsia" w:hAnsi="宋体"/>
          <w:bCs/>
          <w:color w:val="auto"/>
          <w:sz w:val="24"/>
          <w:szCs w:val="22"/>
          <w:highlight w:val="none"/>
        </w:rPr>
        <w:t>服务</w:t>
      </w:r>
      <w:r>
        <w:rPr>
          <w:rFonts w:hint="eastAsia" w:ascii="宋体" w:hAnsi="宋体"/>
          <w:bCs/>
          <w:color w:val="auto"/>
          <w:sz w:val="24"/>
          <w:szCs w:val="22"/>
          <w:highlight w:val="none"/>
        </w:rPr>
        <w:t>的</w:t>
      </w:r>
      <w:r>
        <w:rPr>
          <w:rFonts w:hint="eastAsia" w:hAnsi="宋体"/>
          <w:bCs/>
          <w:color w:val="auto"/>
          <w:sz w:val="24"/>
          <w:szCs w:val="22"/>
          <w:highlight w:val="none"/>
        </w:rPr>
        <w:t>范围及明细</w:t>
      </w:r>
      <w:r>
        <w:rPr>
          <w:rFonts w:hint="eastAsia" w:ascii="宋体" w:hAnsi="宋体"/>
          <w:bCs/>
          <w:color w:val="auto"/>
          <w:sz w:val="24"/>
          <w:szCs w:val="22"/>
          <w:highlight w:val="none"/>
        </w:rPr>
        <w:t>，并在</w:t>
      </w:r>
      <w:r>
        <w:rPr>
          <w:rFonts w:hint="eastAsia" w:ascii="宋体" w:hAnsi="宋体"/>
          <w:bCs/>
          <w:color w:val="auto"/>
          <w:sz w:val="24"/>
          <w:szCs w:val="22"/>
          <w:highlight w:val="none"/>
          <w:lang w:val="en-US" w:eastAsia="zh-CN"/>
        </w:rPr>
        <w:t>报价方报价</w:t>
      </w:r>
      <w:r>
        <w:rPr>
          <w:rFonts w:hint="eastAsia" w:ascii="宋体" w:hAnsi="宋体"/>
          <w:bCs/>
          <w:color w:val="auto"/>
          <w:sz w:val="24"/>
          <w:szCs w:val="22"/>
          <w:highlight w:val="none"/>
        </w:rPr>
        <w:t>部分按</w:t>
      </w:r>
      <w:r>
        <w:rPr>
          <w:rFonts w:hint="eastAsia" w:hAnsi="宋体"/>
          <w:bCs/>
          <w:color w:val="auto"/>
          <w:sz w:val="24"/>
          <w:szCs w:val="22"/>
          <w:highlight w:val="none"/>
        </w:rPr>
        <w:t>此范围及明细</w:t>
      </w:r>
      <w:r>
        <w:rPr>
          <w:rFonts w:hint="eastAsia" w:ascii="宋体" w:hAnsi="宋体"/>
          <w:bCs/>
          <w:color w:val="auto"/>
          <w:sz w:val="24"/>
          <w:szCs w:val="22"/>
          <w:highlight w:val="none"/>
        </w:rPr>
        <w:t>进行</w:t>
      </w:r>
      <w:r>
        <w:rPr>
          <w:rFonts w:hint="eastAsia" w:hAnsi="宋体"/>
          <w:bCs/>
          <w:color w:val="auto"/>
          <w:sz w:val="24"/>
          <w:szCs w:val="22"/>
          <w:highlight w:val="none"/>
        </w:rPr>
        <w:t>分项</w:t>
      </w:r>
      <w:r>
        <w:rPr>
          <w:rFonts w:hint="eastAsia" w:ascii="宋体" w:hAnsi="宋体"/>
          <w:bCs/>
          <w:color w:val="auto"/>
          <w:sz w:val="24"/>
          <w:szCs w:val="22"/>
          <w:highlight w:val="none"/>
        </w:rPr>
        <w:t>报价，如发现</w:t>
      </w:r>
      <w:r>
        <w:rPr>
          <w:rFonts w:hint="eastAsia" w:hAnsi="宋体"/>
          <w:bCs/>
          <w:color w:val="auto"/>
          <w:sz w:val="24"/>
          <w:szCs w:val="22"/>
          <w:highlight w:val="none"/>
        </w:rPr>
        <w:t>总报价与分项报价</w:t>
      </w:r>
      <w:r>
        <w:rPr>
          <w:rFonts w:hint="eastAsia" w:ascii="宋体" w:hAnsi="宋体"/>
          <w:bCs/>
          <w:color w:val="auto"/>
          <w:sz w:val="24"/>
          <w:szCs w:val="22"/>
          <w:highlight w:val="none"/>
        </w:rPr>
        <w:t>有矛盾之处，将按有利于</w:t>
      </w:r>
      <w:r>
        <w:rPr>
          <w:rFonts w:hint="eastAsia" w:ascii="宋体" w:hAnsi="宋体"/>
          <w:bCs/>
          <w:color w:val="auto"/>
          <w:sz w:val="24"/>
          <w:szCs w:val="22"/>
          <w:highlight w:val="none"/>
          <w:lang w:eastAsia="zh-CN"/>
        </w:rPr>
        <w:t>采购方</w:t>
      </w:r>
      <w:r>
        <w:rPr>
          <w:rFonts w:hint="eastAsia" w:ascii="宋体" w:hAnsi="宋体"/>
          <w:bCs/>
          <w:color w:val="auto"/>
          <w:sz w:val="24"/>
          <w:szCs w:val="22"/>
          <w:highlight w:val="none"/>
        </w:rPr>
        <w:t>的条款执行</w:t>
      </w:r>
      <w:r>
        <w:rPr>
          <w:rFonts w:hint="eastAsia" w:hAnsi="宋体"/>
          <w:bCs/>
          <w:color w:val="auto"/>
          <w:sz w:val="24"/>
          <w:szCs w:val="22"/>
          <w:highlight w:val="none"/>
        </w:rPr>
        <w:t>。</w:t>
      </w:r>
    </w:p>
    <w:p>
      <w:pPr>
        <w:numPr>
          <w:ilvl w:val="0"/>
          <w:numId w:val="2"/>
        </w:numPr>
        <w:shd w:val="clear"/>
        <w:spacing w:line="360" w:lineRule="auto"/>
        <w:rPr>
          <w:rFonts w:ascii="宋体" w:hAnsi="宋体"/>
          <w:bCs/>
          <w:color w:val="auto"/>
          <w:sz w:val="24"/>
          <w:highlight w:val="none"/>
        </w:rPr>
      </w:pPr>
      <w:r>
        <w:rPr>
          <w:rFonts w:hint="eastAsia" w:ascii="宋体" w:hAnsi="宋体"/>
          <w:bCs/>
          <w:color w:val="auto"/>
          <w:sz w:val="24"/>
          <w:szCs w:val="22"/>
          <w:highlight w:val="none"/>
          <w:lang w:val="en-US" w:eastAsia="zh-CN"/>
        </w:rPr>
        <w:t>报价方</w:t>
      </w:r>
      <w:r>
        <w:rPr>
          <w:rFonts w:hint="eastAsia" w:ascii="宋体" w:hAnsi="宋体"/>
          <w:bCs/>
          <w:color w:val="auto"/>
          <w:sz w:val="24"/>
          <w:highlight w:val="none"/>
        </w:rPr>
        <w:t>必须仔细阅读本技术规范书的全部条款，并作出明确响应。技术规范书中的条款及要求均为</w:t>
      </w:r>
      <w:r>
        <w:rPr>
          <w:rFonts w:hint="eastAsia" w:ascii="宋体" w:hAnsi="宋体"/>
          <w:bCs/>
          <w:color w:val="auto"/>
          <w:sz w:val="24"/>
          <w:highlight w:val="none"/>
          <w:lang w:eastAsia="zh-CN"/>
        </w:rPr>
        <w:t>采购方</w:t>
      </w:r>
      <w:r>
        <w:rPr>
          <w:rFonts w:hint="eastAsia" w:ascii="宋体" w:hAnsi="宋体"/>
          <w:bCs/>
          <w:color w:val="auto"/>
          <w:sz w:val="24"/>
          <w:highlight w:val="none"/>
        </w:rPr>
        <w:t>最低需求，</w:t>
      </w:r>
      <w:r>
        <w:rPr>
          <w:rFonts w:hint="eastAsia" w:ascii="宋体" w:hAnsi="宋体"/>
          <w:bCs/>
          <w:color w:val="auto"/>
          <w:sz w:val="24"/>
          <w:highlight w:val="none"/>
          <w:lang w:eastAsia="zh-CN"/>
        </w:rPr>
        <w:t>报价方</w:t>
      </w:r>
      <w:r>
        <w:rPr>
          <w:rFonts w:hint="eastAsia" w:ascii="宋体" w:hAnsi="宋体"/>
          <w:bCs/>
          <w:color w:val="auto"/>
          <w:sz w:val="24"/>
          <w:highlight w:val="none"/>
        </w:rPr>
        <w:t>必须满足，若有一项不满足将否决</w:t>
      </w:r>
      <w:r>
        <w:rPr>
          <w:rFonts w:hint="eastAsia" w:ascii="宋体" w:hAnsi="宋体"/>
          <w:bCs/>
          <w:color w:val="auto"/>
          <w:sz w:val="24"/>
          <w:highlight w:val="none"/>
          <w:lang w:val="en-US" w:eastAsia="zh-CN"/>
        </w:rPr>
        <w:t>报价</w:t>
      </w:r>
      <w:r>
        <w:rPr>
          <w:rFonts w:hint="eastAsia" w:ascii="宋体" w:hAnsi="宋体"/>
          <w:bCs/>
          <w:color w:val="auto"/>
          <w:sz w:val="24"/>
          <w:highlight w:val="none"/>
        </w:rPr>
        <w:t>。</w:t>
      </w:r>
    </w:p>
    <w:p>
      <w:pPr>
        <w:numPr>
          <w:ilvl w:val="0"/>
          <w:numId w:val="2"/>
        </w:numPr>
        <w:shd w:val="clear"/>
        <w:spacing w:line="360" w:lineRule="auto"/>
        <w:rPr>
          <w:rFonts w:ascii="宋体" w:hAnsi="宋体"/>
          <w:bCs/>
          <w:color w:val="auto"/>
          <w:sz w:val="24"/>
          <w:szCs w:val="22"/>
          <w:highlight w:val="none"/>
        </w:rPr>
      </w:pPr>
      <w:r>
        <w:rPr>
          <w:rFonts w:hint="eastAsia" w:ascii="宋体" w:hAnsi="宋体"/>
          <w:bCs/>
          <w:color w:val="auto"/>
          <w:sz w:val="24"/>
          <w:szCs w:val="22"/>
          <w:highlight w:val="none"/>
        </w:rPr>
        <w:t>本技术规范书未尽事宜，由买、卖双方协商确定。</w:t>
      </w:r>
    </w:p>
    <w:p>
      <w:pPr>
        <w:numPr>
          <w:ilvl w:val="0"/>
          <w:numId w:val="2"/>
        </w:numPr>
        <w:shd w:val="clear"/>
        <w:spacing w:line="360" w:lineRule="auto"/>
        <w:rPr>
          <w:rFonts w:ascii="宋体" w:hAnsi="宋体"/>
          <w:bCs/>
          <w:color w:val="auto"/>
          <w:sz w:val="24"/>
          <w:highlight w:val="none"/>
        </w:rPr>
      </w:pPr>
      <w:r>
        <w:rPr>
          <w:rFonts w:hint="eastAsia" w:ascii="宋体" w:hAnsi="宋体"/>
          <w:bCs/>
          <w:color w:val="auto"/>
          <w:sz w:val="24"/>
          <w:highlight w:val="none"/>
        </w:rPr>
        <w:t>本</w:t>
      </w:r>
      <w:r>
        <w:rPr>
          <w:rFonts w:hint="eastAsia" w:ascii="宋体" w:hAnsi="宋体"/>
          <w:bCs/>
          <w:color w:val="auto"/>
          <w:sz w:val="24"/>
          <w:szCs w:val="22"/>
          <w:highlight w:val="none"/>
        </w:rPr>
        <w:t>技术规范书</w:t>
      </w:r>
      <w:r>
        <w:rPr>
          <w:rFonts w:hint="eastAsia" w:ascii="宋体" w:hAnsi="宋体"/>
          <w:bCs/>
          <w:color w:val="auto"/>
          <w:sz w:val="24"/>
          <w:highlight w:val="none"/>
        </w:rPr>
        <w:t>的最终解释权归</w:t>
      </w:r>
      <w:r>
        <w:rPr>
          <w:rFonts w:hint="eastAsia" w:ascii="宋体" w:hAnsi="宋体"/>
          <w:bCs/>
          <w:color w:val="auto"/>
          <w:sz w:val="24"/>
          <w:highlight w:val="none"/>
          <w:lang w:eastAsia="zh-CN"/>
        </w:rPr>
        <w:t>采购方</w:t>
      </w:r>
      <w:r>
        <w:rPr>
          <w:rFonts w:hint="eastAsia" w:ascii="宋体" w:hAnsi="宋体"/>
          <w:bCs/>
          <w:color w:val="auto"/>
          <w:sz w:val="24"/>
          <w:highlight w:val="none"/>
        </w:rPr>
        <w:t>。</w:t>
      </w:r>
    </w:p>
    <w:p>
      <w:pPr>
        <w:pStyle w:val="22"/>
        <w:shd w:val="clear"/>
        <w:spacing w:before="312"/>
        <w:rPr>
          <w:color w:val="auto"/>
          <w:szCs w:val="22"/>
          <w:highlight w:val="none"/>
        </w:rPr>
      </w:pPr>
      <w:r>
        <w:rPr>
          <w:rFonts w:hint="eastAsia"/>
          <w:color w:val="auto"/>
          <w:szCs w:val="22"/>
          <w:highlight w:val="none"/>
        </w:rPr>
        <w:br w:type="page"/>
      </w:r>
    </w:p>
    <w:p>
      <w:pPr>
        <w:pStyle w:val="22"/>
        <w:shd w:val="clear"/>
        <w:spacing w:before="312"/>
        <w:outlineLvl w:val="0"/>
        <w:rPr>
          <w:rFonts w:ascii="黑体" w:hAnsi="黑体" w:eastAsia="黑体" w:cs="黑体"/>
          <w:color w:val="auto"/>
          <w:sz w:val="28"/>
          <w:szCs w:val="28"/>
          <w:highlight w:val="none"/>
        </w:rPr>
      </w:pPr>
      <w:bookmarkStart w:id="8" w:name="_Toc10716"/>
      <w:r>
        <w:rPr>
          <w:rFonts w:hint="eastAsia" w:ascii="黑体" w:hAnsi="黑体" w:eastAsia="黑体" w:cs="黑体"/>
          <w:color w:val="auto"/>
          <w:sz w:val="28"/>
          <w:szCs w:val="28"/>
          <w:highlight w:val="none"/>
        </w:rPr>
        <w:t xml:space="preserve">1  </w:t>
      </w:r>
      <w:r>
        <w:rPr>
          <w:rFonts w:hint="eastAsia" w:ascii="黑体" w:hAnsi="黑体" w:eastAsia="黑体" w:cs="黑体"/>
          <w:color w:val="auto"/>
          <w:sz w:val="28"/>
          <w:szCs w:val="28"/>
          <w:highlight w:val="none"/>
          <w:lang w:val="en-US" w:eastAsia="zh-CN"/>
        </w:rPr>
        <w:t>采购</w:t>
      </w:r>
      <w:r>
        <w:rPr>
          <w:rFonts w:hint="eastAsia" w:ascii="黑体" w:hAnsi="黑体" w:eastAsia="黑体" w:cs="黑体"/>
          <w:color w:val="auto"/>
          <w:sz w:val="28"/>
          <w:szCs w:val="28"/>
          <w:highlight w:val="none"/>
        </w:rPr>
        <w:t>概况</w:t>
      </w:r>
      <w:bookmarkEnd w:id="8"/>
      <w:bookmarkStart w:id="9" w:name="_Toc7301"/>
      <w:bookmarkStart w:id="10" w:name="_Toc17049"/>
    </w:p>
    <w:bookmarkEnd w:id="9"/>
    <w:bookmarkEnd w:id="10"/>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2"/>
        <w:gridCol w:w="22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5862" w:type="dxa"/>
            <w:vAlign w:val="center"/>
          </w:tcPr>
          <w:p>
            <w:pPr>
              <w:shd w:val="clea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主要工作内容</w:t>
            </w:r>
          </w:p>
        </w:tc>
        <w:tc>
          <w:tcPr>
            <w:tcW w:w="2277" w:type="dxa"/>
            <w:vAlign w:val="center"/>
          </w:tcPr>
          <w:p>
            <w:pPr>
              <w:shd w:val="clea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完成期限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trPr>
        <w:tc>
          <w:tcPr>
            <w:tcW w:w="5862" w:type="dxa"/>
            <w:vAlign w:val="center"/>
          </w:tcPr>
          <w:p>
            <w:pPr>
              <w:pStyle w:val="8"/>
              <w:shd w:val="clear"/>
              <w:ind w:firstLine="480" w:firstLineChars="200"/>
              <w:jc w:val="both"/>
              <w:rPr>
                <w:rFonts w:hint="default" w:ascii="宋体" w:hAnsi="宋体" w:eastAsia="宋体" w:cs="宋体"/>
                <w:color w:val="auto"/>
                <w:sz w:val="24"/>
                <w:szCs w:val="24"/>
                <w:highlight w:val="none"/>
                <w:u w:val="none"/>
                <w:lang w:val="en-US" w:eastAsia="zh-CN"/>
              </w:rPr>
            </w:pPr>
            <w:r>
              <w:rPr>
                <w:rFonts w:hint="default" w:ascii="宋体" w:hAnsi="宋体" w:eastAsia="宋体" w:cs="宋体"/>
                <w:color w:val="auto"/>
                <w:sz w:val="24"/>
                <w:szCs w:val="24"/>
                <w:highlight w:val="none"/>
                <w:u w:val="none"/>
                <w:lang w:val="en-US" w:eastAsia="zh-CN"/>
              </w:rPr>
              <w:t>数字电网公司计划于202</w:t>
            </w:r>
            <w:r>
              <w:rPr>
                <w:rFonts w:hint="eastAsia" w:hAnsi="宋体" w:cs="宋体"/>
                <w:color w:val="auto"/>
                <w:sz w:val="24"/>
                <w:szCs w:val="24"/>
                <w:highlight w:val="none"/>
                <w:u w:val="none"/>
                <w:lang w:val="en-US" w:eastAsia="zh-CN"/>
              </w:rPr>
              <w:t>5</w:t>
            </w:r>
            <w:r>
              <w:rPr>
                <w:rFonts w:hint="default" w:ascii="宋体" w:hAnsi="宋体" w:eastAsia="宋体" w:cs="宋体"/>
                <w:color w:val="auto"/>
                <w:sz w:val="24"/>
                <w:szCs w:val="24"/>
                <w:highlight w:val="none"/>
                <w:u w:val="none"/>
                <w:lang w:val="en-US" w:eastAsia="zh-CN"/>
              </w:rPr>
              <w:t>年12月</w:t>
            </w:r>
            <w:r>
              <w:rPr>
                <w:rFonts w:hint="eastAsia" w:hAnsi="宋体" w:cs="宋体"/>
                <w:color w:val="auto"/>
                <w:sz w:val="24"/>
                <w:szCs w:val="24"/>
                <w:highlight w:val="none"/>
                <w:u w:val="none"/>
                <w:lang w:val="en-US" w:eastAsia="zh-CN"/>
              </w:rPr>
              <w:t>在南昌</w:t>
            </w:r>
            <w:r>
              <w:rPr>
                <w:rFonts w:hint="default" w:ascii="宋体" w:hAnsi="宋体" w:eastAsia="宋体" w:cs="宋体"/>
                <w:color w:val="auto"/>
                <w:sz w:val="24"/>
                <w:szCs w:val="24"/>
                <w:highlight w:val="none"/>
                <w:u w:val="none"/>
                <w:lang w:val="en-US" w:eastAsia="zh-CN"/>
              </w:rPr>
              <w:t>举办电力开源技术与标准交流会,拟邀请电网、电力建设等电力系统企事业单位，高校及科研院所等技术领域的相关专家学者等等代表参加会议,共同研讨电力开源技术与标准发展</w:t>
            </w:r>
            <w:r>
              <w:rPr>
                <w:rFonts w:hint="eastAsia" w:hAnsi="宋体" w:cs="宋体"/>
                <w:color w:val="auto"/>
                <w:sz w:val="24"/>
                <w:szCs w:val="24"/>
                <w:highlight w:val="none"/>
                <w:u w:val="none"/>
                <w:lang w:val="en-US" w:eastAsia="zh-CN"/>
              </w:rPr>
              <w:t>现状</w:t>
            </w:r>
            <w:r>
              <w:rPr>
                <w:rFonts w:hint="default" w:ascii="宋体" w:hAnsi="宋体" w:eastAsia="宋体" w:cs="宋体"/>
                <w:color w:val="auto"/>
                <w:sz w:val="24"/>
                <w:szCs w:val="24"/>
                <w:highlight w:val="none"/>
                <w:u w:val="none"/>
                <w:lang w:val="en-US" w:eastAsia="zh-CN"/>
              </w:rPr>
              <w:t>,会议以线下方式举行,会议为期</w:t>
            </w:r>
            <w:r>
              <w:rPr>
                <w:rFonts w:hint="eastAsia" w:hAnsi="宋体" w:cs="宋体"/>
                <w:color w:val="auto"/>
                <w:sz w:val="24"/>
                <w:szCs w:val="24"/>
                <w:highlight w:val="none"/>
                <w:u w:val="none"/>
                <w:lang w:val="en-US" w:eastAsia="zh-CN"/>
              </w:rPr>
              <w:t>1</w:t>
            </w:r>
            <w:r>
              <w:rPr>
                <w:rFonts w:hint="default" w:ascii="宋体" w:hAnsi="宋体" w:eastAsia="宋体" w:cs="宋体"/>
                <w:color w:val="auto"/>
                <w:sz w:val="24"/>
                <w:szCs w:val="24"/>
                <w:highlight w:val="none"/>
                <w:u w:val="none"/>
                <w:lang w:val="en-US" w:eastAsia="zh-CN"/>
              </w:rPr>
              <w:t>天。数字电网公司具有区域影响力的机构提供办会服务。</w:t>
            </w:r>
          </w:p>
        </w:tc>
        <w:tc>
          <w:tcPr>
            <w:tcW w:w="2277" w:type="dxa"/>
            <w:vAlign w:val="center"/>
          </w:tcPr>
          <w:p>
            <w:pPr>
              <w:shd w:val="clear"/>
              <w:rPr>
                <w:rFonts w:hint="default" w:ascii="宋体" w:hAnsi="宋体" w:eastAsia="宋体" w:cs="宋体"/>
                <w:color w:val="auto"/>
                <w:sz w:val="24"/>
                <w:szCs w:val="24"/>
                <w:highlight w:val="none"/>
                <w:lang w:val="en-US" w:eastAsia="zh-CN"/>
              </w:rPr>
            </w:pPr>
            <w:r>
              <w:rPr>
                <w:rFonts w:hint="eastAsia" w:ascii="宋体" w:hAnsi="宋体" w:cs="宋体"/>
                <w:bCs/>
                <w:color w:val="auto"/>
                <w:sz w:val="24"/>
                <w:szCs w:val="24"/>
                <w:highlight w:val="none"/>
                <w:u w:val="none"/>
                <w:lang w:val="en-US" w:eastAsia="zh-CN"/>
              </w:rPr>
              <w:t>自合同签订之日起至</w:t>
            </w:r>
            <w:r>
              <w:rPr>
                <w:rFonts w:hint="eastAsia" w:ascii="宋体" w:hAnsi="宋体" w:cs="宋体"/>
                <w:bCs/>
                <w:color w:val="auto"/>
                <w:sz w:val="24"/>
                <w:szCs w:val="24"/>
                <w:highlight w:val="none"/>
                <w:u w:val="none"/>
                <w:lang w:val="en-US" w:eastAsia="zh-CN"/>
              </w:rPr>
              <w:t>2025年12月30</w:t>
            </w:r>
            <w:bookmarkStart w:id="13" w:name="_GoBack"/>
            <w:bookmarkEnd w:id="13"/>
            <w:r>
              <w:rPr>
                <w:rFonts w:hint="eastAsia" w:ascii="宋体" w:hAnsi="宋体" w:cs="宋体"/>
                <w:bCs/>
                <w:color w:val="auto"/>
                <w:sz w:val="24"/>
                <w:szCs w:val="24"/>
                <w:highlight w:val="none"/>
                <w:u w:val="none"/>
                <w:lang w:val="en-US" w:eastAsia="zh-CN"/>
              </w:rPr>
              <w:t>日</w:t>
            </w:r>
          </w:p>
        </w:tc>
      </w:tr>
    </w:tbl>
    <w:p>
      <w:pPr>
        <w:pStyle w:val="22"/>
        <w:shd w:val="clear"/>
        <w:spacing w:before="312"/>
        <w:outlineLvl w:val="0"/>
        <w:rPr>
          <w:rFonts w:hint="eastAsia" w:ascii="黑体" w:hAnsi="黑体" w:eastAsia="黑体" w:cs="黑体"/>
          <w:color w:val="auto"/>
          <w:sz w:val="28"/>
          <w:szCs w:val="28"/>
          <w:highlight w:val="none"/>
        </w:rPr>
      </w:pPr>
      <w:bookmarkStart w:id="11" w:name="_Toc15062"/>
      <w:r>
        <w:rPr>
          <w:rFonts w:hint="eastAsia" w:ascii="黑体" w:hAnsi="黑体" w:eastAsia="黑体" w:cs="黑体"/>
          <w:color w:val="auto"/>
          <w:sz w:val="28"/>
          <w:szCs w:val="28"/>
          <w:highlight w:val="none"/>
        </w:rPr>
        <w:t xml:space="preserve">2  </w:t>
      </w:r>
      <w:r>
        <w:rPr>
          <w:rFonts w:hint="eastAsia" w:ascii="黑体" w:hAnsi="黑体" w:eastAsia="黑体" w:cs="黑体"/>
          <w:color w:val="auto"/>
          <w:sz w:val="28"/>
          <w:szCs w:val="28"/>
          <w:highlight w:val="none"/>
          <w:lang w:val="en-US" w:eastAsia="zh-CN"/>
        </w:rPr>
        <w:t>技术服务内容</w:t>
      </w:r>
      <w:bookmarkEnd w:id="11"/>
    </w:p>
    <w:p>
      <w:pPr>
        <w:shd w:val="clea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2.1 根据甲方的标准及行程安排符合要求的团队用餐服务,包括桌餐或自助餐。</w:t>
      </w:r>
    </w:p>
    <w:p>
      <w:pPr>
        <w:shd w:val="clea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2.2根据甲方的标准及行程安排符合要求的会议或活动场地租赁服务（100m</w:t>
      </w:r>
      <w:r>
        <w:rPr>
          <w:rFonts w:hint="eastAsia" w:ascii="宋体" w:hAnsi="宋体" w:cs="宋体"/>
          <w:color w:val="auto"/>
          <w:sz w:val="24"/>
          <w:highlight w:val="none"/>
          <w:vertAlign w:val="superscript"/>
          <w:lang w:val="en-US" w:eastAsia="zh-CN"/>
        </w:rPr>
        <w:t>2</w:t>
      </w:r>
      <w:r>
        <w:rPr>
          <w:rFonts w:hint="eastAsia" w:ascii="宋体" w:hAnsi="宋体" w:cs="宋体"/>
          <w:color w:val="auto"/>
          <w:sz w:val="24"/>
          <w:highlight w:val="none"/>
          <w:vertAlign w:val="baseline"/>
          <w:lang w:val="en-US" w:eastAsia="zh-CN"/>
        </w:rPr>
        <w:t>左右会议室</w:t>
      </w:r>
      <w:r>
        <w:rPr>
          <w:rFonts w:hint="eastAsia" w:ascii="宋体" w:hAnsi="宋体" w:cs="宋体"/>
          <w:color w:val="auto"/>
          <w:sz w:val="24"/>
          <w:highlight w:val="none"/>
          <w:lang w:val="en-US" w:eastAsia="zh-CN"/>
        </w:rPr>
        <w:t>）。</w:t>
      </w:r>
    </w:p>
    <w:p>
      <w:pPr>
        <w:shd w:val="clea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2.3根据甲方要求提供相应摄影摄像服务。</w:t>
      </w:r>
    </w:p>
    <w:p>
      <w:pPr>
        <w:pStyle w:val="22"/>
        <w:shd w:val="clear"/>
        <w:spacing w:before="312"/>
        <w:outlineLvl w:val="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3</w:t>
      </w:r>
      <w:r>
        <w:rPr>
          <w:rFonts w:hint="eastAsia" w:ascii="黑体" w:hAnsi="黑体" w:eastAsia="黑体" w:cs="黑体"/>
          <w:color w:val="auto"/>
          <w:sz w:val="28"/>
          <w:szCs w:val="28"/>
          <w:highlight w:val="none"/>
        </w:rPr>
        <w:t xml:space="preserve">  </w:t>
      </w:r>
      <w:r>
        <w:rPr>
          <w:rFonts w:hint="eastAsia" w:ascii="黑体" w:hAnsi="黑体" w:eastAsia="黑体" w:cs="黑体"/>
          <w:color w:val="auto"/>
          <w:sz w:val="28"/>
          <w:szCs w:val="28"/>
          <w:highlight w:val="none"/>
          <w:lang w:val="en-US" w:eastAsia="zh-CN"/>
        </w:rPr>
        <w:t>服务资质的要求</w:t>
      </w:r>
    </w:p>
    <w:p>
      <w:pPr>
        <w:shd w:val="clear"/>
        <w:spacing w:line="360" w:lineRule="auto"/>
        <w:ind w:firstLine="480" w:firstLineChars="200"/>
        <w:rPr>
          <w:rFonts w:hint="eastAsia" w:ascii="宋体" w:hAnsi="宋体" w:cs="宋体"/>
          <w:color w:val="auto"/>
          <w:sz w:val="24"/>
          <w:highlight w:val="yellow"/>
          <w:lang w:val="en-US" w:eastAsia="zh-CN"/>
        </w:rPr>
      </w:pPr>
      <w:r>
        <w:rPr>
          <w:rFonts w:hint="eastAsia" w:ascii="宋体" w:hAnsi="宋体" w:cs="宋体"/>
          <w:color w:val="auto"/>
          <w:sz w:val="24"/>
          <w:highlight w:val="none"/>
          <w:lang w:val="en-US" w:eastAsia="zh-CN"/>
        </w:rPr>
        <w:t>3.1 须具有在中华人民共和国境内合法注册的企业法人资格，提供有效的《营业执照》副本及复印件。营业执照经营范围应包含会议服务、展览展示服务或相关业务内容。</w:t>
      </w:r>
    </w:p>
    <w:p>
      <w:pPr>
        <w:shd w:val="clea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3.2 无违法违规记录，提供《无重大违法违规记录声明函》，须加盖供应商公章。</w:t>
      </w:r>
    </w:p>
    <w:p>
      <w:pPr>
        <w:shd w:val="clea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3.3 提供信用查询记录截图（来源可为“信用中国”等官方渠道），并加盖供应商公章。</w:t>
      </w:r>
    </w:p>
    <w:p>
      <w:pPr>
        <w:shd w:val="clea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3.4 近三年内未被列入失信被执行人名单或重大税收违法案件当事人名单。</w:t>
      </w:r>
    </w:p>
    <w:p>
      <w:pPr>
        <w:shd w:val="clea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3.5 提供《服务质量与履约承诺书》，须加盖供应商公章。</w:t>
      </w:r>
    </w:p>
    <w:p>
      <w:pPr>
        <w:shd w:val="clea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3.6 须具备举办大型学术会议或论坛的经验，并提供相应业绩证明材料（如合同复印件、会议通知或会议照片等）。其中大型会议或论坛应具备以下特征之一：参会人数不少于50人；涉及省部级以上主管部门、行业学会、科研院所等单位的参与；具有多场次会议议程或分论坛安排。</w:t>
      </w:r>
    </w:p>
    <w:p>
      <w:pPr>
        <w:pStyle w:val="22"/>
        <w:shd w:val="clear"/>
        <w:spacing w:before="312"/>
        <w:outlineLvl w:val="0"/>
        <w:rPr>
          <w:rFonts w:ascii="黑体" w:hAnsi="黑体" w:eastAsia="黑体" w:cs="黑体"/>
          <w:color w:val="auto"/>
          <w:sz w:val="28"/>
          <w:szCs w:val="28"/>
          <w:highlight w:val="none"/>
        </w:rPr>
      </w:pPr>
      <w:bookmarkStart w:id="12" w:name="_Toc10515"/>
      <w:r>
        <w:rPr>
          <w:rFonts w:hint="eastAsia" w:ascii="黑体" w:hAnsi="黑体" w:eastAsia="黑体" w:cs="黑体"/>
          <w:color w:val="auto"/>
          <w:sz w:val="28"/>
          <w:szCs w:val="28"/>
          <w:highlight w:val="none"/>
          <w:lang w:val="en-US" w:eastAsia="zh-CN"/>
        </w:rPr>
        <w:t>4</w:t>
      </w:r>
      <w:r>
        <w:rPr>
          <w:rFonts w:hint="eastAsia" w:ascii="黑体" w:hAnsi="黑体" w:eastAsia="黑体" w:cs="黑体"/>
          <w:color w:val="auto"/>
          <w:sz w:val="28"/>
          <w:szCs w:val="28"/>
          <w:highlight w:val="none"/>
        </w:rPr>
        <w:t xml:space="preserve">  技术服务的要求</w:t>
      </w:r>
      <w:bookmarkEnd w:id="12"/>
    </w:p>
    <w:p>
      <w:pPr>
        <w:shd w:val="clea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4.1 合同签署2日内由乙方制定会议策划方案，并提交甲方审批同意。</w:t>
      </w:r>
    </w:p>
    <w:p>
      <w:pPr>
        <w:shd w:val="clea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4.2 礼仪及接待  </w:t>
      </w:r>
    </w:p>
    <w:p>
      <w:pPr>
        <w:shd w:val="clea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4.2.1乙方提供甲方参会人员的签到。</w:t>
      </w:r>
    </w:p>
    <w:p>
      <w:pPr>
        <w:shd w:val="clea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4.2.2甲方参会人员下榻酒店的，乙方工作人员应完成相应的接待和指引工作。</w:t>
      </w:r>
    </w:p>
    <w:p>
      <w:pPr>
        <w:shd w:val="clea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4.3会场布置</w:t>
      </w:r>
    </w:p>
    <w:p>
      <w:pPr>
        <w:shd w:val="clea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4.3.1乙方按甲方要求提前预订会场，并和会议酒店对接，按甲方要求提供屏幕和音响，会议现场由甲方和酒店对接，乙方安排人员提供应急情况支持。 </w:t>
      </w:r>
    </w:p>
    <w:p>
      <w:pPr>
        <w:shd w:val="clea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4.4餐饮安排</w:t>
      </w:r>
    </w:p>
    <w:p>
      <w:pPr>
        <w:shd w:val="clea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4.4.1双方确认，会议期间甲方参会人员就餐地为会场所在酒店餐厅。</w:t>
      </w:r>
    </w:p>
    <w:p>
      <w:pPr>
        <w:shd w:val="clea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4.4.2甲方参会人员就餐标准和要求：每人两次桌餐或自助餐。    </w:t>
      </w:r>
    </w:p>
    <w:p>
      <w:pPr>
        <w:shd w:val="clea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4.5会议安保工作</w:t>
      </w:r>
    </w:p>
    <w:p>
      <w:pPr>
        <w:spacing w:line="360" w:lineRule="auto"/>
        <w:ind w:firstLine="480" w:firstLineChars="200"/>
        <w:rPr>
          <w:rFonts w:hint="default"/>
          <w:lang w:val="en-US" w:eastAsia="zh-CN"/>
        </w:rPr>
      </w:pPr>
      <w:r>
        <w:rPr>
          <w:rFonts w:hint="eastAsia" w:ascii="宋体" w:hAnsi="宋体" w:cs="宋体"/>
          <w:color w:val="auto"/>
          <w:sz w:val="24"/>
          <w:highlight w:val="none"/>
          <w:lang w:val="en-US" w:eastAsia="zh-CN"/>
        </w:rPr>
        <w:t xml:space="preserve">4.5.1为确保会议正常举行，乙方负责会议的安保工作。    </w:t>
      </w: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隶书">
    <w:altName w:val="微软雅黑"/>
    <w:panose1 w:val="0201050906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9"/>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2C290B"/>
    <w:multiLevelType w:val="singleLevel"/>
    <w:tmpl w:val="D12C290B"/>
    <w:lvl w:ilvl="0" w:tentative="0">
      <w:start w:val="1"/>
      <w:numFmt w:val="decimal"/>
      <w:pStyle w:val="17"/>
      <w:lvlText w:val="%1."/>
      <w:lvlJc w:val="left"/>
      <w:pPr>
        <w:ind w:left="425" w:hanging="425"/>
      </w:pPr>
      <w:rPr>
        <w:rFonts w:hint="default"/>
      </w:rPr>
    </w:lvl>
  </w:abstractNum>
  <w:abstractNum w:abstractNumId="1">
    <w:nsid w:val="5E537055"/>
    <w:multiLevelType w:val="singleLevel"/>
    <w:tmpl w:val="5E537055"/>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U3MTBiMDBiY2Y2Mzg0ZGY2M2YyNGM2NTllMGMxYTQifQ=="/>
  </w:docVars>
  <w:rsids>
    <w:rsidRoot w:val="56112EA9"/>
    <w:rsid w:val="000C764F"/>
    <w:rsid w:val="006E05BE"/>
    <w:rsid w:val="0086790A"/>
    <w:rsid w:val="00A36D9C"/>
    <w:rsid w:val="00DE6232"/>
    <w:rsid w:val="01417E64"/>
    <w:rsid w:val="01565F86"/>
    <w:rsid w:val="017705FB"/>
    <w:rsid w:val="01D35542"/>
    <w:rsid w:val="027C11FC"/>
    <w:rsid w:val="0295401A"/>
    <w:rsid w:val="0303051E"/>
    <w:rsid w:val="041E2657"/>
    <w:rsid w:val="044514F2"/>
    <w:rsid w:val="044607DE"/>
    <w:rsid w:val="04593618"/>
    <w:rsid w:val="047B7BC4"/>
    <w:rsid w:val="049C7C9A"/>
    <w:rsid w:val="04BF0B83"/>
    <w:rsid w:val="04FE4EAD"/>
    <w:rsid w:val="05312146"/>
    <w:rsid w:val="05395645"/>
    <w:rsid w:val="054B3781"/>
    <w:rsid w:val="056D4E14"/>
    <w:rsid w:val="06F52B3B"/>
    <w:rsid w:val="072A05CE"/>
    <w:rsid w:val="075626D2"/>
    <w:rsid w:val="07C94E02"/>
    <w:rsid w:val="07D43977"/>
    <w:rsid w:val="080B7B0D"/>
    <w:rsid w:val="08306EBA"/>
    <w:rsid w:val="08AB080B"/>
    <w:rsid w:val="09BF12C5"/>
    <w:rsid w:val="09F078C2"/>
    <w:rsid w:val="0A4A0996"/>
    <w:rsid w:val="0A9773AF"/>
    <w:rsid w:val="0B5E7643"/>
    <w:rsid w:val="0B715FA9"/>
    <w:rsid w:val="0B7D1AC3"/>
    <w:rsid w:val="0B9B6C9A"/>
    <w:rsid w:val="0BD1033B"/>
    <w:rsid w:val="0BFD7548"/>
    <w:rsid w:val="0C5E1872"/>
    <w:rsid w:val="0C8C1EEF"/>
    <w:rsid w:val="0CA42F0B"/>
    <w:rsid w:val="0CEC4CFB"/>
    <w:rsid w:val="0D090C53"/>
    <w:rsid w:val="0D0C14ED"/>
    <w:rsid w:val="0D4A0605"/>
    <w:rsid w:val="0D6039E5"/>
    <w:rsid w:val="0DD4603A"/>
    <w:rsid w:val="0DDE0C6E"/>
    <w:rsid w:val="0E670CF6"/>
    <w:rsid w:val="0E884E6D"/>
    <w:rsid w:val="0EB63FD3"/>
    <w:rsid w:val="0EC81CAE"/>
    <w:rsid w:val="0F9C2440"/>
    <w:rsid w:val="0FBF064C"/>
    <w:rsid w:val="0FDB32CA"/>
    <w:rsid w:val="10011F66"/>
    <w:rsid w:val="10811A74"/>
    <w:rsid w:val="10972384"/>
    <w:rsid w:val="11380F24"/>
    <w:rsid w:val="11402C86"/>
    <w:rsid w:val="1178213A"/>
    <w:rsid w:val="118130B9"/>
    <w:rsid w:val="118E381A"/>
    <w:rsid w:val="12AF03E6"/>
    <w:rsid w:val="12BB43B9"/>
    <w:rsid w:val="12CD0F99"/>
    <w:rsid w:val="12E31879"/>
    <w:rsid w:val="133B0193"/>
    <w:rsid w:val="13566E57"/>
    <w:rsid w:val="13A42991"/>
    <w:rsid w:val="14226099"/>
    <w:rsid w:val="14421D4B"/>
    <w:rsid w:val="144A2429"/>
    <w:rsid w:val="147F0C66"/>
    <w:rsid w:val="148404CD"/>
    <w:rsid w:val="14E80E3B"/>
    <w:rsid w:val="153B7463"/>
    <w:rsid w:val="1558413F"/>
    <w:rsid w:val="155E4129"/>
    <w:rsid w:val="159E2286"/>
    <w:rsid w:val="15DE301C"/>
    <w:rsid w:val="15FB5A1F"/>
    <w:rsid w:val="1615119E"/>
    <w:rsid w:val="16382D15"/>
    <w:rsid w:val="16CE51A3"/>
    <w:rsid w:val="16F75EAC"/>
    <w:rsid w:val="16F77748"/>
    <w:rsid w:val="17C03CC4"/>
    <w:rsid w:val="17C5148E"/>
    <w:rsid w:val="18543146"/>
    <w:rsid w:val="187141E2"/>
    <w:rsid w:val="19B54AE3"/>
    <w:rsid w:val="1A164159"/>
    <w:rsid w:val="1A316175"/>
    <w:rsid w:val="1A830B36"/>
    <w:rsid w:val="1ADD4B0E"/>
    <w:rsid w:val="1B544749"/>
    <w:rsid w:val="1B843116"/>
    <w:rsid w:val="1B9D56A4"/>
    <w:rsid w:val="1BF021DF"/>
    <w:rsid w:val="1BFA3C82"/>
    <w:rsid w:val="1C672B50"/>
    <w:rsid w:val="1C9C3206"/>
    <w:rsid w:val="1D3C734D"/>
    <w:rsid w:val="1D8D437A"/>
    <w:rsid w:val="1DA01B05"/>
    <w:rsid w:val="1F45052A"/>
    <w:rsid w:val="1FBD1E67"/>
    <w:rsid w:val="1FD20C3C"/>
    <w:rsid w:val="1FD8526A"/>
    <w:rsid w:val="1FD9003C"/>
    <w:rsid w:val="1FE921AB"/>
    <w:rsid w:val="2023582D"/>
    <w:rsid w:val="207F607E"/>
    <w:rsid w:val="209D2E2F"/>
    <w:rsid w:val="20C63E3C"/>
    <w:rsid w:val="21630E97"/>
    <w:rsid w:val="216337ED"/>
    <w:rsid w:val="21CA3C88"/>
    <w:rsid w:val="22586A0B"/>
    <w:rsid w:val="22AB3CC4"/>
    <w:rsid w:val="22E90D13"/>
    <w:rsid w:val="234277A0"/>
    <w:rsid w:val="234B187D"/>
    <w:rsid w:val="235B7824"/>
    <w:rsid w:val="23A116F1"/>
    <w:rsid w:val="23AE35D1"/>
    <w:rsid w:val="24A069D0"/>
    <w:rsid w:val="24C9435F"/>
    <w:rsid w:val="24EA7C79"/>
    <w:rsid w:val="24ED319F"/>
    <w:rsid w:val="250F564D"/>
    <w:rsid w:val="252B1EB7"/>
    <w:rsid w:val="256870E0"/>
    <w:rsid w:val="25D76220"/>
    <w:rsid w:val="25E42BF8"/>
    <w:rsid w:val="2639712F"/>
    <w:rsid w:val="265249D6"/>
    <w:rsid w:val="26877BF1"/>
    <w:rsid w:val="269F5118"/>
    <w:rsid w:val="26BF74C3"/>
    <w:rsid w:val="26C83652"/>
    <w:rsid w:val="26D0779D"/>
    <w:rsid w:val="26EC1AF1"/>
    <w:rsid w:val="275D5D26"/>
    <w:rsid w:val="275F7D29"/>
    <w:rsid w:val="27D34242"/>
    <w:rsid w:val="27EC643E"/>
    <w:rsid w:val="27F81146"/>
    <w:rsid w:val="281A157A"/>
    <w:rsid w:val="289352A5"/>
    <w:rsid w:val="28A8423A"/>
    <w:rsid w:val="28BE48E2"/>
    <w:rsid w:val="295D095A"/>
    <w:rsid w:val="29EC5B99"/>
    <w:rsid w:val="29F81415"/>
    <w:rsid w:val="2A2E088F"/>
    <w:rsid w:val="2A441357"/>
    <w:rsid w:val="2A4D516F"/>
    <w:rsid w:val="2A874401"/>
    <w:rsid w:val="2A89001F"/>
    <w:rsid w:val="2B0B4F52"/>
    <w:rsid w:val="2B6721B0"/>
    <w:rsid w:val="2B6D01DF"/>
    <w:rsid w:val="2BA03769"/>
    <w:rsid w:val="2BD3124D"/>
    <w:rsid w:val="2C112C5C"/>
    <w:rsid w:val="2C191EA0"/>
    <w:rsid w:val="2C9E4EF3"/>
    <w:rsid w:val="2CA3124A"/>
    <w:rsid w:val="2CC46550"/>
    <w:rsid w:val="2D8F39A1"/>
    <w:rsid w:val="2D94572F"/>
    <w:rsid w:val="2DAC4578"/>
    <w:rsid w:val="2DB36870"/>
    <w:rsid w:val="2DEA6350"/>
    <w:rsid w:val="2E260032"/>
    <w:rsid w:val="2E2E5B4F"/>
    <w:rsid w:val="2E380045"/>
    <w:rsid w:val="2E8130E5"/>
    <w:rsid w:val="2EC278D4"/>
    <w:rsid w:val="2EE16229"/>
    <w:rsid w:val="2EE670A0"/>
    <w:rsid w:val="2EF2438F"/>
    <w:rsid w:val="2EFA1D2E"/>
    <w:rsid w:val="2EFB704A"/>
    <w:rsid w:val="2F2E6BFF"/>
    <w:rsid w:val="2FBC128A"/>
    <w:rsid w:val="2FC241F2"/>
    <w:rsid w:val="2FE56DED"/>
    <w:rsid w:val="2FF720A0"/>
    <w:rsid w:val="30045C2F"/>
    <w:rsid w:val="30504529"/>
    <w:rsid w:val="30A7367B"/>
    <w:rsid w:val="30DF2B6C"/>
    <w:rsid w:val="310463AC"/>
    <w:rsid w:val="31267BCB"/>
    <w:rsid w:val="313E1E7A"/>
    <w:rsid w:val="31B01E0F"/>
    <w:rsid w:val="32421F4A"/>
    <w:rsid w:val="32653DEB"/>
    <w:rsid w:val="32887BF4"/>
    <w:rsid w:val="330E4E8B"/>
    <w:rsid w:val="33161353"/>
    <w:rsid w:val="334E3954"/>
    <w:rsid w:val="33727E3B"/>
    <w:rsid w:val="33EB5673"/>
    <w:rsid w:val="34255CC8"/>
    <w:rsid w:val="347E10AE"/>
    <w:rsid w:val="348D5B05"/>
    <w:rsid w:val="35347AD0"/>
    <w:rsid w:val="3559362F"/>
    <w:rsid w:val="35831D37"/>
    <w:rsid w:val="358955C5"/>
    <w:rsid w:val="358A1AD4"/>
    <w:rsid w:val="358B06A1"/>
    <w:rsid w:val="35DF4389"/>
    <w:rsid w:val="35E41FA9"/>
    <w:rsid w:val="360B40D3"/>
    <w:rsid w:val="3661221B"/>
    <w:rsid w:val="36A667E3"/>
    <w:rsid w:val="36DA1F19"/>
    <w:rsid w:val="376F4CD4"/>
    <w:rsid w:val="37A433E0"/>
    <w:rsid w:val="37AE0477"/>
    <w:rsid w:val="38004B22"/>
    <w:rsid w:val="384629CE"/>
    <w:rsid w:val="386E54D8"/>
    <w:rsid w:val="38721237"/>
    <w:rsid w:val="388E4233"/>
    <w:rsid w:val="38D05FCB"/>
    <w:rsid w:val="38E627E6"/>
    <w:rsid w:val="38E74863"/>
    <w:rsid w:val="390A3500"/>
    <w:rsid w:val="39140E3A"/>
    <w:rsid w:val="39394001"/>
    <w:rsid w:val="395B5F73"/>
    <w:rsid w:val="395C5711"/>
    <w:rsid w:val="39665E8E"/>
    <w:rsid w:val="39855B4F"/>
    <w:rsid w:val="398C2739"/>
    <w:rsid w:val="39E07316"/>
    <w:rsid w:val="39E974DB"/>
    <w:rsid w:val="3A907B0F"/>
    <w:rsid w:val="3B411800"/>
    <w:rsid w:val="3B673936"/>
    <w:rsid w:val="3B705AB9"/>
    <w:rsid w:val="3C4C5078"/>
    <w:rsid w:val="3C865BA4"/>
    <w:rsid w:val="3DDE3626"/>
    <w:rsid w:val="3E4B7171"/>
    <w:rsid w:val="3E931C31"/>
    <w:rsid w:val="3EB90139"/>
    <w:rsid w:val="3ED23A0B"/>
    <w:rsid w:val="3F9923B3"/>
    <w:rsid w:val="401C5798"/>
    <w:rsid w:val="405745EF"/>
    <w:rsid w:val="40794199"/>
    <w:rsid w:val="407B2591"/>
    <w:rsid w:val="408A19B3"/>
    <w:rsid w:val="40F0643B"/>
    <w:rsid w:val="40FF550C"/>
    <w:rsid w:val="410217F6"/>
    <w:rsid w:val="414753F3"/>
    <w:rsid w:val="419C13AE"/>
    <w:rsid w:val="41A73FEA"/>
    <w:rsid w:val="41B40E40"/>
    <w:rsid w:val="4240696E"/>
    <w:rsid w:val="42A30678"/>
    <w:rsid w:val="42A37264"/>
    <w:rsid w:val="42A85259"/>
    <w:rsid w:val="42DF02D2"/>
    <w:rsid w:val="44267E6C"/>
    <w:rsid w:val="445D01EE"/>
    <w:rsid w:val="446425F3"/>
    <w:rsid w:val="44693523"/>
    <w:rsid w:val="44C917FC"/>
    <w:rsid w:val="44E04C68"/>
    <w:rsid w:val="457F7435"/>
    <w:rsid w:val="45AD67D6"/>
    <w:rsid w:val="45CF1EF0"/>
    <w:rsid w:val="45FB1433"/>
    <w:rsid w:val="463D215F"/>
    <w:rsid w:val="46A04E57"/>
    <w:rsid w:val="46B71F8C"/>
    <w:rsid w:val="46CF4B4E"/>
    <w:rsid w:val="46E41C62"/>
    <w:rsid w:val="47097B32"/>
    <w:rsid w:val="47194E6E"/>
    <w:rsid w:val="47382C50"/>
    <w:rsid w:val="475B51CD"/>
    <w:rsid w:val="47F359F7"/>
    <w:rsid w:val="48205CF0"/>
    <w:rsid w:val="487243E9"/>
    <w:rsid w:val="48AE5D4E"/>
    <w:rsid w:val="48B02A52"/>
    <w:rsid w:val="49030FD7"/>
    <w:rsid w:val="495670F4"/>
    <w:rsid w:val="496522AD"/>
    <w:rsid w:val="49F22A9F"/>
    <w:rsid w:val="4A3233F0"/>
    <w:rsid w:val="4A4054CC"/>
    <w:rsid w:val="4A4B4604"/>
    <w:rsid w:val="4A566A25"/>
    <w:rsid w:val="4A7A1254"/>
    <w:rsid w:val="4A9A3B4D"/>
    <w:rsid w:val="4AA711DF"/>
    <w:rsid w:val="4AC97A44"/>
    <w:rsid w:val="4ADF4CFB"/>
    <w:rsid w:val="4B18258B"/>
    <w:rsid w:val="4C186E5E"/>
    <w:rsid w:val="4C3F54C3"/>
    <w:rsid w:val="4C755063"/>
    <w:rsid w:val="4C9C6495"/>
    <w:rsid w:val="4CA55517"/>
    <w:rsid w:val="4CE147A6"/>
    <w:rsid w:val="4CE42B1C"/>
    <w:rsid w:val="4CF766DE"/>
    <w:rsid w:val="4D235E70"/>
    <w:rsid w:val="4DBF3FC8"/>
    <w:rsid w:val="4DDB7BC5"/>
    <w:rsid w:val="4E287A4C"/>
    <w:rsid w:val="4E933DB4"/>
    <w:rsid w:val="4EB32BB1"/>
    <w:rsid w:val="4EC54607"/>
    <w:rsid w:val="4EDE6AF3"/>
    <w:rsid w:val="4F436D5A"/>
    <w:rsid w:val="4FB838C0"/>
    <w:rsid w:val="50692104"/>
    <w:rsid w:val="50962318"/>
    <w:rsid w:val="50C4507C"/>
    <w:rsid w:val="50E83C80"/>
    <w:rsid w:val="50E84976"/>
    <w:rsid w:val="51A9285C"/>
    <w:rsid w:val="51CA3DA4"/>
    <w:rsid w:val="52A26B88"/>
    <w:rsid w:val="52D27864"/>
    <w:rsid w:val="52F864C1"/>
    <w:rsid w:val="5377673A"/>
    <w:rsid w:val="53CD308F"/>
    <w:rsid w:val="54412B18"/>
    <w:rsid w:val="544B4DE2"/>
    <w:rsid w:val="545D3BCA"/>
    <w:rsid w:val="54945A86"/>
    <w:rsid w:val="54C17E31"/>
    <w:rsid w:val="54E75E4E"/>
    <w:rsid w:val="54EC5F00"/>
    <w:rsid w:val="5554635E"/>
    <w:rsid w:val="55BB08CE"/>
    <w:rsid w:val="55F5265A"/>
    <w:rsid w:val="56112EA9"/>
    <w:rsid w:val="5612439D"/>
    <w:rsid w:val="56634F6B"/>
    <w:rsid w:val="56DC5381"/>
    <w:rsid w:val="56FE5647"/>
    <w:rsid w:val="572004CE"/>
    <w:rsid w:val="576E3E36"/>
    <w:rsid w:val="57AA3B02"/>
    <w:rsid w:val="57D62605"/>
    <w:rsid w:val="5809477E"/>
    <w:rsid w:val="5877260C"/>
    <w:rsid w:val="58A64419"/>
    <w:rsid w:val="594A6C48"/>
    <w:rsid w:val="59B261E8"/>
    <w:rsid w:val="59BD7DED"/>
    <w:rsid w:val="59E4535B"/>
    <w:rsid w:val="5A873058"/>
    <w:rsid w:val="5AE252E1"/>
    <w:rsid w:val="5B3D6948"/>
    <w:rsid w:val="5B413B2B"/>
    <w:rsid w:val="5B6578FE"/>
    <w:rsid w:val="5BAC42C7"/>
    <w:rsid w:val="5BC5685F"/>
    <w:rsid w:val="5C4E6A70"/>
    <w:rsid w:val="5C871AE3"/>
    <w:rsid w:val="5CBC1717"/>
    <w:rsid w:val="5CE44951"/>
    <w:rsid w:val="5D205DBF"/>
    <w:rsid w:val="5DAB53AF"/>
    <w:rsid w:val="5DB65080"/>
    <w:rsid w:val="5DB924C9"/>
    <w:rsid w:val="5E0B23A4"/>
    <w:rsid w:val="5E7F2B1D"/>
    <w:rsid w:val="5E9479C8"/>
    <w:rsid w:val="5E9F37EA"/>
    <w:rsid w:val="5EFB1E98"/>
    <w:rsid w:val="5EFC4DAC"/>
    <w:rsid w:val="5EFF55AD"/>
    <w:rsid w:val="5F322F86"/>
    <w:rsid w:val="5F354A2E"/>
    <w:rsid w:val="5F3A2B4A"/>
    <w:rsid w:val="5F8D2A0A"/>
    <w:rsid w:val="5F9A2498"/>
    <w:rsid w:val="5FE42408"/>
    <w:rsid w:val="602F6B9B"/>
    <w:rsid w:val="60446F8A"/>
    <w:rsid w:val="60865787"/>
    <w:rsid w:val="60A8111F"/>
    <w:rsid w:val="60B802FB"/>
    <w:rsid w:val="60C2033D"/>
    <w:rsid w:val="61633BDA"/>
    <w:rsid w:val="61B23647"/>
    <w:rsid w:val="61B74473"/>
    <w:rsid w:val="61E33B45"/>
    <w:rsid w:val="624205F5"/>
    <w:rsid w:val="62542CC4"/>
    <w:rsid w:val="626A1418"/>
    <w:rsid w:val="62974434"/>
    <w:rsid w:val="630015B9"/>
    <w:rsid w:val="63595690"/>
    <w:rsid w:val="63627A53"/>
    <w:rsid w:val="63952BF2"/>
    <w:rsid w:val="63FE5340"/>
    <w:rsid w:val="640B1F26"/>
    <w:rsid w:val="64132F2C"/>
    <w:rsid w:val="64657E8E"/>
    <w:rsid w:val="64AC103B"/>
    <w:rsid w:val="64D432EB"/>
    <w:rsid w:val="650664D0"/>
    <w:rsid w:val="65355760"/>
    <w:rsid w:val="65697FAC"/>
    <w:rsid w:val="666908C2"/>
    <w:rsid w:val="66F4034E"/>
    <w:rsid w:val="673113AB"/>
    <w:rsid w:val="67593ED7"/>
    <w:rsid w:val="67C471DB"/>
    <w:rsid w:val="67FD2500"/>
    <w:rsid w:val="680A5633"/>
    <w:rsid w:val="680E0513"/>
    <w:rsid w:val="68AC152E"/>
    <w:rsid w:val="68DF26D3"/>
    <w:rsid w:val="695323C7"/>
    <w:rsid w:val="69EA7D86"/>
    <w:rsid w:val="69F05CEA"/>
    <w:rsid w:val="6A2D0FBD"/>
    <w:rsid w:val="6A8D4544"/>
    <w:rsid w:val="6ABC1891"/>
    <w:rsid w:val="6ABC77B2"/>
    <w:rsid w:val="6B023115"/>
    <w:rsid w:val="6C37560D"/>
    <w:rsid w:val="6D2B4CBE"/>
    <w:rsid w:val="6D401C96"/>
    <w:rsid w:val="6D4A0BE9"/>
    <w:rsid w:val="6D85389F"/>
    <w:rsid w:val="6DE047D4"/>
    <w:rsid w:val="6E06100F"/>
    <w:rsid w:val="6E22444C"/>
    <w:rsid w:val="6E5B1FD7"/>
    <w:rsid w:val="6EB40B09"/>
    <w:rsid w:val="6F891280"/>
    <w:rsid w:val="706B20E6"/>
    <w:rsid w:val="708F1B04"/>
    <w:rsid w:val="70E237AF"/>
    <w:rsid w:val="710C1A65"/>
    <w:rsid w:val="712A3D63"/>
    <w:rsid w:val="71497715"/>
    <w:rsid w:val="718469A4"/>
    <w:rsid w:val="71C94BB9"/>
    <w:rsid w:val="71CD5A4C"/>
    <w:rsid w:val="71D14AD5"/>
    <w:rsid w:val="71FD350D"/>
    <w:rsid w:val="7218577E"/>
    <w:rsid w:val="727B49E7"/>
    <w:rsid w:val="729E4393"/>
    <w:rsid w:val="73303C63"/>
    <w:rsid w:val="734A4E61"/>
    <w:rsid w:val="7377313A"/>
    <w:rsid w:val="73A151D8"/>
    <w:rsid w:val="73D7627B"/>
    <w:rsid w:val="73EC0C6E"/>
    <w:rsid w:val="73FA6E86"/>
    <w:rsid w:val="742F4229"/>
    <w:rsid w:val="744F7DDF"/>
    <w:rsid w:val="74572EAA"/>
    <w:rsid w:val="74C35E58"/>
    <w:rsid w:val="74E106B7"/>
    <w:rsid w:val="7507754B"/>
    <w:rsid w:val="75700D85"/>
    <w:rsid w:val="75715F41"/>
    <w:rsid w:val="76497732"/>
    <w:rsid w:val="76890F73"/>
    <w:rsid w:val="76DB6DC9"/>
    <w:rsid w:val="770F4753"/>
    <w:rsid w:val="7792777C"/>
    <w:rsid w:val="78376D79"/>
    <w:rsid w:val="78C21DEE"/>
    <w:rsid w:val="78E46BD7"/>
    <w:rsid w:val="790428F9"/>
    <w:rsid w:val="7953312B"/>
    <w:rsid w:val="79EC1569"/>
    <w:rsid w:val="7A126AE1"/>
    <w:rsid w:val="7A8335E6"/>
    <w:rsid w:val="7ABE2378"/>
    <w:rsid w:val="7AFB3926"/>
    <w:rsid w:val="7BFC3589"/>
    <w:rsid w:val="7C185614"/>
    <w:rsid w:val="7C257594"/>
    <w:rsid w:val="7C562CCE"/>
    <w:rsid w:val="7CD02D3B"/>
    <w:rsid w:val="7CFC62DE"/>
    <w:rsid w:val="7D34019C"/>
    <w:rsid w:val="7D73421D"/>
    <w:rsid w:val="7DE41997"/>
    <w:rsid w:val="7E3523C7"/>
    <w:rsid w:val="7E352FE9"/>
    <w:rsid w:val="7E6214B0"/>
    <w:rsid w:val="7E894768"/>
    <w:rsid w:val="7EB61EE5"/>
    <w:rsid w:val="7F041FF4"/>
    <w:rsid w:val="7F7A0DF4"/>
    <w:rsid w:val="7FCE0606"/>
    <w:rsid w:val="7FF132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tabs>
        <w:tab w:val="left" w:pos="720"/>
      </w:tabs>
      <w:adjustRightInd w:val="0"/>
      <w:spacing w:line="320" w:lineRule="atLeast"/>
      <w:ind w:left="720" w:hanging="720"/>
      <w:outlineLvl w:val="1"/>
    </w:pPr>
    <w:rPr>
      <w:rFonts w:ascii="黑体" w:hAnsi="Arial" w:eastAsia="黑体" w:cs="宋体"/>
      <w:kern w:val="0"/>
      <w:sz w:val="28"/>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next w:val="7"/>
    <w:qFormat/>
    <w:uiPriority w:val="0"/>
    <w:pPr>
      <w:ind w:firstLine="880" w:firstLineChars="200"/>
    </w:pPr>
    <w:rPr>
      <w:rFonts w:ascii="仿宋_GB2312" w:hAnsi="仿宋_GB2312" w:eastAsia="仿宋_GB2312" w:cs="Arial"/>
      <w:sz w:val="32"/>
      <w:szCs w:val="20"/>
    </w:rPr>
  </w:style>
  <w:style w:type="paragraph" w:styleId="7">
    <w:name w:val="Title"/>
    <w:basedOn w:val="1"/>
    <w:next w:val="1"/>
    <w:qFormat/>
    <w:uiPriority w:val="0"/>
    <w:pPr>
      <w:spacing w:before="240" w:after="60"/>
      <w:jc w:val="center"/>
      <w:outlineLvl w:val="0"/>
    </w:pPr>
    <w:rPr>
      <w:rFonts w:ascii="Cambria" w:hAnsi="Cambria" w:eastAsia="宋体"/>
      <w:b/>
      <w:bCs/>
      <w:sz w:val="32"/>
      <w:szCs w:val="32"/>
    </w:rPr>
  </w:style>
  <w:style w:type="paragraph" w:styleId="8">
    <w:name w:val="Plain Text"/>
    <w:basedOn w:val="1"/>
    <w:qFormat/>
    <w:uiPriority w:val="0"/>
    <w:rPr>
      <w:rFonts w:ascii="宋体" w:hAnsi="Courier New" w:cs="Courier New"/>
      <w:szCs w:val="21"/>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1">
    <w:name w:val="toc 1"/>
    <w:basedOn w:val="1"/>
    <w:next w:val="1"/>
    <w:qFormat/>
    <w:uiPriority w:val="0"/>
  </w:style>
  <w:style w:type="paragraph" w:styleId="12">
    <w:name w:val="toc 2"/>
    <w:basedOn w:val="1"/>
    <w:next w:val="1"/>
    <w:qFormat/>
    <w:uiPriority w:val="0"/>
    <w:pPr>
      <w:tabs>
        <w:tab w:val="right" w:leader="dot" w:pos="8302"/>
      </w:tabs>
      <w:snapToGrid w:val="0"/>
      <w:spacing w:line="360" w:lineRule="auto"/>
      <w:ind w:left="525" w:hanging="4"/>
    </w:pPr>
    <w:rPr>
      <w:sz w:val="24"/>
      <w:szCs w:val="20"/>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Hyperlink"/>
    <w:basedOn w:val="15"/>
    <w:qFormat/>
    <w:uiPriority w:val="0"/>
  </w:style>
  <w:style w:type="paragraph" w:customStyle="1" w:styleId="17">
    <w:name w:val="标题1"/>
    <w:basedOn w:val="3"/>
    <w:next w:val="1"/>
    <w:qFormat/>
    <w:uiPriority w:val="0"/>
    <w:pPr>
      <w:numPr>
        <w:ilvl w:val="0"/>
        <w:numId w:val="1"/>
      </w:numPr>
    </w:pPr>
    <w:rPr>
      <w:rFonts w:hAnsi="黑体"/>
    </w:rPr>
  </w:style>
  <w:style w:type="paragraph" w:customStyle="1" w:styleId="18">
    <w:name w:val="首页项目名称"/>
    <w:link w:val="20"/>
    <w:qFormat/>
    <w:uiPriority w:val="0"/>
    <w:pPr>
      <w:jc w:val="center"/>
    </w:pPr>
    <w:rPr>
      <w:rFonts w:ascii="Times New Roman" w:hAnsi="Times New Roman" w:eastAsia="隶书" w:cs="Times New Roman"/>
      <w:sz w:val="52"/>
      <w:lang w:val="en-US" w:eastAsia="zh-CN" w:bidi="ar-SA"/>
    </w:rPr>
  </w:style>
  <w:style w:type="paragraph" w:customStyle="1" w:styleId="19">
    <w:name w:val="首页日期"/>
    <w:basedOn w:val="1"/>
    <w:link w:val="21"/>
    <w:qFormat/>
    <w:uiPriority w:val="0"/>
    <w:pPr>
      <w:jc w:val="center"/>
    </w:pPr>
    <w:rPr>
      <w:rFonts w:eastAsia="楷体"/>
      <w:sz w:val="32"/>
    </w:rPr>
  </w:style>
  <w:style w:type="character" w:customStyle="1" w:styleId="20">
    <w:name w:val="首页项目名称 Char"/>
    <w:link w:val="18"/>
    <w:qFormat/>
    <w:uiPriority w:val="0"/>
    <w:rPr>
      <w:rFonts w:ascii="Times New Roman" w:hAnsi="Times New Roman" w:eastAsia="隶书"/>
      <w:sz w:val="52"/>
    </w:rPr>
  </w:style>
  <w:style w:type="character" w:customStyle="1" w:styleId="21">
    <w:name w:val="首页日期 Char"/>
    <w:link w:val="19"/>
    <w:qFormat/>
    <w:uiPriority w:val="0"/>
    <w:rPr>
      <w:rFonts w:ascii="Times New Roman" w:hAnsi="Times New Roman" w:eastAsia="楷体"/>
      <w:sz w:val="32"/>
    </w:rPr>
  </w:style>
  <w:style w:type="paragraph" w:customStyle="1" w:styleId="22">
    <w:name w:val="一标题"/>
    <w:link w:val="23"/>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23">
    <w:name w:val="一标题 Char"/>
    <w:link w:val="22"/>
    <w:qFormat/>
    <w:uiPriority w:val="0"/>
    <w:rPr>
      <w:rFonts w:ascii="宋体" w:hAnsi="宋体" w:eastAsia="宋体" w:cs="Times New Roman"/>
      <w:b/>
      <w:sz w:val="24"/>
    </w:rPr>
  </w:style>
  <w:style w:type="paragraph" w:styleId="2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1157</Words>
  <Characters>1216</Characters>
  <Lines>12</Lines>
  <Paragraphs>7</Paragraphs>
  <TotalTime>13</TotalTime>
  <ScaleCrop>false</ScaleCrop>
  <LinksUpToDate>false</LinksUpToDate>
  <CharactersWithSpaces>1239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2020-01-03T01:39:00Z</dcterms:created>
  <dc:creator>shenpeiyi</dc:creator>
  <cp:lastModifiedBy>汤子豪</cp:lastModifiedBy>
  <cp:lastPrinted>2025-10-29T06:35:00Z</cp:lastPrinted>
  <dcterms:modified xsi:type="dcterms:W3CDTF">2025-11-04T06:35:37Z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D0613FED67D648D5A7E9BF869EEE39C1_13</vt:lpwstr>
  </property>
  <property fmtid="{D5CDD505-2E9C-101B-9397-08002B2CF9AE}" pid="4" name="KSOTemplateDocerSaveRecord">
    <vt:lpwstr>eyJoZGlkIjoiMmE1NTBiMGJkZDVjYWNiYTg0YWFkMjAxYTZlNGEyMTMiLCJ1c2VySWQiOiIyNzMxODE4NzIifQ==</vt:lpwstr>
  </property>
</Properties>
</file>