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40" w:lineRule="exact"/>
        <w:jc w:val="center"/>
        <w:rPr>
          <w:rFonts w:hint="eastAsia" w:ascii="方正小标宋简体" w:hAnsi="方正小标宋简体" w:eastAsia="方正小标宋简体"/>
          <w:sz w:val="32"/>
          <w:szCs w:val="32"/>
        </w:rPr>
      </w:pPr>
      <w:r>
        <w:rPr>
          <w:rFonts w:hint="eastAsia" w:ascii="方正小标宋简体" w:hAnsi="方正小标宋简体" w:eastAsia="方正小标宋简体"/>
          <w:sz w:val="32"/>
          <w:szCs w:val="32"/>
        </w:rPr>
        <w:t>启安众智公司智能配电箱电磁兼容测试需求</w:t>
      </w:r>
    </w:p>
    <w:p>
      <w:pPr>
        <w:ind w:firstLine="562" w:firstLineChars="200"/>
        <w:jc w:val="both"/>
        <w:rPr>
          <w:rFonts w:hint="eastAsia" w:ascii="楷体" w:hAnsi="楷体" w:eastAsia="楷体"/>
          <w:b/>
          <w:bCs/>
          <w:sz w:val="28"/>
          <w:szCs w:val="28"/>
        </w:rPr>
      </w:pPr>
      <w:r>
        <w:rPr>
          <w:rFonts w:hint="eastAsia" w:ascii="楷体" w:hAnsi="楷体" w:eastAsia="楷体"/>
          <w:b/>
          <w:bCs/>
          <w:sz w:val="28"/>
          <w:szCs w:val="28"/>
        </w:rPr>
        <w:t>一、采购范围</w:t>
      </w:r>
    </w:p>
    <w:p>
      <w:pPr>
        <w:ind w:firstLine="480" w:firstLineChars="200"/>
        <w:jc w:val="both"/>
        <w:rPr>
          <w:rFonts w:hint="eastAsia" w:ascii="仿宋_GB2312" w:eastAsia="仿宋_GB2312"/>
          <w:sz w:val="24"/>
          <w:szCs w:val="24"/>
        </w:rPr>
      </w:pPr>
      <w:r>
        <w:rPr>
          <w:rFonts w:hint="eastAsia" w:ascii="仿宋_GB2312" w:eastAsia="仿宋_GB2312"/>
          <w:sz w:val="24"/>
          <w:szCs w:val="24"/>
        </w:rPr>
        <w:t>本项目服务内容：为广州启安众智建设管理有限责任公司采购智能配电箱电磁兼容测试服务。</w:t>
      </w:r>
    </w:p>
    <w:p>
      <w:pPr>
        <w:ind w:firstLine="480" w:firstLineChars="200"/>
        <w:jc w:val="both"/>
        <w:rPr>
          <w:rFonts w:hint="eastAsia" w:ascii="仿宋_GB2312" w:eastAsia="仿宋_GB2312"/>
          <w:sz w:val="24"/>
          <w:szCs w:val="24"/>
        </w:rPr>
      </w:pPr>
      <w:r>
        <w:rPr>
          <w:rFonts w:hint="eastAsia" w:ascii="仿宋_GB2312" w:eastAsia="仿宋_GB2312"/>
          <w:sz w:val="24"/>
          <w:szCs w:val="24"/>
        </w:rPr>
        <w:t>服务内容包括但不限于：</w:t>
      </w:r>
    </w:p>
    <w:p>
      <w:pPr>
        <w:ind w:firstLine="480" w:firstLineChars="200"/>
        <w:jc w:val="both"/>
        <w:rPr>
          <w:rFonts w:hint="eastAsia" w:ascii="仿宋_GB2312" w:eastAsia="仿宋_GB2312"/>
          <w:sz w:val="24"/>
          <w:szCs w:val="24"/>
        </w:rPr>
      </w:pPr>
      <w:r>
        <w:rPr>
          <w:rFonts w:hint="eastAsia" w:ascii="仿宋_GB2312" w:eastAsia="仿宋_GB2312"/>
          <w:sz w:val="24"/>
          <w:szCs w:val="24"/>
        </w:rPr>
        <w:t>1.对智能配电箱样机进行6项电磁兼容性验证测试；</w:t>
      </w:r>
    </w:p>
    <w:p>
      <w:pPr>
        <w:ind w:firstLine="480" w:firstLineChars="200"/>
        <w:jc w:val="both"/>
        <w:rPr>
          <w:rFonts w:hint="eastAsia" w:ascii="仿宋_GB2312" w:eastAsia="仿宋_GB2312"/>
          <w:sz w:val="24"/>
          <w:szCs w:val="24"/>
        </w:rPr>
      </w:pPr>
      <w:r>
        <w:rPr>
          <w:rFonts w:hint="eastAsia" w:ascii="仿宋_GB2312" w:eastAsia="仿宋_GB2312"/>
          <w:sz w:val="24"/>
          <w:szCs w:val="24"/>
        </w:rPr>
        <w:t>2.出具带CMA,CNAS印章的测试报告。</w:t>
      </w:r>
    </w:p>
    <w:p>
      <w:pPr>
        <w:ind w:firstLine="480" w:firstLineChars="200"/>
        <w:jc w:val="both"/>
        <w:rPr>
          <w:rFonts w:hint="eastAsia" w:ascii="仿宋_GB2312" w:eastAsia="仿宋_GB2312"/>
          <w:sz w:val="24"/>
          <w:szCs w:val="24"/>
        </w:rPr>
      </w:pPr>
      <w:r>
        <w:rPr>
          <w:rFonts w:hint="eastAsia" w:ascii="仿宋_GB2312" w:eastAsia="仿宋_GB2312"/>
          <w:sz w:val="24"/>
          <w:szCs w:val="24"/>
        </w:rPr>
        <w:t>3.对测试不通过的项目提供技术支持，协助分析故障原因并提供对策改善建议。</w:t>
      </w:r>
    </w:p>
    <w:p>
      <w:pPr>
        <w:ind w:firstLine="562" w:firstLineChars="200"/>
        <w:jc w:val="both"/>
        <w:rPr>
          <w:rFonts w:hint="eastAsia" w:ascii="楷体" w:hAnsi="楷体" w:eastAsia="楷体"/>
          <w:b/>
          <w:bCs/>
          <w:sz w:val="28"/>
          <w:szCs w:val="28"/>
        </w:rPr>
      </w:pPr>
      <w:r>
        <w:rPr>
          <w:rFonts w:hint="eastAsia" w:ascii="楷体" w:hAnsi="楷体" w:eastAsia="楷体"/>
          <w:b/>
          <w:bCs/>
          <w:sz w:val="28"/>
          <w:szCs w:val="28"/>
        </w:rPr>
        <w:t>二、交付内容及验收标准</w:t>
      </w:r>
    </w:p>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both"/>
        <w:textAlignment w:val="auto"/>
        <w:outlineLvl w:val="0"/>
        <w:rPr>
          <w:rFonts w:hint="eastAsia" w:ascii="楷体" w:hAnsi="楷体" w:eastAsia="楷体"/>
          <w:b/>
          <w:bCs/>
          <w:sz w:val="24"/>
          <w:szCs w:val="24"/>
          <w:lang w:val="en-US" w:eastAsia="zh-CN"/>
        </w:rPr>
      </w:pPr>
      <w:r>
        <w:rPr>
          <w:rFonts w:hint="eastAsia" w:ascii="楷体" w:hAnsi="楷体" w:eastAsia="楷体"/>
          <w:b/>
          <w:bCs/>
          <w:sz w:val="24"/>
          <w:szCs w:val="24"/>
        </w:rPr>
        <w:t>1.测试项目和规格见</w:t>
      </w:r>
      <w:r>
        <w:rPr>
          <w:rFonts w:hint="eastAsia" w:ascii="楷体" w:hAnsi="楷体" w:eastAsia="楷体"/>
          <w:b/>
          <w:bCs/>
          <w:sz w:val="24"/>
          <w:szCs w:val="24"/>
          <w:lang w:val="en-US" w:eastAsia="zh-CN"/>
        </w:rPr>
        <w:t>表格：</w:t>
      </w:r>
    </w:p>
    <w:p>
      <w:pPr>
        <w:rPr>
          <w:rFonts w:hint="eastAsia" w:ascii="楷体" w:hAnsi="楷体" w:eastAsia="楷体"/>
          <w:b/>
          <w:bCs/>
          <w:sz w:val="24"/>
          <w:szCs w:val="24"/>
          <w:lang w:val="en-US" w:eastAsia="zh-CN"/>
        </w:rPr>
      </w:pPr>
      <w:r>
        <w:rPr>
          <w:rFonts w:hint="eastAsia" w:ascii="楷体" w:hAnsi="楷体" w:eastAsia="楷体"/>
          <w:b/>
          <w:bCs/>
          <w:sz w:val="24"/>
          <w:szCs w:val="24"/>
          <w:lang w:val="en-US" w:eastAsia="zh-CN"/>
        </w:rPr>
        <w:br w:type="page"/>
      </w:r>
    </w:p>
    <w:p>
      <w:pPr>
        <w:pStyle w:val="3"/>
        <w:rPr>
          <w:rFonts w:hint="eastAsia"/>
          <w:lang w:val="en-US" w:eastAsia="zh-CN"/>
        </w:rPr>
        <w:sectPr>
          <w:footerReference r:id="rId5" w:type="default"/>
          <w:pgSz w:w="11906" w:h="16838"/>
          <w:pgMar w:top="1440" w:right="1800" w:bottom="1440" w:left="1800" w:header="851" w:footer="992" w:gutter="0"/>
          <w:cols w:space="425" w:num="1"/>
          <w:docGrid w:type="lines" w:linePitch="312" w:charSpace="0"/>
        </w:sectPr>
      </w:pPr>
    </w:p>
    <w:tbl>
      <w:tblPr>
        <w:tblStyle w:val="17"/>
        <w:tblW w:w="141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56" w:type="dxa"/>
          <w:left w:w="96" w:type="dxa"/>
          <w:bottom w:w="56" w:type="dxa"/>
          <w:right w:w="96" w:type="dxa"/>
        </w:tblCellMar>
      </w:tblPr>
      <w:tblGrid>
        <w:gridCol w:w="800"/>
        <w:gridCol w:w="2440"/>
        <w:gridCol w:w="4570"/>
        <w:gridCol w:w="1515"/>
        <w:gridCol w:w="1398"/>
        <w:gridCol w:w="34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6" w:type="dxa"/>
            <w:left w:w="96" w:type="dxa"/>
            <w:bottom w:w="56" w:type="dxa"/>
            <w:right w:w="96" w:type="dxa"/>
          </w:tblCellMar>
        </w:tblPrEx>
        <w:trPr>
          <w:trHeight w:val="469" w:hRule="atLeast"/>
          <w:tblHeader/>
          <w:jc w:val="center"/>
        </w:trPr>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napToGrid w:val="0"/>
              <w:jc w:val="center"/>
              <w:textAlignment w:val="center"/>
              <w:rPr>
                <w:rFonts w:hint="eastAsia" w:ascii="宋体" w:hAnsi="宋体" w:eastAsia="宋体" w:cs="宋体"/>
                <w:b/>
                <w:i w:val="0"/>
                <w:iCs w:val="0"/>
                <w:color w:val="000000"/>
                <w:sz w:val="21"/>
                <w:szCs w:val="21"/>
                <w:u w:val="none"/>
              </w:rPr>
            </w:pPr>
            <w:r>
              <w:rPr>
                <w:rFonts w:hint="eastAsia" w:ascii="宋体" w:hAnsi="宋体" w:eastAsia="宋体" w:cs="宋体"/>
                <w:b/>
                <w:i w:val="0"/>
                <w:iCs w:val="0"/>
                <w:color w:val="000000"/>
                <w:kern w:val="0"/>
                <w:sz w:val="21"/>
                <w:szCs w:val="21"/>
                <w:u w:val="none"/>
                <w:lang w:val="en-US" w:eastAsia="zh-CN" w:bidi="ar"/>
                <w14:ligatures w14:val="standardContextual"/>
              </w:rPr>
              <w:t>序列</w:t>
            </w:r>
          </w:p>
        </w:tc>
        <w:tc>
          <w:tcPr>
            <w:tcW w:w="2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b/>
                <w:i w:val="0"/>
                <w:iCs w:val="0"/>
                <w:color w:val="000000"/>
                <w:sz w:val="21"/>
                <w:szCs w:val="21"/>
                <w:u w:val="none"/>
              </w:rPr>
            </w:pPr>
            <w:r>
              <w:rPr>
                <w:rFonts w:hint="eastAsia" w:ascii="宋体" w:hAnsi="宋体" w:eastAsia="宋体" w:cs="宋体"/>
                <w:b/>
                <w:i w:val="0"/>
                <w:iCs w:val="0"/>
                <w:color w:val="000000"/>
                <w:kern w:val="0"/>
                <w:sz w:val="21"/>
                <w:szCs w:val="21"/>
                <w:u w:val="none"/>
                <w:lang w:val="en-US" w:eastAsia="zh-CN" w:bidi="ar"/>
                <w14:ligatures w14:val="standardContextual"/>
              </w:rPr>
              <w:t>测试项目</w:t>
            </w:r>
          </w:p>
        </w:tc>
        <w:tc>
          <w:tcPr>
            <w:tcW w:w="4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b/>
                <w:i w:val="0"/>
                <w:iCs w:val="0"/>
                <w:color w:val="000000"/>
                <w:sz w:val="21"/>
                <w:szCs w:val="21"/>
                <w:u w:val="none"/>
              </w:rPr>
            </w:pPr>
            <w:r>
              <w:rPr>
                <w:rFonts w:hint="eastAsia" w:ascii="宋体" w:hAnsi="宋体" w:eastAsia="宋体" w:cs="宋体"/>
                <w:b/>
                <w:i w:val="0"/>
                <w:iCs w:val="0"/>
                <w:color w:val="000000"/>
                <w:kern w:val="0"/>
                <w:sz w:val="21"/>
                <w:szCs w:val="21"/>
                <w:u w:val="none"/>
                <w:lang w:val="en-US" w:eastAsia="zh-CN" w:bidi="ar"/>
                <w14:ligatures w14:val="standardContextual"/>
              </w:rPr>
              <w:t>测试详细规格</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napToGrid w:val="0"/>
              <w:jc w:val="center"/>
              <w:textAlignment w:val="center"/>
              <w:rPr>
                <w:rFonts w:hint="eastAsia" w:ascii="宋体" w:hAnsi="宋体" w:eastAsia="宋体" w:cs="宋体"/>
                <w:b/>
                <w:i w:val="0"/>
                <w:iCs w:val="0"/>
                <w:color w:val="000000"/>
                <w:sz w:val="21"/>
                <w:szCs w:val="21"/>
                <w:u w:val="none"/>
              </w:rPr>
            </w:pPr>
            <w:r>
              <w:rPr>
                <w:rFonts w:hint="eastAsia" w:ascii="宋体" w:hAnsi="宋体" w:eastAsia="宋体" w:cs="宋体"/>
                <w:b/>
                <w:i w:val="0"/>
                <w:iCs w:val="0"/>
                <w:color w:val="000000"/>
                <w:kern w:val="0"/>
                <w:sz w:val="21"/>
                <w:szCs w:val="21"/>
                <w:u w:val="none"/>
                <w:lang w:val="en-US" w:eastAsia="zh-CN" w:bidi="ar"/>
                <w14:ligatures w14:val="standardContextual"/>
              </w:rPr>
              <w:t>测试样品数量</w:t>
            </w:r>
          </w:p>
        </w:tc>
        <w:tc>
          <w:tcPr>
            <w:tcW w:w="13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napToGrid w:val="0"/>
              <w:jc w:val="center"/>
              <w:textAlignment w:val="center"/>
              <w:rPr>
                <w:rFonts w:hint="eastAsia" w:ascii="宋体" w:hAnsi="宋体" w:eastAsia="宋体" w:cs="宋体"/>
                <w:b/>
                <w:i w:val="0"/>
                <w:iCs w:val="0"/>
                <w:color w:val="000000"/>
                <w:sz w:val="21"/>
                <w:szCs w:val="21"/>
                <w:u w:val="none"/>
              </w:rPr>
            </w:pPr>
            <w:r>
              <w:rPr>
                <w:rFonts w:hint="eastAsia" w:ascii="宋体" w:hAnsi="宋体" w:eastAsia="宋体" w:cs="宋体"/>
                <w:b/>
                <w:i w:val="0"/>
                <w:iCs w:val="0"/>
                <w:color w:val="000000"/>
                <w:kern w:val="0"/>
                <w:sz w:val="21"/>
                <w:szCs w:val="21"/>
                <w:u w:val="none"/>
                <w:lang w:val="en-US" w:eastAsia="zh-CN" w:bidi="ar"/>
                <w14:ligatures w14:val="standardContextual"/>
              </w:rPr>
              <w:t>费用/元（含税）</w:t>
            </w:r>
          </w:p>
        </w:tc>
        <w:tc>
          <w:tcPr>
            <w:tcW w:w="34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napToGrid w:val="0"/>
              <w:jc w:val="center"/>
              <w:textAlignment w:val="center"/>
              <w:rPr>
                <w:rFonts w:hint="eastAsia" w:ascii="宋体" w:hAnsi="宋体" w:eastAsia="宋体" w:cs="宋体"/>
                <w:b/>
                <w:i w:val="0"/>
                <w:iCs w:val="0"/>
                <w:color w:val="000000"/>
                <w:sz w:val="21"/>
                <w:szCs w:val="21"/>
                <w:u w:val="none"/>
              </w:rPr>
            </w:pPr>
            <w:r>
              <w:rPr>
                <w:rFonts w:hint="eastAsia" w:ascii="宋体" w:hAnsi="宋体" w:eastAsia="宋体" w:cs="宋体"/>
                <w:b/>
                <w:i w:val="0"/>
                <w:iCs w:val="0"/>
                <w:color w:val="000000"/>
                <w:kern w:val="0"/>
                <w:sz w:val="21"/>
                <w:szCs w:val="21"/>
                <w:u w:val="none"/>
                <w:lang w:val="en-US" w:eastAsia="zh-CN" w:bidi="ar"/>
                <w14:ligatures w14:val="standardContextual"/>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6" w:type="dxa"/>
            <w:left w:w="96" w:type="dxa"/>
            <w:bottom w:w="56" w:type="dxa"/>
            <w:right w:w="96" w:type="dxa"/>
          </w:tblCellMar>
        </w:tblPrEx>
        <w:trPr>
          <w:trHeight w:val="0" w:hRule="atLeast"/>
          <w:jc w:val="center"/>
        </w:trPr>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1</w:t>
            </w:r>
          </w:p>
        </w:tc>
        <w:tc>
          <w:tcPr>
            <w:tcW w:w="2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静电放电抗扰度试验（GB/T17626.2-2018）</w:t>
            </w:r>
          </w:p>
        </w:tc>
        <w:tc>
          <w:tcPr>
            <w:tcW w:w="4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-放电方式：接触放电（网关的金属外壳、配电箱的显示屏边框）+空气放电（针对显示屏、485通讯线端口、智能塑壳的按键、智能微断的扳手）；</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-测试等级：接触放电±8kV，空气放电±15kV；（先进行接触放电±6kV，空气放电±8kV，能满足性能判据B以上，再安排）</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-放电点：网关/智能开关外壳、显示屏边框、485接口端子、智能塑壳按键、智能微断扳手、接地端子等；</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-放电次数：每个点正/负脉冲各10次，间隔1s；</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-带阻性负载，要求至少大于10A电流,测试时所有智能开关均正常通电。</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-通讯状态监测：</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-网关持续与智能开关进行通信；</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-智能开关无异常分合闸（误动作次数=0）。</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判据：测试结束后，网关与智能开关通讯正常，网关/智能开关无死机，无离线，无过流、过压告警或其他异常。</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1台</w:t>
            </w:r>
          </w:p>
        </w:tc>
        <w:tc>
          <w:tcPr>
            <w:tcW w:w="13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napToGrid w:val="0"/>
              <w:jc w:val="center"/>
              <w:rPr>
                <w:rFonts w:hint="eastAsia" w:ascii="宋体" w:hAnsi="宋体" w:eastAsia="宋体" w:cs="宋体"/>
                <w:i w:val="0"/>
                <w:iCs w:val="0"/>
                <w:color w:val="000000"/>
                <w:sz w:val="21"/>
                <w:szCs w:val="21"/>
                <w:u w:val="none"/>
              </w:rPr>
            </w:pPr>
          </w:p>
        </w:tc>
        <w:tc>
          <w:tcPr>
            <w:tcW w:w="34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1，需提供带CNAS和CMA印章的试验报告。</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2.若测试不通过则提供技术支持，提供整改优化建议。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6" w:type="dxa"/>
            <w:left w:w="96" w:type="dxa"/>
            <w:bottom w:w="56" w:type="dxa"/>
            <w:right w:w="96" w:type="dxa"/>
          </w:tblCellMar>
        </w:tblPrEx>
        <w:trPr>
          <w:trHeight w:val="0" w:hRule="atLeast"/>
          <w:jc w:val="center"/>
        </w:trPr>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2</w:t>
            </w:r>
          </w:p>
        </w:tc>
        <w:tc>
          <w:tcPr>
            <w:tcW w:w="2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电快速瞬变脉冲群抗扰度试验（GB/T17626.4-2018）</w:t>
            </w:r>
          </w:p>
        </w:tc>
        <w:tc>
          <w:tcPr>
            <w:tcW w:w="4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测试规格：</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-带阻性负载，要求至少大于10A电流,测试时所有智能开关均正常通电，测试过程中通过APP控制负载回路的智能开关分闸、合闸。</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-干扰注入方：通过耦合/去耦网络注入485总线（信号线）和电源线；</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-测试等级：485总线±2kV，电源线±4KV(L1,L2,L3,N,PE)；</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-脉冲重复频率：5kHz/100kHz（分别测试）；</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-持续时间：每个极性持续1min；</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-通讯状态监测：</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-网关持续与智能开关进行通信，读取智能开关状态或进行分合闸控制；</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判据：测试结束后，干扰结束后，通讯自动恢复（无需手动复位），网关与智能开关通讯正常，APP控制指令正确执行，网关/智能开关无死机，无离线或其他异常。</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1台</w:t>
            </w:r>
          </w:p>
        </w:tc>
        <w:tc>
          <w:tcPr>
            <w:tcW w:w="13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napToGrid w:val="0"/>
              <w:jc w:val="center"/>
              <w:rPr>
                <w:rFonts w:hint="eastAsia" w:ascii="宋体" w:hAnsi="宋体" w:eastAsia="宋体" w:cs="宋体"/>
                <w:i w:val="0"/>
                <w:iCs w:val="0"/>
                <w:color w:val="000000"/>
                <w:sz w:val="21"/>
                <w:szCs w:val="21"/>
                <w:u w:val="none"/>
              </w:rPr>
            </w:pPr>
          </w:p>
        </w:tc>
        <w:tc>
          <w:tcPr>
            <w:tcW w:w="34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1，需提供带CNAS和CMA印章的试验报告。</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2.若测试不通过则提供技术支持，提供整改优化建议。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6" w:type="dxa"/>
            <w:left w:w="96" w:type="dxa"/>
            <w:bottom w:w="56" w:type="dxa"/>
            <w:right w:w="96" w:type="dxa"/>
          </w:tblCellMar>
        </w:tblPrEx>
        <w:trPr>
          <w:trHeight w:val="0" w:hRule="atLeast"/>
          <w:jc w:val="center"/>
        </w:trPr>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3</w:t>
            </w:r>
          </w:p>
        </w:tc>
        <w:tc>
          <w:tcPr>
            <w:tcW w:w="2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浪涌（冲击）抗扰度试验（GB/T17626.5-2019）</w:t>
            </w:r>
          </w:p>
        </w:tc>
        <w:tc>
          <w:tcPr>
            <w:tcW w:w="4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left"/>
              <w:textAlignment w:val="center"/>
              <w:rPr>
                <w:rFonts w:hint="eastAsia" w:ascii="宋体" w:hAnsi="宋体" w:eastAsia="宋体" w:cs="宋体"/>
                <w:i w:val="0"/>
                <w:iCs w:val="0"/>
                <w:color w:val="000000"/>
                <w:sz w:val="21"/>
                <w:szCs w:val="21"/>
                <w:u w:val="none"/>
              </w:rPr>
            </w:pPr>
            <w:r>
              <w:rPr>
                <w:rStyle w:val="40"/>
                <w:rFonts w:hint="eastAsia" w:ascii="宋体" w:hAnsi="宋体" w:eastAsia="宋体" w:cs="宋体"/>
                <w:sz w:val="21"/>
                <w:szCs w:val="21"/>
                <w:lang w:val="en-US" w:eastAsia="zh-CN" w:bidi="ar"/>
                <w14:ligatures w14:val="standardContextual"/>
              </w:rPr>
              <w:t>测试规格：</w:t>
            </w:r>
            <w:r>
              <w:rPr>
                <w:rStyle w:val="40"/>
                <w:rFonts w:hint="eastAsia" w:ascii="宋体" w:hAnsi="宋体" w:eastAsia="宋体" w:cs="宋体"/>
                <w:sz w:val="21"/>
                <w:szCs w:val="21"/>
                <w:lang w:val="en-US" w:eastAsia="zh-CN" w:bidi="ar"/>
                <w14:ligatures w14:val="standardContextual"/>
              </w:rPr>
              <w:br w:type="textWrapping"/>
            </w:r>
            <w:r>
              <w:rPr>
                <w:rStyle w:val="40"/>
                <w:rFonts w:hint="eastAsia" w:ascii="宋体" w:hAnsi="宋体" w:eastAsia="宋体" w:cs="宋体"/>
                <w:sz w:val="21"/>
                <w:szCs w:val="21"/>
                <w:lang w:val="en-US" w:eastAsia="zh-CN" w:bidi="ar"/>
                <w14:ligatures w14:val="standardContextual"/>
              </w:rPr>
              <w:t>-带阻性负载，要求至少大于10A电流,测试时所有智能开关均正常通电，浪涌测试过程中通过APP控制负载回路的智能开关分闸、合闸。</w:t>
            </w:r>
            <w:r>
              <w:rPr>
                <w:rStyle w:val="40"/>
                <w:rFonts w:hint="eastAsia" w:ascii="宋体" w:hAnsi="宋体" w:eastAsia="宋体" w:cs="宋体"/>
                <w:sz w:val="21"/>
                <w:szCs w:val="21"/>
                <w:lang w:val="en-US" w:eastAsia="zh-CN" w:bidi="ar"/>
                <w14:ligatures w14:val="standardContextual"/>
              </w:rPr>
              <w:br w:type="textWrapping"/>
            </w:r>
            <w:r>
              <w:rPr>
                <w:rStyle w:val="40"/>
                <w:rFonts w:hint="eastAsia" w:ascii="宋体" w:hAnsi="宋体" w:eastAsia="宋体" w:cs="宋体"/>
                <w:sz w:val="21"/>
                <w:szCs w:val="21"/>
                <w:lang w:val="en-US" w:eastAsia="zh-CN" w:bidi="ar"/>
                <w14:ligatures w14:val="standardContextual"/>
              </w:rPr>
              <w:t>-干扰注入方式：485总线（差模）、电源线（共模/差模）；</w:t>
            </w:r>
            <w:r>
              <w:rPr>
                <w:rStyle w:val="40"/>
                <w:rFonts w:hint="eastAsia" w:ascii="宋体" w:hAnsi="宋体" w:eastAsia="宋体" w:cs="宋体"/>
                <w:sz w:val="21"/>
                <w:szCs w:val="21"/>
                <w:lang w:val="en-US" w:eastAsia="zh-CN" w:bidi="ar"/>
                <w14:ligatures w14:val="standardContextual"/>
              </w:rPr>
              <w:br w:type="textWrapping"/>
            </w:r>
            <w:r>
              <w:rPr>
                <w:rStyle w:val="40"/>
                <w:rFonts w:hint="eastAsia" w:ascii="宋体" w:hAnsi="宋体" w:eastAsia="宋体" w:cs="宋体"/>
                <w:sz w:val="21"/>
                <w:szCs w:val="21"/>
                <w:lang w:val="en-US" w:eastAsia="zh-CN" w:bidi="ar"/>
                <w14:ligatures w14:val="standardContextual"/>
              </w:rPr>
              <w:t>-测试等级：总线共模±4kV、差模±2kV（先测试共模±2kV、差模±1kV，能满足性能判据B以上再安排），电源共模±4kV、差模±2kV；</w:t>
            </w:r>
            <w:r>
              <w:rPr>
                <w:rStyle w:val="40"/>
                <w:rFonts w:hint="eastAsia" w:ascii="宋体" w:hAnsi="宋体" w:eastAsia="宋体" w:cs="宋体"/>
                <w:sz w:val="21"/>
                <w:szCs w:val="21"/>
                <w:lang w:val="en-US" w:eastAsia="zh-CN" w:bidi="ar"/>
                <w14:ligatures w14:val="standardContextual"/>
              </w:rPr>
              <w:br w:type="textWrapping"/>
            </w:r>
            <w:r>
              <w:rPr>
                <w:rStyle w:val="40"/>
                <w:rFonts w:hint="eastAsia" w:ascii="宋体" w:hAnsi="宋体" w:eastAsia="宋体" w:cs="宋体"/>
                <w:sz w:val="21"/>
                <w:szCs w:val="21"/>
                <w:lang w:val="en-US" w:eastAsia="zh-CN" w:bidi="ar"/>
                <w14:ligatures w14:val="standardContextual"/>
              </w:rPr>
              <w:t>-波形：1.2/50</w:t>
            </w:r>
            <w:r>
              <w:rPr>
                <w:rStyle w:val="41"/>
                <w:rFonts w:hint="eastAsia" w:ascii="宋体" w:hAnsi="宋体" w:eastAsia="宋体" w:cs="宋体"/>
                <w:sz w:val="21"/>
                <w:szCs w:val="21"/>
                <w:lang w:val="en-US" w:eastAsia="zh-CN" w:bidi="ar"/>
                <w14:ligatures w14:val="standardContextual"/>
              </w:rPr>
              <w:t>μ</w:t>
            </w:r>
            <w:r>
              <w:rPr>
                <w:rStyle w:val="40"/>
                <w:rFonts w:hint="eastAsia" w:ascii="宋体" w:hAnsi="宋体" w:eastAsia="宋体" w:cs="宋体"/>
                <w:sz w:val="21"/>
                <w:szCs w:val="21"/>
                <w:lang w:val="en-US" w:eastAsia="zh-CN" w:bidi="ar"/>
                <w14:ligatures w14:val="standardContextual"/>
              </w:rPr>
              <w:t>s（电压浪涌），8/20</w:t>
            </w:r>
            <w:r>
              <w:rPr>
                <w:rStyle w:val="41"/>
                <w:rFonts w:hint="eastAsia" w:ascii="宋体" w:hAnsi="宋体" w:eastAsia="宋体" w:cs="宋体"/>
                <w:sz w:val="21"/>
                <w:szCs w:val="21"/>
                <w:lang w:val="en-US" w:eastAsia="zh-CN" w:bidi="ar"/>
                <w14:ligatures w14:val="standardContextual"/>
              </w:rPr>
              <w:t>μ</w:t>
            </w:r>
            <w:r>
              <w:rPr>
                <w:rStyle w:val="40"/>
                <w:rFonts w:hint="eastAsia" w:ascii="宋体" w:hAnsi="宋体" w:eastAsia="宋体" w:cs="宋体"/>
                <w:sz w:val="21"/>
                <w:szCs w:val="21"/>
                <w:lang w:val="en-US" w:eastAsia="zh-CN" w:bidi="ar"/>
                <w14:ligatures w14:val="standardContextual"/>
              </w:rPr>
              <w:t>s（电流浪涌）；</w:t>
            </w:r>
            <w:r>
              <w:rPr>
                <w:rStyle w:val="40"/>
                <w:rFonts w:hint="eastAsia" w:ascii="宋体" w:hAnsi="宋体" w:eastAsia="宋体" w:cs="宋体"/>
                <w:sz w:val="21"/>
                <w:szCs w:val="21"/>
                <w:lang w:val="en-US" w:eastAsia="zh-CN" w:bidi="ar"/>
                <w14:ligatures w14:val="standardContextual"/>
              </w:rPr>
              <w:br w:type="textWrapping"/>
            </w:r>
            <w:r>
              <w:rPr>
                <w:rStyle w:val="40"/>
                <w:rFonts w:hint="eastAsia" w:ascii="宋体" w:hAnsi="宋体" w:eastAsia="宋体" w:cs="宋体"/>
                <w:sz w:val="21"/>
                <w:szCs w:val="21"/>
                <w:lang w:val="en-US" w:eastAsia="zh-CN" w:bidi="ar"/>
                <w14:ligatures w14:val="standardContextual"/>
              </w:rPr>
              <w:t>-次数：每个极性5次，间隔1min；</w:t>
            </w:r>
            <w:r>
              <w:rPr>
                <w:rStyle w:val="40"/>
                <w:rFonts w:hint="eastAsia" w:ascii="宋体" w:hAnsi="宋体" w:eastAsia="宋体" w:cs="宋体"/>
                <w:sz w:val="21"/>
                <w:szCs w:val="21"/>
                <w:lang w:val="en-US" w:eastAsia="zh-CN" w:bidi="ar"/>
                <w14:ligatures w14:val="standardContextual"/>
              </w:rPr>
              <w:br w:type="textWrapping"/>
            </w:r>
            <w:r>
              <w:rPr>
                <w:rStyle w:val="40"/>
                <w:rFonts w:hint="eastAsia" w:ascii="宋体" w:hAnsi="宋体" w:eastAsia="宋体" w:cs="宋体"/>
                <w:sz w:val="21"/>
                <w:szCs w:val="21"/>
                <w:lang w:val="en-US" w:eastAsia="zh-CN" w:bidi="ar"/>
                <w14:ligatures w14:val="standardContextual"/>
              </w:rPr>
              <w:t>-通讯状态监测：</w:t>
            </w:r>
            <w:r>
              <w:rPr>
                <w:rStyle w:val="40"/>
                <w:rFonts w:hint="eastAsia" w:ascii="宋体" w:hAnsi="宋体" w:eastAsia="宋体" w:cs="宋体"/>
                <w:sz w:val="21"/>
                <w:szCs w:val="21"/>
                <w:lang w:val="en-US" w:eastAsia="zh-CN" w:bidi="ar"/>
                <w14:ligatures w14:val="standardContextual"/>
              </w:rPr>
              <w:br w:type="textWrapping"/>
            </w:r>
            <w:r>
              <w:rPr>
                <w:rStyle w:val="40"/>
                <w:rFonts w:hint="eastAsia" w:ascii="宋体" w:hAnsi="宋体" w:eastAsia="宋体" w:cs="宋体"/>
                <w:sz w:val="21"/>
                <w:szCs w:val="21"/>
                <w:lang w:val="en-US" w:eastAsia="zh-CN" w:bidi="ar"/>
                <w14:ligatures w14:val="standardContextual"/>
              </w:rPr>
              <w:t>判据：浪涌后，网关与智能开关通讯自动恢复；无硬件损坏（如485芯片烧毁）；网关与智能开关通讯正常，APP控制指令正确执行，网关/智能开关无死机，无离线或其他异常。</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1台</w:t>
            </w:r>
          </w:p>
        </w:tc>
        <w:tc>
          <w:tcPr>
            <w:tcW w:w="13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napToGrid w:val="0"/>
              <w:jc w:val="center"/>
              <w:rPr>
                <w:rFonts w:hint="eastAsia" w:ascii="宋体" w:hAnsi="宋体" w:eastAsia="宋体" w:cs="宋体"/>
                <w:i w:val="0"/>
                <w:iCs w:val="0"/>
                <w:color w:val="000000"/>
                <w:sz w:val="21"/>
                <w:szCs w:val="21"/>
                <w:u w:val="none"/>
              </w:rPr>
            </w:pPr>
          </w:p>
        </w:tc>
        <w:tc>
          <w:tcPr>
            <w:tcW w:w="34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1，需提供带CNAS和CMA印章的试验报告。</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2.若测试不通过则提供技术支持，提供整改优化建议。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6" w:type="dxa"/>
            <w:left w:w="96" w:type="dxa"/>
            <w:bottom w:w="56" w:type="dxa"/>
            <w:right w:w="96" w:type="dxa"/>
          </w:tblCellMar>
        </w:tblPrEx>
        <w:trPr>
          <w:trHeight w:val="0" w:hRule="atLeast"/>
          <w:jc w:val="center"/>
        </w:trPr>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4</w:t>
            </w:r>
          </w:p>
        </w:tc>
        <w:tc>
          <w:tcPr>
            <w:tcW w:w="2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电压暂降与短时中断试验（GB/T17626.11）</w:t>
            </w:r>
          </w:p>
        </w:tc>
        <w:tc>
          <w:tcPr>
            <w:tcW w:w="4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测试规格：</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-电压暂降：降至70%额定电压，持续10个周期（200ms）</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-电压中断：降至0%额定电压，持续10个周期（200ms）</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判据：试验期间，通讯允许短时中断或错误，但试验结束后网关应能自动恢复正常通讯，无数据丢失，控制功能正常。</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1台</w:t>
            </w:r>
          </w:p>
        </w:tc>
        <w:tc>
          <w:tcPr>
            <w:tcW w:w="13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napToGrid w:val="0"/>
              <w:jc w:val="center"/>
              <w:rPr>
                <w:rFonts w:hint="eastAsia" w:ascii="宋体" w:hAnsi="宋体" w:eastAsia="宋体" w:cs="宋体"/>
                <w:i w:val="0"/>
                <w:iCs w:val="0"/>
                <w:color w:val="000000"/>
                <w:sz w:val="21"/>
                <w:szCs w:val="21"/>
                <w:u w:val="none"/>
              </w:rPr>
            </w:pPr>
          </w:p>
        </w:tc>
        <w:tc>
          <w:tcPr>
            <w:tcW w:w="34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1，需提供带CNAS和CMA印章的试验报告。</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2.若测试不通过则提供技术支持，提供整改优化建议。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6" w:type="dxa"/>
            <w:left w:w="96" w:type="dxa"/>
            <w:bottom w:w="56" w:type="dxa"/>
            <w:right w:w="96" w:type="dxa"/>
          </w:tblCellMar>
        </w:tblPrEx>
        <w:trPr>
          <w:trHeight w:val="0" w:hRule="atLeast"/>
          <w:jc w:val="center"/>
        </w:trPr>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5</w:t>
            </w:r>
          </w:p>
        </w:tc>
        <w:tc>
          <w:tcPr>
            <w:tcW w:w="2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射频场感应的传导骚扰抗扰度试验（GB/T17626.6-2017）</w:t>
            </w:r>
          </w:p>
        </w:tc>
        <w:tc>
          <w:tcPr>
            <w:tcW w:w="4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测试规格：</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-频率范围：150kHz~80MHz；</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-干扰强度：10V/m（150kHz~80MHz）；</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-调制方式：1kHz正弦波，80%幅度调制；</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-注入方式：通过电流钳耦合到485总线；</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-扫频速度：≤1.5%频偏/min；</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-通讯状态监测：</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判据：试验后，网关与智能开关通讯正常，网关/智能开关无死机，无离线或其他异常。</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电流/电压数据无跳变。</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1台</w:t>
            </w:r>
          </w:p>
        </w:tc>
        <w:tc>
          <w:tcPr>
            <w:tcW w:w="13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napToGrid w:val="0"/>
              <w:jc w:val="center"/>
              <w:rPr>
                <w:rFonts w:hint="eastAsia" w:ascii="宋体" w:hAnsi="宋体" w:eastAsia="宋体" w:cs="宋体"/>
                <w:i w:val="0"/>
                <w:iCs w:val="0"/>
                <w:color w:val="000000"/>
                <w:sz w:val="21"/>
                <w:szCs w:val="21"/>
                <w:u w:val="none"/>
              </w:rPr>
            </w:pPr>
          </w:p>
        </w:tc>
        <w:tc>
          <w:tcPr>
            <w:tcW w:w="34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1，需提供带CNAS和CMA印章的试验报告。</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2.若测试不通过则提供技术支持，提供整改优化建议。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6" w:type="dxa"/>
            <w:left w:w="96" w:type="dxa"/>
            <w:bottom w:w="56" w:type="dxa"/>
            <w:right w:w="96" w:type="dxa"/>
          </w:tblCellMar>
        </w:tblPrEx>
        <w:trPr>
          <w:trHeight w:val="0" w:hRule="atLeast"/>
          <w:jc w:val="center"/>
        </w:trPr>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6</w:t>
            </w:r>
          </w:p>
        </w:tc>
        <w:tc>
          <w:tcPr>
            <w:tcW w:w="2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工频磁场抗扰度试验（GB/T17626.8-2006）</w:t>
            </w:r>
          </w:p>
        </w:tc>
        <w:tc>
          <w:tcPr>
            <w:tcW w:w="4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测试规格：</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-带阻性负载，要求至少大于10A电流,测试时所有智能开关均正常通电，测试过程中控制负载回路的智能开关分闸、合闸。</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-磁场强度：100A/m（50Hz，连续磁场）；</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-暴露时间：10min；</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-磁场方向：水平和垂直方向（分别测试）；</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-通讯状态监测：</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判据：试验后，网关与智能开关通讯正常，网关/智能开关无死机，无离线或其他异常，负载回路电流无跳变，无指令丢失或误触发（如未收到指令却分闸）。</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1台</w:t>
            </w:r>
          </w:p>
        </w:tc>
        <w:tc>
          <w:tcPr>
            <w:tcW w:w="13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napToGrid w:val="0"/>
              <w:jc w:val="center"/>
              <w:rPr>
                <w:rFonts w:hint="eastAsia" w:ascii="宋体" w:hAnsi="宋体" w:eastAsia="宋体" w:cs="宋体"/>
                <w:i w:val="0"/>
                <w:iCs w:val="0"/>
                <w:color w:val="000000"/>
                <w:sz w:val="21"/>
                <w:szCs w:val="21"/>
                <w:u w:val="none"/>
              </w:rPr>
            </w:pPr>
          </w:p>
        </w:tc>
        <w:tc>
          <w:tcPr>
            <w:tcW w:w="34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14:ligatures w14:val="standardContextual"/>
              </w:rPr>
              <w:t>1，需提供带CNAS和CMA印章的试验报告。</w:t>
            </w:r>
            <w:r>
              <w:rPr>
                <w:rFonts w:hint="eastAsia" w:ascii="宋体" w:hAnsi="宋体" w:eastAsia="宋体" w:cs="宋体"/>
                <w:i w:val="0"/>
                <w:iCs w:val="0"/>
                <w:color w:val="000000"/>
                <w:kern w:val="0"/>
                <w:sz w:val="21"/>
                <w:szCs w:val="21"/>
                <w:u w:val="none"/>
                <w:lang w:val="en-US" w:eastAsia="zh-CN" w:bidi="ar"/>
                <w14:ligatures w14:val="standardContextual"/>
              </w:rPr>
              <w:br w:type="textWrapping"/>
            </w:r>
            <w:r>
              <w:rPr>
                <w:rFonts w:hint="eastAsia" w:ascii="宋体" w:hAnsi="宋体" w:eastAsia="宋体" w:cs="宋体"/>
                <w:i w:val="0"/>
                <w:iCs w:val="0"/>
                <w:color w:val="000000"/>
                <w:kern w:val="0"/>
                <w:sz w:val="21"/>
                <w:szCs w:val="21"/>
                <w:u w:val="none"/>
                <w:lang w:val="en-US" w:eastAsia="zh-CN" w:bidi="ar"/>
                <w14:ligatures w14:val="standardContextual"/>
              </w:rPr>
              <w:t>2.若测试不通过则提供技术支持，提供整改优化建议。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6" w:type="dxa"/>
            <w:left w:w="96" w:type="dxa"/>
            <w:bottom w:w="56" w:type="dxa"/>
            <w:right w:w="96" w:type="dxa"/>
          </w:tblCellMar>
        </w:tblPrEx>
        <w:trPr>
          <w:trHeight w:val="0" w:hRule="atLeast"/>
          <w:jc w:val="center"/>
        </w:trPr>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14:ligatures w14:val="standardContextual"/>
              </w:rPr>
            </w:pPr>
          </w:p>
        </w:tc>
        <w:tc>
          <w:tcPr>
            <w:tcW w:w="2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14:ligatures w14:val="standardContextual"/>
              </w:rPr>
            </w:pPr>
          </w:p>
        </w:tc>
        <w:tc>
          <w:tcPr>
            <w:tcW w:w="4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left"/>
              <w:textAlignment w:val="center"/>
              <w:rPr>
                <w:rFonts w:hint="eastAsia" w:ascii="宋体" w:hAnsi="宋体" w:eastAsia="宋体" w:cs="宋体"/>
                <w:i w:val="0"/>
                <w:iCs w:val="0"/>
                <w:color w:val="000000"/>
                <w:kern w:val="0"/>
                <w:sz w:val="21"/>
                <w:szCs w:val="21"/>
                <w:u w:val="none"/>
                <w:lang w:val="en-US" w:eastAsia="zh-CN" w:bidi="ar"/>
                <w14:ligatures w14:val="standardContextual"/>
              </w:rPr>
            </w:pP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14:ligatures w14:val="standardContextual"/>
              </w:rPr>
            </w:pPr>
            <w:r>
              <w:rPr>
                <w:rFonts w:hint="eastAsia" w:ascii="宋体" w:hAnsi="宋体" w:eastAsia="宋体" w:cs="宋体"/>
                <w:i w:val="0"/>
                <w:iCs w:val="0"/>
                <w:color w:val="000000"/>
                <w:kern w:val="0"/>
                <w:sz w:val="21"/>
                <w:szCs w:val="21"/>
                <w:u w:val="none"/>
                <w:lang w:val="en-US" w:eastAsia="zh-CN" w:bidi="ar"/>
                <w14:ligatures w14:val="standardContextual"/>
              </w:rPr>
              <w:t>合计</w:t>
            </w:r>
          </w:p>
        </w:tc>
        <w:tc>
          <w:tcPr>
            <w:tcW w:w="13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napToGrid w:val="0"/>
              <w:jc w:val="center"/>
              <w:rPr>
                <w:rFonts w:hint="eastAsia" w:ascii="宋体" w:hAnsi="宋体" w:eastAsia="宋体" w:cs="宋体"/>
                <w:i w:val="0"/>
                <w:iCs w:val="0"/>
                <w:color w:val="000000"/>
                <w:sz w:val="21"/>
                <w:szCs w:val="21"/>
                <w:u w:val="none"/>
              </w:rPr>
            </w:pPr>
          </w:p>
        </w:tc>
        <w:tc>
          <w:tcPr>
            <w:tcW w:w="34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left"/>
              <w:textAlignment w:val="center"/>
              <w:rPr>
                <w:rFonts w:hint="eastAsia" w:ascii="宋体" w:hAnsi="宋体" w:eastAsia="宋体" w:cs="宋体"/>
                <w:i w:val="0"/>
                <w:iCs w:val="0"/>
                <w:color w:val="000000"/>
                <w:kern w:val="0"/>
                <w:sz w:val="21"/>
                <w:szCs w:val="21"/>
                <w:u w:val="none"/>
                <w:lang w:val="en-US" w:eastAsia="zh-CN" w:bidi="ar"/>
                <w14:ligatures w14:val="standardContextual"/>
              </w:rPr>
            </w:pPr>
            <w:r>
              <w:rPr>
                <w:rFonts w:hint="eastAsia" w:ascii="宋体" w:hAnsi="宋体" w:eastAsia="宋体" w:cs="宋体"/>
                <w:i w:val="0"/>
                <w:iCs w:val="0"/>
                <w:color w:val="000000"/>
                <w:kern w:val="0"/>
                <w:sz w:val="21"/>
                <w:szCs w:val="21"/>
                <w:u w:val="none"/>
                <w:lang w:val="en-US" w:eastAsia="zh-CN" w:bidi="ar"/>
                <w14:ligatures w14:val="standardContextual"/>
              </w:rPr>
              <w:t>需提供发票（税率6%）</w:t>
            </w:r>
          </w:p>
        </w:tc>
      </w:tr>
    </w:tbl>
    <w:p>
      <w:pPr>
        <w:rPr>
          <w:rFonts w:hint="eastAsia"/>
          <w:lang w:val="en-US" w:eastAsia="zh-CN"/>
        </w:rPr>
        <w:sectPr>
          <w:pgSz w:w="16838" w:h="11906" w:orient="landscape"/>
          <w:pgMar w:top="1800" w:right="1440" w:bottom="1800" w:left="1440" w:header="851" w:footer="992" w:gutter="0"/>
          <w:cols w:space="425" w:num="1"/>
          <w:docGrid w:type="lines" w:linePitch="312" w:charSpace="0"/>
        </w:sectPr>
      </w:pPr>
    </w:p>
    <w:p>
      <w:pPr>
        <w:jc w:val="both"/>
        <w:rPr>
          <w:rFonts w:hint="eastAsia" w:ascii="楷体" w:hAnsi="楷体" w:eastAsia="楷体"/>
          <w:b/>
          <w:bCs/>
          <w:sz w:val="28"/>
          <w:szCs w:val="28"/>
        </w:rPr>
      </w:pPr>
      <w:r>
        <w:rPr>
          <w:rFonts w:hint="eastAsia" w:ascii="楷体" w:hAnsi="楷体" w:eastAsia="楷体"/>
          <w:b/>
          <w:bCs/>
          <w:sz w:val="28"/>
          <w:szCs w:val="28"/>
        </w:rPr>
        <w:t>2.验收的标准和要求</w:t>
      </w:r>
    </w:p>
    <w:p>
      <w:pPr>
        <w:ind w:firstLine="480" w:firstLineChars="200"/>
        <w:jc w:val="both"/>
        <w:rPr>
          <w:rFonts w:hint="eastAsia" w:ascii="仿宋_GB2312" w:eastAsia="仿宋_GB2312"/>
          <w:sz w:val="24"/>
          <w:szCs w:val="24"/>
        </w:rPr>
      </w:pPr>
      <w:r>
        <w:rPr>
          <w:rFonts w:hint="eastAsia" w:ascii="仿宋_GB2312" w:eastAsia="仿宋_GB2312"/>
          <w:sz w:val="24"/>
          <w:szCs w:val="24"/>
        </w:rPr>
        <w:t>1）需按照试验详细规格进行测试，测试完成后提供带CNAS和CMA印章的测试报告，报告内应包含测试环境、测试设备、测试样机的照片，附上测试过程以及测试结果相关数据，并具有测试结果（合格/不合格）。</w:t>
      </w:r>
    </w:p>
    <w:p>
      <w:pPr>
        <w:ind w:firstLine="480" w:firstLineChars="200"/>
        <w:jc w:val="both"/>
        <w:rPr>
          <w:rFonts w:hint="eastAsia" w:ascii="仿宋_GB2312" w:eastAsia="仿宋_GB2312"/>
          <w:sz w:val="24"/>
          <w:szCs w:val="24"/>
        </w:rPr>
      </w:pPr>
      <w:r>
        <w:rPr>
          <w:rFonts w:hint="eastAsia" w:ascii="仿宋_GB2312" w:eastAsia="仿宋_GB2312"/>
          <w:sz w:val="24"/>
          <w:szCs w:val="24"/>
        </w:rPr>
        <w:t>2）对于测试不合格的项目，应提供相应技术支持文档，分析测试不通过的原因（包含故障部位、受损情况、干扰路径、干扰源、敏感器件等）以及整改优化建议。</w:t>
      </w:r>
    </w:p>
    <w:p>
      <w:pPr>
        <w:ind w:firstLine="480" w:firstLineChars="200"/>
        <w:jc w:val="both"/>
        <w:rPr>
          <w:rFonts w:hint="eastAsia" w:ascii="仿宋_GB2312" w:eastAsia="仿宋_GB2312"/>
          <w:sz w:val="24"/>
          <w:szCs w:val="24"/>
        </w:rPr>
      </w:pPr>
      <w:r>
        <w:rPr>
          <w:rFonts w:hint="eastAsia" w:ascii="仿宋_GB2312" w:eastAsia="仿宋_GB2312"/>
          <w:sz w:val="24"/>
          <w:szCs w:val="24"/>
        </w:rPr>
        <w:t>3）上述测试报告和技术支持文件，投标方应保证在收到测试样机后10天内完成</w:t>
      </w:r>
      <w:r>
        <w:rPr>
          <w:rFonts w:hint="eastAsia" w:ascii="仿宋_GB2312" w:eastAsia="仿宋_GB2312"/>
          <w:sz w:val="24"/>
          <w:szCs w:val="24"/>
          <w:lang w:eastAsia="zh-CN"/>
        </w:rPr>
        <w:t>。</w:t>
      </w:r>
      <w:bookmarkStart w:id="1" w:name="_GoBack"/>
      <w:bookmarkEnd w:id="1"/>
    </w:p>
    <w:p>
      <w:pPr>
        <w:ind w:firstLine="562" w:firstLineChars="200"/>
        <w:jc w:val="both"/>
        <w:rPr>
          <w:rFonts w:hint="eastAsia" w:ascii="楷体" w:hAnsi="楷体" w:eastAsia="楷体"/>
          <w:b/>
          <w:bCs/>
          <w:sz w:val="28"/>
          <w:szCs w:val="28"/>
        </w:rPr>
      </w:pPr>
      <w:r>
        <w:rPr>
          <w:rFonts w:hint="eastAsia" w:ascii="楷体" w:hAnsi="楷体" w:eastAsia="楷体"/>
          <w:b/>
          <w:bCs/>
          <w:sz w:val="28"/>
          <w:szCs w:val="28"/>
        </w:rPr>
        <w:t>三、款项支付</w:t>
      </w:r>
    </w:p>
    <w:p>
      <w:pPr>
        <w:ind w:firstLine="480" w:firstLineChars="200"/>
        <w:jc w:val="both"/>
        <w:rPr>
          <w:rFonts w:hint="eastAsia" w:ascii="仿宋_GB2312" w:eastAsia="仿宋_GB2312"/>
          <w:sz w:val="24"/>
          <w:szCs w:val="24"/>
        </w:rPr>
      </w:pPr>
      <w:r>
        <w:rPr>
          <w:rFonts w:hint="eastAsia" w:ascii="仿宋_GB2312" w:eastAsia="仿宋_GB2312"/>
          <w:sz w:val="24"/>
          <w:szCs w:val="24"/>
        </w:rPr>
        <w:t>测试完成并按要求提供测试报告和技术支持文件后支付全款。</w:t>
      </w:r>
    </w:p>
    <w:p>
      <w:pPr>
        <w:ind w:firstLine="562" w:firstLineChars="200"/>
        <w:jc w:val="both"/>
        <w:rPr>
          <w:rFonts w:hint="eastAsia" w:ascii="楷体" w:hAnsi="楷体" w:eastAsia="楷体"/>
          <w:b/>
          <w:bCs/>
          <w:sz w:val="28"/>
          <w:szCs w:val="28"/>
        </w:rPr>
      </w:pPr>
      <w:r>
        <w:rPr>
          <w:rFonts w:hint="eastAsia" w:ascii="楷体" w:hAnsi="楷体" w:eastAsia="楷体"/>
          <w:b/>
          <w:bCs/>
          <w:sz w:val="28"/>
          <w:szCs w:val="28"/>
        </w:rPr>
        <w:t>四、资格要求</w:t>
      </w:r>
    </w:p>
    <w:p>
      <w:pPr>
        <w:ind w:firstLine="480" w:firstLineChars="200"/>
        <w:jc w:val="both"/>
        <w:rPr>
          <w:rFonts w:hint="eastAsia" w:ascii="仿宋_GB2312" w:eastAsia="仿宋_GB2312"/>
          <w:sz w:val="24"/>
          <w:szCs w:val="24"/>
        </w:rPr>
      </w:pPr>
      <w:r>
        <w:rPr>
          <w:rFonts w:hint="eastAsia" w:ascii="仿宋_GB2312" w:eastAsia="仿宋_GB2312"/>
          <w:sz w:val="24"/>
          <w:szCs w:val="24"/>
        </w:rPr>
        <w:t>（一）</w:t>
      </w:r>
      <w:bookmarkStart w:id="0" w:name="OLE_LINK9"/>
      <w:r>
        <w:rPr>
          <w:rFonts w:hint="eastAsia" w:ascii="仿宋_GB2312" w:eastAsia="仿宋_GB2312"/>
          <w:sz w:val="24"/>
          <w:szCs w:val="24"/>
        </w:rPr>
        <w:t>投标方具有独立法人资格，且具备有效的营业执照；</w:t>
      </w:r>
    </w:p>
    <w:bookmarkEnd w:id="0"/>
    <w:p>
      <w:pPr>
        <w:ind w:firstLine="480" w:firstLineChars="200"/>
        <w:jc w:val="both"/>
        <w:rPr>
          <w:rFonts w:hint="eastAsia" w:ascii="仿宋_GB2312" w:eastAsia="仿宋_GB2312"/>
          <w:sz w:val="24"/>
          <w:szCs w:val="24"/>
        </w:rPr>
      </w:pPr>
      <w:r>
        <w:rPr>
          <w:rFonts w:hint="eastAsia" w:ascii="仿宋_GB2312" w:eastAsia="仿宋_GB2312"/>
          <w:sz w:val="24"/>
          <w:szCs w:val="24"/>
        </w:rPr>
        <w:t>（二）</w:t>
      </w:r>
      <w:r>
        <w:rPr>
          <w:rFonts w:ascii="仿宋_GB2312" w:eastAsia="仿宋_GB2312"/>
          <w:sz w:val="24"/>
          <w:szCs w:val="24"/>
        </w:rPr>
        <w:t>投标人必须是独立的第三方检测实验室</w:t>
      </w:r>
      <w:r>
        <w:rPr>
          <w:rFonts w:hint="eastAsia" w:ascii="仿宋_GB2312" w:eastAsia="仿宋_GB2312"/>
          <w:sz w:val="24"/>
          <w:szCs w:val="24"/>
          <w:lang w:eastAsia="zh-CN"/>
        </w:rPr>
        <w:t>，</w:t>
      </w:r>
      <w:r>
        <w:rPr>
          <w:rFonts w:ascii="仿宋_GB2312" w:eastAsia="仿宋_GB2312"/>
          <w:sz w:val="24"/>
          <w:szCs w:val="24"/>
        </w:rPr>
        <w:t>同时具备以下两项国家级资质认证，且其认可范围必须覆盖本项目所要求的测试标准：</w:t>
      </w:r>
    </w:p>
    <w:p>
      <w:pPr>
        <w:pStyle w:val="33"/>
        <w:numPr>
          <w:ilvl w:val="0"/>
          <w:numId w:val="1"/>
        </w:numPr>
        <w:jc w:val="both"/>
        <w:rPr>
          <w:rFonts w:hint="eastAsia" w:ascii="仿宋_GB2312" w:eastAsia="仿宋_GB2312"/>
          <w:sz w:val="24"/>
          <w:szCs w:val="24"/>
        </w:rPr>
      </w:pPr>
      <w:r>
        <w:rPr>
          <w:rFonts w:ascii="仿宋_GB2312" w:eastAsia="仿宋_GB2312"/>
          <w:sz w:val="24"/>
          <w:szCs w:val="24"/>
        </w:rPr>
        <w:t>CMA资质（中国计量认证）</w:t>
      </w:r>
      <w:r>
        <w:rPr>
          <w:rFonts w:ascii="Times New Roman" w:hAnsi="Times New Roman" w:eastAsia="仿宋_GB2312" w:cs="Times New Roman"/>
          <w:sz w:val="24"/>
          <w:szCs w:val="24"/>
        </w:rPr>
        <w:t>​​</w:t>
      </w:r>
    </w:p>
    <w:p>
      <w:pPr>
        <w:ind w:firstLine="480" w:firstLineChars="200"/>
        <w:jc w:val="both"/>
        <w:rPr>
          <w:rFonts w:hint="eastAsia" w:ascii="仿宋_GB2312" w:eastAsia="仿宋_GB2312"/>
          <w:sz w:val="24"/>
          <w:szCs w:val="24"/>
        </w:rPr>
      </w:pPr>
      <w:r>
        <w:rPr>
          <w:rFonts w:ascii="仿宋_GB2312" w:eastAsia="仿宋_GB2312"/>
          <w:sz w:val="24"/>
          <w:szCs w:val="24"/>
        </w:rPr>
        <w:t>投标人必须持有由国家认证认可监督管理委员会（CNCA）</w:t>
      </w:r>
      <w:r>
        <w:rPr>
          <w:rFonts w:ascii="Times New Roman" w:hAnsi="Times New Roman" w:eastAsia="仿宋_GB2312" w:cs="Times New Roman"/>
          <w:sz w:val="24"/>
          <w:szCs w:val="24"/>
        </w:rPr>
        <w:t>​​</w:t>
      </w:r>
      <w:r>
        <w:rPr>
          <w:rFonts w:ascii="仿宋_GB2312" w:eastAsia="仿宋_GB2312"/>
          <w:sz w:val="24"/>
          <w:szCs w:val="24"/>
        </w:rPr>
        <w:t>或省级市场监督管理部门颁发的、现行有效的《检验检测机构资质认定证书》（即CMA证书）。</w:t>
      </w:r>
    </w:p>
    <w:p>
      <w:pPr>
        <w:ind w:firstLine="480" w:firstLineChars="200"/>
        <w:jc w:val="both"/>
        <w:rPr>
          <w:rFonts w:hint="eastAsia" w:ascii="仿宋_GB2312" w:eastAsia="仿宋_GB2312"/>
          <w:sz w:val="24"/>
          <w:szCs w:val="24"/>
        </w:rPr>
      </w:pPr>
      <w:r>
        <w:rPr>
          <w:rFonts w:ascii="仿宋_GB2312" w:eastAsia="仿宋_GB2312"/>
          <w:sz w:val="24"/>
          <w:szCs w:val="24"/>
        </w:rPr>
        <w:t>证书附件中经批准的“能力范围”必须明确涵盖本项目所涉及的所有电磁兼容（EMC）测试标准（例如：GB/T17626.2-2018,GB/T17626.</w:t>
      </w:r>
      <w:r>
        <w:rPr>
          <w:rFonts w:hint="eastAsia" w:ascii="仿宋_GB2312" w:eastAsia="仿宋_GB2312"/>
          <w:sz w:val="24"/>
          <w:szCs w:val="24"/>
        </w:rPr>
        <w:t>4</w:t>
      </w:r>
      <w:r>
        <w:rPr>
          <w:rFonts w:ascii="仿宋_GB2312" w:eastAsia="仿宋_GB2312"/>
          <w:sz w:val="24"/>
          <w:szCs w:val="24"/>
        </w:rPr>
        <w:t>-2018</w:t>
      </w:r>
      <w:r>
        <w:rPr>
          <w:rFonts w:hint="eastAsia" w:ascii="仿宋_GB2312" w:eastAsia="仿宋_GB2312"/>
          <w:sz w:val="24"/>
          <w:szCs w:val="24"/>
        </w:rPr>
        <w:t>，</w:t>
      </w:r>
      <w:r>
        <w:rPr>
          <w:rFonts w:ascii="仿宋_GB2312" w:eastAsia="仿宋_GB2312"/>
          <w:sz w:val="24"/>
          <w:szCs w:val="24"/>
        </w:rPr>
        <w:t>GB/T17626.</w:t>
      </w:r>
      <w:r>
        <w:rPr>
          <w:rFonts w:hint="eastAsia" w:ascii="仿宋_GB2312" w:eastAsia="仿宋_GB2312"/>
          <w:sz w:val="24"/>
          <w:szCs w:val="24"/>
        </w:rPr>
        <w:t>5</w:t>
      </w:r>
      <w:r>
        <w:rPr>
          <w:rFonts w:ascii="仿宋_GB2312" w:eastAsia="仿宋_GB2312"/>
          <w:sz w:val="24"/>
          <w:szCs w:val="24"/>
        </w:rPr>
        <w:t>-2018</w:t>
      </w:r>
      <w:r>
        <w:rPr>
          <w:rFonts w:hint="eastAsia" w:ascii="仿宋_GB2312" w:eastAsia="仿宋_GB2312"/>
          <w:sz w:val="24"/>
          <w:szCs w:val="24"/>
        </w:rPr>
        <w:t>，</w:t>
      </w:r>
      <w:r>
        <w:rPr>
          <w:rFonts w:ascii="仿宋_GB2312" w:eastAsia="仿宋_GB2312"/>
          <w:sz w:val="24"/>
          <w:szCs w:val="24"/>
        </w:rPr>
        <w:t>GB/T17626.</w:t>
      </w:r>
      <w:r>
        <w:rPr>
          <w:rFonts w:hint="eastAsia" w:ascii="仿宋_GB2312" w:eastAsia="仿宋_GB2312"/>
          <w:sz w:val="24"/>
          <w:szCs w:val="24"/>
        </w:rPr>
        <w:t>6</w:t>
      </w:r>
      <w:r>
        <w:rPr>
          <w:rFonts w:ascii="仿宋_GB2312" w:eastAsia="仿宋_GB2312"/>
          <w:sz w:val="24"/>
          <w:szCs w:val="24"/>
        </w:rPr>
        <w:t>-2018等）。</w:t>
      </w:r>
    </w:p>
    <w:p>
      <w:pPr>
        <w:pStyle w:val="33"/>
        <w:numPr>
          <w:ilvl w:val="0"/>
          <w:numId w:val="1"/>
        </w:numPr>
        <w:jc w:val="both"/>
        <w:rPr>
          <w:rFonts w:hint="eastAsia" w:ascii="仿宋_GB2312" w:eastAsia="仿宋_GB2312"/>
          <w:sz w:val="24"/>
          <w:szCs w:val="24"/>
        </w:rPr>
      </w:pPr>
      <w:r>
        <w:rPr>
          <w:rFonts w:ascii="Times New Roman" w:hAnsi="Times New Roman" w:eastAsia="仿宋_GB2312" w:cs="Times New Roman"/>
          <w:sz w:val="24"/>
          <w:szCs w:val="24"/>
        </w:rPr>
        <w:t>​</w:t>
      </w:r>
      <w:r>
        <w:rPr>
          <w:rFonts w:ascii="仿宋_GB2312" w:eastAsia="仿宋_GB2312"/>
          <w:sz w:val="24"/>
          <w:szCs w:val="24"/>
        </w:rPr>
        <w:t>CNAS认可（中国合格评定国家认可委员会）</w:t>
      </w:r>
      <w:r>
        <w:rPr>
          <w:rFonts w:ascii="Times New Roman" w:hAnsi="Times New Roman" w:eastAsia="仿宋_GB2312" w:cs="Times New Roman"/>
          <w:sz w:val="24"/>
          <w:szCs w:val="24"/>
        </w:rPr>
        <w:t>​​</w:t>
      </w:r>
    </w:p>
    <w:p>
      <w:pPr>
        <w:ind w:firstLine="480" w:firstLineChars="200"/>
        <w:jc w:val="both"/>
        <w:rPr>
          <w:rFonts w:hint="eastAsia" w:ascii="仿宋_GB2312" w:eastAsia="仿宋_GB2312"/>
          <w:sz w:val="24"/>
          <w:szCs w:val="24"/>
        </w:rPr>
      </w:pPr>
      <w:r>
        <w:rPr>
          <w:rFonts w:ascii="仿宋_GB2312" w:eastAsia="仿宋_GB2312"/>
          <w:sz w:val="24"/>
          <w:szCs w:val="24"/>
        </w:rPr>
        <w:t>投标人必须持有中国合格评定国家认可委员会（CNAS）颁发的、现行有效的《实验室认可证书》。CNAS认可附件中必须明确列明并认可本项目所涉及的所有电磁兼容（EMC）测试标准，且其认可状态为“有效”。</w:t>
      </w:r>
    </w:p>
    <w:p>
      <w:pPr>
        <w:ind w:firstLine="480" w:firstLineChars="200"/>
        <w:jc w:val="both"/>
        <w:rPr>
          <w:rFonts w:hint="eastAsia" w:ascii="仿宋_GB2312" w:eastAsia="仿宋_GB2312"/>
          <w:sz w:val="24"/>
          <w:szCs w:val="24"/>
        </w:rPr>
      </w:pPr>
      <w:r>
        <w:rPr>
          <w:rFonts w:hint="eastAsia" w:ascii="仿宋_GB2312" w:eastAsia="仿宋_GB2312"/>
          <w:sz w:val="24"/>
          <w:szCs w:val="24"/>
        </w:rPr>
        <w:t>（</w:t>
      </w:r>
      <w:r>
        <w:rPr>
          <w:rFonts w:hint="eastAsia" w:ascii="仿宋_GB2312" w:eastAsia="仿宋_GB2312"/>
          <w:sz w:val="24"/>
          <w:szCs w:val="24"/>
          <w:lang w:val="en-US" w:eastAsia="zh-CN"/>
        </w:rPr>
        <w:t>三</w:t>
      </w:r>
      <w:r>
        <w:rPr>
          <w:rFonts w:hint="eastAsia" w:ascii="仿宋_GB2312" w:eastAsia="仿宋_GB2312"/>
          <w:sz w:val="24"/>
          <w:szCs w:val="24"/>
        </w:rPr>
        <w:t>）</w:t>
      </w:r>
      <w:r>
        <w:rPr>
          <w:rFonts w:ascii="仿宋_GB2312" w:eastAsia="仿宋_GB2312"/>
          <w:sz w:val="24"/>
          <w:szCs w:val="24"/>
        </w:rPr>
        <w:t>负责测试的关键技术人员应</w:t>
      </w:r>
      <w:r>
        <w:rPr>
          <w:rFonts w:hint="eastAsia" w:ascii="仿宋_GB2312" w:eastAsia="仿宋_GB2312"/>
          <w:sz w:val="24"/>
          <w:szCs w:val="24"/>
        </w:rPr>
        <w:t>持有电工证书、计量检定员证/相关职业能力证明。</w:t>
      </w:r>
    </w:p>
    <w:sectPr>
      <w:footerReference r:id="rId6" w:type="default"/>
      <w:pgSz w:w="11906" w:h="16838"/>
      <w:pgMar w:top="1440" w:right="1800" w:bottom="1440" w:left="1800" w:header="851" w:footer="992" w:gutter="0"/>
      <w:pgNumType w:start="3"/>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37840822"/>
    </w:sdtPr>
    <w:sdtContent>
      <w:p>
        <w:pPr>
          <w:pStyle w:val="13"/>
          <w:jc w:val="center"/>
          <w:rPr>
            <w:rFonts w:hint="eastAsia"/>
          </w:rPr>
        </w:pPr>
      </w:p>
    </w:sdtContent>
  </w:sdt>
  <w:p>
    <w:pPr>
      <w:pStyle w:val="13"/>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hint="default"/>
        <w:lang w:val="en-US"/>
      </w:rPr>
      <w:id w:val="-837840822"/>
    </w:sdtPr>
    <w:sdtEndPr>
      <w:rPr>
        <w:rFonts w:hint="default"/>
        <w:lang w:val="en-US"/>
      </w:rPr>
    </w:sdtEndPr>
    <w:sdtContent>
      <w:p>
        <w:pPr>
          <w:pStyle w:val="13"/>
          <w:jc w:val="center"/>
          <w:rPr>
            <w:rFonts w:hint="eastAsia"/>
            <w:lang w:val="en-US" w:eastAsia="zh-CN"/>
          </w:rPr>
        </w:pPr>
      </w:p>
      <w:p>
        <w:pPr>
          <w:pStyle w:val="13"/>
          <w:jc w:val="both"/>
          <w:rPr>
            <w:rFonts w:hint="eastAsia"/>
          </w:rPr>
        </w:pPr>
      </w:p>
    </w:sdtContent>
  </w:sdt>
  <w:p>
    <w:pPr>
      <w:pStyle w:val="13"/>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102395"/>
    <w:multiLevelType w:val="multilevel"/>
    <w:tmpl w:val="58102395"/>
    <w:lvl w:ilvl="0" w:tentative="0">
      <w:start w:val="1"/>
      <w:numFmt w:val="decimal"/>
      <w:lvlText w:val="%1)"/>
      <w:lvlJc w:val="left"/>
      <w:pPr>
        <w:ind w:left="1000" w:hanging="440"/>
      </w:pPr>
    </w:lvl>
    <w:lvl w:ilvl="1" w:tentative="0">
      <w:start w:val="5"/>
      <w:numFmt w:val="japaneseCounting"/>
      <w:lvlText w:val="（%2）"/>
      <w:lvlJc w:val="left"/>
      <w:pPr>
        <w:ind w:left="1175" w:hanging="750"/>
      </w:pPr>
      <w:rPr>
        <w:rFonts w:hint="default"/>
      </w:rPr>
    </w:lvl>
    <w:lvl w:ilvl="2" w:tentative="0">
      <w:start w:val="1"/>
      <w:numFmt w:val="lowerRoman"/>
      <w:lvlText w:val="%3."/>
      <w:lvlJc w:val="righ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E2YmFlOTgwMDNlMzU5NTk2NWJiZWFmOTBlMzkyYmUifQ=="/>
  </w:docVars>
  <w:rsids>
    <w:rsidRoot w:val="00AC2F54"/>
    <w:rsid w:val="000205C8"/>
    <w:rsid w:val="00021065"/>
    <w:rsid w:val="000B4F64"/>
    <w:rsid w:val="000C10A0"/>
    <w:rsid w:val="00144936"/>
    <w:rsid w:val="00195643"/>
    <w:rsid w:val="002050D8"/>
    <w:rsid w:val="00211BC2"/>
    <w:rsid w:val="00276701"/>
    <w:rsid w:val="00292345"/>
    <w:rsid w:val="002A49C3"/>
    <w:rsid w:val="002C7372"/>
    <w:rsid w:val="003074E2"/>
    <w:rsid w:val="00346590"/>
    <w:rsid w:val="003713F2"/>
    <w:rsid w:val="003A5B22"/>
    <w:rsid w:val="003A673E"/>
    <w:rsid w:val="00400149"/>
    <w:rsid w:val="0040252C"/>
    <w:rsid w:val="00416EAF"/>
    <w:rsid w:val="00433E4C"/>
    <w:rsid w:val="00484F18"/>
    <w:rsid w:val="004A580E"/>
    <w:rsid w:val="004A7397"/>
    <w:rsid w:val="004C4F38"/>
    <w:rsid w:val="0050271E"/>
    <w:rsid w:val="00557AF8"/>
    <w:rsid w:val="00574B7D"/>
    <w:rsid w:val="0058610C"/>
    <w:rsid w:val="005F06DF"/>
    <w:rsid w:val="005F3884"/>
    <w:rsid w:val="006277B4"/>
    <w:rsid w:val="006D0E1D"/>
    <w:rsid w:val="007425A7"/>
    <w:rsid w:val="00790522"/>
    <w:rsid w:val="007A0F4F"/>
    <w:rsid w:val="007F3D13"/>
    <w:rsid w:val="00852F33"/>
    <w:rsid w:val="00864B69"/>
    <w:rsid w:val="008726C8"/>
    <w:rsid w:val="00883B24"/>
    <w:rsid w:val="00896AA3"/>
    <w:rsid w:val="008C601F"/>
    <w:rsid w:val="008E38D3"/>
    <w:rsid w:val="0091618A"/>
    <w:rsid w:val="009315E1"/>
    <w:rsid w:val="009D36A1"/>
    <w:rsid w:val="009D3FE4"/>
    <w:rsid w:val="00A3198A"/>
    <w:rsid w:val="00A51191"/>
    <w:rsid w:val="00AC1E10"/>
    <w:rsid w:val="00AC2F54"/>
    <w:rsid w:val="00AC3E53"/>
    <w:rsid w:val="00AD0918"/>
    <w:rsid w:val="00AE1E48"/>
    <w:rsid w:val="00B2552A"/>
    <w:rsid w:val="00B97790"/>
    <w:rsid w:val="00C15000"/>
    <w:rsid w:val="00C43484"/>
    <w:rsid w:val="00C50DD1"/>
    <w:rsid w:val="00C60345"/>
    <w:rsid w:val="00C96DAA"/>
    <w:rsid w:val="00CA10AA"/>
    <w:rsid w:val="00CB0131"/>
    <w:rsid w:val="00CE3DEA"/>
    <w:rsid w:val="00D543E4"/>
    <w:rsid w:val="00DB76C1"/>
    <w:rsid w:val="00DF2FE0"/>
    <w:rsid w:val="00E273E4"/>
    <w:rsid w:val="00E45EEE"/>
    <w:rsid w:val="00E52A18"/>
    <w:rsid w:val="00E55F39"/>
    <w:rsid w:val="00E609DD"/>
    <w:rsid w:val="00E730E3"/>
    <w:rsid w:val="00ED5F35"/>
    <w:rsid w:val="00F47919"/>
    <w:rsid w:val="00F61FA7"/>
    <w:rsid w:val="06D95794"/>
    <w:rsid w:val="081812DA"/>
    <w:rsid w:val="0B2E376B"/>
    <w:rsid w:val="0C1174BF"/>
    <w:rsid w:val="15B900D5"/>
    <w:rsid w:val="17D4618C"/>
    <w:rsid w:val="18B94430"/>
    <w:rsid w:val="27934CAF"/>
    <w:rsid w:val="28626979"/>
    <w:rsid w:val="3F025ECC"/>
    <w:rsid w:val="45F244E3"/>
    <w:rsid w:val="48C1667A"/>
    <w:rsid w:val="49BC3715"/>
    <w:rsid w:val="4DE945A8"/>
    <w:rsid w:val="4E0A0568"/>
    <w:rsid w:val="52AF74B4"/>
    <w:rsid w:val="53C536AD"/>
    <w:rsid w:val="5E826883"/>
    <w:rsid w:val="68C04067"/>
    <w:rsid w:val="6F0B2A10"/>
    <w:rsid w:val="732F1389"/>
    <w:rsid w:val="757F12F4"/>
    <w:rsid w:val="75A7212D"/>
    <w:rsid w:val="780E3A28"/>
    <w:rsid w:val="7A5E76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4">
    <w:name w:val="heading 1"/>
    <w:basedOn w:val="1"/>
    <w:next w:val="1"/>
    <w:link w:val="21"/>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5">
    <w:name w:val="heading 2"/>
    <w:basedOn w:val="1"/>
    <w:next w:val="1"/>
    <w:link w:val="20"/>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6">
    <w:name w:val="heading 3"/>
    <w:basedOn w:val="1"/>
    <w:next w:val="1"/>
    <w:link w:val="22"/>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7">
    <w:name w:val="heading 4"/>
    <w:basedOn w:val="1"/>
    <w:next w:val="1"/>
    <w:link w:val="23"/>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8">
    <w:name w:val="heading 5"/>
    <w:basedOn w:val="1"/>
    <w:next w:val="1"/>
    <w:link w:val="24"/>
    <w:semiHidden/>
    <w:unhideWhenUsed/>
    <w:qFormat/>
    <w:uiPriority w:val="9"/>
    <w:pPr>
      <w:keepNext/>
      <w:keepLines/>
      <w:spacing w:before="80" w:after="40"/>
      <w:outlineLvl w:val="4"/>
    </w:pPr>
    <w:rPr>
      <w:rFonts w:cstheme="majorBidi"/>
      <w:color w:val="104862" w:themeColor="accent1" w:themeShade="BF"/>
      <w:sz w:val="24"/>
    </w:rPr>
  </w:style>
  <w:style w:type="paragraph" w:styleId="9">
    <w:name w:val="heading 6"/>
    <w:basedOn w:val="1"/>
    <w:next w:val="1"/>
    <w:link w:val="25"/>
    <w:semiHidden/>
    <w:unhideWhenUsed/>
    <w:qFormat/>
    <w:uiPriority w:val="9"/>
    <w:pPr>
      <w:keepNext/>
      <w:keepLines/>
      <w:spacing w:before="40" w:after="0"/>
      <w:outlineLvl w:val="5"/>
    </w:pPr>
    <w:rPr>
      <w:rFonts w:cstheme="majorBidi"/>
      <w:b/>
      <w:bCs/>
      <w:color w:val="104862" w:themeColor="accent1" w:themeShade="BF"/>
    </w:rPr>
  </w:style>
  <w:style w:type="paragraph" w:styleId="10">
    <w:name w:val="heading 7"/>
    <w:basedOn w:val="1"/>
    <w:next w:val="1"/>
    <w:link w:val="26"/>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1">
    <w:name w:val="heading 8"/>
    <w:basedOn w:val="1"/>
    <w:next w:val="1"/>
    <w:link w:val="27"/>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2">
    <w:name w:val="heading 9"/>
    <w:basedOn w:val="1"/>
    <w:next w:val="1"/>
    <w:link w:val="28"/>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pPr>
  </w:style>
  <w:style w:type="paragraph" w:styleId="3">
    <w:name w:val="Title"/>
    <w:basedOn w:val="1"/>
    <w:next w:val="1"/>
    <w:link w:val="29"/>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paragraph" w:styleId="13">
    <w:name w:val="footer"/>
    <w:basedOn w:val="1"/>
    <w:link w:val="39"/>
    <w:unhideWhenUsed/>
    <w:qFormat/>
    <w:uiPriority w:val="99"/>
    <w:pPr>
      <w:tabs>
        <w:tab w:val="center" w:pos="4153"/>
        <w:tab w:val="right" w:pos="8306"/>
      </w:tabs>
      <w:snapToGrid w:val="0"/>
      <w:spacing w:line="240" w:lineRule="auto"/>
    </w:pPr>
    <w:rPr>
      <w:sz w:val="18"/>
      <w:szCs w:val="18"/>
    </w:rPr>
  </w:style>
  <w:style w:type="paragraph" w:styleId="14">
    <w:name w:val="header"/>
    <w:basedOn w:val="1"/>
    <w:link w:val="38"/>
    <w:unhideWhenUsed/>
    <w:qFormat/>
    <w:uiPriority w:val="99"/>
    <w:pPr>
      <w:tabs>
        <w:tab w:val="center" w:pos="4153"/>
        <w:tab w:val="right" w:pos="8306"/>
      </w:tabs>
      <w:snapToGrid w:val="0"/>
      <w:spacing w:line="240" w:lineRule="auto"/>
      <w:jc w:val="center"/>
    </w:pPr>
    <w:rPr>
      <w:sz w:val="18"/>
      <w:szCs w:val="18"/>
    </w:rPr>
  </w:style>
  <w:style w:type="paragraph" w:styleId="15">
    <w:name w:val="Subtitle"/>
    <w:basedOn w:val="1"/>
    <w:next w:val="1"/>
    <w:link w:val="30"/>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Normal (Web)"/>
    <w:basedOn w:val="1"/>
    <w:semiHidden/>
    <w:unhideWhenUsed/>
    <w:qFormat/>
    <w:uiPriority w:val="99"/>
    <w:pPr>
      <w:widowControl/>
      <w:spacing w:before="100" w:beforeAutospacing="1" w:after="100" w:afterAutospacing="1" w:line="240" w:lineRule="auto"/>
    </w:pPr>
    <w:rPr>
      <w:rFonts w:ascii="宋体" w:hAnsi="宋体" w:eastAsia="宋体" w:cs="宋体"/>
      <w:kern w:val="0"/>
      <w:sz w:val="24"/>
      <w14:ligatures w14:val="none"/>
    </w:rPr>
  </w:style>
  <w:style w:type="table" w:styleId="18">
    <w:name w:val="Table Grid"/>
    <w:basedOn w:val="1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
    <w:name w:val="标题 2 字符"/>
    <w:basedOn w:val="19"/>
    <w:link w:val="5"/>
    <w:semiHidden/>
    <w:qFormat/>
    <w:uiPriority w:val="9"/>
    <w:rPr>
      <w:rFonts w:asciiTheme="majorHAnsi" w:hAnsiTheme="majorHAnsi" w:eastAsiaTheme="majorEastAsia" w:cstheme="majorBidi"/>
      <w:color w:val="104862" w:themeColor="accent1" w:themeShade="BF"/>
      <w:sz w:val="40"/>
      <w:szCs w:val="40"/>
    </w:rPr>
  </w:style>
  <w:style w:type="character" w:customStyle="1" w:styleId="21">
    <w:name w:val="标题 1 字符"/>
    <w:basedOn w:val="19"/>
    <w:link w:val="4"/>
    <w:qFormat/>
    <w:uiPriority w:val="9"/>
    <w:rPr>
      <w:rFonts w:asciiTheme="majorHAnsi" w:hAnsiTheme="majorHAnsi" w:eastAsiaTheme="majorEastAsia" w:cstheme="majorBidi"/>
      <w:color w:val="104862" w:themeColor="accent1" w:themeShade="BF"/>
      <w:sz w:val="48"/>
      <w:szCs w:val="48"/>
    </w:rPr>
  </w:style>
  <w:style w:type="character" w:customStyle="1" w:styleId="22">
    <w:name w:val="标题 3 字符"/>
    <w:basedOn w:val="19"/>
    <w:link w:val="6"/>
    <w:semiHidden/>
    <w:qFormat/>
    <w:uiPriority w:val="9"/>
    <w:rPr>
      <w:rFonts w:asciiTheme="majorHAnsi" w:hAnsiTheme="majorHAnsi" w:eastAsiaTheme="majorEastAsia" w:cstheme="majorBidi"/>
      <w:color w:val="104862" w:themeColor="accent1" w:themeShade="BF"/>
      <w:sz w:val="32"/>
      <w:szCs w:val="32"/>
    </w:rPr>
  </w:style>
  <w:style w:type="character" w:customStyle="1" w:styleId="23">
    <w:name w:val="标题 4 字符"/>
    <w:basedOn w:val="19"/>
    <w:link w:val="7"/>
    <w:semiHidden/>
    <w:qFormat/>
    <w:uiPriority w:val="9"/>
    <w:rPr>
      <w:rFonts w:cstheme="majorBidi"/>
      <w:color w:val="104862" w:themeColor="accent1" w:themeShade="BF"/>
      <w:sz w:val="28"/>
      <w:szCs w:val="28"/>
    </w:rPr>
  </w:style>
  <w:style w:type="character" w:customStyle="1" w:styleId="24">
    <w:name w:val="标题 5 字符"/>
    <w:basedOn w:val="19"/>
    <w:link w:val="8"/>
    <w:semiHidden/>
    <w:qFormat/>
    <w:uiPriority w:val="9"/>
    <w:rPr>
      <w:rFonts w:cstheme="majorBidi"/>
      <w:color w:val="104862" w:themeColor="accent1" w:themeShade="BF"/>
      <w:sz w:val="24"/>
    </w:rPr>
  </w:style>
  <w:style w:type="character" w:customStyle="1" w:styleId="25">
    <w:name w:val="标题 6 字符"/>
    <w:basedOn w:val="19"/>
    <w:link w:val="9"/>
    <w:semiHidden/>
    <w:qFormat/>
    <w:uiPriority w:val="9"/>
    <w:rPr>
      <w:rFonts w:cstheme="majorBidi"/>
      <w:b/>
      <w:bCs/>
      <w:color w:val="104862" w:themeColor="accent1" w:themeShade="BF"/>
    </w:rPr>
  </w:style>
  <w:style w:type="character" w:customStyle="1" w:styleId="26">
    <w:name w:val="标题 7 字符"/>
    <w:basedOn w:val="19"/>
    <w:link w:val="10"/>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7">
    <w:name w:val="标题 8 字符"/>
    <w:basedOn w:val="19"/>
    <w:link w:val="11"/>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8">
    <w:name w:val="标题 9 字符"/>
    <w:basedOn w:val="19"/>
    <w:link w:val="12"/>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9">
    <w:name w:val="标题 字符"/>
    <w:basedOn w:val="19"/>
    <w:link w:val="3"/>
    <w:qFormat/>
    <w:uiPriority w:val="10"/>
    <w:rPr>
      <w:rFonts w:asciiTheme="majorHAnsi" w:hAnsiTheme="majorHAnsi" w:eastAsiaTheme="majorEastAsia" w:cstheme="majorBidi"/>
      <w:spacing w:val="-10"/>
      <w:kern w:val="28"/>
      <w:sz w:val="56"/>
      <w:szCs w:val="56"/>
    </w:rPr>
  </w:style>
  <w:style w:type="character" w:customStyle="1" w:styleId="30">
    <w:name w:val="副标题 字符"/>
    <w:basedOn w:val="19"/>
    <w:link w:val="15"/>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1">
    <w:name w:val="Quote"/>
    <w:basedOn w:val="1"/>
    <w:next w:val="1"/>
    <w:link w:val="32"/>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2">
    <w:name w:val="引用 字符"/>
    <w:basedOn w:val="19"/>
    <w:link w:val="31"/>
    <w:qFormat/>
    <w:uiPriority w:val="29"/>
    <w:rPr>
      <w:i/>
      <w:iCs/>
      <w:color w:val="404040" w:themeColor="text1" w:themeTint="BF"/>
      <w14:textFill>
        <w14:solidFill>
          <w14:schemeClr w14:val="tx1">
            <w14:lumMod w14:val="75000"/>
            <w14:lumOff w14:val="25000"/>
          </w14:schemeClr>
        </w14:solidFill>
      </w14:textFill>
    </w:rPr>
  </w:style>
  <w:style w:type="paragraph" w:styleId="33">
    <w:name w:val="List Paragraph"/>
    <w:basedOn w:val="1"/>
    <w:qFormat/>
    <w:uiPriority w:val="34"/>
    <w:pPr>
      <w:ind w:left="720"/>
      <w:contextualSpacing/>
    </w:pPr>
  </w:style>
  <w:style w:type="character" w:customStyle="1" w:styleId="34">
    <w:name w:val="明显强调1"/>
    <w:basedOn w:val="19"/>
    <w:qFormat/>
    <w:uiPriority w:val="21"/>
    <w:rPr>
      <w:i/>
      <w:iCs/>
      <w:color w:val="104862" w:themeColor="accent1" w:themeShade="BF"/>
    </w:rPr>
  </w:style>
  <w:style w:type="paragraph" w:styleId="35">
    <w:name w:val="Intense Quote"/>
    <w:basedOn w:val="1"/>
    <w:next w:val="1"/>
    <w:link w:val="36"/>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6">
    <w:name w:val="明显引用 字符"/>
    <w:basedOn w:val="19"/>
    <w:link w:val="35"/>
    <w:qFormat/>
    <w:uiPriority w:val="30"/>
    <w:rPr>
      <w:i/>
      <w:iCs/>
      <w:color w:val="104862" w:themeColor="accent1" w:themeShade="BF"/>
    </w:rPr>
  </w:style>
  <w:style w:type="character" w:customStyle="1" w:styleId="37">
    <w:name w:val="明显参考1"/>
    <w:basedOn w:val="19"/>
    <w:qFormat/>
    <w:uiPriority w:val="32"/>
    <w:rPr>
      <w:b/>
      <w:bCs/>
      <w:smallCaps/>
      <w:color w:val="104862" w:themeColor="accent1" w:themeShade="BF"/>
      <w:spacing w:val="5"/>
    </w:rPr>
  </w:style>
  <w:style w:type="character" w:customStyle="1" w:styleId="38">
    <w:name w:val="页眉 字符"/>
    <w:basedOn w:val="19"/>
    <w:link w:val="14"/>
    <w:qFormat/>
    <w:uiPriority w:val="99"/>
    <w:rPr>
      <w:sz w:val="18"/>
      <w:szCs w:val="18"/>
    </w:rPr>
  </w:style>
  <w:style w:type="character" w:customStyle="1" w:styleId="39">
    <w:name w:val="页脚 字符"/>
    <w:basedOn w:val="19"/>
    <w:link w:val="13"/>
    <w:qFormat/>
    <w:uiPriority w:val="99"/>
    <w:rPr>
      <w:sz w:val="18"/>
      <w:szCs w:val="18"/>
    </w:rPr>
  </w:style>
  <w:style w:type="character" w:customStyle="1" w:styleId="40">
    <w:name w:val="font11"/>
    <w:basedOn w:val="19"/>
    <w:qFormat/>
    <w:uiPriority w:val="0"/>
    <w:rPr>
      <w:rFonts w:hint="eastAsia" w:ascii="宋体" w:hAnsi="宋体" w:eastAsia="宋体" w:cs="宋体"/>
      <w:color w:val="000000"/>
      <w:sz w:val="20"/>
      <w:szCs w:val="20"/>
      <w:u w:val="none"/>
    </w:rPr>
  </w:style>
  <w:style w:type="character" w:customStyle="1" w:styleId="41">
    <w:name w:val="font21"/>
    <w:basedOn w:val="19"/>
    <w:qFormat/>
    <w:uiPriority w:val="0"/>
    <w:rPr>
      <w:rFonts w:ascii="Calibri" w:hAnsi="Calibri" w:cs="Calibri"/>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2647</Words>
  <Characters>3067</Characters>
  <Lines>8</Lines>
  <Paragraphs>2</Paragraphs>
  <TotalTime>20</TotalTime>
  <ScaleCrop>false</ScaleCrop>
  <LinksUpToDate>false</LinksUpToDate>
  <CharactersWithSpaces>3067</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2025-09-23T02:37:00Z</dcterms:created>
  <dc:creator>e27008</dc:creator>
  <cp:lastModifiedBy>271A3B29CEB447A1A1576F5129F36AEB</cp:lastModifiedBy>
  <dcterms:modified xsi:type="dcterms:W3CDTF">2025-11-04T05:58:52Z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242950601D5C47789ED735998C2ADA72_13</vt:lpwstr>
  </property>
  <property fmtid="{D5CDD505-2E9C-101B-9397-08002B2CF9AE}" pid="4" name="KSOTemplateDocerSaveRecord">
    <vt:lpwstr>eyJoZGlkIjoiODlhZDFjMTRhZWE2NzFlZWQ3OGI5NjU1ODVjN2JkYTEiLCJ1c2VySWQiOiI5NTc2OTg2MDUifQ==</vt:lpwstr>
  </property>
</Properties>
</file>