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eastAsia" w:ascii="Times New Roman" w:hAnsi="Times New Roman" w:eastAsia="宋体" w:cs="Times New Roman"/>
          <w:b/>
          <w:sz w:val="44"/>
          <w:szCs w:val="4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eastAsia" w:ascii="方正小标宋_GBK" w:hAnsi="方正小标宋_GBK" w:eastAsia="方正小标宋_GBK" w:cs="方正小标宋_GBK"/>
          <w:b w:val="0"/>
          <w:bCs/>
          <w:sz w:val="44"/>
          <w:szCs w:val="44"/>
          <w:highlight w:val="none"/>
          <w:lang w:val="en-US" w:eastAsia="zh-CN"/>
        </w:rPr>
      </w:pPr>
      <w:r>
        <w:rPr>
          <w:rFonts w:hint="eastAsia" w:ascii="方正小标宋_GBK" w:hAnsi="方正小标宋_GBK" w:eastAsia="方正小标宋_GBK" w:cs="方正小标宋_GBK"/>
          <w:b w:val="0"/>
          <w:bCs/>
          <w:sz w:val="44"/>
          <w:szCs w:val="44"/>
          <w:highlight w:val="none"/>
          <w:lang w:val="en-US" w:eastAsia="zh-CN"/>
        </w:rPr>
        <w:t>广西电网能源科技有限责任公司增配园区“十五五”电网规划咨询服务</w:t>
      </w:r>
    </w:p>
    <w:p>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eastAsia" w:ascii="方正小标宋_GBK" w:hAnsi="方正小标宋_GBK" w:eastAsia="方正小标宋_GBK" w:cs="方正小标宋_GBK"/>
          <w:b w:val="0"/>
          <w:bCs/>
          <w:sz w:val="44"/>
          <w:szCs w:val="44"/>
          <w:highlight w:val="none"/>
          <w:lang w:val="en-US" w:eastAsia="zh-CN"/>
        </w:rPr>
      </w:pPr>
      <w:r>
        <w:rPr>
          <w:rFonts w:hint="eastAsia" w:ascii="方正小标宋_GBK" w:hAnsi="方正小标宋_GBK" w:eastAsia="方正小标宋_GBK" w:cs="方正小标宋_GBK"/>
          <w:b w:val="0"/>
          <w:bCs/>
          <w:sz w:val="44"/>
          <w:szCs w:val="44"/>
          <w:highlight w:val="none"/>
          <w:lang w:val="en-US" w:eastAsia="zh-CN"/>
        </w:rPr>
        <w:t>技术规范书</w:t>
      </w:r>
    </w:p>
    <w:p>
      <w:pPr>
        <w:keepNext w:val="0"/>
        <w:keepLines w:val="0"/>
        <w:pageBreakBefore w:val="0"/>
        <w:widowControl w:val="0"/>
        <w:kinsoku/>
        <w:wordWrap/>
        <w:overflowPunct/>
        <w:topLinePunct w:val="0"/>
        <w:autoSpaceDE/>
        <w:autoSpaceDN/>
        <w:bidi w:val="0"/>
        <w:adjustRightInd/>
        <w:snapToGrid/>
        <w:spacing w:line="580" w:lineRule="exact"/>
        <w:ind w:firstLine="560"/>
        <w:jc w:val="both"/>
        <w:textAlignment w:val="auto"/>
        <w:rPr>
          <w:rFonts w:hint="eastAsia"/>
          <w:b/>
          <w:sz w:val="28"/>
          <w:szCs w:val="28"/>
          <w:highlight w:val="none"/>
        </w:rPr>
      </w:pP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textAlignment w:val="auto"/>
        <w:rPr>
          <w:rFonts w:hint="eastAsia" w:ascii="黑体" w:hAnsi="黑体" w:eastAsia="黑体" w:cs="黑体"/>
          <w:sz w:val="32"/>
          <w:szCs w:val="32"/>
          <w:highlight w:val="none"/>
          <w:lang w:eastAsia="zh-CN"/>
        </w:rPr>
      </w:pPr>
      <w:r>
        <w:rPr>
          <w:rFonts w:hint="eastAsia" w:ascii="黑体" w:hAnsi="黑体" w:eastAsia="黑体" w:cs="黑体"/>
          <w:sz w:val="32"/>
          <w:szCs w:val="32"/>
          <w:highlight w:val="none"/>
        </w:rPr>
        <w:t>一、项目</w:t>
      </w:r>
      <w:r>
        <w:rPr>
          <w:rFonts w:hint="eastAsia" w:ascii="黑体" w:hAnsi="黑体" w:eastAsia="黑体" w:cs="黑体"/>
          <w:sz w:val="32"/>
          <w:szCs w:val="32"/>
          <w:highlight w:val="none"/>
          <w:lang w:val="en-US" w:eastAsia="zh-CN"/>
        </w:rPr>
        <w:t>背景</w:t>
      </w:r>
    </w:p>
    <w:p>
      <w:pPr>
        <w:pStyle w:val="3"/>
        <w:keepNext w:val="0"/>
        <w:keepLines w:val="0"/>
        <w:pageBreakBefore w:val="0"/>
        <w:widowControl w:val="0"/>
        <w:kinsoku/>
        <w:wordWrap/>
        <w:overflowPunct/>
        <w:topLinePunct w:val="0"/>
        <w:autoSpaceDE/>
        <w:autoSpaceDN/>
        <w:bidi w:val="0"/>
        <w:adjustRightInd/>
        <w:snapToGrid/>
        <w:spacing w:before="0" w:beforeLines="0" w:after="0" w:afterLines="0" w:line="580" w:lineRule="exact"/>
        <w:ind w:firstLine="640" w:firstLineChars="200"/>
        <w:jc w:val="both"/>
        <w:textAlignment w:val="auto"/>
        <w:rPr>
          <w:rFonts w:hint="eastAsia" w:ascii="仿宋_GB2312" w:hAnsi="仿宋_GB2312" w:eastAsia="仿宋_GB2312" w:cs="仿宋_GB2312"/>
          <w:b w:val="0"/>
          <w:bCs w:val="0"/>
          <w:sz w:val="32"/>
          <w:szCs w:val="32"/>
          <w:highlight w:val="none"/>
          <w:lang w:eastAsia="zh-CN"/>
        </w:rPr>
      </w:pPr>
      <w:r>
        <w:rPr>
          <w:rFonts w:hint="eastAsia" w:ascii="仿宋_GB2312" w:hAnsi="仿宋_GB2312" w:eastAsia="仿宋_GB2312" w:cs="仿宋_GB2312"/>
          <w:b w:val="0"/>
          <w:bCs w:val="0"/>
          <w:kern w:val="2"/>
          <w:sz w:val="32"/>
          <w:szCs w:val="32"/>
          <w:highlight w:val="none"/>
          <w:lang w:val="en-US" w:eastAsia="zh-CN" w:bidi="ar-SA"/>
        </w:rPr>
        <w:t>“十五五”是全面建设社会主义现代化国家的关键时期，也是实现碳达峰战略目标的决胜期，科学谋划电网发展目标和任务举措，加快构建新型电力系统、支撑构建新型能源体系，对保障区域能源安全、优化电力结构、促进绿色转型及发展新质生产力具有重要意义。根据广西电网公司总体部署，能科公司计划组织开展贵港大成、南宁景诚、河池大任、梧州粤桂等增配园区“十五五”电网规划，以问题和目标为导向，补齐网架短板并适度超前提升网架水平，增强电力供应能力，推动智慧能源、新型储能科学发展，满足园区负荷用电需求，全面提升电网装备技术水平，全面推进电网数字化转型。</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textAlignment w:val="auto"/>
        <w:rPr>
          <w:rFonts w:hint="eastAsia" w:ascii="黑体" w:hAnsi="黑体" w:eastAsia="黑体" w:cs="黑体"/>
          <w:sz w:val="32"/>
          <w:szCs w:val="32"/>
          <w:highlight w:val="none"/>
          <w:lang w:val="en-US" w:eastAsia="zh-CN"/>
        </w:rPr>
      </w:pPr>
      <w:r>
        <w:rPr>
          <w:rFonts w:hint="eastAsia" w:ascii="黑体" w:hAnsi="黑体" w:eastAsia="黑体" w:cs="黑体"/>
          <w:sz w:val="32"/>
          <w:szCs w:val="32"/>
          <w:highlight w:val="none"/>
          <w:lang w:val="en-US" w:eastAsia="zh-CN"/>
        </w:rPr>
        <w:t>二、规划原则</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textAlignment w:val="auto"/>
        <w:rPr>
          <w:rFonts w:hint="eastAsia" w:ascii="仿宋_GB2312" w:hAnsi="仿宋_GB2312" w:eastAsia="仿宋_GB2312" w:cs="仿宋_GB2312"/>
          <w:b w:val="0"/>
          <w:bCs w:val="0"/>
          <w:kern w:val="2"/>
          <w:sz w:val="32"/>
          <w:szCs w:val="32"/>
          <w:highlight w:val="none"/>
          <w:lang w:val="en-US" w:eastAsia="zh-CN" w:bidi="ar-SA"/>
        </w:rPr>
      </w:pPr>
      <w:r>
        <w:rPr>
          <w:rFonts w:hint="eastAsia" w:ascii="仿宋_GB2312" w:hAnsi="仿宋_GB2312" w:eastAsia="仿宋_GB2312" w:cs="仿宋_GB2312"/>
          <w:b w:val="0"/>
          <w:bCs w:val="0"/>
          <w:kern w:val="2"/>
          <w:sz w:val="32"/>
          <w:szCs w:val="32"/>
          <w:highlight w:val="none"/>
          <w:lang w:val="en-US" w:eastAsia="zh-CN" w:bidi="ar-SA"/>
        </w:rPr>
        <w:t>（一）坚持战略导向。全力贯彻落实国家、广西区域协调发展战略和自治区党委、政府工作部署，充分发挥电网在能源体系中的纽带和平台作用，加强数字电网建设，服务广西经济社会发展和碳达峰、碳中和目标实现。以数字化、绿色化协同促进新型电力系统和新型能源体系建设。</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textAlignment w:val="auto"/>
        <w:rPr>
          <w:rFonts w:hint="eastAsia" w:ascii="仿宋_GB2312" w:hAnsi="仿宋_GB2312" w:eastAsia="仿宋_GB2312" w:cs="仿宋_GB2312"/>
          <w:b w:val="0"/>
          <w:bCs w:val="0"/>
          <w:kern w:val="2"/>
          <w:sz w:val="32"/>
          <w:szCs w:val="32"/>
          <w:highlight w:val="none"/>
          <w:lang w:val="en-US" w:eastAsia="zh-CN" w:bidi="ar-SA"/>
        </w:rPr>
      </w:pPr>
      <w:r>
        <w:rPr>
          <w:rFonts w:hint="eastAsia" w:ascii="仿宋_GB2312" w:hAnsi="仿宋_GB2312" w:eastAsia="仿宋_GB2312" w:cs="仿宋_GB2312"/>
          <w:b w:val="0"/>
          <w:bCs w:val="0"/>
          <w:kern w:val="2"/>
          <w:sz w:val="32"/>
          <w:szCs w:val="32"/>
          <w:highlight w:val="none"/>
          <w:lang w:val="en-US" w:eastAsia="zh-CN" w:bidi="ar-SA"/>
        </w:rPr>
        <w:t>（二）坚持系统观念。立足广西能源资源禀赋，先立后破、通盘谋划，以保障能源电力安全为底线，科学把握碳达峰节奏，稳妥有序推进新型电力系统建设。</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textAlignment w:val="auto"/>
        <w:rPr>
          <w:rFonts w:hint="eastAsia" w:ascii="仿宋_GB2312" w:hAnsi="仿宋_GB2312" w:eastAsia="仿宋_GB2312" w:cs="仿宋_GB2312"/>
          <w:b w:val="0"/>
          <w:bCs w:val="0"/>
          <w:kern w:val="2"/>
          <w:sz w:val="32"/>
          <w:szCs w:val="32"/>
          <w:highlight w:val="none"/>
          <w:lang w:val="en-US" w:eastAsia="zh-CN" w:bidi="ar-SA"/>
        </w:rPr>
      </w:pPr>
      <w:r>
        <w:rPr>
          <w:rFonts w:hint="eastAsia" w:ascii="仿宋_GB2312" w:hAnsi="仿宋_GB2312" w:eastAsia="仿宋_GB2312" w:cs="仿宋_GB2312"/>
          <w:b w:val="0"/>
          <w:bCs w:val="0"/>
          <w:kern w:val="2"/>
          <w:sz w:val="32"/>
          <w:szCs w:val="32"/>
          <w:highlight w:val="none"/>
          <w:lang w:val="en-US" w:eastAsia="zh-CN" w:bidi="ar-SA"/>
        </w:rPr>
        <w:t>（三）坚持统筹协调。融入和服务电力生产力布局，充分发挥区位优势，统筹区内外能源资源，推动源网荷储协同发展，产学研用联合创新，着力构建新型能源体系下的新型电力系统。</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textAlignment w:val="auto"/>
        <w:rPr>
          <w:rFonts w:hint="eastAsia" w:ascii="仿宋_GB2312" w:hAnsi="仿宋_GB2312" w:eastAsia="仿宋_GB2312" w:cs="仿宋_GB2312"/>
          <w:b w:val="0"/>
          <w:bCs w:val="0"/>
          <w:kern w:val="2"/>
          <w:sz w:val="32"/>
          <w:szCs w:val="32"/>
          <w:highlight w:val="none"/>
          <w:lang w:val="en-US" w:eastAsia="zh-CN" w:bidi="ar-SA"/>
        </w:rPr>
      </w:pPr>
      <w:r>
        <w:rPr>
          <w:rFonts w:hint="eastAsia" w:ascii="仿宋_GB2312" w:hAnsi="仿宋_GB2312" w:eastAsia="仿宋_GB2312" w:cs="仿宋_GB2312"/>
          <w:b w:val="0"/>
          <w:bCs w:val="0"/>
          <w:kern w:val="2"/>
          <w:sz w:val="32"/>
          <w:szCs w:val="32"/>
          <w:highlight w:val="none"/>
          <w:lang w:val="en-US" w:eastAsia="zh-CN" w:bidi="ar-SA"/>
        </w:rPr>
        <w:t>（四）坚持创新引领。积极推动落实政策引导和市场主导合力作用，强化科技和体制创新，深化能源电力领域改革，促进绿色低碳新技术、新模式、新业态加速发展。</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textAlignment w:val="auto"/>
        <w:rPr>
          <w:rFonts w:hint="default" w:ascii="黑体" w:hAnsi="黑体" w:eastAsia="黑体" w:cs="黑体"/>
          <w:sz w:val="32"/>
          <w:szCs w:val="32"/>
          <w:highlight w:val="none"/>
          <w:lang w:val="en-US" w:eastAsia="zh-CN"/>
        </w:rPr>
      </w:pPr>
      <w:r>
        <w:rPr>
          <w:rFonts w:hint="eastAsia" w:ascii="黑体" w:hAnsi="黑体" w:eastAsia="黑体" w:cs="黑体"/>
          <w:sz w:val="32"/>
          <w:szCs w:val="32"/>
          <w:highlight w:val="none"/>
          <w:lang w:val="en-US" w:eastAsia="zh-CN"/>
        </w:rPr>
        <w:t>三、任务和要求</w:t>
      </w:r>
    </w:p>
    <w:p>
      <w:pPr>
        <w:pStyle w:val="3"/>
        <w:keepNext w:val="0"/>
        <w:keepLines w:val="0"/>
        <w:pageBreakBefore w:val="0"/>
        <w:widowControl w:val="0"/>
        <w:kinsoku/>
        <w:wordWrap/>
        <w:overflowPunct/>
        <w:topLinePunct w:val="0"/>
        <w:autoSpaceDE/>
        <w:autoSpaceDN/>
        <w:bidi w:val="0"/>
        <w:adjustRightInd/>
        <w:snapToGrid/>
        <w:spacing w:before="0" w:beforeLines="0" w:after="0" w:afterLines="0" w:line="580" w:lineRule="exact"/>
        <w:ind w:firstLine="640" w:firstLineChars="200"/>
        <w:jc w:val="both"/>
        <w:textAlignment w:val="auto"/>
        <w:rPr>
          <w:rFonts w:hint="eastAsia" w:ascii="仿宋_GB2312" w:hAnsi="仿宋_GB2312" w:eastAsia="仿宋_GB2312" w:cs="仿宋_GB2312"/>
          <w:b w:val="0"/>
          <w:bCs w:val="0"/>
          <w:kern w:val="2"/>
          <w:sz w:val="32"/>
          <w:szCs w:val="32"/>
          <w:highlight w:val="none"/>
          <w:lang w:val="en-US" w:eastAsia="zh-CN" w:bidi="ar-SA"/>
        </w:rPr>
      </w:pPr>
      <w:r>
        <w:rPr>
          <w:rFonts w:hint="eastAsia" w:ascii="仿宋_GB2312" w:hAnsi="仿宋_GB2312" w:eastAsia="仿宋_GB2312" w:cs="仿宋_GB2312"/>
          <w:b w:val="0"/>
          <w:bCs w:val="0"/>
          <w:kern w:val="2"/>
          <w:sz w:val="32"/>
          <w:szCs w:val="32"/>
          <w:highlight w:val="none"/>
          <w:lang w:val="en-US" w:eastAsia="zh-CN" w:bidi="ar-SA"/>
        </w:rPr>
        <w:t>（一）全面掌握现状，摸清真实需求。针对增配园区电网现状情况、存在问题等，深入园区了解掌握建设需求，系统性的做出规划需求合理性分析。</w:t>
      </w:r>
    </w:p>
    <w:p>
      <w:pPr>
        <w:pStyle w:val="3"/>
        <w:keepNext w:val="0"/>
        <w:keepLines w:val="0"/>
        <w:pageBreakBefore w:val="0"/>
        <w:widowControl w:val="0"/>
        <w:kinsoku/>
        <w:wordWrap/>
        <w:overflowPunct/>
        <w:topLinePunct w:val="0"/>
        <w:autoSpaceDE/>
        <w:autoSpaceDN/>
        <w:bidi w:val="0"/>
        <w:adjustRightInd/>
        <w:snapToGrid/>
        <w:spacing w:before="0" w:beforeLines="0" w:after="0" w:afterLines="0" w:line="580" w:lineRule="exact"/>
        <w:ind w:firstLine="640" w:firstLineChars="200"/>
        <w:jc w:val="both"/>
        <w:textAlignment w:val="auto"/>
        <w:rPr>
          <w:rFonts w:hint="eastAsia" w:ascii="仿宋_GB2312" w:hAnsi="仿宋_GB2312" w:eastAsia="仿宋_GB2312" w:cs="仿宋_GB2312"/>
          <w:b w:val="0"/>
          <w:bCs w:val="0"/>
          <w:kern w:val="2"/>
          <w:sz w:val="32"/>
          <w:szCs w:val="32"/>
          <w:highlight w:val="none"/>
          <w:lang w:val="en-US" w:eastAsia="zh-CN" w:bidi="ar-SA"/>
        </w:rPr>
      </w:pPr>
      <w:r>
        <w:rPr>
          <w:rFonts w:hint="eastAsia" w:ascii="仿宋_GB2312" w:hAnsi="仿宋_GB2312" w:eastAsia="仿宋_GB2312" w:cs="仿宋_GB2312"/>
          <w:b w:val="0"/>
          <w:bCs w:val="0"/>
          <w:kern w:val="2"/>
          <w:sz w:val="32"/>
          <w:szCs w:val="32"/>
          <w:highlight w:val="none"/>
          <w:lang w:val="en-US" w:eastAsia="zh-CN" w:bidi="ar-SA"/>
        </w:rPr>
        <w:t>（二）根据广西电网公司“十五五”电网规划思路与原则，围绕规划建设目标，系统性的提出需求分析、规划建议，项目规划符合专业发展思路和广西电网公司、能科公司投资策略等总体原则。</w:t>
      </w:r>
    </w:p>
    <w:p>
      <w:pPr>
        <w:pStyle w:val="3"/>
        <w:keepNext w:val="0"/>
        <w:keepLines w:val="0"/>
        <w:pageBreakBefore w:val="0"/>
        <w:widowControl w:val="0"/>
        <w:kinsoku/>
        <w:wordWrap/>
        <w:overflowPunct/>
        <w:topLinePunct w:val="0"/>
        <w:autoSpaceDE/>
        <w:autoSpaceDN/>
        <w:bidi w:val="0"/>
        <w:adjustRightInd/>
        <w:snapToGrid/>
        <w:spacing w:before="0" w:beforeLines="0" w:after="0" w:afterLines="0" w:line="580" w:lineRule="exact"/>
        <w:ind w:firstLine="640" w:firstLineChars="200"/>
        <w:jc w:val="both"/>
        <w:textAlignment w:val="auto"/>
        <w:rPr>
          <w:rFonts w:hint="eastAsia" w:ascii="仿宋_GB2312" w:hAnsi="仿宋_GB2312" w:eastAsia="仿宋_GB2312" w:cs="仿宋_GB2312"/>
          <w:b w:val="0"/>
          <w:bCs w:val="0"/>
          <w:kern w:val="2"/>
          <w:sz w:val="32"/>
          <w:szCs w:val="32"/>
          <w:highlight w:val="none"/>
          <w:lang w:val="en-US" w:eastAsia="zh-CN" w:bidi="ar-SA"/>
        </w:rPr>
      </w:pPr>
      <w:r>
        <w:rPr>
          <w:rFonts w:hint="eastAsia" w:ascii="仿宋_GB2312" w:hAnsi="仿宋_GB2312" w:eastAsia="仿宋_GB2312" w:cs="仿宋_GB2312"/>
          <w:b w:val="0"/>
          <w:bCs w:val="0"/>
          <w:kern w:val="2"/>
          <w:sz w:val="32"/>
          <w:szCs w:val="32"/>
          <w:highlight w:val="none"/>
          <w:lang w:val="en-US" w:eastAsia="zh-CN" w:bidi="ar-SA"/>
        </w:rPr>
        <w:t>（三）依据广西电网公司、能科公司管理文件展开规模及投资测算工作，落实规划方案及投资安排等。</w:t>
      </w:r>
    </w:p>
    <w:p>
      <w:pPr>
        <w:pStyle w:val="3"/>
        <w:keepNext w:val="0"/>
        <w:keepLines w:val="0"/>
        <w:pageBreakBefore w:val="0"/>
        <w:widowControl w:val="0"/>
        <w:kinsoku/>
        <w:wordWrap/>
        <w:overflowPunct/>
        <w:topLinePunct w:val="0"/>
        <w:autoSpaceDE/>
        <w:autoSpaceDN/>
        <w:bidi w:val="0"/>
        <w:adjustRightInd/>
        <w:snapToGrid/>
        <w:spacing w:before="0" w:beforeLines="0" w:after="0" w:afterLines="0" w:line="580" w:lineRule="exact"/>
        <w:ind w:firstLine="640" w:firstLineChars="200"/>
        <w:jc w:val="both"/>
        <w:textAlignment w:val="auto"/>
        <w:rPr>
          <w:rFonts w:hint="eastAsia" w:ascii="仿宋_GB2312" w:hAnsi="仿宋_GB2312" w:eastAsia="仿宋_GB2312" w:cs="仿宋_GB2312"/>
          <w:b w:val="0"/>
          <w:bCs w:val="0"/>
          <w:kern w:val="2"/>
          <w:sz w:val="32"/>
          <w:szCs w:val="32"/>
          <w:highlight w:val="none"/>
          <w:lang w:val="en-US" w:eastAsia="zh-CN" w:bidi="ar-SA"/>
        </w:rPr>
      </w:pPr>
      <w:r>
        <w:rPr>
          <w:rFonts w:hint="eastAsia" w:ascii="仿宋_GB2312" w:hAnsi="仿宋_GB2312" w:eastAsia="仿宋_GB2312" w:cs="仿宋_GB2312"/>
          <w:b w:val="0"/>
          <w:bCs w:val="0"/>
          <w:kern w:val="2"/>
          <w:sz w:val="32"/>
          <w:szCs w:val="32"/>
          <w:highlight w:val="none"/>
          <w:lang w:val="en-US" w:eastAsia="zh-CN" w:bidi="ar-SA"/>
        </w:rPr>
        <w:t>（四）根据广西电网公司规划策略、规划原则、规划目标及要求，开展规划成果报告编制。依据模板编制贵港大成等增配园区“十五五”电网规划报告。</w:t>
      </w:r>
    </w:p>
    <w:p>
      <w:pPr>
        <w:pStyle w:val="3"/>
        <w:keepNext w:val="0"/>
        <w:keepLines w:val="0"/>
        <w:pageBreakBefore w:val="0"/>
        <w:widowControl w:val="0"/>
        <w:kinsoku/>
        <w:wordWrap/>
        <w:overflowPunct/>
        <w:topLinePunct w:val="0"/>
        <w:autoSpaceDE/>
        <w:autoSpaceDN/>
        <w:bidi w:val="0"/>
        <w:adjustRightInd/>
        <w:snapToGrid/>
        <w:spacing w:before="0" w:beforeLines="0" w:after="0" w:afterLines="0" w:line="580" w:lineRule="exact"/>
        <w:ind w:firstLine="640" w:firstLineChars="200"/>
        <w:jc w:val="both"/>
        <w:textAlignment w:val="auto"/>
        <w:rPr>
          <w:rFonts w:hint="eastAsia" w:ascii="仿宋_GB2312" w:hAnsi="仿宋_GB2312" w:eastAsia="仿宋_GB2312" w:cs="仿宋_GB2312"/>
          <w:b w:val="0"/>
          <w:bCs w:val="0"/>
          <w:kern w:val="2"/>
          <w:sz w:val="32"/>
          <w:szCs w:val="32"/>
          <w:highlight w:val="none"/>
          <w:lang w:val="en-US" w:eastAsia="zh-CN" w:bidi="ar-SA"/>
        </w:rPr>
      </w:pPr>
      <w:r>
        <w:rPr>
          <w:rFonts w:hint="eastAsia" w:ascii="仿宋_GB2312" w:hAnsi="仿宋_GB2312" w:eastAsia="仿宋_GB2312" w:cs="仿宋_GB2312"/>
          <w:b w:val="0"/>
          <w:bCs w:val="0"/>
          <w:kern w:val="2"/>
          <w:sz w:val="32"/>
          <w:szCs w:val="32"/>
          <w:highlight w:val="none"/>
          <w:lang w:val="en-US" w:eastAsia="zh-CN" w:bidi="ar-SA"/>
        </w:rPr>
        <w:t>（五）完成规划报告审查及上报。咨询单位完成规划报告编制后，报能科公司审查验收，按照规定</w:t>
      </w:r>
      <w:bookmarkStart w:id="0" w:name="_GoBack"/>
      <w:bookmarkEnd w:id="0"/>
      <w:r>
        <w:rPr>
          <w:rFonts w:hint="eastAsia" w:ascii="仿宋_GB2312" w:hAnsi="仿宋_GB2312" w:eastAsia="仿宋_GB2312" w:cs="仿宋_GB2312"/>
          <w:b w:val="0"/>
          <w:bCs w:val="0"/>
          <w:kern w:val="2"/>
          <w:sz w:val="32"/>
          <w:szCs w:val="32"/>
          <w:highlight w:val="none"/>
          <w:lang w:val="en-US" w:eastAsia="zh-CN" w:bidi="ar-SA"/>
        </w:rPr>
        <w:t>程序组织上报。</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textAlignment w:val="auto"/>
        <w:rPr>
          <w:rFonts w:hint="eastAsia" w:ascii="黑体" w:hAnsi="黑体" w:eastAsia="黑体" w:cs="黑体"/>
          <w:sz w:val="32"/>
          <w:szCs w:val="32"/>
          <w:highlight w:val="none"/>
        </w:rPr>
      </w:pPr>
      <w:r>
        <w:rPr>
          <w:rFonts w:hint="eastAsia" w:ascii="黑体" w:hAnsi="黑体" w:eastAsia="黑体" w:cs="黑体"/>
          <w:sz w:val="32"/>
          <w:szCs w:val="32"/>
          <w:highlight w:val="none"/>
          <w:lang w:val="en-US" w:eastAsia="zh-CN"/>
        </w:rPr>
        <w:t>四</w:t>
      </w:r>
      <w:r>
        <w:rPr>
          <w:rFonts w:hint="eastAsia" w:ascii="黑体" w:hAnsi="黑体" w:eastAsia="黑体" w:cs="黑体"/>
          <w:sz w:val="32"/>
          <w:szCs w:val="32"/>
          <w:highlight w:val="none"/>
        </w:rPr>
        <w:t>、拟形成的报告大纲</w:t>
      </w:r>
    </w:p>
    <w:p>
      <w:pPr>
        <w:pStyle w:val="3"/>
        <w:keepNext w:val="0"/>
        <w:keepLines w:val="0"/>
        <w:pageBreakBefore w:val="0"/>
        <w:widowControl w:val="0"/>
        <w:kinsoku/>
        <w:wordWrap/>
        <w:overflowPunct/>
        <w:topLinePunct w:val="0"/>
        <w:autoSpaceDE/>
        <w:autoSpaceDN/>
        <w:bidi w:val="0"/>
        <w:adjustRightInd/>
        <w:snapToGrid/>
        <w:spacing w:before="0" w:beforeLines="0" w:after="0" w:afterLines="0" w:line="580" w:lineRule="exact"/>
        <w:ind w:firstLine="640" w:firstLineChars="200"/>
        <w:jc w:val="both"/>
        <w:textAlignment w:val="auto"/>
        <w:rPr>
          <w:rFonts w:hint="default" w:ascii="仿宋_GB2312" w:hAnsi="仿宋_GB2312" w:eastAsia="仿宋_GB2312" w:cs="仿宋_GB2312"/>
          <w:b w:val="0"/>
          <w:bCs w:val="0"/>
          <w:kern w:val="2"/>
          <w:sz w:val="32"/>
          <w:szCs w:val="32"/>
          <w:highlight w:val="none"/>
          <w:lang w:val="en-US" w:eastAsia="zh-CN" w:bidi="ar-SA"/>
        </w:rPr>
      </w:pPr>
      <w:r>
        <w:rPr>
          <w:rFonts w:hint="eastAsia" w:ascii="仿宋_GB2312" w:hAnsi="仿宋_GB2312" w:eastAsia="仿宋_GB2312" w:cs="仿宋_GB2312"/>
          <w:b w:val="0"/>
          <w:bCs w:val="0"/>
          <w:kern w:val="2"/>
          <w:sz w:val="32"/>
          <w:szCs w:val="32"/>
          <w:highlight w:val="none"/>
          <w:lang w:val="en-US" w:eastAsia="zh-CN" w:bidi="ar-SA"/>
        </w:rPr>
        <w:t>应包括但不限于以下内容，具体根据实际进行调整：</w:t>
      </w:r>
    </w:p>
    <w:p>
      <w:pPr>
        <w:pStyle w:val="3"/>
        <w:keepNext w:val="0"/>
        <w:keepLines w:val="0"/>
        <w:pageBreakBefore w:val="0"/>
        <w:widowControl w:val="0"/>
        <w:kinsoku/>
        <w:wordWrap/>
        <w:overflowPunct/>
        <w:topLinePunct w:val="0"/>
        <w:autoSpaceDE/>
        <w:autoSpaceDN/>
        <w:bidi w:val="0"/>
        <w:adjustRightInd/>
        <w:snapToGrid/>
        <w:spacing w:before="0" w:beforeLines="0" w:after="0" w:afterLines="0" w:line="580" w:lineRule="exact"/>
        <w:ind w:firstLine="640" w:firstLineChars="200"/>
        <w:jc w:val="both"/>
        <w:textAlignment w:val="auto"/>
        <w:rPr>
          <w:rFonts w:hint="eastAsia" w:ascii="仿宋_GB2312" w:hAnsi="仿宋_GB2312" w:eastAsia="仿宋_GB2312" w:cs="仿宋_GB2312"/>
          <w:b w:val="0"/>
          <w:bCs w:val="0"/>
          <w:kern w:val="2"/>
          <w:sz w:val="32"/>
          <w:szCs w:val="32"/>
          <w:highlight w:val="none"/>
          <w:lang w:val="en-US" w:eastAsia="zh-CN" w:bidi="ar-SA"/>
        </w:rPr>
      </w:pPr>
      <w:r>
        <w:rPr>
          <w:rFonts w:hint="eastAsia" w:ascii="仿宋_GB2312" w:hAnsi="仿宋_GB2312" w:eastAsia="仿宋_GB2312" w:cs="仿宋_GB2312"/>
          <w:b w:val="0"/>
          <w:bCs w:val="0"/>
          <w:kern w:val="2"/>
          <w:sz w:val="32"/>
          <w:szCs w:val="32"/>
          <w:highlight w:val="none"/>
          <w:lang w:val="en-US" w:eastAsia="zh-CN" w:bidi="ar-SA"/>
        </w:rPr>
        <w:t>1.园区概述</w:t>
      </w:r>
    </w:p>
    <w:p>
      <w:pPr>
        <w:pStyle w:val="3"/>
        <w:keepNext w:val="0"/>
        <w:keepLines w:val="0"/>
        <w:pageBreakBefore w:val="0"/>
        <w:widowControl w:val="0"/>
        <w:kinsoku/>
        <w:wordWrap/>
        <w:overflowPunct/>
        <w:topLinePunct w:val="0"/>
        <w:autoSpaceDE/>
        <w:autoSpaceDN/>
        <w:bidi w:val="0"/>
        <w:adjustRightInd/>
        <w:snapToGrid/>
        <w:spacing w:before="0" w:beforeLines="0" w:after="0" w:afterLines="0" w:line="580" w:lineRule="exact"/>
        <w:ind w:firstLine="640" w:firstLineChars="200"/>
        <w:jc w:val="both"/>
        <w:textAlignment w:val="auto"/>
        <w:rPr>
          <w:rFonts w:hint="eastAsia" w:ascii="仿宋_GB2312" w:hAnsi="仿宋_GB2312" w:eastAsia="仿宋_GB2312" w:cs="仿宋_GB2312"/>
          <w:b w:val="0"/>
          <w:bCs w:val="0"/>
          <w:kern w:val="2"/>
          <w:sz w:val="32"/>
          <w:szCs w:val="32"/>
          <w:highlight w:val="none"/>
          <w:lang w:val="en-US" w:eastAsia="zh-CN" w:bidi="ar-SA"/>
        </w:rPr>
      </w:pPr>
      <w:r>
        <w:rPr>
          <w:rFonts w:hint="eastAsia" w:ascii="仿宋_GB2312" w:hAnsi="仿宋_GB2312" w:eastAsia="仿宋_GB2312" w:cs="仿宋_GB2312"/>
          <w:b w:val="0"/>
          <w:bCs w:val="0"/>
          <w:kern w:val="2"/>
          <w:sz w:val="32"/>
          <w:szCs w:val="32"/>
          <w:highlight w:val="none"/>
          <w:lang w:val="en-US" w:eastAsia="zh-CN" w:bidi="ar-SA"/>
        </w:rPr>
        <w:t>1.1园区背景</w:t>
      </w:r>
    </w:p>
    <w:p>
      <w:pPr>
        <w:pStyle w:val="3"/>
        <w:keepNext w:val="0"/>
        <w:keepLines w:val="0"/>
        <w:pageBreakBefore w:val="0"/>
        <w:widowControl w:val="0"/>
        <w:kinsoku/>
        <w:wordWrap/>
        <w:overflowPunct/>
        <w:topLinePunct w:val="0"/>
        <w:autoSpaceDE/>
        <w:autoSpaceDN/>
        <w:bidi w:val="0"/>
        <w:adjustRightInd/>
        <w:snapToGrid/>
        <w:spacing w:before="0" w:beforeLines="0" w:after="0" w:afterLines="0" w:line="580" w:lineRule="exact"/>
        <w:ind w:firstLine="640" w:firstLineChars="200"/>
        <w:jc w:val="both"/>
        <w:textAlignment w:val="auto"/>
        <w:rPr>
          <w:rFonts w:hint="eastAsia" w:ascii="仿宋_GB2312" w:hAnsi="仿宋_GB2312" w:eastAsia="仿宋_GB2312" w:cs="仿宋_GB2312"/>
          <w:b w:val="0"/>
          <w:bCs w:val="0"/>
          <w:kern w:val="2"/>
          <w:sz w:val="32"/>
          <w:szCs w:val="32"/>
          <w:highlight w:val="none"/>
          <w:lang w:val="en-US" w:eastAsia="zh-CN" w:bidi="ar-SA"/>
        </w:rPr>
      </w:pPr>
      <w:r>
        <w:rPr>
          <w:rFonts w:hint="eastAsia" w:ascii="仿宋_GB2312" w:hAnsi="仿宋_GB2312" w:eastAsia="仿宋_GB2312" w:cs="仿宋_GB2312"/>
          <w:b w:val="0"/>
          <w:bCs w:val="0"/>
          <w:kern w:val="2"/>
          <w:sz w:val="32"/>
          <w:szCs w:val="32"/>
          <w:highlight w:val="none"/>
          <w:lang w:val="en-US" w:eastAsia="zh-CN" w:bidi="ar-SA"/>
        </w:rPr>
        <w:t>1.2主要内容及目标</w:t>
      </w:r>
    </w:p>
    <w:p>
      <w:pPr>
        <w:pStyle w:val="3"/>
        <w:keepNext w:val="0"/>
        <w:keepLines w:val="0"/>
        <w:pageBreakBefore w:val="0"/>
        <w:widowControl w:val="0"/>
        <w:kinsoku/>
        <w:wordWrap/>
        <w:overflowPunct/>
        <w:topLinePunct w:val="0"/>
        <w:autoSpaceDE/>
        <w:autoSpaceDN/>
        <w:bidi w:val="0"/>
        <w:adjustRightInd/>
        <w:snapToGrid/>
        <w:spacing w:before="0" w:beforeLines="0" w:after="0" w:afterLines="0" w:line="580" w:lineRule="exact"/>
        <w:ind w:firstLine="640" w:firstLineChars="200"/>
        <w:jc w:val="both"/>
        <w:textAlignment w:val="auto"/>
        <w:rPr>
          <w:rFonts w:hint="eastAsia" w:ascii="仿宋_GB2312" w:hAnsi="仿宋_GB2312" w:eastAsia="仿宋_GB2312" w:cs="仿宋_GB2312"/>
          <w:b w:val="0"/>
          <w:bCs w:val="0"/>
          <w:kern w:val="2"/>
          <w:sz w:val="32"/>
          <w:szCs w:val="32"/>
          <w:highlight w:val="none"/>
          <w:lang w:val="en-US" w:eastAsia="zh-CN" w:bidi="ar-SA"/>
        </w:rPr>
      </w:pPr>
      <w:r>
        <w:rPr>
          <w:rFonts w:hint="eastAsia" w:ascii="仿宋_GB2312" w:hAnsi="仿宋_GB2312" w:eastAsia="仿宋_GB2312" w:cs="仿宋_GB2312"/>
          <w:b w:val="0"/>
          <w:bCs w:val="0"/>
          <w:kern w:val="2"/>
          <w:sz w:val="32"/>
          <w:szCs w:val="32"/>
          <w:highlight w:val="none"/>
          <w:lang w:val="en-US" w:eastAsia="zh-CN" w:bidi="ar-SA"/>
        </w:rPr>
        <w:t>1.3预期成果</w:t>
      </w:r>
    </w:p>
    <w:p>
      <w:pPr>
        <w:pStyle w:val="3"/>
        <w:keepNext w:val="0"/>
        <w:keepLines w:val="0"/>
        <w:pageBreakBefore w:val="0"/>
        <w:widowControl w:val="0"/>
        <w:kinsoku/>
        <w:wordWrap/>
        <w:overflowPunct/>
        <w:topLinePunct w:val="0"/>
        <w:autoSpaceDE/>
        <w:autoSpaceDN/>
        <w:bidi w:val="0"/>
        <w:adjustRightInd/>
        <w:snapToGrid/>
        <w:spacing w:before="0" w:beforeLines="0" w:after="0" w:afterLines="0" w:line="580" w:lineRule="exact"/>
        <w:ind w:firstLine="640" w:firstLineChars="200"/>
        <w:jc w:val="both"/>
        <w:textAlignment w:val="auto"/>
        <w:rPr>
          <w:rFonts w:hint="eastAsia" w:ascii="仿宋_GB2312" w:hAnsi="仿宋_GB2312" w:eastAsia="仿宋_GB2312" w:cs="仿宋_GB2312"/>
          <w:b w:val="0"/>
          <w:bCs w:val="0"/>
          <w:kern w:val="2"/>
          <w:sz w:val="32"/>
          <w:szCs w:val="32"/>
          <w:highlight w:val="none"/>
          <w:lang w:val="en-US" w:eastAsia="zh-CN" w:bidi="ar-SA"/>
        </w:rPr>
      </w:pPr>
      <w:r>
        <w:rPr>
          <w:rFonts w:hint="eastAsia" w:ascii="仿宋_GB2312" w:hAnsi="仿宋_GB2312" w:eastAsia="仿宋_GB2312" w:cs="仿宋_GB2312"/>
          <w:b w:val="0"/>
          <w:bCs w:val="0"/>
          <w:kern w:val="2"/>
          <w:sz w:val="32"/>
          <w:szCs w:val="32"/>
          <w:highlight w:val="none"/>
          <w:lang w:val="en-US" w:eastAsia="zh-CN" w:bidi="ar-SA"/>
        </w:rPr>
        <w:t>2.园区发展概况</w:t>
      </w:r>
    </w:p>
    <w:p>
      <w:pPr>
        <w:pStyle w:val="3"/>
        <w:keepNext w:val="0"/>
        <w:keepLines w:val="0"/>
        <w:pageBreakBefore w:val="0"/>
        <w:widowControl w:val="0"/>
        <w:kinsoku/>
        <w:wordWrap/>
        <w:overflowPunct/>
        <w:topLinePunct w:val="0"/>
        <w:autoSpaceDE/>
        <w:autoSpaceDN/>
        <w:bidi w:val="0"/>
        <w:adjustRightInd/>
        <w:snapToGrid/>
        <w:spacing w:before="0" w:beforeLines="0" w:after="0" w:afterLines="0" w:line="580" w:lineRule="exact"/>
        <w:ind w:firstLine="640" w:firstLineChars="200"/>
        <w:jc w:val="both"/>
        <w:textAlignment w:val="auto"/>
        <w:rPr>
          <w:rFonts w:hint="eastAsia" w:ascii="仿宋_GB2312" w:hAnsi="仿宋_GB2312" w:eastAsia="仿宋_GB2312" w:cs="仿宋_GB2312"/>
          <w:b w:val="0"/>
          <w:bCs w:val="0"/>
          <w:kern w:val="2"/>
          <w:sz w:val="32"/>
          <w:szCs w:val="32"/>
          <w:highlight w:val="none"/>
          <w:lang w:val="en-US" w:eastAsia="zh-CN" w:bidi="ar-SA"/>
        </w:rPr>
      </w:pPr>
      <w:r>
        <w:rPr>
          <w:rFonts w:hint="eastAsia" w:ascii="仿宋_GB2312" w:hAnsi="仿宋_GB2312" w:eastAsia="仿宋_GB2312" w:cs="仿宋_GB2312"/>
          <w:b w:val="0"/>
          <w:bCs w:val="0"/>
          <w:kern w:val="2"/>
          <w:sz w:val="32"/>
          <w:szCs w:val="32"/>
          <w:highlight w:val="none"/>
          <w:lang w:val="en-US" w:eastAsia="zh-CN" w:bidi="ar-SA"/>
        </w:rPr>
        <w:t>2.1行政区域概况</w:t>
      </w:r>
    </w:p>
    <w:p>
      <w:pPr>
        <w:pStyle w:val="3"/>
        <w:keepNext w:val="0"/>
        <w:keepLines w:val="0"/>
        <w:pageBreakBefore w:val="0"/>
        <w:widowControl w:val="0"/>
        <w:kinsoku/>
        <w:wordWrap/>
        <w:overflowPunct/>
        <w:topLinePunct w:val="0"/>
        <w:autoSpaceDE/>
        <w:autoSpaceDN/>
        <w:bidi w:val="0"/>
        <w:adjustRightInd/>
        <w:snapToGrid/>
        <w:spacing w:before="0" w:beforeLines="0" w:after="0" w:afterLines="0" w:line="580" w:lineRule="exact"/>
        <w:ind w:firstLine="640" w:firstLineChars="200"/>
        <w:jc w:val="both"/>
        <w:textAlignment w:val="auto"/>
        <w:rPr>
          <w:rFonts w:hint="eastAsia" w:ascii="仿宋_GB2312" w:hAnsi="仿宋_GB2312" w:eastAsia="仿宋_GB2312" w:cs="仿宋_GB2312"/>
          <w:b w:val="0"/>
          <w:bCs w:val="0"/>
          <w:kern w:val="2"/>
          <w:sz w:val="32"/>
          <w:szCs w:val="32"/>
          <w:highlight w:val="none"/>
          <w:lang w:val="en-US" w:eastAsia="zh-CN" w:bidi="ar-SA"/>
        </w:rPr>
      </w:pPr>
      <w:r>
        <w:rPr>
          <w:rFonts w:hint="eastAsia" w:ascii="仿宋_GB2312" w:hAnsi="仿宋_GB2312" w:eastAsia="仿宋_GB2312" w:cs="仿宋_GB2312"/>
          <w:b w:val="0"/>
          <w:bCs w:val="0"/>
          <w:kern w:val="2"/>
          <w:sz w:val="32"/>
          <w:szCs w:val="32"/>
          <w:highlight w:val="none"/>
          <w:lang w:val="en-US" w:eastAsia="zh-CN" w:bidi="ar-SA"/>
        </w:rPr>
        <w:t>2.2国民经济概况</w:t>
      </w:r>
    </w:p>
    <w:p>
      <w:pPr>
        <w:pStyle w:val="3"/>
        <w:keepNext w:val="0"/>
        <w:keepLines w:val="0"/>
        <w:pageBreakBefore w:val="0"/>
        <w:widowControl w:val="0"/>
        <w:kinsoku/>
        <w:wordWrap/>
        <w:overflowPunct/>
        <w:topLinePunct w:val="0"/>
        <w:autoSpaceDE/>
        <w:autoSpaceDN/>
        <w:bidi w:val="0"/>
        <w:adjustRightInd/>
        <w:snapToGrid/>
        <w:spacing w:before="0" w:beforeLines="0" w:after="0" w:afterLines="0" w:line="580" w:lineRule="exact"/>
        <w:ind w:firstLine="640" w:firstLineChars="200"/>
        <w:jc w:val="both"/>
        <w:textAlignment w:val="auto"/>
        <w:rPr>
          <w:rFonts w:hint="eastAsia" w:ascii="仿宋_GB2312" w:hAnsi="仿宋_GB2312" w:eastAsia="仿宋_GB2312" w:cs="仿宋_GB2312"/>
          <w:b w:val="0"/>
          <w:bCs w:val="0"/>
          <w:kern w:val="2"/>
          <w:sz w:val="32"/>
          <w:szCs w:val="32"/>
          <w:highlight w:val="none"/>
          <w:lang w:val="en-US" w:eastAsia="zh-CN" w:bidi="ar-SA"/>
        </w:rPr>
      </w:pPr>
      <w:r>
        <w:rPr>
          <w:rFonts w:hint="eastAsia" w:ascii="仿宋_GB2312" w:hAnsi="仿宋_GB2312" w:eastAsia="仿宋_GB2312" w:cs="仿宋_GB2312"/>
          <w:b w:val="0"/>
          <w:bCs w:val="0"/>
          <w:kern w:val="2"/>
          <w:sz w:val="32"/>
          <w:szCs w:val="32"/>
          <w:highlight w:val="none"/>
          <w:lang w:val="en-US" w:eastAsia="zh-CN" w:bidi="ar-SA"/>
        </w:rPr>
        <w:t>3.园区供电情况及电网现状</w:t>
      </w:r>
    </w:p>
    <w:p>
      <w:pPr>
        <w:pStyle w:val="3"/>
        <w:keepNext w:val="0"/>
        <w:keepLines w:val="0"/>
        <w:pageBreakBefore w:val="0"/>
        <w:widowControl w:val="0"/>
        <w:kinsoku/>
        <w:wordWrap/>
        <w:overflowPunct/>
        <w:topLinePunct w:val="0"/>
        <w:autoSpaceDE/>
        <w:autoSpaceDN/>
        <w:bidi w:val="0"/>
        <w:adjustRightInd/>
        <w:snapToGrid/>
        <w:spacing w:before="0" w:beforeLines="0" w:after="0" w:afterLines="0" w:line="580" w:lineRule="exact"/>
        <w:ind w:firstLine="640" w:firstLineChars="200"/>
        <w:jc w:val="both"/>
        <w:textAlignment w:val="auto"/>
        <w:rPr>
          <w:rFonts w:hint="eastAsia" w:ascii="仿宋_GB2312" w:hAnsi="仿宋_GB2312" w:eastAsia="仿宋_GB2312" w:cs="仿宋_GB2312"/>
          <w:b w:val="0"/>
          <w:bCs w:val="0"/>
          <w:kern w:val="2"/>
          <w:sz w:val="32"/>
          <w:szCs w:val="32"/>
          <w:highlight w:val="none"/>
          <w:lang w:val="en-US" w:eastAsia="zh-CN" w:bidi="ar-SA"/>
        </w:rPr>
      </w:pPr>
      <w:r>
        <w:rPr>
          <w:rFonts w:hint="eastAsia" w:ascii="仿宋_GB2312" w:hAnsi="仿宋_GB2312" w:eastAsia="仿宋_GB2312" w:cs="仿宋_GB2312"/>
          <w:b w:val="0"/>
          <w:bCs w:val="0"/>
          <w:kern w:val="2"/>
          <w:sz w:val="32"/>
          <w:szCs w:val="32"/>
          <w:highlight w:val="none"/>
          <w:lang w:val="en-US" w:eastAsia="zh-CN" w:bidi="ar-SA"/>
        </w:rPr>
        <w:t>3.1供电组织架构发展历程及供电情况梳理</w:t>
      </w:r>
    </w:p>
    <w:p>
      <w:pPr>
        <w:pStyle w:val="3"/>
        <w:keepNext w:val="0"/>
        <w:keepLines w:val="0"/>
        <w:pageBreakBefore w:val="0"/>
        <w:widowControl w:val="0"/>
        <w:kinsoku/>
        <w:wordWrap/>
        <w:overflowPunct/>
        <w:topLinePunct w:val="0"/>
        <w:autoSpaceDE/>
        <w:autoSpaceDN/>
        <w:bidi w:val="0"/>
        <w:adjustRightInd/>
        <w:snapToGrid/>
        <w:spacing w:before="0" w:beforeLines="0" w:after="0" w:afterLines="0" w:line="580" w:lineRule="exact"/>
        <w:ind w:firstLine="640" w:firstLineChars="200"/>
        <w:jc w:val="both"/>
        <w:textAlignment w:val="auto"/>
        <w:rPr>
          <w:rFonts w:hint="eastAsia" w:ascii="仿宋_GB2312" w:hAnsi="仿宋_GB2312" w:eastAsia="仿宋_GB2312" w:cs="仿宋_GB2312"/>
          <w:b w:val="0"/>
          <w:bCs w:val="0"/>
          <w:kern w:val="2"/>
          <w:sz w:val="32"/>
          <w:szCs w:val="32"/>
          <w:highlight w:val="none"/>
          <w:lang w:val="en-US" w:eastAsia="zh-CN" w:bidi="ar-SA"/>
        </w:rPr>
      </w:pPr>
      <w:r>
        <w:rPr>
          <w:rFonts w:hint="eastAsia" w:ascii="仿宋_GB2312" w:hAnsi="仿宋_GB2312" w:eastAsia="仿宋_GB2312" w:cs="仿宋_GB2312"/>
          <w:b w:val="0"/>
          <w:bCs w:val="0"/>
          <w:kern w:val="2"/>
          <w:sz w:val="32"/>
          <w:szCs w:val="32"/>
          <w:highlight w:val="none"/>
          <w:lang w:val="en-US" w:eastAsia="zh-CN" w:bidi="ar-SA"/>
        </w:rPr>
        <w:t>3.2电源及电网建设现状</w:t>
      </w:r>
    </w:p>
    <w:p>
      <w:pPr>
        <w:pStyle w:val="3"/>
        <w:keepNext w:val="0"/>
        <w:keepLines w:val="0"/>
        <w:pageBreakBefore w:val="0"/>
        <w:widowControl w:val="0"/>
        <w:kinsoku/>
        <w:wordWrap/>
        <w:overflowPunct/>
        <w:topLinePunct w:val="0"/>
        <w:autoSpaceDE/>
        <w:autoSpaceDN/>
        <w:bidi w:val="0"/>
        <w:adjustRightInd/>
        <w:snapToGrid/>
        <w:spacing w:before="0" w:beforeLines="0" w:after="0" w:afterLines="0" w:line="580" w:lineRule="exact"/>
        <w:ind w:firstLine="640" w:firstLineChars="200"/>
        <w:jc w:val="both"/>
        <w:textAlignment w:val="auto"/>
        <w:rPr>
          <w:rFonts w:hint="eastAsia" w:ascii="仿宋_GB2312" w:hAnsi="仿宋_GB2312" w:eastAsia="仿宋_GB2312" w:cs="仿宋_GB2312"/>
          <w:b w:val="0"/>
          <w:bCs w:val="0"/>
          <w:kern w:val="2"/>
          <w:sz w:val="32"/>
          <w:szCs w:val="32"/>
          <w:highlight w:val="none"/>
          <w:lang w:val="en-US" w:eastAsia="zh-CN" w:bidi="ar-SA"/>
        </w:rPr>
      </w:pPr>
      <w:r>
        <w:rPr>
          <w:rFonts w:hint="eastAsia" w:ascii="仿宋_GB2312" w:hAnsi="仿宋_GB2312" w:eastAsia="仿宋_GB2312" w:cs="仿宋_GB2312"/>
          <w:b w:val="0"/>
          <w:bCs w:val="0"/>
          <w:kern w:val="2"/>
          <w:sz w:val="32"/>
          <w:szCs w:val="32"/>
          <w:highlight w:val="none"/>
          <w:lang w:val="en-US" w:eastAsia="zh-CN" w:bidi="ar-SA"/>
        </w:rPr>
        <w:t>3.2.1常规电源及新能源建设现状</w:t>
      </w:r>
    </w:p>
    <w:p>
      <w:pPr>
        <w:pStyle w:val="3"/>
        <w:keepNext w:val="0"/>
        <w:keepLines w:val="0"/>
        <w:pageBreakBefore w:val="0"/>
        <w:widowControl w:val="0"/>
        <w:kinsoku/>
        <w:wordWrap/>
        <w:overflowPunct/>
        <w:topLinePunct w:val="0"/>
        <w:autoSpaceDE/>
        <w:autoSpaceDN/>
        <w:bidi w:val="0"/>
        <w:adjustRightInd/>
        <w:snapToGrid/>
        <w:spacing w:before="0" w:beforeLines="0" w:after="0" w:afterLines="0" w:line="580" w:lineRule="exact"/>
        <w:ind w:firstLine="640" w:firstLineChars="200"/>
        <w:jc w:val="both"/>
        <w:textAlignment w:val="auto"/>
        <w:rPr>
          <w:rFonts w:hint="eastAsia" w:ascii="仿宋_GB2312" w:hAnsi="仿宋_GB2312" w:eastAsia="仿宋_GB2312" w:cs="仿宋_GB2312"/>
          <w:b w:val="0"/>
          <w:bCs w:val="0"/>
          <w:kern w:val="2"/>
          <w:sz w:val="32"/>
          <w:szCs w:val="32"/>
          <w:highlight w:val="none"/>
          <w:lang w:val="en-US" w:eastAsia="zh-CN" w:bidi="ar-SA"/>
        </w:rPr>
      </w:pPr>
      <w:r>
        <w:rPr>
          <w:rFonts w:hint="eastAsia" w:ascii="仿宋_GB2312" w:hAnsi="仿宋_GB2312" w:eastAsia="仿宋_GB2312" w:cs="仿宋_GB2312"/>
          <w:b w:val="0"/>
          <w:bCs w:val="0"/>
          <w:kern w:val="2"/>
          <w:sz w:val="32"/>
          <w:szCs w:val="32"/>
          <w:highlight w:val="none"/>
          <w:lang w:val="en-US" w:eastAsia="zh-CN" w:bidi="ar-SA"/>
        </w:rPr>
        <w:t>3.2.2高压电网建设现状</w:t>
      </w:r>
    </w:p>
    <w:p>
      <w:pPr>
        <w:pStyle w:val="3"/>
        <w:keepNext w:val="0"/>
        <w:keepLines w:val="0"/>
        <w:pageBreakBefore w:val="0"/>
        <w:widowControl w:val="0"/>
        <w:kinsoku/>
        <w:wordWrap/>
        <w:overflowPunct/>
        <w:topLinePunct w:val="0"/>
        <w:autoSpaceDE/>
        <w:autoSpaceDN/>
        <w:bidi w:val="0"/>
        <w:adjustRightInd/>
        <w:snapToGrid/>
        <w:spacing w:before="0" w:beforeLines="0" w:after="0" w:afterLines="0" w:line="580" w:lineRule="exact"/>
        <w:ind w:firstLine="640" w:firstLineChars="200"/>
        <w:jc w:val="both"/>
        <w:textAlignment w:val="auto"/>
        <w:rPr>
          <w:rFonts w:hint="eastAsia" w:ascii="仿宋_GB2312" w:hAnsi="仿宋_GB2312" w:eastAsia="仿宋_GB2312" w:cs="仿宋_GB2312"/>
          <w:b w:val="0"/>
          <w:bCs w:val="0"/>
          <w:kern w:val="2"/>
          <w:sz w:val="32"/>
          <w:szCs w:val="32"/>
          <w:highlight w:val="none"/>
          <w:lang w:val="en-US" w:eastAsia="zh-CN" w:bidi="ar-SA"/>
        </w:rPr>
      </w:pPr>
      <w:r>
        <w:rPr>
          <w:rFonts w:hint="eastAsia" w:ascii="仿宋_GB2312" w:hAnsi="仿宋_GB2312" w:eastAsia="仿宋_GB2312" w:cs="仿宋_GB2312"/>
          <w:b w:val="0"/>
          <w:bCs w:val="0"/>
          <w:kern w:val="2"/>
          <w:sz w:val="32"/>
          <w:szCs w:val="32"/>
          <w:highlight w:val="none"/>
          <w:lang w:val="en-US" w:eastAsia="zh-CN" w:bidi="ar-SA"/>
        </w:rPr>
        <w:t>3.2.3中、低压配电网建设现状</w:t>
      </w:r>
    </w:p>
    <w:p>
      <w:pPr>
        <w:pStyle w:val="3"/>
        <w:keepNext w:val="0"/>
        <w:keepLines w:val="0"/>
        <w:pageBreakBefore w:val="0"/>
        <w:widowControl w:val="0"/>
        <w:kinsoku/>
        <w:wordWrap/>
        <w:overflowPunct/>
        <w:topLinePunct w:val="0"/>
        <w:autoSpaceDE/>
        <w:autoSpaceDN/>
        <w:bidi w:val="0"/>
        <w:adjustRightInd/>
        <w:snapToGrid/>
        <w:spacing w:before="0" w:beforeLines="0" w:after="0" w:afterLines="0" w:line="580" w:lineRule="exact"/>
        <w:ind w:firstLine="640" w:firstLineChars="200"/>
        <w:jc w:val="both"/>
        <w:textAlignment w:val="auto"/>
        <w:rPr>
          <w:rFonts w:hint="eastAsia" w:ascii="仿宋_GB2312" w:hAnsi="仿宋_GB2312" w:eastAsia="仿宋_GB2312" w:cs="仿宋_GB2312"/>
          <w:b w:val="0"/>
          <w:bCs w:val="0"/>
          <w:kern w:val="2"/>
          <w:sz w:val="32"/>
          <w:szCs w:val="32"/>
          <w:highlight w:val="none"/>
          <w:lang w:val="en-US" w:eastAsia="zh-CN" w:bidi="ar-SA"/>
        </w:rPr>
      </w:pPr>
      <w:r>
        <w:rPr>
          <w:rFonts w:hint="eastAsia" w:ascii="仿宋_GB2312" w:hAnsi="仿宋_GB2312" w:eastAsia="仿宋_GB2312" w:cs="仿宋_GB2312"/>
          <w:b w:val="0"/>
          <w:bCs w:val="0"/>
          <w:kern w:val="2"/>
          <w:sz w:val="32"/>
          <w:szCs w:val="32"/>
          <w:highlight w:val="none"/>
          <w:lang w:val="en-US" w:eastAsia="zh-CN" w:bidi="ar-SA"/>
        </w:rPr>
        <w:t>4.2025-2030年负荷预测及电力平衡</w:t>
      </w:r>
    </w:p>
    <w:p>
      <w:pPr>
        <w:pStyle w:val="3"/>
        <w:keepNext w:val="0"/>
        <w:keepLines w:val="0"/>
        <w:pageBreakBefore w:val="0"/>
        <w:widowControl w:val="0"/>
        <w:kinsoku/>
        <w:wordWrap/>
        <w:overflowPunct/>
        <w:topLinePunct w:val="0"/>
        <w:autoSpaceDE/>
        <w:autoSpaceDN/>
        <w:bidi w:val="0"/>
        <w:adjustRightInd/>
        <w:snapToGrid/>
        <w:spacing w:before="0" w:beforeLines="0" w:after="0" w:afterLines="0" w:line="580" w:lineRule="exact"/>
        <w:ind w:firstLine="640" w:firstLineChars="200"/>
        <w:jc w:val="both"/>
        <w:textAlignment w:val="auto"/>
        <w:rPr>
          <w:rFonts w:hint="eastAsia" w:ascii="仿宋_GB2312" w:hAnsi="仿宋_GB2312" w:eastAsia="仿宋_GB2312" w:cs="仿宋_GB2312"/>
          <w:b w:val="0"/>
          <w:bCs w:val="0"/>
          <w:kern w:val="2"/>
          <w:sz w:val="32"/>
          <w:szCs w:val="32"/>
          <w:highlight w:val="none"/>
          <w:lang w:val="en-US" w:eastAsia="zh-CN" w:bidi="ar-SA"/>
        </w:rPr>
      </w:pPr>
      <w:r>
        <w:rPr>
          <w:rFonts w:hint="eastAsia" w:ascii="仿宋_GB2312" w:hAnsi="仿宋_GB2312" w:eastAsia="仿宋_GB2312" w:cs="仿宋_GB2312"/>
          <w:b w:val="0"/>
          <w:bCs w:val="0"/>
          <w:kern w:val="2"/>
          <w:sz w:val="32"/>
          <w:szCs w:val="32"/>
          <w:highlight w:val="none"/>
          <w:lang w:val="en-US" w:eastAsia="zh-CN" w:bidi="ar-SA"/>
        </w:rPr>
        <w:t>4.1负荷预测</w:t>
      </w:r>
    </w:p>
    <w:p>
      <w:pPr>
        <w:pStyle w:val="3"/>
        <w:keepNext w:val="0"/>
        <w:keepLines w:val="0"/>
        <w:pageBreakBefore w:val="0"/>
        <w:widowControl w:val="0"/>
        <w:kinsoku/>
        <w:wordWrap/>
        <w:overflowPunct/>
        <w:topLinePunct w:val="0"/>
        <w:autoSpaceDE/>
        <w:autoSpaceDN/>
        <w:bidi w:val="0"/>
        <w:adjustRightInd/>
        <w:snapToGrid/>
        <w:spacing w:before="0" w:beforeLines="0" w:after="0" w:afterLines="0" w:line="580" w:lineRule="exact"/>
        <w:ind w:firstLine="640" w:firstLineChars="200"/>
        <w:jc w:val="both"/>
        <w:textAlignment w:val="auto"/>
        <w:rPr>
          <w:rFonts w:hint="eastAsia" w:ascii="仿宋_GB2312" w:hAnsi="仿宋_GB2312" w:eastAsia="仿宋_GB2312" w:cs="仿宋_GB2312"/>
          <w:b w:val="0"/>
          <w:bCs w:val="0"/>
          <w:kern w:val="2"/>
          <w:sz w:val="32"/>
          <w:szCs w:val="32"/>
          <w:highlight w:val="none"/>
          <w:lang w:val="en-US" w:eastAsia="zh-CN" w:bidi="ar-SA"/>
        </w:rPr>
      </w:pPr>
      <w:r>
        <w:rPr>
          <w:rFonts w:hint="eastAsia" w:ascii="仿宋_GB2312" w:hAnsi="仿宋_GB2312" w:eastAsia="仿宋_GB2312" w:cs="仿宋_GB2312"/>
          <w:b w:val="0"/>
          <w:bCs w:val="0"/>
          <w:kern w:val="2"/>
          <w:sz w:val="32"/>
          <w:szCs w:val="32"/>
          <w:highlight w:val="none"/>
          <w:lang w:val="en-US" w:eastAsia="zh-CN" w:bidi="ar-SA"/>
        </w:rPr>
        <w:t>4.1.1自然增长法负荷预测</w:t>
      </w:r>
    </w:p>
    <w:p>
      <w:pPr>
        <w:pStyle w:val="3"/>
        <w:keepNext w:val="0"/>
        <w:keepLines w:val="0"/>
        <w:pageBreakBefore w:val="0"/>
        <w:widowControl w:val="0"/>
        <w:kinsoku/>
        <w:wordWrap/>
        <w:overflowPunct/>
        <w:topLinePunct w:val="0"/>
        <w:autoSpaceDE/>
        <w:autoSpaceDN/>
        <w:bidi w:val="0"/>
        <w:adjustRightInd/>
        <w:snapToGrid/>
        <w:spacing w:before="0" w:beforeLines="0" w:after="0" w:afterLines="0" w:line="580" w:lineRule="exact"/>
        <w:ind w:firstLine="640" w:firstLineChars="200"/>
        <w:jc w:val="both"/>
        <w:textAlignment w:val="auto"/>
        <w:rPr>
          <w:rFonts w:hint="eastAsia" w:ascii="仿宋_GB2312" w:hAnsi="仿宋_GB2312" w:eastAsia="仿宋_GB2312" w:cs="仿宋_GB2312"/>
          <w:b w:val="0"/>
          <w:bCs w:val="0"/>
          <w:kern w:val="2"/>
          <w:sz w:val="32"/>
          <w:szCs w:val="32"/>
          <w:highlight w:val="none"/>
          <w:lang w:val="en-US" w:eastAsia="zh-CN" w:bidi="ar-SA"/>
        </w:rPr>
      </w:pPr>
      <w:r>
        <w:rPr>
          <w:rFonts w:hint="eastAsia" w:ascii="仿宋_GB2312" w:hAnsi="仿宋_GB2312" w:eastAsia="仿宋_GB2312" w:cs="仿宋_GB2312"/>
          <w:b w:val="0"/>
          <w:bCs w:val="0"/>
          <w:kern w:val="2"/>
          <w:sz w:val="32"/>
          <w:szCs w:val="32"/>
          <w:highlight w:val="none"/>
          <w:lang w:val="en-US" w:eastAsia="zh-CN" w:bidi="ar-SA"/>
        </w:rPr>
        <w:t>4.1.2二次回归法负荷预测</w:t>
      </w:r>
    </w:p>
    <w:p>
      <w:pPr>
        <w:pStyle w:val="3"/>
        <w:keepNext w:val="0"/>
        <w:keepLines w:val="0"/>
        <w:pageBreakBefore w:val="0"/>
        <w:widowControl w:val="0"/>
        <w:kinsoku/>
        <w:wordWrap/>
        <w:overflowPunct/>
        <w:topLinePunct w:val="0"/>
        <w:autoSpaceDE/>
        <w:autoSpaceDN/>
        <w:bidi w:val="0"/>
        <w:adjustRightInd/>
        <w:snapToGrid/>
        <w:spacing w:before="0" w:beforeLines="0" w:after="0" w:afterLines="0" w:line="580" w:lineRule="exact"/>
        <w:ind w:firstLine="640" w:firstLineChars="200"/>
        <w:jc w:val="both"/>
        <w:textAlignment w:val="auto"/>
        <w:rPr>
          <w:rFonts w:hint="eastAsia" w:ascii="仿宋_GB2312" w:hAnsi="仿宋_GB2312" w:eastAsia="仿宋_GB2312" w:cs="仿宋_GB2312"/>
          <w:b w:val="0"/>
          <w:bCs w:val="0"/>
          <w:kern w:val="2"/>
          <w:sz w:val="32"/>
          <w:szCs w:val="32"/>
          <w:highlight w:val="none"/>
          <w:lang w:val="en-US" w:eastAsia="zh-CN" w:bidi="ar-SA"/>
        </w:rPr>
      </w:pPr>
      <w:r>
        <w:rPr>
          <w:rFonts w:hint="eastAsia" w:ascii="仿宋_GB2312" w:hAnsi="仿宋_GB2312" w:eastAsia="仿宋_GB2312" w:cs="仿宋_GB2312"/>
          <w:b w:val="0"/>
          <w:bCs w:val="0"/>
          <w:kern w:val="2"/>
          <w:sz w:val="32"/>
          <w:szCs w:val="32"/>
          <w:highlight w:val="none"/>
          <w:lang w:val="en-US" w:eastAsia="zh-CN" w:bidi="ar-SA"/>
        </w:rPr>
        <w:t>4.2电力平衡</w:t>
      </w:r>
    </w:p>
    <w:p>
      <w:pPr>
        <w:pStyle w:val="3"/>
        <w:keepNext w:val="0"/>
        <w:keepLines w:val="0"/>
        <w:pageBreakBefore w:val="0"/>
        <w:widowControl w:val="0"/>
        <w:kinsoku/>
        <w:wordWrap/>
        <w:overflowPunct/>
        <w:topLinePunct w:val="0"/>
        <w:autoSpaceDE/>
        <w:autoSpaceDN/>
        <w:bidi w:val="0"/>
        <w:adjustRightInd/>
        <w:snapToGrid/>
        <w:spacing w:before="0" w:beforeLines="0" w:after="0" w:afterLines="0" w:line="580" w:lineRule="exact"/>
        <w:ind w:firstLine="640" w:firstLineChars="200"/>
        <w:jc w:val="both"/>
        <w:textAlignment w:val="auto"/>
        <w:rPr>
          <w:rFonts w:hint="eastAsia" w:ascii="仿宋_GB2312" w:hAnsi="仿宋_GB2312" w:eastAsia="仿宋_GB2312" w:cs="仿宋_GB2312"/>
          <w:b w:val="0"/>
          <w:bCs w:val="0"/>
          <w:kern w:val="2"/>
          <w:sz w:val="32"/>
          <w:szCs w:val="32"/>
          <w:highlight w:val="none"/>
          <w:lang w:val="en-US" w:eastAsia="zh-CN" w:bidi="ar-SA"/>
        </w:rPr>
      </w:pPr>
      <w:r>
        <w:rPr>
          <w:rFonts w:hint="eastAsia" w:ascii="仿宋_GB2312" w:hAnsi="仿宋_GB2312" w:eastAsia="仿宋_GB2312" w:cs="仿宋_GB2312"/>
          <w:b w:val="0"/>
          <w:bCs w:val="0"/>
          <w:kern w:val="2"/>
          <w:sz w:val="32"/>
          <w:szCs w:val="32"/>
          <w:highlight w:val="none"/>
          <w:lang w:val="en-US" w:eastAsia="zh-CN" w:bidi="ar-SA"/>
        </w:rPr>
        <w:t>4.2.1电力平衡的主要原则</w:t>
      </w:r>
    </w:p>
    <w:p>
      <w:pPr>
        <w:pStyle w:val="3"/>
        <w:keepNext w:val="0"/>
        <w:keepLines w:val="0"/>
        <w:pageBreakBefore w:val="0"/>
        <w:widowControl w:val="0"/>
        <w:kinsoku/>
        <w:wordWrap/>
        <w:overflowPunct/>
        <w:topLinePunct w:val="0"/>
        <w:autoSpaceDE/>
        <w:autoSpaceDN/>
        <w:bidi w:val="0"/>
        <w:adjustRightInd/>
        <w:snapToGrid/>
        <w:spacing w:before="0" w:beforeLines="0" w:after="0" w:afterLines="0" w:line="580" w:lineRule="exact"/>
        <w:ind w:firstLine="640" w:firstLineChars="200"/>
        <w:jc w:val="both"/>
        <w:textAlignment w:val="auto"/>
        <w:rPr>
          <w:rFonts w:hint="eastAsia" w:ascii="仿宋_GB2312" w:hAnsi="仿宋_GB2312" w:eastAsia="仿宋_GB2312" w:cs="仿宋_GB2312"/>
          <w:b w:val="0"/>
          <w:bCs w:val="0"/>
          <w:kern w:val="2"/>
          <w:sz w:val="32"/>
          <w:szCs w:val="32"/>
          <w:highlight w:val="none"/>
          <w:lang w:val="en-US" w:eastAsia="zh-CN" w:bidi="ar-SA"/>
        </w:rPr>
      </w:pPr>
      <w:r>
        <w:rPr>
          <w:rFonts w:hint="eastAsia" w:ascii="仿宋_GB2312" w:hAnsi="仿宋_GB2312" w:eastAsia="仿宋_GB2312" w:cs="仿宋_GB2312"/>
          <w:b w:val="0"/>
          <w:bCs w:val="0"/>
          <w:kern w:val="2"/>
          <w:sz w:val="32"/>
          <w:szCs w:val="32"/>
          <w:highlight w:val="none"/>
          <w:lang w:val="en-US" w:eastAsia="zh-CN" w:bidi="ar-SA"/>
        </w:rPr>
        <w:t>4.2.2电力平衡及降压容量需求预测</w:t>
      </w:r>
    </w:p>
    <w:p>
      <w:pPr>
        <w:pStyle w:val="3"/>
        <w:keepNext w:val="0"/>
        <w:keepLines w:val="0"/>
        <w:pageBreakBefore w:val="0"/>
        <w:widowControl w:val="0"/>
        <w:kinsoku/>
        <w:wordWrap/>
        <w:overflowPunct/>
        <w:topLinePunct w:val="0"/>
        <w:autoSpaceDE/>
        <w:autoSpaceDN/>
        <w:bidi w:val="0"/>
        <w:adjustRightInd/>
        <w:snapToGrid/>
        <w:spacing w:before="0" w:beforeLines="0" w:after="0" w:afterLines="0" w:line="580" w:lineRule="exact"/>
        <w:ind w:firstLine="640" w:firstLineChars="200"/>
        <w:jc w:val="both"/>
        <w:textAlignment w:val="auto"/>
        <w:rPr>
          <w:rFonts w:hint="eastAsia" w:ascii="仿宋_GB2312" w:hAnsi="仿宋_GB2312" w:eastAsia="仿宋_GB2312" w:cs="仿宋_GB2312"/>
          <w:b w:val="0"/>
          <w:bCs w:val="0"/>
          <w:kern w:val="2"/>
          <w:sz w:val="32"/>
          <w:szCs w:val="32"/>
          <w:highlight w:val="none"/>
          <w:lang w:val="en-US" w:eastAsia="zh-CN" w:bidi="ar-SA"/>
        </w:rPr>
      </w:pPr>
      <w:r>
        <w:rPr>
          <w:rFonts w:hint="eastAsia" w:ascii="仿宋_GB2312" w:hAnsi="仿宋_GB2312" w:eastAsia="仿宋_GB2312" w:cs="仿宋_GB2312"/>
          <w:b w:val="0"/>
          <w:bCs w:val="0"/>
          <w:kern w:val="2"/>
          <w:sz w:val="32"/>
          <w:szCs w:val="32"/>
          <w:highlight w:val="none"/>
          <w:lang w:val="en-US" w:eastAsia="zh-CN" w:bidi="ar-SA"/>
        </w:rPr>
        <w:t>5.园区电网规划</w:t>
      </w:r>
    </w:p>
    <w:p>
      <w:pPr>
        <w:pStyle w:val="3"/>
        <w:keepNext w:val="0"/>
        <w:keepLines w:val="0"/>
        <w:pageBreakBefore w:val="0"/>
        <w:widowControl w:val="0"/>
        <w:kinsoku/>
        <w:wordWrap/>
        <w:overflowPunct/>
        <w:topLinePunct w:val="0"/>
        <w:autoSpaceDE/>
        <w:autoSpaceDN/>
        <w:bidi w:val="0"/>
        <w:adjustRightInd/>
        <w:snapToGrid/>
        <w:spacing w:before="0" w:beforeLines="0" w:after="0" w:afterLines="0" w:line="580" w:lineRule="exact"/>
        <w:ind w:firstLine="640" w:firstLineChars="200"/>
        <w:jc w:val="both"/>
        <w:textAlignment w:val="auto"/>
        <w:rPr>
          <w:rFonts w:hint="eastAsia" w:ascii="仿宋_GB2312" w:hAnsi="仿宋_GB2312" w:eastAsia="仿宋_GB2312" w:cs="仿宋_GB2312"/>
          <w:b w:val="0"/>
          <w:bCs w:val="0"/>
          <w:kern w:val="2"/>
          <w:sz w:val="32"/>
          <w:szCs w:val="32"/>
          <w:highlight w:val="none"/>
          <w:lang w:val="en-US" w:eastAsia="zh-CN" w:bidi="ar-SA"/>
        </w:rPr>
      </w:pPr>
      <w:r>
        <w:rPr>
          <w:rFonts w:hint="eastAsia" w:ascii="仿宋_GB2312" w:hAnsi="仿宋_GB2312" w:eastAsia="仿宋_GB2312" w:cs="仿宋_GB2312"/>
          <w:b w:val="0"/>
          <w:bCs w:val="0"/>
          <w:kern w:val="2"/>
          <w:sz w:val="32"/>
          <w:szCs w:val="32"/>
          <w:highlight w:val="none"/>
          <w:lang w:val="en-US" w:eastAsia="zh-CN" w:bidi="ar-SA"/>
        </w:rPr>
        <w:t>5.1 常规电源及新能源规划</w:t>
      </w:r>
    </w:p>
    <w:p>
      <w:pPr>
        <w:pStyle w:val="3"/>
        <w:keepNext w:val="0"/>
        <w:keepLines w:val="0"/>
        <w:pageBreakBefore w:val="0"/>
        <w:widowControl w:val="0"/>
        <w:kinsoku/>
        <w:wordWrap/>
        <w:overflowPunct/>
        <w:topLinePunct w:val="0"/>
        <w:autoSpaceDE/>
        <w:autoSpaceDN/>
        <w:bidi w:val="0"/>
        <w:adjustRightInd/>
        <w:snapToGrid/>
        <w:spacing w:before="0" w:beforeLines="0" w:after="0" w:afterLines="0" w:line="580" w:lineRule="exact"/>
        <w:ind w:firstLine="640" w:firstLineChars="200"/>
        <w:jc w:val="both"/>
        <w:textAlignment w:val="auto"/>
        <w:rPr>
          <w:rFonts w:hint="eastAsia" w:ascii="仿宋_GB2312" w:hAnsi="仿宋_GB2312" w:eastAsia="仿宋_GB2312" w:cs="仿宋_GB2312"/>
          <w:b w:val="0"/>
          <w:bCs w:val="0"/>
          <w:kern w:val="2"/>
          <w:sz w:val="32"/>
          <w:szCs w:val="32"/>
          <w:highlight w:val="none"/>
          <w:lang w:val="en-US" w:eastAsia="zh-CN" w:bidi="ar-SA"/>
        </w:rPr>
      </w:pPr>
      <w:r>
        <w:rPr>
          <w:rFonts w:hint="eastAsia" w:ascii="仿宋_GB2312" w:hAnsi="仿宋_GB2312" w:eastAsia="仿宋_GB2312" w:cs="仿宋_GB2312"/>
          <w:b w:val="0"/>
          <w:bCs w:val="0"/>
          <w:kern w:val="2"/>
          <w:sz w:val="32"/>
          <w:szCs w:val="32"/>
          <w:highlight w:val="none"/>
          <w:lang w:val="en-US" w:eastAsia="zh-CN" w:bidi="ar-SA"/>
        </w:rPr>
        <w:t>5.2 高压配电网规划</w:t>
      </w:r>
    </w:p>
    <w:p>
      <w:pPr>
        <w:pStyle w:val="3"/>
        <w:keepNext w:val="0"/>
        <w:keepLines w:val="0"/>
        <w:pageBreakBefore w:val="0"/>
        <w:widowControl w:val="0"/>
        <w:kinsoku/>
        <w:wordWrap/>
        <w:overflowPunct/>
        <w:topLinePunct w:val="0"/>
        <w:autoSpaceDE/>
        <w:autoSpaceDN/>
        <w:bidi w:val="0"/>
        <w:adjustRightInd/>
        <w:snapToGrid/>
        <w:spacing w:before="0" w:beforeLines="0" w:after="0" w:afterLines="0" w:line="580" w:lineRule="exact"/>
        <w:ind w:firstLine="640" w:firstLineChars="200"/>
        <w:jc w:val="both"/>
        <w:textAlignment w:val="auto"/>
        <w:rPr>
          <w:rFonts w:hint="eastAsia" w:ascii="仿宋_GB2312" w:hAnsi="仿宋_GB2312" w:eastAsia="仿宋_GB2312" w:cs="仿宋_GB2312"/>
          <w:b w:val="0"/>
          <w:bCs w:val="0"/>
          <w:kern w:val="2"/>
          <w:sz w:val="32"/>
          <w:szCs w:val="32"/>
          <w:highlight w:val="none"/>
          <w:lang w:val="en-US" w:eastAsia="zh-CN" w:bidi="ar-SA"/>
        </w:rPr>
      </w:pPr>
      <w:r>
        <w:rPr>
          <w:rFonts w:hint="eastAsia" w:ascii="仿宋_GB2312" w:hAnsi="仿宋_GB2312" w:eastAsia="仿宋_GB2312" w:cs="仿宋_GB2312"/>
          <w:b w:val="0"/>
          <w:bCs w:val="0"/>
          <w:kern w:val="2"/>
          <w:sz w:val="32"/>
          <w:szCs w:val="32"/>
          <w:highlight w:val="none"/>
          <w:lang w:val="en-US" w:eastAsia="zh-CN" w:bidi="ar-SA"/>
        </w:rPr>
        <w:t>5.3 中、低压配电网规划</w:t>
      </w:r>
    </w:p>
    <w:p>
      <w:pPr>
        <w:pStyle w:val="3"/>
        <w:keepNext w:val="0"/>
        <w:keepLines w:val="0"/>
        <w:pageBreakBefore w:val="0"/>
        <w:widowControl w:val="0"/>
        <w:kinsoku/>
        <w:wordWrap/>
        <w:overflowPunct/>
        <w:topLinePunct w:val="0"/>
        <w:autoSpaceDE/>
        <w:autoSpaceDN/>
        <w:bidi w:val="0"/>
        <w:adjustRightInd/>
        <w:snapToGrid/>
        <w:spacing w:before="0" w:beforeLines="0" w:after="0" w:afterLines="0" w:line="580" w:lineRule="exact"/>
        <w:ind w:firstLine="640" w:firstLineChars="200"/>
        <w:jc w:val="both"/>
        <w:textAlignment w:val="auto"/>
        <w:rPr>
          <w:rFonts w:hint="eastAsia" w:ascii="仿宋_GB2312" w:hAnsi="仿宋_GB2312" w:eastAsia="仿宋_GB2312" w:cs="仿宋_GB2312"/>
          <w:b w:val="0"/>
          <w:bCs w:val="0"/>
          <w:kern w:val="2"/>
          <w:sz w:val="32"/>
          <w:szCs w:val="32"/>
          <w:highlight w:val="none"/>
          <w:lang w:val="en-US" w:eastAsia="zh-CN" w:bidi="ar-SA"/>
        </w:rPr>
      </w:pPr>
      <w:r>
        <w:rPr>
          <w:rFonts w:hint="eastAsia" w:ascii="仿宋_GB2312" w:hAnsi="仿宋_GB2312" w:eastAsia="仿宋_GB2312" w:cs="仿宋_GB2312"/>
          <w:b w:val="0"/>
          <w:bCs w:val="0"/>
          <w:kern w:val="2"/>
          <w:sz w:val="32"/>
          <w:szCs w:val="32"/>
          <w:highlight w:val="none"/>
          <w:lang w:val="en-US" w:eastAsia="zh-CN" w:bidi="ar-SA"/>
        </w:rPr>
        <w:t>6.投资估算及经济技术比较</w:t>
      </w:r>
    </w:p>
    <w:p>
      <w:pPr>
        <w:pStyle w:val="3"/>
        <w:keepNext w:val="0"/>
        <w:keepLines w:val="0"/>
        <w:pageBreakBefore w:val="0"/>
        <w:widowControl w:val="0"/>
        <w:kinsoku/>
        <w:wordWrap/>
        <w:overflowPunct/>
        <w:topLinePunct w:val="0"/>
        <w:autoSpaceDE/>
        <w:autoSpaceDN/>
        <w:bidi w:val="0"/>
        <w:adjustRightInd/>
        <w:snapToGrid/>
        <w:spacing w:before="0" w:beforeLines="0" w:after="0" w:afterLines="0" w:line="580" w:lineRule="exact"/>
        <w:ind w:firstLine="640" w:firstLineChars="200"/>
        <w:jc w:val="both"/>
        <w:textAlignment w:val="auto"/>
        <w:rPr>
          <w:rFonts w:hint="eastAsia" w:ascii="仿宋_GB2312" w:hAnsi="仿宋_GB2312" w:eastAsia="仿宋_GB2312" w:cs="仿宋_GB2312"/>
          <w:b w:val="0"/>
          <w:bCs w:val="0"/>
          <w:kern w:val="2"/>
          <w:sz w:val="32"/>
          <w:szCs w:val="32"/>
          <w:highlight w:val="none"/>
          <w:lang w:val="en-US" w:eastAsia="zh-CN" w:bidi="ar-SA"/>
        </w:rPr>
      </w:pPr>
      <w:r>
        <w:rPr>
          <w:rFonts w:hint="eastAsia" w:ascii="仿宋_GB2312" w:hAnsi="仿宋_GB2312" w:eastAsia="仿宋_GB2312" w:cs="仿宋_GB2312"/>
          <w:b w:val="0"/>
          <w:bCs w:val="0"/>
          <w:kern w:val="2"/>
          <w:sz w:val="32"/>
          <w:szCs w:val="32"/>
          <w:highlight w:val="none"/>
          <w:lang w:val="en-US" w:eastAsia="zh-CN" w:bidi="ar-SA"/>
        </w:rPr>
        <w:t>7.结论及建议</w:t>
      </w:r>
    </w:p>
    <w:p>
      <w:pPr>
        <w:pStyle w:val="3"/>
        <w:keepNext w:val="0"/>
        <w:keepLines w:val="0"/>
        <w:pageBreakBefore w:val="0"/>
        <w:widowControl w:val="0"/>
        <w:kinsoku/>
        <w:wordWrap/>
        <w:overflowPunct/>
        <w:topLinePunct w:val="0"/>
        <w:autoSpaceDE/>
        <w:autoSpaceDN/>
        <w:bidi w:val="0"/>
        <w:adjustRightInd/>
        <w:snapToGrid/>
        <w:spacing w:before="0" w:beforeLines="0" w:after="0" w:afterLines="0" w:line="580" w:lineRule="exact"/>
        <w:ind w:firstLine="640" w:firstLineChars="200"/>
        <w:jc w:val="both"/>
        <w:textAlignment w:val="auto"/>
        <w:rPr>
          <w:rFonts w:hint="eastAsia" w:ascii="仿宋_GB2312" w:hAnsi="仿宋_GB2312" w:eastAsia="仿宋_GB2312" w:cs="仿宋_GB2312"/>
          <w:b w:val="0"/>
          <w:bCs w:val="0"/>
          <w:kern w:val="2"/>
          <w:sz w:val="32"/>
          <w:szCs w:val="32"/>
          <w:highlight w:val="none"/>
          <w:lang w:val="en-US" w:eastAsia="zh-CN" w:bidi="ar-SA"/>
        </w:rPr>
      </w:pPr>
      <w:r>
        <w:rPr>
          <w:rFonts w:hint="eastAsia" w:ascii="仿宋_GB2312" w:hAnsi="仿宋_GB2312" w:eastAsia="仿宋_GB2312" w:cs="仿宋_GB2312"/>
          <w:b w:val="0"/>
          <w:bCs w:val="0"/>
          <w:kern w:val="2"/>
          <w:sz w:val="32"/>
          <w:szCs w:val="32"/>
          <w:highlight w:val="none"/>
          <w:lang w:val="en-US" w:eastAsia="zh-CN" w:bidi="ar-SA"/>
        </w:rPr>
        <w:t>附件:规划项目库、历年地理接线图等</w:t>
      </w:r>
    </w:p>
    <w:p>
      <w:pPr>
        <w:pStyle w:val="3"/>
        <w:keepNext w:val="0"/>
        <w:keepLines w:val="0"/>
        <w:pageBreakBefore w:val="0"/>
        <w:widowControl w:val="0"/>
        <w:kinsoku/>
        <w:wordWrap/>
        <w:overflowPunct/>
        <w:topLinePunct w:val="0"/>
        <w:autoSpaceDE/>
        <w:autoSpaceDN/>
        <w:bidi w:val="0"/>
        <w:adjustRightInd/>
        <w:snapToGrid/>
        <w:spacing w:before="0" w:beforeLines="0" w:after="0" w:afterLines="0" w:line="580" w:lineRule="exact"/>
        <w:ind w:firstLine="640" w:firstLineChars="200"/>
        <w:jc w:val="both"/>
        <w:textAlignment w:val="auto"/>
        <w:rPr>
          <w:rFonts w:hint="eastAsia" w:ascii="黑体" w:hAnsi="黑体" w:eastAsia="黑体" w:cs="黑体"/>
          <w:b w:val="0"/>
          <w:bCs w:val="0"/>
          <w:kern w:val="2"/>
          <w:sz w:val="32"/>
          <w:szCs w:val="32"/>
          <w:highlight w:val="none"/>
          <w:lang w:val="en-US" w:eastAsia="zh-CN" w:bidi="ar-SA"/>
        </w:rPr>
      </w:pPr>
      <w:r>
        <w:rPr>
          <w:rFonts w:hint="eastAsia" w:ascii="黑体" w:hAnsi="黑体" w:eastAsia="黑体" w:cs="黑体"/>
          <w:b w:val="0"/>
          <w:bCs w:val="0"/>
          <w:kern w:val="2"/>
          <w:sz w:val="32"/>
          <w:szCs w:val="32"/>
          <w:highlight w:val="none"/>
          <w:lang w:val="en-US" w:eastAsia="zh-CN" w:bidi="ar-SA"/>
        </w:rPr>
        <w:t>五、保密要求</w:t>
      </w:r>
    </w:p>
    <w:p>
      <w:pPr>
        <w:pStyle w:val="3"/>
        <w:keepNext w:val="0"/>
        <w:keepLines w:val="0"/>
        <w:pageBreakBefore w:val="0"/>
        <w:widowControl w:val="0"/>
        <w:kinsoku/>
        <w:wordWrap/>
        <w:overflowPunct/>
        <w:topLinePunct w:val="0"/>
        <w:autoSpaceDE/>
        <w:autoSpaceDN/>
        <w:bidi w:val="0"/>
        <w:adjustRightInd/>
        <w:snapToGrid/>
        <w:spacing w:before="0" w:beforeLines="0" w:after="0" w:afterLines="0" w:line="580" w:lineRule="exact"/>
        <w:ind w:firstLine="640" w:firstLineChars="200"/>
        <w:jc w:val="both"/>
        <w:textAlignment w:val="auto"/>
        <w:rPr>
          <w:rFonts w:hint="default" w:ascii="仿宋_GB2312" w:hAnsi="仿宋_GB2312" w:eastAsia="仿宋_GB2312" w:cs="仿宋_GB2312"/>
          <w:b w:val="0"/>
          <w:bCs w:val="0"/>
          <w:kern w:val="2"/>
          <w:sz w:val="32"/>
          <w:szCs w:val="32"/>
          <w:highlight w:val="none"/>
          <w:lang w:val="en-US" w:eastAsia="zh-CN" w:bidi="ar-SA"/>
        </w:rPr>
      </w:pPr>
      <w:r>
        <w:rPr>
          <w:rFonts w:hint="default" w:ascii="仿宋_GB2312" w:hAnsi="仿宋_GB2312" w:eastAsia="仿宋_GB2312" w:cs="仿宋_GB2312"/>
          <w:b w:val="0"/>
          <w:bCs w:val="0"/>
          <w:kern w:val="2"/>
          <w:sz w:val="32"/>
          <w:szCs w:val="32"/>
          <w:highlight w:val="none"/>
          <w:lang w:val="en-US" w:eastAsia="zh-CN" w:bidi="ar-SA"/>
        </w:rPr>
        <w:t>（一）合同双方保证对在履行合同过程中所获悉的属于对方的商业秘密、技术秘密和其他经营管理信息、技术信息等予以保密。未经任何一方事先书面同意，另一方不得以任何方式不当地使用或向任何第三方泄露。但如相关政府部门或监管机构依法律法规要求披露相关保密信息的，任何一方可在法律法规规定的范围内做出披露而无需承担本合同项下的责任，但应就其所作出的披露行为及时告知对方。</w:t>
      </w:r>
    </w:p>
    <w:p>
      <w:pPr>
        <w:pStyle w:val="3"/>
        <w:keepNext w:val="0"/>
        <w:keepLines w:val="0"/>
        <w:pageBreakBefore w:val="0"/>
        <w:widowControl w:val="0"/>
        <w:kinsoku/>
        <w:wordWrap/>
        <w:overflowPunct/>
        <w:topLinePunct w:val="0"/>
        <w:autoSpaceDE/>
        <w:autoSpaceDN/>
        <w:bidi w:val="0"/>
        <w:adjustRightInd/>
        <w:snapToGrid/>
        <w:spacing w:before="0" w:beforeLines="0" w:after="0" w:afterLines="0" w:line="580" w:lineRule="exact"/>
        <w:ind w:firstLine="640" w:firstLineChars="200"/>
        <w:jc w:val="both"/>
        <w:textAlignment w:val="auto"/>
        <w:rPr>
          <w:rFonts w:hint="default" w:ascii="仿宋_GB2312" w:hAnsi="仿宋_GB2312" w:eastAsia="仿宋_GB2312" w:cs="仿宋_GB2312"/>
          <w:b w:val="0"/>
          <w:bCs w:val="0"/>
          <w:kern w:val="2"/>
          <w:sz w:val="32"/>
          <w:szCs w:val="32"/>
          <w:highlight w:val="none"/>
          <w:lang w:val="en-US" w:eastAsia="zh-CN" w:bidi="ar-SA"/>
        </w:rPr>
      </w:pPr>
      <w:r>
        <w:rPr>
          <w:rFonts w:hint="default" w:ascii="仿宋_GB2312" w:hAnsi="仿宋_GB2312" w:eastAsia="仿宋_GB2312" w:cs="仿宋_GB2312"/>
          <w:b w:val="0"/>
          <w:bCs w:val="0"/>
          <w:kern w:val="2"/>
          <w:sz w:val="32"/>
          <w:szCs w:val="32"/>
          <w:highlight w:val="none"/>
          <w:lang w:val="en-US" w:eastAsia="zh-CN" w:bidi="ar-SA"/>
        </w:rPr>
        <w:t>（二）因任何一方原因造成对方保密信息泄露的，守约方有权要求违约方支付违约金，违约金额不足以赔偿守约方实际损失的，违约方应予以补足。</w:t>
      </w:r>
    </w:p>
    <w:p>
      <w:pPr>
        <w:pStyle w:val="3"/>
        <w:keepNext w:val="0"/>
        <w:keepLines w:val="0"/>
        <w:pageBreakBefore w:val="0"/>
        <w:widowControl w:val="0"/>
        <w:kinsoku/>
        <w:wordWrap/>
        <w:overflowPunct/>
        <w:topLinePunct w:val="0"/>
        <w:autoSpaceDE/>
        <w:autoSpaceDN/>
        <w:bidi w:val="0"/>
        <w:adjustRightInd/>
        <w:snapToGrid/>
        <w:spacing w:before="0" w:beforeLines="0" w:after="0" w:afterLines="0" w:line="580" w:lineRule="exact"/>
        <w:ind w:firstLine="640" w:firstLineChars="200"/>
        <w:jc w:val="both"/>
        <w:textAlignment w:val="auto"/>
        <w:rPr>
          <w:rFonts w:hint="default" w:ascii="黑体" w:hAnsi="黑体" w:eastAsia="黑体" w:cs="黑体"/>
          <w:b w:val="0"/>
          <w:bCs w:val="0"/>
          <w:kern w:val="2"/>
          <w:sz w:val="32"/>
          <w:szCs w:val="32"/>
          <w:highlight w:val="none"/>
          <w:lang w:val="en-US" w:eastAsia="zh-CN" w:bidi="ar-SA"/>
        </w:rPr>
      </w:pPr>
      <w:r>
        <w:rPr>
          <w:rFonts w:hint="eastAsia" w:ascii="黑体" w:hAnsi="黑体" w:eastAsia="黑体" w:cs="黑体"/>
          <w:b w:val="0"/>
          <w:bCs w:val="0"/>
          <w:kern w:val="2"/>
          <w:sz w:val="32"/>
          <w:szCs w:val="32"/>
          <w:highlight w:val="none"/>
          <w:lang w:val="en-US" w:eastAsia="zh-CN" w:bidi="ar-SA"/>
        </w:rPr>
        <w:t>六</w:t>
      </w:r>
      <w:r>
        <w:rPr>
          <w:rFonts w:hint="default" w:ascii="黑体" w:hAnsi="黑体" w:eastAsia="黑体" w:cs="黑体"/>
          <w:b w:val="0"/>
          <w:bCs w:val="0"/>
          <w:kern w:val="2"/>
          <w:sz w:val="32"/>
          <w:szCs w:val="32"/>
          <w:highlight w:val="none"/>
          <w:lang w:val="en-US" w:eastAsia="zh-CN" w:bidi="ar-SA"/>
        </w:rPr>
        <w:t>、服务期限</w:t>
      </w:r>
    </w:p>
    <w:p>
      <w:pPr>
        <w:pStyle w:val="3"/>
        <w:keepNext w:val="0"/>
        <w:keepLines w:val="0"/>
        <w:pageBreakBefore w:val="0"/>
        <w:widowControl w:val="0"/>
        <w:kinsoku/>
        <w:wordWrap/>
        <w:overflowPunct/>
        <w:topLinePunct w:val="0"/>
        <w:autoSpaceDE/>
        <w:autoSpaceDN/>
        <w:bidi w:val="0"/>
        <w:adjustRightInd/>
        <w:snapToGrid/>
        <w:spacing w:before="0" w:beforeLines="0" w:after="0" w:afterLines="0" w:line="580" w:lineRule="exact"/>
        <w:ind w:firstLine="640" w:firstLineChars="200"/>
        <w:jc w:val="both"/>
        <w:textAlignment w:val="auto"/>
        <w:rPr>
          <w:rFonts w:hint="default" w:ascii="仿宋_GB2312" w:hAnsi="仿宋_GB2312" w:eastAsia="仿宋_GB2312" w:cs="仿宋_GB2312"/>
          <w:b w:val="0"/>
          <w:bCs w:val="0"/>
          <w:kern w:val="2"/>
          <w:sz w:val="32"/>
          <w:szCs w:val="32"/>
          <w:highlight w:val="none"/>
          <w:lang w:val="en-US" w:eastAsia="zh-CN" w:bidi="ar-SA"/>
        </w:rPr>
      </w:pPr>
      <w:r>
        <w:rPr>
          <w:rFonts w:hint="default" w:ascii="仿宋_GB2312" w:hAnsi="仿宋_GB2312" w:eastAsia="仿宋_GB2312" w:cs="仿宋_GB2312"/>
          <w:b w:val="0"/>
          <w:bCs w:val="0"/>
          <w:kern w:val="2"/>
          <w:sz w:val="32"/>
          <w:szCs w:val="32"/>
          <w:highlight w:val="none"/>
          <w:lang w:val="en-US" w:eastAsia="zh-CN" w:bidi="ar-SA"/>
        </w:rPr>
        <w:t>自合同签订之日起至2026年6月30日止。</w:t>
      </w:r>
    </w:p>
    <w:p>
      <w:pPr>
        <w:pStyle w:val="3"/>
        <w:keepNext w:val="0"/>
        <w:keepLines w:val="0"/>
        <w:pageBreakBefore w:val="0"/>
        <w:widowControl w:val="0"/>
        <w:kinsoku/>
        <w:wordWrap/>
        <w:overflowPunct/>
        <w:topLinePunct w:val="0"/>
        <w:autoSpaceDE/>
        <w:autoSpaceDN/>
        <w:bidi w:val="0"/>
        <w:adjustRightInd/>
        <w:snapToGrid/>
        <w:spacing w:before="0" w:beforeLines="0" w:after="0" w:afterLines="0" w:line="580" w:lineRule="exact"/>
        <w:ind w:firstLine="640" w:firstLineChars="200"/>
        <w:jc w:val="both"/>
        <w:textAlignment w:val="auto"/>
        <w:rPr>
          <w:rFonts w:hint="default" w:ascii="黑体" w:hAnsi="黑体" w:eastAsia="黑体" w:cs="黑体"/>
          <w:b w:val="0"/>
          <w:bCs w:val="0"/>
          <w:kern w:val="2"/>
          <w:sz w:val="32"/>
          <w:szCs w:val="32"/>
          <w:highlight w:val="none"/>
          <w:lang w:val="en-US" w:eastAsia="zh-CN" w:bidi="ar-SA"/>
        </w:rPr>
      </w:pPr>
      <w:r>
        <w:rPr>
          <w:rFonts w:hint="eastAsia" w:ascii="黑体" w:hAnsi="黑体" w:eastAsia="黑体" w:cs="黑体"/>
          <w:b w:val="0"/>
          <w:bCs w:val="0"/>
          <w:kern w:val="2"/>
          <w:sz w:val="32"/>
          <w:szCs w:val="32"/>
          <w:highlight w:val="none"/>
          <w:lang w:val="en-US" w:eastAsia="zh-CN" w:bidi="ar-SA"/>
        </w:rPr>
        <w:t>七</w:t>
      </w:r>
      <w:r>
        <w:rPr>
          <w:rFonts w:hint="default" w:ascii="黑体" w:hAnsi="黑体" w:eastAsia="黑体" w:cs="黑体"/>
          <w:b w:val="0"/>
          <w:bCs w:val="0"/>
          <w:kern w:val="2"/>
          <w:sz w:val="32"/>
          <w:szCs w:val="32"/>
          <w:highlight w:val="none"/>
          <w:lang w:val="en-US" w:eastAsia="zh-CN" w:bidi="ar-SA"/>
        </w:rPr>
        <w:t>、成果要求</w:t>
      </w:r>
    </w:p>
    <w:p>
      <w:pPr>
        <w:pStyle w:val="3"/>
        <w:keepNext w:val="0"/>
        <w:keepLines w:val="0"/>
        <w:pageBreakBefore w:val="0"/>
        <w:widowControl w:val="0"/>
        <w:kinsoku/>
        <w:wordWrap/>
        <w:overflowPunct/>
        <w:topLinePunct w:val="0"/>
        <w:autoSpaceDE/>
        <w:autoSpaceDN/>
        <w:bidi w:val="0"/>
        <w:adjustRightInd/>
        <w:snapToGrid/>
        <w:spacing w:before="0" w:beforeLines="0" w:after="0" w:afterLines="0" w:line="580" w:lineRule="exact"/>
        <w:ind w:firstLine="640" w:firstLineChars="200"/>
        <w:jc w:val="both"/>
        <w:textAlignment w:val="auto"/>
        <w:rPr>
          <w:rFonts w:hint="default" w:ascii="仿宋_GB2312" w:hAnsi="仿宋_GB2312" w:eastAsia="仿宋_GB2312" w:cs="仿宋_GB2312"/>
          <w:b w:val="0"/>
          <w:bCs w:val="0"/>
          <w:kern w:val="2"/>
          <w:sz w:val="32"/>
          <w:szCs w:val="32"/>
          <w:highlight w:val="none"/>
          <w:lang w:val="en-US" w:eastAsia="zh-CN" w:bidi="ar-SA"/>
        </w:rPr>
      </w:pPr>
      <w:r>
        <w:rPr>
          <w:rFonts w:hint="eastAsia" w:ascii="仿宋_GB2312" w:hAnsi="仿宋_GB2312" w:eastAsia="仿宋_GB2312" w:cs="仿宋_GB2312"/>
          <w:b w:val="0"/>
          <w:bCs w:val="0"/>
          <w:kern w:val="2"/>
          <w:sz w:val="32"/>
          <w:szCs w:val="32"/>
          <w:highlight w:val="none"/>
          <w:lang w:val="en-US" w:eastAsia="zh-CN" w:bidi="ar-SA"/>
        </w:rPr>
        <w:t>完成</w:t>
      </w:r>
      <w:r>
        <w:rPr>
          <w:rFonts w:hint="default" w:ascii="仿宋_GB2312" w:hAnsi="仿宋_GB2312" w:eastAsia="仿宋_GB2312" w:cs="仿宋_GB2312"/>
          <w:b w:val="0"/>
          <w:bCs w:val="0"/>
          <w:kern w:val="2"/>
          <w:sz w:val="32"/>
          <w:szCs w:val="32"/>
          <w:highlight w:val="none"/>
          <w:lang w:val="en-US" w:eastAsia="zh-CN" w:bidi="ar-SA"/>
        </w:rPr>
        <w:t>贵港大成、南宁景诚、河池大任、梧州粤桂等4个增配园区“十五五”</w:t>
      </w:r>
      <w:r>
        <w:rPr>
          <w:rFonts w:hint="eastAsia" w:ascii="仿宋_GB2312" w:hAnsi="仿宋_GB2312" w:eastAsia="仿宋_GB2312" w:cs="仿宋_GB2312"/>
          <w:b w:val="0"/>
          <w:bCs w:val="0"/>
          <w:kern w:val="2"/>
          <w:sz w:val="32"/>
          <w:szCs w:val="32"/>
          <w:highlight w:val="none"/>
          <w:lang w:val="en-US" w:eastAsia="zh-CN" w:bidi="ar-SA"/>
        </w:rPr>
        <w:t>电网规划报告</w:t>
      </w:r>
    </w:p>
    <w:p>
      <w:pPr>
        <w:keepNext w:val="0"/>
        <w:keepLines w:val="0"/>
        <w:pageBreakBefore w:val="0"/>
        <w:widowControl/>
        <w:kinsoku/>
        <w:wordWrap/>
        <w:overflowPunct/>
        <w:topLinePunct w:val="0"/>
        <w:autoSpaceDE/>
        <w:autoSpaceDN/>
        <w:bidi w:val="0"/>
        <w:adjustRightInd/>
        <w:snapToGrid/>
        <w:spacing w:line="580" w:lineRule="exact"/>
        <w:ind w:left="0" w:leftChars="0" w:right="0" w:rightChars="0" w:firstLine="640" w:firstLineChars="200"/>
        <w:jc w:val="both"/>
        <w:textAlignment w:val="auto"/>
        <w:outlineLvl w:val="0"/>
        <w:rPr>
          <w:rFonts w:hint="eastAsia" w:ascii="黑体" w:hAnsi="黑体" w:eastAsia="黑体" w:cs="黑体"/>
          <w:color w:val="auto"/>
          <w:kern w:val="0"/>
          <w:sz w:val="32"/>
          <w:szCs w:val="32"/>
          <w:highlight w:val="none"/>
          <w:lang w:eastAsia="zh-CN"/>
        </w:rPr>
      </w:pPr>
      <w:r>
        <w:rPr>
          <w:rFonts w:hint="eastAsia" w:ascii="黑体" w:hAnsi="黑体" w:eastAsia="黑体" w:cs="黑体"/>
          <w:color w:val="auto"/>
          <w:kern w:val="0"/>
          <w:sz w:val="32"/>
          <w:szCs w:val="32"/>
          <w:highlight w:val="none"/>
          <w:lang w:val="en-US" w:eastAsia="zh-CN"/>
        </w:rPr>
        <w:t>八、</w:t>
      </w:r>
      <w:r>
        <w:rPr>
          <w:rFonts w:hint="eastAsia" w:ascii="黑体" w:hAnsi="黑体" w:eastAsia="黑体" w:cs="黑体"/>
          <w:color w:val="auto"/>
          <w:kern w:val="0"/>
          <w:sz w:val="32"/>
          <w:szCs w:val="32"/>
          <w:highlight w:val="none"/>
          <w:lang w:eastAsia="zh-CN"/>
        </w:rPr>
        <w:t>安全生产要求</w:t>
      </w:r>
    </w:p>
    <w:p>
      <w:pPr>
        <w:keepNext w:val="0"/>
        <w:keepLines w:val="0"/>
        <w:pageBreakBefore w:val="0"/>
        <w:widowControl/>
        <w:kinsoku/>
        <w:wordWrap/>
        <w:overflowPunct/>
        <w:topLinePunct w:val="0"/>
        <w:autoSpaceDE/>
        <w:autoSpaceDN/>
        <w:bidi w:val="0"/>
        <w:adjustRightInd/>
        <w:snapToGrid/>
        <w:spacing w:line="580" w:lineRule="exact"/>
        <w:ind w:left="0" w:leftChars="0" w:right="0" w:rightChars="0" w:firstLine="640" w:firstLineChars="200"/>
        <w:jc w:val="both"/>
        <w:textAlignment w:val="auto"/>
        <w:outlineLvl w:val="0"/>
        <w:rPr>
          <w:rFonts w:hint="eastAsia" w:ascii="仿宋_GB2312" w:hAnsi="仿宋_GB2312" w:eastAsia="仿宋_GB2312" w:cs="仿宋_GB2312"/>
          <w:color w:val="auto"/>
          <w:kern w:val="0"/>
          <w:sz w:val="32"/>
          <w:szCs w:val="32"/>
          <w:highlight w:val="none"/>
          <w:lang w:eastAsia="zh-CN"/>
        </w:rPr>
      </w:pPr>
      <w:r>
        <w:rPr>
          <w:rFonts w:hint="eastAsia" w:ascii="仿宋_GB2312" w:hAnsi="仿宋_GB2312" w:eastAsia="仿宋_GB2312" w:cs="仿宋_GB2312"/>
          <w:color w:val="auto"/>
          <w:kern w:val="0"/>
          <w:sz w:val="32"/>
          <w:szCs w:val="32"/>
          <w:highlight w:val="none"/>
          <w:lang w:val="en-US" w:eastAsia="zh-CN"/>
        </w:rPr>
        <w:t>（一）</w:t>
      </w:r>
      <w:r>
        <w:rPr>
          <w:rFonts w:hint="eastAsia" w:ascii="仿宋_GB2312" w:hAnsi="仿宋_GB2312" w:eastAsia="仿宋_GB2312" w:cs="仿宋_GB2312"/>
          <w:color w:val="auto"/>
          <w:kern w:val="0"/>
          <w:sz w:val="32"/>
          <w:szCs w:val="32"/>
          <w:highlight w:val="none"/>
          <w:lang w:eastAsia="zh-CN"/>
        </w:rPr>
        <w:t>中标人须重视并加强安全生产工作，遵守</w:t>
      </w:r>
      <w:r>
        <w:rPr>
          <w:rFonts w:hint="eastAsia" w:ascii="仿宋_GB2312" w:hAnsi="仿宋_GB2312" w:eastAsia="仿宋_GB2312" w:cs="仿宋_GB2312"/>
          <w:color w:val="auto"/>
          <w:sz w:val="32"/>
          <w:szCs w:val="32"/>
          <w:highlight w:val="none"/>
          <w:lang w:val="en-US" w:eastAsia="zh-CN"/>
        </w:rPr>
        <w:t>能科公司</w:t>
      </w:r>
      <w:r>
        <w:rPr>
          <w:rFonts w:hint="eastAsia" w:ascii="仿宋_GB2312" w:hAnsi="仿宋_GB2312" w:eastAsia="仿宋_GB2312" w:cs="仿宋_GB2312"/>
          <w:color w:val="auto"/>
          <w:kern w:val="0"/>
          <w:sz w:val="32"/>
          <w:szCs w:val="32"/>
          <w:highlight w:val="none"/>
          <w:lang w:eastAsia="zh-CN"/>
        </w:rPr>
        <w:t>的规章管理制度，接受</w:t>
      </w:r>
      <w:r>
        <w:rPr>
          <w:rFonts w:hint="eastAsia" w:ascii="仿宋_GB2312" w:hAnsi="仿宋_GB2312" w:eastAsia="仿宋_GB2312" w:cs="仿宋_GB2312"/>
          <w:color w:val="auto"/>
          <w:sz w:val="32"/>
          <w:szCs w:val="32"/>
          <w:highlight w:val="none"/>
          <w:lang w:val="en-US" w:eastAsia="zh-CN"/>
        </w:rPr>
        <w:t>能科公司</w:t>
      </w:r>
      <w:r>
        <w:rPr>
          <w:rFonts w:hint="eastAsia" w:ascii="仿宋_GB2312" w:hAnsi="仿宋_GB2312" w:eastAsia="仿宋_GB2312" w:cs="仿宋_GB2312"/>
          <w:color w:val="auto"/>
          <w:kern w:val="0"/>
          <w:sz w:val="32"/>
          <w:szCs w:val="32"/>
          <w:highlight w:val="none"/>
          <w:lang w:eastAsia="zh-CN"/>
        </w:rPr>
        <w:t>的安全生产监督管理。在服务履行期间，中标人的服务人员发生人身伤亡、疾病或其他意外事件概由中标人自行承担赔偿责任，与</w:t>
      </w:r>
      <w:r>
        <w:rPr>
          <w:rFonts w:hint="eastAsia" w:ascii="仿宋_GB2312" w:hAnsi="仿宋_GB2312" w:eastAsia="仿宋_GB2312" w:cs="仿宋_GB2312"/>
          <w:color w:val="auto"/>
          <w:sz w:val="32"/>
          <w:szCs w:val="32"/>
          <w:highlight w:val="none"/>
          <w:lang w:val="en-US" w:eastAsia="zh-CN"/>
        </w:rPr>
        <w:t>能科公司</w:t>
      </w:r>
      <w:r>
        <w:rPr>
          <w:rFonts w:hint="eastAsia" w:ascii="仿宋_GB2312" w:hAnsi="仿宋_GB2312" w:eastAsia="仿宋_GB2312" w:cs="仿宋_GB2312"/>
          <w:color w:val="auto"/>
          <w:kern w:val="0"/>
          <w:sz w:val="32"/>
          <w:szCs w:val="32"/>
          <w:highlight w:val="none"/>
          <w:lang w:eastAsia="zh-CN"/>
        </w:rPr>
        <w:t>无关。</w:t>
      </w: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left="0" w:leftChars="0" w:right="0" w:rightChars="0" w:firstLine="640" w:firstLineChars="200"/>
        <w:jc w:val="both"/>
        <w:textAlignment w:val="auto"/>
        <w:outlineLvl w:val="9"/>
        <w:rPr>
          <w:rFonts w:hint="default"/>
          <w:lang w:val="en-US" w:eastAsia="zh-CN"/>
        </w:rPr>
      </w:pPr>
      <w:r>
        <w:rPr>
          <w:rFonts w:hint="eastAsia" w:ascii="仿宋_GB2312" w:hAnsi="仿宋_GB2312" w:eastAsia="仿宋_GB2312" w:cs="仿宋_GB2312"/>
          <w:color w:val="auto"/>
          <w:sz w:val="32"/>
          <w:szCs w:val="32"/>
          <w:highlight w:val="none"/>
          <w:lang w:val="en-US" w:eastAsia="zh-CN"/>
        </w:rPr>
        <w:t>（二）中标人保证与其指派的服务人员签订劳动合同或劳务合同，明确双方权利义务，并由中标人负责支付提供服务的专家的一切费用，包括</w:t>
      </w:r>
      <w:r>
        <w:rPr>
          <w:rFonts w:hint="eastAsia" w:ascii="仿宋_GB2312" w:hAnsi="仿宋_GB2312" w:eastAsia="仿宋_GB2312" w:cs="仿宋_GB2312"/>
          <w:color w:val="auto"/>
          <w:sz w:val="32"/>
          <w:szCs w:val="32"/>
          <w:highlight w:val="none"/>
        </w:rPr>
        <w:t>为</w:t>
      </w:r>
      <w:r>
        <w:rPr>
          <w:rFonts w:hint="eastAsia" w:ascii="仿宋_GB2312" w:hAnsi="仿宋_GB2312" w:eastAsia="仿宋_GB2312" w:cs="仿宋_GB2312"/>
          <w:color w:val="auto"/>
          <w:sz w:val="32"/>
          <w:szCs w:val="32"/>
          <w:highlight w:val="none"/>
          <w:lang w:val="en-US" w:eastAsia="zh-CN"/>
        </w:rPr>
        <w:t>服务人员购买社会保险、人身意外保险以及</w:t>
      </w:r>
      <w:r>
        <w:rPr>
          <w:rFonts w:hint="eastAsia" w:ascii="仿宋_GB2312" w:hAnsi="仿宋_GB2312" w:eastAsia="仿宋_GB2312" w:cs="仿宋_GB2312"/>
          <w:color w:val="auto"/>
          <w:sz w:val="32"/>
          <w:szCs w:val="32"/>
          <w:highlight w:val="none"/>
        </w:rPr>
        <w:t>劳保用品等</w:t>
      </w:r>
      <w:r>
        <w:rPr>
          <w:rFonts w:hint="eastAsia" w:ascii="仿宋_GB2312" w:hAnsi="仿宋_GB2312" w:eastAsia="仿宋_GB2312" w:cs="仿宋_GB2312"/>
          <w:color w:val="auto"/>
          <w:sz w:val="32"/>
          <w:szCs w:val="32"/>
          <w:highlight w:val="none"/>
          <w:lang w:eastAsia="zh-CN"/>
        </w:rPr>
        <w:t>。</w:t>
      </w:r>
    </w:p>
    <w:sectPr>
      <w:footerReference r:id="rId3" w:type="default"/>
      <w:pgSz w:w="11906" w:h="16838"/>
      <w:pgMar w:top="1440" w:right="1800" w:bottom="1440" w:left="1800"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panose1 w:val="02010609030101010101"/>
    <w:charset w:val="86"/>
    <w:family w:val="modern"/>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  \* MERGEFORMAT </w:instrText>
                          </w:r>
                          <w:r>
                            <w:rPr>
                              <w:rFonts w:hint="eastAsia" w:ascii="宋体" w:hAnsi="宋体" w:eastAsia="宋体" w:cs="宋体"/>
                              <w:sz w:val="24"/>
                              <w:szCs w:val="24"/>
                            </w:rPr>
                            <w:fldChar w:fldCharType="separate"/>
                          </w:r>
                          <w:r>
                            <w:rPr>
                              <w:rFonts w:hint="eastAsia" w:ascii="宋体" w:hAnsi="宋体" w:eastAsia="宋体" w:cs="宋体"/>
                              <w:sz w:val="24"/>
                              <w:szCs w:val="24"/>
                            </w:rPr>
                            <w:t>1</w:t>
                          </w:r>
                          <w:r>
                            <w:rPr>
                              <w:rFonts w:hint="eastAsia" w:ascii="宋体" w:hAnsi="宋体" w:eastAsia="宋体" w:cs="宋体"/>
                              <w:sz w:val="24"/>
                              <w:szCs w:val="24"/>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6"/>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  \* MERGEFORMAT </w:instrText>
                    </w:r>
                    <w:r>
                      <w:rPr>
                        <w:rFonts w:hint="eastAsia" w:ascii="宋体" w:hAnsi="宋体" w:eastAsia="宋体" w:cs="宋体"/>
                        <w:sz w:val="24"/>
                        <w:szCs w:val="24"/>
                      </w:rPr>
                      <w:fldChar w:fldCharType="separate"/>
                    </w:r>
                    <w:r>
                      <w:rPr>
                        <w:rFonts w:hint="eastAsia" w:ascii="宋体" w:hAnsi="宋体" w:eastAsia="宋体" w:cs="宋体"/>
                        <w:sz w:val="24"/>
                        <w:szCs w:val="24"/>
                      </w:rPr>
                      <w:t>1</w:t>
                    </w:r>
                    <w:r>
                      <w:rPr>
                        <w:rFonts w:hint="eastAsia" w:ascii="宋体" w:hAnsi="宋体" w:eastAsia="宋体" w:cs="宋体"/>
                        <w:sz w:val="24"/>
                        <w:szCs w:val="24"/>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E291D88"/>
    <w:rsid w:val="0017415D"/>
    <w:rsid w:val="00B840C6"/>
    <w:rsid w:val="023F763D"/>
    <w:rsid w:val="03CC3F79"/>
    <w:rsid w:val="05A47696"/>
    <w:rsid w:val="077B5E33"/>
    <w:rsid w:val="0A03366B"/>
    <w:rsid w:val="0B5E12C5"/>
    <w:rsid w:val="0CA828AB"/>
    <w:rsid w:val="0E16722B"/>
    <w:rsid w:val="0E45272D"/>
    <w:rsid w:val="1064130F"/>
    <w:rsid w:val="10835E1D"/>
    <w:rsid w:val="10E83300"/>
    <w:rsid w:val="12671431"/>
    <w:rsid w:val="17AA6D72"/>
    <w:rsid w:val="18854A4A"/>
    <w:rsid w:val="1A0F39B7"/>
    <w:rsid w:val="1B811E07"/>
    <w:rsid w:val="1B9E3FF5"/>
    <w:rsid w:val="1BE203A6"/>
    <w:rsid w:val="21B96760"/>
    <w:rsid w:val="22286511"/>
    <w:rsid w:val="244C4A55"/>
    <w:rsid w:val="25A30350"/>
    <w:rsid w:val="25F91780"/>
    <w:rsid w:val="2900742C"/>
    <w:rsid w:val="296E1870"/>
    <w:rsid w:val="29F10148"/>
    <w:rsid w:val="2A822C2E"/>
    <w:rsid w:val="2C33658F"/>
    <w:rsid w:val="2D0211E6"/>
    <w:rsid w:val="2D6D723E"/>
    <w:rsid w:val="314F3970"/>
    <w:rsid w:val="3188588D"/>
    <w:rsid w:val="31D0287F"/>
    <w:rsid w:val="324C0413"/>
    <w:rsid w:val="33624952"/>
    <w:rsid w:val="34E019E9"/>
    <w:rsid w:val="35366C8E"/>
    <w:rsid w:val="36C33DE5"/>
    <w:rsid w:val="384A2C87"/>
    <w:rsid w:val="38526F86"/>
    <w:rsid w:val="38736485"/>
    <w:rsid w:val="3A13671B"/>
    <w:rsid w:val="3A270789"/>
    <w:rsid w:val="3AEA4709"/>
    <w:rsid w:val="3B523786"/>
    <w:rsid w:val="3C7C5835"/>
    <w:rsid w:val="3E291D88"/>
    <w:rsid w:val="402356C6"/>
    <w:rsid w:val="421627B0"/>
    <w:rsid w:val="43B533A4"/>
    <w:rsid w:val="44394703"/>
    <w:rsid w:val="45B22654"/>
    <w:rsid w:val="45EF2E04"/>
    <w:rsid w:val="463D4287"/>
    <w:rsid w:val="49802656"/>
    <w:rsid w:val="4B1D4149"/>
    <w:rsid w:val="4CD46B80"/>
    <w:rsid w:val="4D063C63"/>
    <w:rsid w:val="4E3C5B2A"/>
    <w:rsid w:val="4E590F58"/>
    <w:rsid w:val="4F183A30"/>
    <w:rsid w:val="4F7A5455"/>
    <w:rsid w:val="4FC11F0F"/>
    <w:rsid w:val="510734C7"/>
    <w:rsid w:val="547E1CAE"/>
    <w:rsid w:val="55225FBE"/>
    <w:rsid w:val="55BA159B"/>
    <w:rsid w:val="57D12A81"/>
    <w:rsid w:val="5A6F5562"/>
    <w:rsid w:val="5B4672E2"/>
    <w:rsid w:val="5BEF1728"/>
    <w:rsid w:val="5C4A2E02"/>
    <w:rsid w:val="5C7F41EC"/>
    <w:rsid w:val="5D525399"/>
    <w:rsid w:val="5FC23A00"/>
    <w:rsid w:val="614F1C31"/>
    <w:rsid w:val="624E3350"/>
    <w:rsid w:val="637341FF"/>
    <w:rsid w:val="63815B9F"/>
    <w:rsid w:val="64EE71BE"/>
    <w:rsid w:val="66095D18"/>
    <w:rsid w:val="666437C4"/>
    <w:rsid w:val="67F91791"/>
    <w:rsid w:val="69A54E36"/>
    <w:rsid w:val="69B00FCA"/>
    <w:rsid w:val="69C5465F"/>
    <w:rsid w:val="6B9B2216"/>
    <w:rsid w:val="6D580C84"/>
    <w:rsid w:val="6E557B10"/>
    <w:rsid w:val="6F0E7CBF"/>
    <w:rsid w:val="71C45FBF"/>
    <w:rsid w:val="73897499"/>
    <w:rsid w:val="75472F43"/>
    <w:rsid w:val="759F0D13"/>
    <w:rsid w:val="7614338B"/>
    <w:rsid w:val="76FF2D5C"/>
    <w:rsid w:val="78D2132D"/>
    <w:rsid w:val="7A804477"/>
    <w:rsid w:val="7B0F1874"/>
    <w:rsid w:val="7B312C81"/>
    <w:rsid w:val="7C7A6B2B"/>
    <w:rsid w:val="7C8B1A35"/>
    <w:rsid w:val="7E2605B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11">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customStyle="1" w:styleId="2">
    <w:name w:val="目录 21"/>
    <w:basedOn w:val="1"/>
    <w:next w:val="1"/>
    <w:qFormat/>
    <w:uiPriority w:val="0"/>
    <w:pPr>
      <w:spacing w:before="100" w:beforeAutospacing="1" w:after="100" w:afterAutospacing="1"/>
      <w:ind w:left="420" w:leftChars="200"/>
    </w:pPr>
  </w:style>
  <w:style w:type="paragraph" w:styleId="3">
    <w:name w:val="Body Text"/>
    <w:basedOn w:val="4"/>
    <w:next w:val="4"/>
    <w:unhideWhenUsed/>
    <w:qFormat/>
    <w:uiPriority w:val="99"/>
    <w:pPr>
      <w:spacing w:after="120"/>
    </w:pPr>
  </w:style>
  <w:style w:type="paragraph" w:styleId="4">
    <w:name w:val="Title"/>
    <w:basedOn w:val="1"/>
    <w:next w:val="1"/>
    <w:qFormat/>
    <w:uiPriority w:val="0"/>
    <w:pPr>
      <w:spacing w:before="240" w:beforeLines="0" w:after="60" w:afterLines="0"/>
      <w:jc w:val="center"/>
      <w:outlineLvl w:val="0"/>
    </w:pPr>
    <w:rPr>
      <w:rFonts w:ascii="Arial" w:hAnsi="Arial"/>
      <w:b/>
      <w:bCs/>
      <w:sz w:val="32"/>
      <w:szCs w:val="32"/>
    </w:rPr>
  </w:style>
  <w:style w:type="paragraph" w:styleId="5">
    <w:name w:val="Body Text Indent"/>
    <w:basedOn w:val="1"/>
    <w:qFormat/>
    <w:uiPriority w:val="0"/>
    <w:pPr>
      <w:spacing w:line="440" w:lineRule="exact"/>
      <w:ind w:firstLine="538"/>
    </w:pPr>
  </w:style>
  <w:style w:type="paragraph" w:styleId="6">
    <w:name w:val="footer"/>
    <w:basedOn w:val="1"/>
    <w:uiPriority w:val="0"/>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Normal (Web)"/>
    <w:basedOn w:val="1"/>
    <w:unhideWhenUsed/>
    <w:qFormat/>
    <w:uiPriority w:val="99"/>
    <w:pPr>
      <w:spacing w:before="100" w:beforeAutospacing="1" w:after="100" w:afterAutospacing="1"/>
      <w:ind w:left="0" w:right="0"/>
      <w:jc w:val="left"/>
    </w:pPr>
    <w:rPr>
      <w:kern w:val="0"/>
      <w:sz w:val="24"/>
      <w:lang w:val="en-US" w:eastAsia="zh-CN" w:bidi="ar"/>
    </w:rPr>
  </w:style>
  <w:style w:type="paragraph" w:styleId="9">
    <w:name w:val="Body Text First Indent 2"/>
    <w:basedOn w:val="5"/>
    <w:next w:val="1"/>
    <w:unhideWhenUsed/>
    <w:qFormat/>
    <w:uiPriority w:val="99"/>
    <w:pPr>
      <w:tabs>
        <w:tab w:val="left" w:pos="993"/>
      </w:tabs>
      <w:spacing w:after="120"/>
      <w:ind w:left="420" w:leftChars="200" w:firstLine="420"/>
    </w:pPr>
  </w:style>
  <w:style w:type="paragraph" w:customStyle="1" w:styleId="12">
    <w:name w:val="Body Text Indent"/>
    <w:basedOn w:val="1"/>
    <w:qFormat/>
    <w:uiPriority w:val="0"/>
    <w:pPr>
      <w:spacing w:before="120" w:beforeLines="0" w:line="360" w:lineRule="auto"/>
      <w:ind w:firstLine="425"/>
    </w:pPr>
    <w:rPr>
      <w:rFonts w:eastAsia="楷体_GB2312"/>
      <w:kern w:val="2"/>
      <w:sz w:val="32"/>
    </w:rPr>
  </w:style>
  <w:style w:type="character" w:customStyle="1" w:styleId="13">
    <w:name w:val="font11"/>
    <w:basedOn w:val="11"/>
    <w:qFormat/>
    <w:uiPriority w:val="0"/>
    <w:rPr>
      <w:rFonts w:hint="default" w:ascii="Times New Roman" w:hAnsi="Times New Roman" w:cs="Times New Roman"/>
      <w:color w:val="000000"/>
      <w:sz w:val="24"/>
      <w:szCs w:val="24"/>
      <w:u w:val="none"/>
    </w:rPr>
  </w:style>
  <w:style w:type="character" w:customStyle="1" w:styleId="14">
    <w:name w:val="font01"/>
    <w:basedOn w:val="11"/>
    <w:qFormat/>
    <w:uiPriority w:val="0"/>
    <w:rPr>
      <w:rFonts w:hint="eastAsia" w:ascii="宋体" w:hAnsi="宋体" w:eastAsia="宋体" w:cs="宋体"/>
      <w:color w:val="000000"/>
      <w:sz w:val="24"/>
      <w:szCs w:val="24"/>
      <w:u w:val="none"/>
    </w:rPr>
  </w:style>
  <w:style w:type="character" w:customStyle="1" w:styleId="15">
    <w:name w:val="font31"/>
    <w:basedOn w:val="11"/>
    <w:qFormat/>
    <w:uiPriority w:val="0"/>
    <w:rPr>
      <w:rFonts w:hint="eastAsia" w:ascii="宋体" w:hAnsi="宋体" w:eastAsia="宋体" w:cs="宋体"/>
      <w:color w:val="000000"/>
      <w:sz w:val="24"/>
      <w:szCs w:val="24"/>
      <w:u w:val="none"/>
    </w:rPr>
  </w:style>
  <w:style w:type="character" w:customStyle="1" w:styleId="16">
    <w:name w:val="font21"/>
    <w:basedOn w:val="11"/>
    <w:qFormat/>
    <w:uiPriority w:val="0"/>
    <w:rPr>
      <w:rFonts w:hint="default" w:ascii="Times New Roman" w:hAnsi="Times New Roman" w:cs="Times New Roman"/>
      <w:color w:val="000000"/>
      <w:sz w:val="24"/>
      <w:szCs w:val="24"/>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1</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2022-05-20T06:41:00Z</dcterms:created>
  <dc:creator>何承瑜</dc:creator>
  <cp:lastModifiedBy>曾庆洲</cp:lastModifiedBy>
  <dcterms:modified xsi:type="dcterms:W3CDTF">2025-11-06T09:29:12Z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BA6F63C9D8CD4CC281C9BA1E258548AE</vt:lpwstr>
  </property>
</Properties>
</file>