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78" w:lineRule="exact"/>
        <w:jc w:val="center"/>
        <w:rPr>
          <w:rFonts w:hint="eastAsia" w:ascii="宋体" w:hAnsi="宋体" w:eastAsia="宋体" w:cs="宋体"/>
          <w:sz w:val="44"/>
          <w:szCs w:val="44"/>
          <w:lang w:val="en-US" w:eastAsia="zh-CN"/>
        </w:rPr>
      </w:pPr>
      <w:r>
        <w:rPr>
          <w:rFonts w:hint="eastAsia" w:ascii="宋体" w:hAnsi="宋体" w:eastAsia="宋体" w:cs="宋体"/>
          <w:sz w:val="44"/>
          <w:szCs w:val="44"/>
          <w:lang w:val="en-US" w:eastAsia="zh-CN"/>
        </w:rPr>
        <w:t>2025-2028年云南电力建设监理咨询有限责任公司化粪池清运零星采购项目方案</w:t>
      </w:r>
    </w:p>
    <w:p>
      <w:pPr>
        <w:spacing w:line="578" w:lineRule="exact"/>
        <w:ind w:firstLine="615" w:firstLineChars="200"/>
        <w:jc w:val="both"/>
        <w:rPr>
          <w:rFonts w:hint="eastAsia" w:ascii="仿宋" w:hAnsi="仿宋" w:eastAsia="仿宋" w:cs="仿宋"/>
          <w:b/>
          <w:bCs/>
          <w:spacing w:val="-7"/>
          <w:sz w:val="32"/>
          <w:szCs w:val="24"/>
          <w:lang w:val="en-US" w:eastAsia="zh-CN"/>
        </w:rPr>
      </w:pPr>
    </w:p>
    <w:p>
      <w:pPr>
        <w:spacing w:line="578" w:lineRule="exact"/>
        <w:ind w:left="0" w:leftChars="0" w:firstLine="615" w:firstLineChars="200"/>
        <w:jc w:val="both"/>
        <w:rPr>
          <w:rFonts w:hint="eastAsia" w:ascii="仿宋" w:hAnsi="仿宋" w:eastAsia="仿宋" w:cs="仿宋"/>
          <w:b/>
          <w:bCs/>
          <w:spacing w:val="-7"/>
          <w:sz w:val="32"/>
          <w:szCs w:val="24"/>
          <w:lang w:val="en-US" w:eastAsia="zh-CN"/>
        </w:rPr>
      </w:pPr>
      <w:r>
        <w:rPr>
          <w:rFonts w:hint="eastAsia" w:ascii="仿宋" w:hAnsi="仿宋" w:eastAsia="仿宋" w:cs="仿宋"/>
          <w:b/>
          <w:bCs/>
          <w:spacing w:val="-7"/>
          <w:sz w:val="32"/>
          <w:szCs w:val="24"/>
          <w:lang w:val="en-US" w:eastAsia="zh-CN"/>
        </w:rPr>
        <w:t>一、项目概况</w:t>
      </w:r>
    </w:p>
    <w:p>
      <w:pPr>
        <w:pStyle w:val="6"/>
        <w:keepNext w:val="0"/>
        <w:keepLines w:val="0"/>
        <w:pageBreakBefore w:val="0"/>
        <w:widowControl w:val="0"/>
        <w:kinsoku/>
        <w:wordWrap/>
        <w:overflowPunct/>
        <w:topLinePunct w:val="0"/>
        <w:autoSpaceDE/>
        <w:autoSpaceDN/>
        <w:bidi w:val="0"/>
        <w:adjustRightInd/>
        <w:snapToGrid/>
        <w:spacing w:line="578" w:lineRule="exact"/>
        <w:ind w:firstLine="612" w:firstLineChars="200"/>
        <w:textAlignment w:val="auto"/>
        <w:rPr>
          <w:rFonts w:hint="eastAsia" w:ascii="仿宋" w:hAnsi="仿宋" w:eastAsia="仿宋" w:cs="仿宋"/>
          <w:b w:val="0"/>
          <w:bCs w:val="0"/>
          <w:spacing w:val="-7"/>
          <w:sz w:val="32"/>
          <w:szCs w:val="24"/>
          <w:lang w:val="en-US" w:eastAsia="zh-CN"/>
        </w:rPr>
      </w:pPr>
      <w:r>
        <w:rPr>
          <w:rFonts w:hint="eastAsia" w:ascii="仿宋" w:hAnsi="仿宋" w:eastAsia="仿宋" w:cs="仿宋"/>
          <w:spacing w:val="-7"/>
          <w:sz w:val="32"/>
          <w:szCs w:val="24"/>
          <w:lang w:val="en-US" w:eastAsia="zh-CN"/>
        </w:rPr>
        <w:t>现公司办公区及17栋总计有10个化粪池，及一个食堂油污池（2个月左右需要疏通清运一次）。</w:t>
      </w:r>
      <w:r>
        <w:rPr>
          <w:rFonts w:hint="eastAsia" w:ascii="仿宋" w:hAnsi="仿宋" w:eastAsia="仿宋" w:cs="仿宋"/>
          <w:spacing w:val="-7"/>
          <w:sz w:val="32"/>
          <w:szCs w:val="24"/>
        </w:rPr>
        <w:t>根据物业</w:t>
      </w:r>
      <w:r>
        <w:rPr>
          <w:rFonts w:hint="eastAsia" w:ascii="仿宋" w:hAnsi="仿宋" w:eastAsia="仿宋" w:cs="仿宋"/>
          <w:spacing w:val="-7"/>
          <w:sz w:val="32"/>
          <w:szCs w:val="24"/>
          <w:lang w:val="en-US" w:eastAsia="zh-CN"/>
        </w:rPr>
        <w:t>公司的</w:t>
      </w:r>
      <w:r>
        <w:rPr>
          <w:rFonts w:hint="eastAsia" w:ascii="仿宋" w:hAnsi="仿宋" w:eastAsia="仿宋" w:cs="仿宋"/>
          <w:spacing w:val="-7"/>
          <w:sz w:val="32"/>
          <w:szCs w:val="24"/>
        </w:rPr>
        <w:t>计算和我们日常清运量计算，正常情况下每个化粪池是</w:t>
      </w:r>
      <w:r>
        <w:rPr>
          <w:rFonts w:hint="eastAsia" w:ascii="仿宋" w:hAnsi="仿宋" w:eastAsia="仿宋" w:cs="仿宋"/>
          <w:spacing w:val="-7"/>
          <w:sz w:val="32"/>
          <w:szCs w:val="24"/>
          <w:lang w:val="en-US" w:eastAsia="zh-CN"/>
        </w:rPr>
        <w:t>10</w:t>
      </w:r>
      <w:r>
        <w:rPr>
          <w:rFonts w:hint="eastAsia" w:ascii="仿宋" w:hAnsi="仿宋" w:eastAsia="仿宋" w:cs="仿宋"/>
          <w:spacing w:val="-7"/>
          <w:sz w:val="32"/>
          <w:szCs w:val="24"/>
        </w:rPr>
        <w:t>-1</w:t>
      </w:r>
      <w:r>
        <w:rPr>
          <w:rFonts w:hint="eastAsia" w:ascii="仿宋" w:hAnsi="仿宋" w:eastAsia="仿宋" w:cs="仿宋"/>
          <w:spacing w:val="-7"/>
          <w:sz w:val="32"/>
          <w:szCs w:val="24"/>
          <w:lang w:val="en-US" w:eastAsia="zh-CN"/>
        </w:rPr>
        <w:t>4立</w:t>
      </w:r>
      <w:r>
        <w:rPr>
          <w:rFonts w:hint="eastAsia" w:ascii="仿宋" w:hAnsi="仿宋" w:eastAsia="仿宋" w:cs="仿宋"/>
          <w:spacing w:val="-7"/>
          <w:sz w:val="32"/>
          <w:szCs w:val="24"/>
        </w:rPr>
        <w:t>方，取个中间值按</w:t>
      </w:r>
      <w:r>
        <w:rPr>
          <w:rFonts w:hint="eastAsia" w:ascii="仿宋" w:hAnsi="仿宋" w:eastAsia="仿宋" w:cs="仿宋"/>
          <w:spacing w:val="-7"/>
          <w:sz w:val="32"/>
          <w:szCs w:val="24"/>
          <w:lang w:val="en-US" w:eastAsia="zh-CN"/>
        </w:rPr>
        <w:t>12立</w:t>
      </w:r>
      <w:r>
        <w:rPr>
          <w:rFonts w:hint="eastAsia" w:ascii="仿宋" w:hAnsi="仿宋" w:eastAsia="仿宋" w:cs="仿宋"/>
          <w:spacing w:val="-7"/>
          <w:sz w:val="32"/>
          <w:szCs w:val="24"/>
        </w:rPr>
        <w:t>方计算。</w:t>
      </w:r>
      <w:r>
        <w:rPr>
          <w:rFonts w:hint="eastAsia" w:ascii="仿宋" w:hAnsi="仿宋" w:eastAsia="仿宋" w:cs="仿宋"/>
          <w:spacing w:val="-7"/>
          <w:sz w:val="32"/>
          <w:szCs w:val="24"/>
          <w:lang w:val="en-US" w:eastAsia="zh-CN"/>
        </w:rPr>
        <w:t>每年</w:t>
      </w:r>
      <w:r>
        <w:rPr>
          <w:rFonts w:hint="eastAsia" w:ascii="仿宋" w:hAnsi="仿宋" w:eastAsia="仿宋" w:cs="仿宋"/>
          <w:spacing w:val="-7"/>
          <w:sz w:val="32"/>
          <w:szCs w:val="24"/>
        </w:rPr>
        <w:t>办公区、17栋共10个化粪池预估方量为</w:t>
      </w:r>
      <w:r>
        <w:rPr>
          <w:rFonts w:hint="eastAsia" w:ascii="仿宋" w:hAnsi="仿宋" w:eastAsia="仿宋" w:cs="仿宋"/>
          <w:spacing w:val="-7"/>
          <w:sz w:val="32"/>
          <w:szCs w:val="24"/>
          <w:lang w:val="en-US" w:eastAsia="zh-CN"/>
        </w:rPr>
        <w:t>150立</w:t>
      </w:r>
      <w:r>
        <w:rPr>
          <w:rFonts w:hint="eastAsia" w:ascii="仿宋" w:hAnsi="仿宋" w:eastAsia="仿宋" w:cs="仿宋"/>
          <w:spacing w:val="-7"/>
          <w:sz w:val="32"/>
          <w:szCs w:val="24"/>
        </w:rPr>
        <w:t>方</w:t>
      </w:r>
      <w:r>
        <w:rPr>
          <w:rFonts w:hint="eastAsia" w:ascii="仿宋" w:hAnsi="仿宋" w:eastAsia="仿宋" w:cs="仿宋"/>
          <w:spacing w:val="-7"/>
          <w:sz w:val="32"/>
          <w:szCs w:val="24"/>
          <w:lang w:val="en-US" w:eastAsia="zh-CN"/>
        </w:rPr>
        <w:t>以上</w:t>
      </w:r>
      <w:r>
        <w:rPr>
          <w:rFonts w:hint="eastAsia" w:ascii="仿宋" w:hAnsi="仿宋" w:eastAsia="仿宋" w:cs="仿宋"/>
          <w:spacing w:val="-7"/>
          <w:sz w:val="32"/>
          <w:szCs w:val="24"/>
        </w:rPr>
        <w:t>。</w:t>
      </w:r>
      <w:r>
        <w:rPr>
          <w:rFonts w:hint="eastAsia" w:ascii="仿宋" w:hAnsi="仿宋" w:eastAsia="仿宋" w:cs="仿宋"/>
          <w:b w:val="0"/>
          <w:bCs w:val="0"/>
          <w:spacing w:val="-7"/>
          <w:sz w:val="32"/>
          <w:szCs w:val="24"/>
          <w:lang w:val="en-US" w:eastAsia="zh-CN"/>
        </w:rPr>
        <w:t>为解决化粪池及时清运问题，结合现场勘查与实际状况制定方案如下：</w:t>
      </w:r>
    </w:p>
    <w:tbl>
      <w:tblPr>
        <w:tblStyle w:val="11"/>
        <w:tblW w:w="5000" w:type="pct"/>
        <w:tblInd w:w="0" w:type="dxa"/>
        <w:tblLayout w:type="autofit"/>
        <w:tblCellMar>
          <w:top w:w="0" w:type="dxa"/>
          <w:left w:w="0" w:type="dxa"/>
          <w:bottom w:w="0" w:type="dxa"/>
          <w:right w:w="0" w:type="dxa"/>
        </w:tblCellMar>
      </w:tblPr>
      <w:tblGrid>
        <w:gridCol w:w="541"/>
        <w:gridCol w:w="8546"/>
      </w:tblGrid>
      <w:tr>
        <w:tblPrEx>
          <w:tblCellMar>
            <w:top w:w="0" w:type="dxa"/>
            <w:left w:w="0" w:type="dxa"/>
            <w:bottom w:w="0" w:type="dxa"/>
            <w:right w:w="0" w:type="dxa"/>
          </w:tblCellMar>
        </w:tblPrEx>
        <w:tc>
          <w:tcPr>
            <w:tcW w:w="289"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center"/>
              <w:rPr>
                <w:rFonts w:hint="default" w:ascii="Times New Roman" w:hAnsi="Times New Roman" w:cs="Times New Roman"/>
                <w:b/>
                <w:sz w:val="24"/>
                <w:szCs w:val="24"/>
              </w:rPr>
            </w:pPr>
            <w:r>
              <w:rPr>
                <w:rFonts w:hint="default" w:ascii="Times New Roman" w:hAnsi="Times New Roman" w:cs="Times New Roman"/>
                <w:b/>
                <w:sz w:val="24"/>
                <w:szCs w:val="24"/>
              </w:rPr>
              <w:t>类别</w:t>
            </w:r>
          </w:p>
        </w:tc>
        <w:tc>
          <w:tcPr>
            <w:tcW w:w="4710"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center"/>
              <w:rPr>
                <w:rFonts w:hint="default" w:ascii="Times New Roman" w:hAnsi="Times New Roman" w:cs="Times New Roman"/>
                <w:b/>
                <w:sz w:val="24"/>
                <w:szCs w:val="24"/>
              </w:rPr>
            </w:pPr>
            <w:r>
              <w:rPr>
                <w:rFonts w:hint="default" w:ascii="Times New Roman" w:hAnsi="Times New Roman" w:cs="Times New Roman"/>
                <w:b/>
                <w:sz w:val="24"/>
                <w:szCs w:val="24"/>
              </w:rPr>
              <w:t>内容</w:t>
            </w:r>
          </w:p>
        </w:tc>
      </w:tr>
      <w:tr>
        <w:tblPrEx>
          <w:tblCellMar>
            <w:top w:w="0" w:type="dxa"/>
            <w:left w:w="0" w:type="dxa"/>
            <w:bottom w:w="0" w:type="dxa"/>
            <w:right w:w="0" w:type="dxa"/>
          </w:tblCellMar>
        </w:tblPrEx>
        <w:tc>
          <w:tcPr>
            <w:tcW w:w="289"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center"/>
              <w:rPr>
                <w:rFonts w:hint="default" w:ascii="Times New Roman" w:hAnsi="Times New Roman" w:cs="Times New Roman" w:eastAsiaTheme="minorEastAsia"/>
                <w:sz w:val="24"/>
                <w:szCs w:val="24"/>
                <w:lang w:val="en-US" w:eastAsia="zh-CN"/>
              </w:rPr>
            </w:pPr>
            <w:r>
              <w:rPr>
                <w:rFonts w:hint="eastAsia" w:ascii="Times New Roman" w:hAnsi="Times New Roman" w:cs="Times New Roman"/>
                <w:sz w:val="24"/>
                <w:szCs w:val="24"/>
                <w:lang w:val="en-US" w:eastAsia="zh-CN"/>
              </w:rPr>
              <w:t>项目现状</w:t>
            </w:r>
          </w:p>
        </w:tc>
        <w:tc>
          <w:tcPr>
            <w:tcW w:w="4710"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left"/>
              <w:rPr>
                <w:rFonts w:hint="eastAsia" w:ascii="Times New Roman" w:hAnsi="Times New Roman" w:cs="Times New Roman" w:eastAsiaTheme="minorEastAsia"/>
                <w:sz w:val="24"/>
                <w:szCs w:val="24"/>
                <w:lang w:eastAsia="zh-CN"/>
              </w:rPr>
            </w:pPr>
            <w:r>
              <w:rPr>
                <w:rFonts w:hint="eastAsia" w:ascii="Times New Roman" w:hAnsi="Times New Roman" w:cs="Times New Roman" w:eastAsiaTheme="minorEastAsia"/>
                <w:sz w:val="24"/>
                <w:szCs w:val="24"/>
                <w:lang w:eastAsia="zh-CN"/>
              </w:rPr>
              <w:drawing>
                <wp:inline distT="0" distB="0" distL="114300" distR="114300">
                  <wp:extent cx="2459355" cy="3032125"/>
                  <wp:effectExtent l="0" t="0" r="17145" b="15875"/>
                  <wp:docPr id="2" name="图片 2" descr="f6f0198db0791e0e810f0ad4a8fabac7_com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f6f0198db0791e0e810f0ad4a8fabac7_compress"/>
                          <pic:cNvPicPr>
                            <a:picLocks noChangeAspect="1"/>
                          </pic:cNvPicPr>
                        </pic:nvPicPr>
                        <pic:blipFill>
                          <a:blip r:embed="rId5"/>
                          <a:stretch>
                            <a:fillRect/>
                          </a:stretch>
                        </pic:blipFill>
                        <pic:spPr>
                          <a:xfrm>
                            <a:off x="0" y="0"/>
                            <a:ext cx="2459355" cy="3032125"/>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2475865" cy="3036570"/>
                  <wp:effectExtent l="0" t="0" r="635" b="11430"/>
                  <wp:docPr id="11" name="图片 11" descr="3553de48f4ef041537ea941d8f6c4d32_com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3553de48f4ef041537ea941d8f6c4d32_compress"/>
                          <pic:cNvPicPr>
                            <a:picLocks noChangeAspect="1"/>
                          </pic:cNvPicPr>
                        </pic:nvPicPr>
                        <pic:blipFill>
                          <a:blip r:embed="rId6"/>
                          <a:stretch>
                            <a:fillRect/>
                          </a:stretch>
                        </pic:blipFill>
                        <pic:spPr>
                          <a:xfrm>
                            <a:off x="0" y="0"/>
                            <a:ext cx="2475865" cy="3036570"/>
                          </a:xfrm>
                          <a:prstGeom prst="rect">
                            <a:avLst/>
                          </a:prstGeom>
                        </pic:spPr>
                      </pic:pic>
                    </a:graphicData>
                  </a:graphic>
                </wp:inline>
              </w:drawing>
            </w:r>
          </w:p>
          <w:p>
            <w:pPr>
              <w:ind w:firstLine="720" w:firstLineChars="30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公司大院5号楼化粪池</w:t>
            </w:r>
            <w:bookmarkStart w:id="0" w:name="wdkq0"/>
            <w:r>
              <w:rPr>
                <w:rFonts w:hint="eastAsia" w:ascii="宋体" w:hAnsi="宋体" w:eastAsia="宋体" w:cs="宋体"/>
                <w:color w:val="000000"/>
                <w:sz w:val="24"/>
                <w:szCs w:val="24"/>
                <w:highlight w:val="yellow"/>
                <w:u w:val="none"/>
                <w:lang w:val="en-US" w:eastAsia="zh-CN"/>
              </w:rPr>
              <w:t xml:space="preserve"> </w:t>
            </w:r>
            <w:bookmarkEnd w:id="0"/>
            <w:bookmarkStart w:id="1" w:name="wdkq1"/>
            <w:r>
              <w:rPr>
                <w:rFonts w:hint="eastAsia" w:ascii="宋体" w:hAnsi="宋体" w:eastAsia="宋体" w:cs="宋体"/>
                <w:color w:val="000000"/>
                <w:sz w:val="24"/>
                <w:szCs w:val="24"/>
                <w:highlight w:val="yellow"/>
                <w:u w:val="none"/>
                <w:lang w:val="en-US" w:eastAsia="zh-CN"/>
              </w:rPr>
              <w:t xml:space="preserve"> </w:t>
            </w:r>
            <w:bookmarkEnd w:id="1"/>
            <w:bookmarkStart w:id="2" w:name="wdkq2"/>
            <w:r>
              <w:rPr>
                <w:rFonts w:hint="eastAsia" w:ascii="宋体" w:hAnsi="宋体" w:eastAsia="宋体" w:cs="宋体"/>
                <w:color w:val="000000"/>
                <w:sz w:val="24"/>
                <w:szCs w:val="24"/>
                <w:highlight w:val="yellow"/>
                <w:u w:val="none"/>
                <w:lang w:val="en-US" w:eastAsia="zh-CN"/>
              </w:rPr>
              <w:t xml:space="preserve"> </w:t>
            </w:r>
            <w:bookmarkEnd w:id="2"/>
            <w:bookmarkStart w:id="3" w:name="wdkq3"/>
            <w:r>
              <w:rPr>
                <w:rFonts w:hint="eastAsia" w:ascii="宋体" w:hAnsi="宋体" w:eastAsia="宋体" w:cs="宋体"/>
                <w:color w:val="000000"/>
                <w:sz w:val="24"/>
                <w:szCs w:val="24"/>
                <w:highlight w:val="yellow"/>
                <w:u w:val="none"/>
                <w:lang w:val="en-US" w:eastAsia="zh-CN"/>
              </w:rPr>
              <w:t xml:space="preserve"> </w:t>
            </w:r>
            <w:bookmarkEnd w:id="3"/>
            <w:bookmarkStart w:id="4" w:name="wdkq4"/>
            <w:r>
              <w:rPr>
                <w:rFonts w:hint="eastAsia" w:ascii="宋体" w:hAnsi="宋体" w:eastAsia="宋体" w:cs="宋体"/>
                <w:color w:val="000000"/>
                <w:sz w:val="24"/>
                <w:szCs w:val="24"/>
                <w:highlight w:val="yellow"/>
                <w:u w:val="none"/>
                <w:lang w:val="en-US" w:eastAsia="zh-CN"/>
              </w:rPr>
              <w:t xml:space="preserve"> </w:t>
            </w:r>
            <w:bookmarkEnd w:id="4"/>
            <w:bookmarkStart w:id="5" w:name="wdkq5"/>
            <w:r>
              <w:rPr>
                <w:rFonts w:hint="eastAsia" w:ascii="宋体" w:hAnsi="宋体" w:eastAsia="宋体" w:cs="宋体"/>
                <w:color w:val="000000"/>
                <w:sz w:val="24"/>
                <w:szCs w:val="24"/>
                <w:highlight w:val="yellow"/>
                <w:u w:val="none"/>
                <w:lang w:val="en-US" w:eastAsia="zh-CN"/>
              </w:rPr>
              <w:t xml:space="preserve"> </w:t>
            </w:r>
            <w:bookmarkEnd w:id="5"/>
            <w:bookmarkStart w:id="6" w:name="wdkq6"/>
            <w:r>
              <w:rPr>
                <w:rFonts w:hint="eastAsia" w:ascii="宋体" w:hAnsi="宋体" w:eastAsia="宋体" w:cs="宋体"/>
                <w:color w:val="000000"/>
                <w:sz w:val="24"/>
                <w:szCs w:val="24"/>
                <w:highlight w:val="yellow"/>
                <w:u w:val="none"/>
                <w:lang w:val="en-US" w:eastAsia="zh-CN"/>
              </w:rPr>
              <w:t xml:space="preserve"> </w:t>
            </w:r>
            <w:bookmarkEnd w:id="6"/>
            <w:bookmarkStart w:id="7" w:name="wdkq7"/>
            <w:r>
              <w:rPr>
                <w:rFonts w:hint="eastAsia" w:ascii="宋体" w:hAnsi="宋体" w:eastAsia="宋体" w:cs="宋体"/>
                <w:color w:val="000000"/>
                <w:sz w:val="24"/>
                <w:szCs w:val="24"/>
                <w:highlight w:val="yellow"/>
                <w:u w:val="none"/>
                <w:lang w:val="en-US" w:eastAsia="zh-CN"/>
              </w:rPr>
              <w:t xml:space="preserve"> </w:t>
            </w:r>
            <w:bookmarkEnd w:id="7"/>
            <w:bookmarkStart w:id="8" w:name="wdkq8"/>
            <w:r>
              <w:rPr>
                <w:rFonts w:hint="eastAsia" w:ascii="宋体" w:hAnsi="宋体" w:eastAsia="宋体" w:cs="宋体"/>
                <w:color w:val="000000"/>
                <w:sz w:val="24"/>
                <w:szCs w:val="24"/>
                <w:highlight w:val="yellow"/>
                <w:u w:val="none"/>
                <w:lang w:val="en-US" w:eastAsia="zh-CN"/>
              </w:rPr>
              <w:t xml:space="preserve"> </w:t>
            </w:r>
            <w:bookmarkEnd w:id="8"/>
            <w:bookmarkStart w:id="9" w:name="wdkq9"/>
            <w:r>
              <w:rPr>
                <w:rFonts w:hint="eastAsia" w:ascii="宋体" w:hAnsi="宋体" w:eastAsia="宋体" w:cs="宋体"/>
                <w:color w:val="000000"/>
                <w:sz w:val="24"/>
                <w:szCs w:val="24"/>
                <w:highlight w:val="yellow"/>
                <w:u w:val="none"/>
                <w:lang w:val="en-US" w:eastAsia="zh-CN"/>
              </w:rPr>
              <w:t xml:space="preserve"> </w:t>
            </w:r>
            <w:bookmarkEnd w:id="9"/>
            <w:bookmarkStart w:id="10" w:name="wdkq10"/>
            <w:r>
              <w:rPr>
                <w:rFonts w:hint="eastAsia" w:ascii="宋体" w:hAnsi="宋体" w:eastAsia="宋体" w:cs="宋体"/>
                <w:color w:val="000000"/>
                <w:sz w:val="24"/>
                <w:szCs w:val="24"/>
                <w:highlight w:val="yellow"/>
                <w:u w:val="none"/>
                <w:lang w:val="en-US" w:eastAsia="zh-CN"/>
              </w:rPr>
              <w:t xml:space="preserve"> </w:t>
            </w:r>
            <w:bookmarkEnd w:id="10"/>
            <w:bookmarkStart w:id="11" w:name="wdkq11"/>
            <w:r>
              <w:rPr>
                <w:rFonts w:hint="eastAsia" w:ascii="宋体" w:hAnsi="宋体" w:eastAsia="宋体" w:cs="宋体"/>
                <w:color w:val="000000"/>
                <w:sz w:val="24"/>
                <w:szCs w:val="24"/>
                <w:highlight w:val="yellow"/>
                <w:u w:val="none"/>
                <w:lang w:val="en-US" w:eastAsia="zh-CN"/>
              </w:rPr>
              <w:t xml:space="preserve"> </w:t>
            </w:r>
            <w:bookmarkEnd w:id="11"/>
            <w:bookmarkStart w:id="12" w:name="wdkq12"/>
            <w:r>
              <w:rPr>
                <w:rFonts w:hint="eastAsia" w:ascii="宋体" w:hAnsi="宋体" w:eastAsia="宋体" w:cs="宋体"/>
                <w:color w:val="000000"/>
                <w:sz w:val="24"/>
                <w:szCs w:val="24"/>
                <w:highlight w:val="yellow"/>
                <w:u w:val="none"/>
                <w:lang w:val="en-US" w:eastAsia="zh-CN"/>
              </w:rPr>
              <w:t xml:space="preserve"> </w:t>
            </w:r>
            <w:bookmarkEnd w:id="12"/>
            <w:bookmarkStart w:id="13" w:name="wdkq13"/>
            <w:r>
              <w:rPr>
                <w:rFonts w:hint="eastAsia" w:ascii="宋体" w:hAnsi="宋体" w:eastAsia="宋体" w:cs="宋体"/>
                <w:color w:val="000000"/>
                <w:sz w:val="24"/>
                <w:szCs w:val="24"/>
                <w:highlight w:val="yellow"/>
                <w:u w:val="none"/>
                <w:lang w:val="en-US" w:eastAsia="zh-CN"/>
              </w:rPr>
              <w:t xml:space="preserve"> </w:t>
            </w:r>
            <w:bookmarkEnd w:id="13"/>
            <w:bookmarkStart w:id="14" w:name="wdkq14"/>
            <w:r>
              <w:rPr>
                <w:rFonts w:hint="eastAsia" w:ascii="宋体" w:hAnsi="宋体" w:eastAsia="宋体" w:cs="宋体"/>
                <w:color w:val="000000"/>
                <w:sz w:val="24"/>
                <w:szCs w:val="24"/>
                <w:highlight w:val="yellow"/>
                <w:u w:val="none"/>
                <w:lang w:val="en-US" w:eastAsia="zh-CN"/>
              </w:rPr>
              <w:t xml:space="preserve"> </w:t>
            </w:r>
            <w:bookmarkEnd w:id="14"/>
            <w:r>
              <w:rPr>
                <w:rFonts w:hint="eastAsia" w:ascii="宋体" w:hAnsi="宋体" w:eastAsia="宋体" w:cs="宋体"/>
                <w:color w:val="auto"/>
                <w:sz w:val="24"/>
                <w:szCs w:val="24"/>
                <w:lang w:val="en-US" w:eastAsia="zh-CN"/>
              </w:rPr>
              <w:t>公司</w:t>
            </w:r>
            <w:r>
              <w:rPr>
                <w:rFonts w:hint="eastAsia" w:ascii="宋体" w:hAnsi="宋体" w:eastAsia="宋体" w:cs="宋体"/>
                <w:sz w:val="24"/>
                <w:szCs w:val="24"/>
                <w:lang w:val="en-US" w:eastAsia="zh-CN"/>
              </w:rPr>
              <w:t>食堂油污池</w:t>
            </w:r>
          </w:p>
          <w:p>
            <w:pPr>
              <w:jc w:val="left"/>
              <w:rPr>
                <w:rFonts w:hint="eastAsia" w:ascii="Times New Roman" w:hAnsi="Times New Roman" w:cs="Times New Roman" w:eastAsiaTheme="minorEastAsia"/>
                <w:sz w:val="24"/>
                <w:szCs w:val="24"/>
                <w:lang w:eastAsia="zh-CN"/>
              </w:rPr>
            </w:pPr>
          </w:p>
          <w:p>
            <w:pPr>
              <w:jc w:val="left"/>
              <w:rPr>
                <w:rFonts w:hint="eastAsia" w:ascii="Times New Roman" w:hAnsi="Times New Roman" w:cs="Times New Roman" w:eastAsiaTheme="minorEastAsia"/>
                <w:sz w:val="24"/>
                <w:szCs w:val="24"/>
                <w:lang w:eastAsia="zh-CN"/>
              </w:rPr>
            </w:pPr>
            <w:r>
              <w:rPr>
                <w:rFonts w:hint="eastAsia" w:ascii="Times New Roman" w:hAnsi="Times New Roman" w:cs="Times New Roman" w:eastAsiaTheme="minorEastAsia"/>
                <w:sz w:val="24"/>
                <w:szCs w:val="24"/>
                <w:lang w:eastAsia="zh-CN"/>
              </w:rPr>
              <w:drawing>
                <wp:inline distT="0" distB="0" distL="114300" distR="114300">
                  <wp:extent cx="2296160" cy="2895600"/>
                  <wp:effectExtent l="0" t="0" r="8890" b="0"/>
                  <wp:docPr id="7" name="图片 7" descr="152857d7f4d7162672d15f96d01a68e8_com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52857d7f4d7162672d15f96d01a68e8_compress"/>
                          <pic:cNvPicPr>
                            <a:picLocks noChangeAspect="1"/>
                          </pic:cNvPicPr>
                        </pic:nvPicPr>
                        <pic:blipFill>
                          <a:blip r:embed="rId7"/>
                          <a:stretch>
                            <a:fillRect/>
                          </a:stretch>
                        </pic:blipFill>
                        <pic:spPr>
                          <a:xfrm>
                            <a:off x="0" y="0"/>
                            <a:ext cx="2296160" cy="289560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2526665" cy="2889885"/>
                  <wp:effectExtent l="0" t="0" r="6985" b="5715"/>
                  <wp:docPr id="8" name="图片 8" descr="e3414486b42114b626db8d62fa2ca0ad_com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e3414486b42114b626db8d62fa2ca0ad_compress"/>
                          <pic:cNvPicPr>
                            <a:picLocks noChangeAspect="1"/>
                          </pic:cNvPicPr>
                        </pic:nvPicPr>
                        <pic:blipFill>
                          <a:blip r:embed="rId8"/>
                          <a:stretch>
                            <a:fillRect/>
                          </a:stretch>
                        </pic:blipFill>
                        <pic:spPr>
                          <a:xfrm>
                            <a:off x="0" y="0"/>
                            <a:ext cx="2526665" cy="2889885"/>
                          </a:xfrm>
                          <a:prstGeom prst="rect">
                            <a:avLst/>
                          </a:prstGeom>
                        </pic:spPr>
                      </pic:pic>
                    </a:graphicData>
                  </a:graphic>
                </wp:inline>
              </w:drawing>
            </w:r>
          </w:p>
          <w:p>
            <w:pPr>
              <w:ind w:firstLine="480" w:firstLineChars="200"/>
              <w:jc w:val="left"/>
              <w:rPr>
                <w:rFonts w:hint="default" w:ascii="Times New Roman" w:hAnsi="Times New Roman" w:cs="Times New Roman" w:eastAsiaTheme="minorEastAsia"/>
                <w:color w:val="auto"/>
                <w:sz w:val="24"/>
                <w:szCs w:val="24"/>
                <w:lang w:val="en-US" w:eastAsia="zh-CN"/>
              </w:rPr>
            </w:pPr>
            <w:r>
              <w:rPr>
                <w:rFonts w:hint="eastAsia" w:ascii="宋体" w:hAnsi="宋体" w:eastAsia="宋体" w:cs="宋体"/>
                <w:color w:val="auto"/>
                <w:sz w:val="24"/>
                <w:szCs w:val="24"/>
                <w:lang w:val="en-US" w:eastAsia="zh-CN"/>
              </w:rPr>
              <w:t>公司大院4号楼化粪池</w:t>
            </w:r>
            <w:bookmarkStart w:id="15" w:name="wdkq15"/>
            <w:r>
              <w:rPr>
                <w:rFonts w:hint="eastAsia" w:ascii="宋体" w:hAnsi="宋体" w:eastAsia="宋体" w:cs="宋体"/>
                <w:color w:val="000000"/>
                <w:sz w:val="24"/>
                <w:szCs w:val="24"/>
                <w:highlight w:val="yellow"/>
                <w:u w:val="none"/>
                <w:lang w:val="en-US" w:eastAsia="zh-CN"/>
              </w:rPr>
              <w:t xml:space="preserve"> </w:t>
            </w:r>
            <w:bookmarkEnd w:id="15"/>
            <w:bookmarkStart w:id="16" w:name="wdkq16"/>
            <w:r>
              <w:rPr>
                <w:rFonts w:hint="eastAsia" w:ascii="宋体" w:hAnsi="宋体" w:eastAsia="宋体" w:cs="宋体"/>
                <w:color w:val="000000"/>
                <w:sz w:val="24"/>
                <w:szCs w:val="24"/>
                <w:highlight w:val="yellow"/>
                <w:u w:val="none"/>
                <w:lang w:val="en-US" w:eastAsia="zh-CN"/>
              </w:rPr>
              <w:t xml:space="preserve"> </w:t>
            </w:r>
            <w:bookmarkEnd w:id="16"/>
            <w:bookmarkStart w:id="17" w:name="wdkq17"/>
            <w:r>
              <w:rPr>
                <w:rFonts w:hint="eastAsia" w:ascii="宋体" w:hAnsi="宋体" w:eastAsia="宋体" w:cs="宋体"/>
                <w:color w:val="000000"/>
                <w:sz w:val="24"/>
                <w:szCs w:val="24"/>
                <w:highlight w:val="yellow"/>
                <w:u w:val="none"/>
                <w:lang w:val="en-US" w:eastAsia="zh-CN"/>
              </w:rPr>
              <w:t xml:space="preserve"> </w:t>
            </w:r>
            <w:bookmarkEnd w:id="17"/>
            <w:bookmarkStart w:id="18" w:name="wdkq18"/>
            <w:r>
              <w:rPr>
                <w:rFonts w:hint="eastAsia" w:ascii="宋体" w:hAnsi="宋体" w:eastAsia="宋体" w:cs="宋体"/>
                <w:color w:val="000000"/>
                <w:sz w:val="24"/>
                <w:szCs w:val="24"/>
                <w:highlight w:val="yellow"/>
                <w:u w:val="none"/>
                <w:lang w:val="en-US" w:eastAsia="zh-CN"/>
              </w:rPr>
              <w:t xml:space="preserve"> </w:t>
            </w:r>
            <w:bookmarkEnd w:id="18"/>
            <w:bookmarkStart w:id="19" w:name="wdkq19"/>
            <w:r>
              <w:rPr>
                <w:rFonts w:hint="eastAsia" w:ascii="宋体" w:hAnsi="宋体" w:eastAsia="宋体" w:cs="宋体"/>
                <w:color w:val="000000"/>
                <w:sz w:val="24"/>
                <w:szCs w:val="24"/>
                <w:highlight w:val="yellow"/>
                <w:u w:val="none"/>
                <w:lang w:val="en-US" w:eastAsia="zh-CN"/>
              </w:rPr>
              <w:t xml:space="preserve"> </w:t>
            </w:r>
            <w:bookmarkEnd w:id="19"/>
            <w:bookmarkStart w:id="20" w:name="wdkq20"/>
            <w:r>
              <w:rPr>
                <w:rFonts w:hint="eastAsia" w:ascii="宋体" w:hAnsi="宋体" w:eastAsia="宋体" w:cs="宋体"/>
                <w:color w:val="000000"/>
                <w:sz w:val="24"/>
                <w:szCs w:val="24"/>
                <w:highlight w:val="yellow"/>
                <w:u w:val="none"/>
                <w:lang w:val="en-US" w:eastAsia="zh-CN"/>
              </w:rPr>
              <w:t xml:space="preserve"> </w:t>
            </w:r>
            <w:bookmarkEnd w:id="20"/>
            <w:bookmarkStart w:id="21" w:name="wdkq21"/>
            <w:r>
              <w:rPr>
                <w:rFonts w:hint="eastAsia" w:ascii="宋体" w:hAnsi="宋体" w:eastAsia="宋体" w:cs="宋体"/>
                <w:color w:val="000000"/>
                <w:sz w:val="24"/>
                <w:szCs w:val="24"/>
                <w:highlight w:val="yellow"/>
                <w:u w:val="none"/>
                <w:lang w:val="en-US" w:eastAsia="zh-CN"/>
              </w:rPr>
              <w:t xml:space="preserve"> </w:t>
            </w:r>
            <w:bookmarkEnd w:id="21"/>
            <w:bookmarkStart w:id="22" w:name="wdkq22"/>
            <w:r>
              <w:rPr>
                <w:rFonts w:hint="eastAsia" w:ascii="宋体" w:hAnsi="宋体" w:eastAsia="宋体" w:cs="宋体"/>
                <w:color w:val="000000"/>
                <w:sz w:val="24"/>
                <w:szCs w:val="24"/>
                <w:highlight w:val="yellow"/>
                <w:u w:val="none"/>
                <w:lang w:val="en-US" w:eastAsia="zh-CN"/>
              </w:rPr>
              <w:t xml:space="preserve"> </w:t>
            </w:r>
            <w:bookmarkEnd w:id="22"/>
            <w:bookmarkStart w:id="23" w:name="wdkq23"/>
            <w:r>
              <w:rPr>
                <w:rFonts w:hint="eastAsia" w:ascii="宋体" w:hAnsi="宋体" w:eastAsia="宋体" w:cs="宋体"/>
                <w:color w:val="000000"/>
                <w:sz w:val="24"/>
                <w:szCs w:val="24"/>
                <w:highlight w:val="yellow"/>
                <w:u w:val="none"/>
                <w:lang w:val="en-US" w:eastAsia="zh-CN"/>
              </w:rPr>
              <w:t xml:space="preserve"> </w:t>
            </w:r>
            <w:bookmarkEnd w:id="23"/>
            <w:bookmarkStart w:id="24" w:name="wdkq24"/>
            <w:r>
              <w:rPr>
                <w:rFonts w:hint="eastAsia" w:ascii="宋体" w:hAnsi="宋体" w:eastAsia="宋体" w:cs="宋体"/>
                <w:color w:val="000000"/>
                <w:sz w:val="24"/>
                <w:szCs w:val="24"/>
                <w:highlight w:val="yellow"/>
                <w:u w:val="none"/>
                <w:lang w:val="en-US" w:eastAsia="zh-CN"/>
              </w:rPr>
              <w:t xml:space="preserve"> </w:t>
            </w:r>
            <w:bookmarkEnd w:id="24"/>
            <w:bookmarkStart w:id="25" w:name="wdkq25"/>
            <w:r>
              <w:rPr>
                <w:rFonts w:hint="eastAsia" w:ascii="宋体" w:hAnsi="宋体" w:eastAsia="宋体" w:cs="宋体"/>
                <w:color w:val="000000"/>
                <w:sz w:val="24"/>
                <w:szCs w:val="24"/>
                <w:highlight w:val="yellow"/>
                <w:u w:val="none"/>
                <w:lang w:val="en-US" w:eastAsia="zh-CN"/>
              </w:rPr>
              <w:t xml:space="preserve"> </w:t>
            </w:r>
            <w:bookmarkEnd w:id="25"/>
            <w:bookmarkStart w:id="26" w:name="wdkq26"/>
            <w:r>
              <w:rPr>
                <w:rFonts w:hint="eastAsia" w:ascii="宋体" w:hAnsi="宋体" w:eastAsia="宋体" w:cs="宋体"/>
                <w:color w:val="000000"/>
                <w:sz w:val="24"/>
                <w:szCs w:val="24"/>
                <w:highlight w:val="yellow"/>
                <w:u w:val="none"/>
                <w:lang w:val="en-US" w:eastAsia="zh-CN"/>
              </w:rPr>
              <w:t xml:space="preserve"> </w:t>
            </w:r>
            <w:bookmarkEnd w:id="26"/>
            <w:bookmarkStart w:id="27" w:name="wdkq27"/>
            <w:r>
              <w:rPr>
                <w:rFonts w:hint="eastAsia" w:ascii="宋体" w:hAnsi="宋体" w:eastAsia="宋体" w:cs="宋体"/>
                <w:color w:val="000000"/>
                <w:sz w:val="24"/>
                <w:szCs w:val="24"/>
                <w:highlight w:val="yellow"/>
                <w:u w:val="none"/>
                <w:lang w:val="en-US" w:eastAsia="zh-CN"/>
              </w:rPr>
              <w:t xml:space="preserve"> </w:t>
            </w:r>
            <w:bookmarkEnd w:id="27"/>
            <w:bookmarkStart w:id="28" w:name="wdkq28"/>
            <w:r>
              <w:rPr>
                <w:rFonts w:hint="eastAsia" w:ascii="宋体" w:hAnsi="宋体" w:eastAsia="宋体" w:cs="宋体"/>
                <w:color w:val="000000"/>
                <w:sz w:val="24"/>
                <w:szCs w:val="24"/>
                <w:highlight w:val="yellow"/>
                <w:u w:val="none"/>
                <w:lang w:val="en-US" w:eastAsia="zh-CN"/>
              </w:rPr>
              <w:t xml:space="preserve"> </w:t>
            </w:r>
            <w:bookmarkEnd w:id="28"/>
            <w:r>
              <w:rPr>
                <w:rFonts w:hint="eastAsia" w:ascii="宋体" w:hAnsi="宋体" w:eastAsia="宋体" w:cs="宋体"/>
                <w:color w:val="auto"/>
                <w:sz w:val="24"/>
                <w:szCs w:val="24"/>
                <w:lang w:val="en-US" w:eastAsia="zh-CN"/>
              </w:rPr>
              <w:t>公司大院1、2号楼化粪池</w:t>
            </w:r>
          </w:p>
          <w:p>
            <w:pPr>
              <w:ind w:firstLine="480" w:firstLineChars="200"/>
              <w:jc w:val="left"/>
              <w:rPr>
                <w:rFonts w:hint="default" w:ascii="Times New Roman" w:hAnsi="Times New Roman" w:cs="Times New Roman" w:eastAsiaTheme="minorEastAsia"/>
                <w:color w:val="auto"/>
                <w:sz w:val="24"/>
                <w:szCs w:val="24"/>
                <w:lang w:val="en-US" w:eastAsia="zh-CN"/>
              </w:rPr>
            </w:pPr>
          </w:p>
          <w:p>
            <w:pPr>
              <w:jc w:val="left"/>
              <w:rPr>
                <w:rFonts w:hint="eastAsia" w:ascii="Times New Roman" w:hAnsi="Times New Roman" w:cs="Times New Roman" w:eastAsiaTheme="minorEastAsia"/>
                <w:sz w:val="24"/>
                <w:szCs w:val="24"/>
                <w:lang w:eastAsia="zh-CN"/>
              </w:rPr>
            </w:pPr>
            <w:r>
              <w:rPr>
                <w:rFonts w:hint="eastAsia" w:ascii="Times New Roman" w:hAnsi="Times New Roman" w:cs="Times New Roman" w:eastAsiaTheme="minorEastAsia"/>
                <w:sz w:val="24"/>
                <w:szCs w:val="24"/>
                <w:lang w:eastAsia="zh-CN"/>
              </w:rPr>
              <w:drawing>
                <wp:inline distT="0" distB="0" distL="114300" distR="114300">
                  <wp:extent cx="2372360" cy="2947670"/>
                  <wp:effectExtent l="0" t="0" r="8890" b="5080"/>
                  <wp:docPr id="9" name="图片 9" descr="94f86de43dec0bd7b3b7b359821f1489_com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94f86de43dec0bd7b3b7b359821f1489_compress"/>
                          <pic:cNvPicPr>
                            <a:picLocks noChangeAspect="1"/>
                          </pic:cNvPicPr>
                        </pic:nvPicPr>
                        <pic:blipFill>
                          <a:blip r:embed="rId9"/>
                          <a:stretch>
                            <a:fillRect/>
                          </a:stretch>
                        </pic:blipFill>
                        <pic:spPr>
                          <a:xfrm>
                            <a:off x="0" y="0"/>
                            <a:ext cx="2372360" cy="294767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2614295" cy="2942590"/>
                  <wp:effectExtent l="0" t="0" r="14605" b="10160"/>
                  <wp:docPr id="10" name="图片 10" descr="afade0fd73aab9835e5149fb6afdb11d_com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afade0fd73aab9835e5149fb6afdb11d_compress"/>
                          <pic:cNvPicPr>
                            <a:picLocks noChangeAspect="1"/>
                          </pic:cNvPicPr>
                        </pic:nvPicPr>
                        <pic:blipFill>
                          <a:blip r:embed="rId10"/>
                          <a:stretch>
                            <a:fillRect/>
                          </a:stretch>
                        </pic:blipFill>
                        <pic:spPr>
                          <a:xfrm>
                            <a:off x="0" y="0"/>
                            <a:ext cx="2614295" cy="2942590"/>
                          </a:xfrm>
                          <a:prstGeom prst="rect">
                            <a:avLst/>
                          </a:prstGeom>
                        </pic:spPr>
                      </pic:pic>
                    </a:graphicData>
                  </a:graphic>
                </wp:inline>
              </w:drawing>
            </w:r>
          </w:p>
          <w:p>
            <w:pPr>
              <w:ind w:firstLine="2400" w:firstLineChars="100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公司大院3号楼化粪池</w:t>
            </w:r>
          </w:p>
          <w:p>
            <w:pPr>
              <w:jc w:val="left"/>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drawing>
                <wp:inline distT="0" distB="0" distL="114300" distR="114300">
                  <wp:extent cx="2435860" cy="3077845"/>
                  <wp:effectExtent l="0" t="0" r="2540" b="8255"/>
                  <wp:docPr id="12" name="图片 12" descr="567392598a3e0502a22ba085f7c49fdb_com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567392598a3e0502a22ba085f7c49fdb_compress"/>
                          <pic:cNvPicPr>
                            <a:picLocks noChangeAspect="1"/>
                          </pic:cNvPicPr>
                        </pic:nvPicPr>
                        <pic:blipFill>
                          <a:blip r:embed="rId11"/>
                          <a:stretch>
                            <a:fillRect/>
                          </a:stretch>
                        </pic:blipFill>
                        <pic:spPr>
                          <a:xfrm>
                            <a:off x="0" y="0"/>
                            <a:ext cx="2435860" cy="3077845"/>
                          </a:xfrm>
                          <a:prstGeom prst="rect">
                            <a:avLst/>
                          </a:prstGeom>
                        </pic:spPr>
                      </pic:pic>
                    </a:graphicData>
                  </a:graphic>
                </wp:inline>
              </w:drawing>
            </w:r>
            <w:r>
              <w:rPr>
                <w:rFonts w:hint="eastAsia" w:ascii="Times New Roman" w:hAnsi="Times New Roman" w:cs="Times New Roman"/>
                <w:color w:val="auto"/>
                <w:sz w:val="24"/>
                <w:szCs w:val="24"/>
                <w:lang w:val="en-US" w:eastAsia="zh-CN"/>
              </w:rPr>
              <w:drawing>
                <wp:inline distT="0" distB="0" distL="114300" distR="114300">
                  <wp:extent cx="2640965" cy="3076575"/>
                  <wp:effectExtent l="0" t="0" r="6985" b="9525"/>
                  <wp:docPr id="13" name="图片 13" descr="b39973024ba351de0fe2bb0611d4bc6e_com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b39973024ba351de0fe2bb0611d4bc6e_compress"/>
                          <pic:cNvPicPr>
                            <a:picLocks noChangeAspect="1"/>
                          </pic:cNvPicPr>
                        </pic:nvPicPr>
                        <pic:blipFill>
                          <a:blip r:embed="rId12"/>
                          <a:stretch>
                            <a:fillRect/>
                          </a:stretch>
                        </pic:blipFill>
                        <pic:spPr>
                          <a:xfrm>
                            <a:off x="0" y="0"/>
                            <a:ext cx="2640965" cy="3076575"/>
                          </a:xfrm>
                          <a:prstGeom prst="rect">
                            <a:avLst/>
                          </a:prstGeom>
                        </pic:spPr>
                      </pic:pic>
                    </a:graphicData>
                  </a:graphic>
                </wp:inline>
              </w:drawing>
            </w:r>
          </w:p>
          <w:p>
            <w:pPr>
              <w:ind w:firstLine="1200" w:firstLineChars="500"/>
              <w:jc w:val="left"/>
              <w:rPr>
                <w:rFonts w:hint="default" w:ascii="Times New Roman" w:hAnsi="Times New Roman" w:cs="Times New Roman"/>
                <w:color w:val="auto"/>
                <w:sz w:val="24"/>
                <w:szCs w:val="24"/>
                <w:lang w:val="en-US" w:eastAsia="zh-CN"/>
              </w:rPr>
            </w:pPr>
            <w:r>
              <w:rPr>
                <w:rFonts w:hint="eastAsia" w:ascii="宋体" w:hAnsi="宋体" w:eastAsia="宋体" w:cs="宋体"/>
                <w:color w:val="auto"/>
                <w:sz w:val="24"/>
                <w:szCs w:val="24"/>
                <w:lang w:val="en-US" w:eastAsia="zh-CN"/>
              </w:rPr>
              <w:t>17栋化粪池（总计3个），因通道较窄只能小车清运。</w:t>
            </w:r>
          </w:p>
        </w:tc>
      </w:tr>
      <w:tr>
        <w:tblPrEx>
          <w:tblCellMar>
            <w:top w:w="0" w:type="dxa"/>
            <w:left w:w="0" w:type="dxa"/>
            <w:bottom w:w="0" w:type="dxa"/>
            <w:right w:w="0" w:type="dxa"/>
          </w:tblCellMar>
        </w:tblPrEx>
        <w:tc>
          <w:tcPr>
            <w:tcW w:w="289"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center"/>
              <w:rPr>
                <w:rFonts w:hint="eastAsia" w:ascii="宋体" w:hAnsi="宋体" w:eastAsia="宋体" w:cs="宋体"/>
                <w:sz w:val="24"/>
                <w:szCs w:val="24"/>
              </w:rPr>
            </w:pPr>
            <w:r>
              <w:rPr>
                <w:rFonts w:hint="eastAsia" w:ascii="宋体" w:hAnsi="宋体" w:eastAsia="宋体" w:cs="宋体"/>
                <w:sz w:val="24"/>
                <w:szCs w:val="24"/>
              </w:rPr>
              <w:t>项目名称</w:t>
            </w:r>
          </w:p>
        </w:tc>
        <w:tc>
          <w:tcPr>
            <w:tcW w:w="4710"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left"/>
              <w:rPr>
                <w:rFonts w:hint="eastAsia" w:ascii="宋体" w:hAnsi="宋体" w:eastAsia="宋体" w:cs="宋体"/>
                <w:sz w:val="24"/>
                <w:szCs w:val="24"/>
              </w:rPr>
            </w:pPr>
            <w:r>
              <w:rPr>
                <w:rFonts w:hint="eastAsia" w:ascii="宋体" w:hAnsi="宋体" w:eastAsia="宋体" w:cs="宋体"/>
                <w:sz w:val="24"/>
                <w:szCs w:val="24"/>
                <w:lang w:val="en-US" w:eastAsia="zh-CN"/>
              </w:rPr>
              <w:t>2025-2028年云南电力建设监理咨询有限责任公司化粪池清运零星采购项目</w:t>
            </w:r>
          </w:p>
        </w:tc>
      </w:tr>
      <w:tr>
        <w:tblPrEx>
          <w:tblCellMar>
            <w:top w:w="0" w:type="dxa"/>
            <w:left w:w="0" w:type="dxa"/>
            <w:bottom w:w="0" w:type="dxa"/>
            <w:right w:w="0" w:type="dxa"/>
          </w:tblCellMar>
        </w:tblPrEx>
        <w:tc>
          <w:tcPr>
            <w:tcW w:w="289"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center"/>
              <w:rPr>
                <w:rFonts w:hint="eastAsia" w:ascii="宋体" w:hAnsi="宋体" w:eastAsia="宋体" w:cs="宋体"/>
                <w:sz w:val="24"/>
                <w:szCs w:val="24"/>
              </w:rPr>
            </w:pPr>
            <w:r>
              <w:rPr>
                <w:rFonts w:hint="eastAsia" w:ascii="宋体" w:hAnsi="宋体" w:eastAsia="宋体" w:cs="宋体"/>
                <w:sz w:val="24"/>
                <w:szCs w:val="24"/>
              </w:rPr>
              <w:t>项目地点</w:t>
            </w:r>
          </w:p>
        </w:tc>
        <w:tc>
          <w:tcPr>
            <w:tcW w:w="4710"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left"/>
              <w:rPr>
                <w:rFonts w:hint="eastAsia" w:ascii="宋体" w:hAnsi="宋体" w:eastAsia="宋体" w:cs="宋体"/>
                <w:sz w:val="24"/>
                <w:szCs w:val="24"/>
                <w:lang w:val="en-US"/>
              </w:rPr>
            </w:pPr>
            <w:r>
              <w:rPr>
                <w:rFonts w:hint="eastAsia" w:ascii="宋体" w:hAnsi="宋体" w:eastAsia="宋体" w:cs="宋体"/>
                <w:sz w:val="24"/>
                <w:szCs w:val="24"/>
              </w:rPr>
              <w:t>江岸小区云南电力建设监理咨询有限公司</w:t>
            </w:r>
            <w:r>
              <w:rPr>
                <w:rFonts w:hint="eastAsia" w:ascii="宋体" w:hAnsi="宋体" w:eastAsia="宋体" w:cs="宋体"/>
                <w:sz w:val="24"/>
                <w:szCs w:val="24"/>
                <w:lang w:val="en-US" w:eastAsia="zh-CN"/>
              </w:rPr>
              <w:t>大院内及江岸小区月江里17栋</w:t>
            </w:r>
          </w:p>
        </w:tc>
      </w:tr>
      <w:tr>
        <w:tblPrEx>
          <w:tblCellMar>
            <w:top w:w="0" w:type="dxa"/>
            <w:left w:w="0" w:type="dxa"/>
            <w:bottom w:w="0" w:type="dxa"/>
            <w:right w:w="0" w:type="dxa"/>
          </w:tblCellMar>
        </w:tblPrEx>
        <w:tc>
          <w:tcPr>
            <w:tcW w:w="289"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center"/>
              <w:rPr>
                <w:rFonts w:hint="eastAsia" w:ascii="宋体" w:hAnsi="宋体" w:eastAsia="宋体" w:cs="宋体"/>
                <w:sz w:val="24"/>
                <w:szCs w:val="24"/>
                <w:lang w:val="en-US"/>
              </w:rPr>
            </w:pPr>
            <w:r>
              <w:rPr>
                <w:rFonts w:hint="eastAsia" w:ascii="宋体" w:hAnsi="宋体" w:eastAsia="宋体" w:cs="宋体"/>
                <w:sz w:val="24"/>
                <w:szCs w:val="24"/>
                <w:lang w:val="en-US" w:eastAsia="zh-CN"/>
              </w:rPr>
              <w:t>化粪池清运量</w:t>
            </w:r>
          </w:p>
        </w:tc>
        <w:tc>
          <w:tcPr>
            <w:tcW w:w="4710"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center"/>
              <w:rPr>
                <w:rFonts w:hint="eastAsia" w:ascii="宋体" w:hAnsi="宋体" w:eastAsia="宋体" w:cs="宋体"/>
                <w:b w:val="0"/>
                <w:bCs w:val="0"/>
                <w:spacing w:val="-7"/>
                <w:kern w:val="2"/>
                <w:sz w:val="24"/>
                <w:szCs w:val="24"/>
                <w:lang w:val="en-US" w:eastAsia="zh-CN" w:bidi="ar-SA"/>
              </w:rPr>
            </w:pPr>
          </w:p>
          <w:p>
            <w:pPr>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每年约150立方，最少一年清运2-3次，食堂油污池每年清运疏通至少8</w:t>
            </w:r>
            <w:bookmarkStart w:id="29" w:name="_GoBack"/>
            <w:bookmarkEnd w:id="29"/>
            <w:r>
              <w:rPr>
                <w:rFonts w:hint="eastAsia" w:ascii="宋体" w:hAnsi="宋体" w:eastAsia="宋体" w:cs="宋体"/>
                <w:sz w:val="24"/>
                <w:szCs w:val="24"/>
                <w:lang w:val="en-US" w:eastAsia="zh-CN"/>
              </w:rPr>
              <w:t>次。</w:t>
            </w:r>
          </w:p>
        </w:tc>
      </w:tr>
      <w:tr>
        <w:tblPrEx>
          <w:tblCellMar>
            <w:top w:w="0" w:type="dxa"/>
            <w:left w:w="0" w:type="dxa"/>
            <w:bottom w:w="0" w:type="dxa"/>
            <w:right w:w="0" w:type="dxa"/>
          </w:tblCellMar>
        </w:tblPrEx>
        <w:tc>
          <w:tcPr>
            <w:tcW w:w="289"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center"/>
              <w:rPr>
                <w:rFonts w:hint="eastAsia" w:ascii="宋体" w:hAnsi="宋体" w:eastAsia="宋体" w:cs="宋体"/>
                <w:sz w:val="24"/>
                <w:szCs w:val="24"/>
              </w:rPr>
            </w:pPr>
            <w:r>
              <w:rPr>
                <w:rFonts w:hint="eastAsia" w:ascii="宋体" w:hAnsi="宋体" w:eastAsia="宋体" w:cs="宋体"/>
                <w:b w:val="0"/>
                <w:bCs w:val="0"/>
                <w:spacing w:val="-7"/>
                <w:kern w:val="2"/>
                <w:sz w:val="24"/>
                <w:szCs w:val="24"/>
                <w:lang w:val="en-US" w:eastAsia="zh-CN" w:bidi="ar-SA"/>
              </w:rPr>
              <w:t>预算金额</w:t>
            </w:r>
          </w:p>
        </w:tc>
        <w:tc>
          <w:tcPr>
            <w:tcW w:w="4710"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2.7万元</w:t>
            </w:r>
          </w:p>
        </w:tc>
      </w:tr>
      <w:tr>
        <w:tblPrEx>
          <w:tblCellMar>
            <w:top w:w="0" w:type="dxa"/>
            <w:left w:w="0" w:type="dxa"/>
            <w:bottom w:w="0" w:type="dxa"/>
            <w:right w:w="0" w:type="dxa"/>
          </w:tblCellMar>
        </w:tblPrEx>
        <w:tc>
          <w:tcPr>
            <w:tcW w:w="289"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center"/>
              <w:rPr>
                <w:rFonts w:hint="eastAsia" w:ascii="宋体" w:hAnsi="宋体" w:eastAsia="宋体" w:cs="宋体"/>
                <w:b w:val="0"/>
                <w:bCs w:val="0"/>
                <w:spacing w:val="-7"/>
                <w:kern w:val="2"/>
                <w:sz w:val="24"/>
                <w:szCs w:val="24"/>
                <w:lang w:val="en-US" w:eastAsia="zh-CN" w:bidi="ar-SA"/>
              </w:rPr>
            </w:pPr>
            <w:r>
              <w:rPr>
                <w:rFonts w:hint="eastAsia" w:ascii="宋体" w:hAnsi="宋体" w:eastAsia="宋体" w:cs="宋体"/>
                <w:b w:val="0"/>
                <w:bCs w:val="0"/>
                <w:spacing w:val="-7"/>
                <w:kern w:val="2"/>
                <w:sz w:val="24"/>
                <w:szCs w:val="24"/>
                <w:lang w:val="en-US" w:eastAsia="zh-CN" w:bidi="ar-SA"/>
              </w:rPr>
              <w:t>最高限价</w:t>
            </w:r>
          </w:p>
        </w:tc>
        <w:tc>
          <w:tcPr>
            <w:tcW w:w="4710"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2.7万元</w:t>
            </w:r>
          </w:p>
        </w:tc>
      </w:tr>
      <w:tr>
        <w:tblPrEx>
          <w:tblCellMar>
            <w:top w:w="0" w:type="dxa"/>
            <w:left w:w="0" w:type="dxa"/>
            <w:bottom w:w="0" w:type="dxa"/>
            <w:right w:w="0" w:type="dxa"/>
          </w:tblCellMar>
        </w:tblPrEx>
        <w:tc>
          <w:tcPr>
            <w:tcW w:w="289"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center"/>
              <w:rPr>
                <w:rFonts w:hint="eastAsia" w:ascii="宋体" w:hAnsi="宋体" w:eastAsia="宋体" w:cs="宋体"/>
                <w:sz w:val="24"/>
                <w:szCs w:val="24"/>
              </w:rPr>
            </w:pPr>
            <w:r>
              <w:rPr>
                <w:rFonts w:hint="eastAsia" w:ascii="宋体" w:hAnsi="宋体" w:eastAsia="宋体" w:cs="宋体"/>
                <w:sz w:val="24"/>
                <w:szCs w:val="24"/>
                <w:lang w:val="en-US" w:eastAsia="zh-CN"/>
              </w:rPr>
              <w:t>清运</w:t>
            </w:r>
            <w:r>
              <w:rPr>
                <w:rFonts w:hint="eastAsia" w:ascii="宋体" w:hAnsi="宋体" w:eastAsia="宋体" w:cs="宋体"/>
                <w:sz w:val="24"/>
                <w:szCs w:val="24"/>
              </w:rPr>
              <w:t>范围</w:t>
            </w:r>
          </w:p>
        </w:tc>
        <w:tc>
          <w:tcPr>
            <w:tcW w:w="4710"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left"/>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sz w:val="24"/>
                <w:szCs w:val="24"/>
                <w:lang w:val="en-US" w:eastAsia="zh-CN"/>
              </w:rPr>
              <w:t>公司大院1-5号楼范围内（含食堂油污池），及江岸小区月江里17栋3个单元范围内化粪池。</w:t>
            </w:r>
          </w:p>
        </w:tc>
      </w:tr>
      <w:tr>
        <w:tblPrEx>
          <w:tblCellMar>
            <w:top w:w="0" w:type="dxa"/>
            <w:left w:w="0" w:type="dxa"/>
            <w:bottom w:w="0" w:type="dxa"/>
            <w:right w:w="0" w:type="dxa"/>
          </w:tblCellMar>
        </w:tblPrEx>
        <w:tc>
          <w:tcPr>
            <w:tcW w:w="289"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center"/>
              <w:rPr>
                <w:rFonts w:hint="eastAsia" w:ascii="宋体" w:hAnsi="宋体" w:eastAsia="宋体" w:cs="宋体"/>
                <w:sz w:val="24"/>
                <w:szCs w:val="24"/>
              </w:rPr>
            </w:pPr>
            <w:r>
              <w:rPr>
                <w:rFonts w:hint="eastAsia" w:ascii="宋体" w:hAnsi="宋体" w:eastAsia="宋体" w:cs="宋体"/>
                <w:sz w:val="24"/>
                <w:szCs w:val="24"/>
                <w:lang w:val="en-US" w:eastAsia="zh-CN"/>
              </w:rPr>
              <w:t>清运</w:t>
            </w:r>
            <w:r>
              <w:rPr>
                <w:rFonts w:hint="eastAsia" w:ascii="宋体" w:hAnsi="宋体" w:eastAsia="宋体" w:cs="宋体"/>
                <w:sz w:val="24"/>
                <w:szCs w:val="24"/>
              </w:rPr>
              <w:t>目标</w:t>
            </w:r>
          </w:p>
        </w:tc>
        <w:tc>
          <w:tcPr>
            <w:tcW w:w="4710"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及时解决化粪池的清运工作，确保不发生化粪池满溢事件，符合卫生及通畅标准。</w:t>
            </w:r>
          </w:p>
        </w:tc>
      </w:tr>
    </w:tbl>
    <w:p>
      <w:pPr>
        <w:pStyle w:val="7"/>
        <w:spacing w:line="578" w:lineRule="exact"/>
        <w:ind w:left="0" w:leftChars="0" w:firstLine="612" w:firstLineChars="200"/>
        <w:jc w:val="both"/>
        <w:rPr>
          <w:rFonts w:hint="eastAsia" w:ascii="黑体" w:hAnsi="黑体" w:eastAsia="黑体" w:cs="黑体"/>
          <w:b w:val="0"/>
          <w:bCs/>
          <w:spacing w:val="-7"/>
          <w:sz w:val="32"/>
          <w:szCs w:val="24"/>
          <w:lang w:val="en-US" w:eastAsia="zh-CN"/>
        </w:rPr>
      </w:pPr>
      <w:r>
        <w:rPr>
          <w:rFonts w:hint="eastAsia" w:ascii="黑体" w:hAnsi="黑体" w:eastAsia="黑体" w:cs="黑体"/>
          <w:b w:val="0"/>
          <w:bCs/>
          <w:spacing w:val="-7"/>
          <w:sz w:val="32"/>
          <w:szCs w:val="24"/>
          <w:lang w:val="en-US" w:eastAsia="zh-CN"/>
        </w:rPr>
        <w:t>二、</w:t>
      </w:r>
      <w:r>
        <w:rPr>
          <w:rFonts w:hint="eastAsia" w:ascii="黑体" w:hAnsi="黑体" w:eastAsia="黑体" w:cs="黑体"/>
          <w:b w:val="0"/>
          <w:spacing w:val="-7"/>
          <w:sz w:val="32"/>
          <w:szCs w:val="24"/>
          <w:lang w:val="en-US" w:eastAsia="zh-CN"/>
        </w:rPr>
        <w:t>清运</w:t>
      </w:r>
      <w:r>
        <w:rPr>
          <w:rFonts w:hint="eastAsia" w:ascii="黑体" w:hAnsi="黑体" w:eastAsia="黑体" w:cs="黑体"/>
          <w:b w:val="0"/>
          <w:bCs/>
          <w:spacing w:val="-7"/>
          <w:sz w:val="32"/>
          <w:szCs w:val="24"/>
          <w:lang w:val="en-US" w:eastAsia="zh-CN"/>
        </w:rPr>
        <w:t>目标</w:t>
      </w:r>
    </w:p>
    <w:p>
      <w:pPr>
        <w:pStyle w:val="6"/>
        <w:keepNext w:val="0"/>
        <w:keepLines w:val="0"/>
        <w:pageBreakBefore w:val="0"/>
        <w:widowControl w:val="0"/>
        <w:kinsoku/>
        <w:wordWrap/>
        <w:overflowPunct/>
        <w:topLinePunct w:val="0"/>
        <w:autoSpaceDE/>
        <w:autoSpaceDN/>
        <w:bidi w:val="0"/>
        <w:adjustRightInd/>
        <w:snapToGrid/>
        <w:spacing w:after="0" w:line="578" w:lineRule="exact"/>
        <w:ind w:firstLine="612" w:firstLineChars="200"/>
        <w:textAlignment w:val="auto"/>
        <w:rPr>
          <w:rFonts w:hint="eastAsia" w:ascii="仿宋" w:hAnsi="仿宋" w:eastAsia="仿宋" w:cs="仿宋"/>
          <w:spacing w:val="-7"/>
          <w:sz w:val="32"/>
          <w:szCs w:val="24"/>
          <w:lang w:val="en-US" w:eastAsia="zh-CN"/>
        </w:rPr>
      </w:pPr>
      <w:r>
        <w:rPr>
          <w:rFonts w:hint="eastAsia" w:ascii="仿宋" w:hAnsi="仿宋" w:eastAsia="仿宋" w:cs="仿宋"/>
          <w:spacing w:val="-7"/>
          <w:sz w:val="32"/>
          <w:szCs w:val="24"/>
          <w:lang w:val="en-US" w:eastAsia="zh-CN"/>
        </w:rPr>
        <w:t>1.清掏彻底，全面清除化粪池内粪渣、淤泥等沉积物，确保池内有效容积恢复至设计容量的95%以上，保障化粪池正常储水、发酵及排污功能。</w:t>
      </w:r>
    </w:p>
    <w:p>
      <w:pPr>
        <w:pStyle w:val="6"/>
        <w:keepNext w:val="0"/>
        <w:keepLines w:val="0"/>
        <w:pageBreakBefore w:val="0"/>
        <w:widowControl w:val="0"/>
        <w:kinsoku/>
        <w:wordWrap/>
        <w:overflowPunct/>
        <w:topLinePunct w:val="0"/>
        <w:autoSpaceDE/>
        <w:autoSpaceDN/>
        <w:bidi w:val="0"/>
        <w:adjustRightInd/>
        <w:snapToGrid/>
        <w:spacing w:after="0" w:line="578" w:lineRule="exact"/>
        <w:ind w:firstLine="612" w:firstLineChars="200"/>
        <w:textAlignment w:val="auto"/>
        <w:rPr>
          <w:rFonts w:hint="eastAsia" w:ascii="仿宋" w:hAnsi="仿宋" w:eastAsia="仿宋" w:cs="仿宋"/>
          <w:spacing w:val="-7"/>
          <w:sz w:val="32"/>
          <w:szCs w:val="24"/>
          <w:lang w:val="en-US" w:eastAsia="zh-CN"/>
        </w:rPr>
      </w:pPr>
      <w:r>
        <w:rPr>
          <w:rFonts w:hint="eastAsia" w:ascii="仿宋" w:hAnsi="仿宋" w:eastAsia="仿宋" w:cs="仿宋"/>
          <w:spacing w:val="-7"/>
          <w:sz w:val="32"/>
          <w:szCs w:val="24"/>
          <w:lang w:val="en-US" w:eastAsia="zh-CN"/>
        </w:rPr>
        <w:t>2.安全合规，作业全程严格遵守环保、安全相关法规，不发生泄漏、环境污染、人员安全事故，废弃物按规定渠道合规处置。</w:t>
      </w:r>
    </w:p>
    <w:p>
      <w:pPr>
        <w:pStyle w:val="6"/>
        <w:keepNext w:val="0"/>
        <w:keepLines w:val="0"/>
        <w:pageBreakBefore w:val="0"/>
        <w:widowControl w:val="0"/>
        <w:kinsoku/>
        <w:wordWrap/>
        <w:overflowPunct/>
        <w:topLinePunct w:val="0"/>
        <w:autoSpaceDE/>
        <w:autoSpaceDN/>
        <w:bidi w:val="0"/>
        <w:adjustRightInd/>
        <w:snapToGrid/>
        <w:spacing w:after="0" w:line="578" w:lineRule="exact"/>
        <w:ind w:firstLine="612" w:firstLineChars="200"/>
        <w:textAlignment w:val="auto"/>
        <w:rPr>
          <w:rFonts w:hint="eastAsia" w:ascii="仿宋" w:hAnsi="仿宋" w:eastAsia="仿宋" w:cs="仿宋"/>
          <w:spacing w:val="-7"/>
          <w:sz w:val="32"/>
          <w:szCs w:val="24"/>
          <w:lang w:val="en-US" w:eastAsia="zh-CN"/>
        </w:rPr>
      </w:pPr>
      <w:r>
        <w:rPr>
          <w:rFonts w:hint="eastAsia" w:ascii="仿宋" w:hAnsi="仿宋" w:eastAsia="仿宋" w:cs="仿宋"/>
          <w:spacing w:val="-7"/>
          <w:sz w:val="32"/>
          <w:szCs w:val="24"/>
          <w:lang w:val="en-US" w:eastAsia="zh-CN"/>
        </w:rPr>
        <w:t>3.长效保障机制，清运后对化粪池进出口管道、井盖等附属设施进行检查维护，确保后续6个月内无堵塞、外溢等问题，保障排水系统稳定运行。</w:t>
      </w:r>
    </w:p>
    <w:p>
      <w:pPr>
        <w:pStyle w:val="6"/>
        <w:keepNext w:val="0"/>
        <w:keepLines w:val="0"/>
        <w:pageBreakBefore w:val="0"/>
        <w:widowControl w:val="0"/>
        <w:kinsoku/>
        <w:wordWrap/>
        <w:overflowPunct/>
        <w:topLinePunct w:val="0"/>
        <w:autoSpaceDE/>
        <w:autoSpaceDN/>
        <w:bidi w:val="0"/>
        <w:adjustRightInd/>
        <w:snapToGrid/>
        <w:spacing w:after="0" w:line="578" w:lineRule="exact"/>
        <w:ind w:firstLine="612" w:firstLineChars="200"/>
        <w:textAlignment w:val="auto"/>
        <w:rPr>
          <w:rFonts w:hint="eastAsia" w:ascii="仿宋" w:hAnsi="仿宋" w:eastAsia="仿宋" w:cs="仿宋"/>
          <w:spacing w:val="-7"/>
          <w:sz w:val="32"/>
          <w:szCs w:val="24"/>
          <w:lang w:val="en-US" w:eastAsia="zh-CN"/>
        </w:rPr>
      </w:pPr>
      <w:r>
        <w:rPr>
          <w:rFonts w:hint="eastAsia" w:ascii="仿宋" w:hAnsi="仿宋" w:eastAsia="仿宋" w:cs="仿宋"/>
          <w:spacing w:val="-7"/>
          <w:sz w:val="32"/>
          <w:szCs w:val="24"/>
          <w:lang w:val="en-US" w:eastAsia="zh-CN"/>
        </w:rPr>
        <w:t>4.应急保障机制，突然出现化粪池满溢，必须及时清运并清洁打扫。</w:t>
      </w:r>
    </w:p>
    <w:p>
      <w:pPr>
        <w:pStyle w:val="7"/>
        <w:spacing w:line="578" w:lineRule="exact"/>
        <w:ind w:left="0" w:leftChars="0" w:firstLine="612" w:firstLineChars="200"/>
        <w:jc w:val="both"/>
        <w:rPr>
          <w:rFonts w:hint="eastAsia" w:ascii="黑体" w:hAnsi="黑体" w:eastAsia="黑体" w:cs="黑体"/>
          <w:b w:val="0"/>
          <w:bCs/>
          <w:color w:val="auto"/>
          <w:spacing w:val="-7"/>
          <w:kern w:val="2"/>
          <w:sz w:val="32"/>
          <w:szCs w:val="24"/>
          <w:lang w:val="en-US" w:eastAsia="zh-CN" w:bidi="ar-SA"/>
        </w:rPr>
      </w:pPr>
      <w:r>
        <w:rPr>
          <w:rFonts w:hint="eastAsia" w:ascii="黑体" w:hAnsi="黑体" w:eastAsia="黑体" w:cs="黑体"/>
          <w:b w:val="0"/>
          <w:bCs/>
          <w:color w:val="auto"/>
          <w:spacing w:val="-7"/>
          <w:kern w:val="2"/>
          <w:sz w:val="32"/>
          <w:szCs w:val="24"/>
          <w:lang w:val="en-US" w:eastAsia="zh-CN" w:bidi="ar-SA"/>
        </w:rPr>
        <w:t>二、技术要求</w:t>
      </w:r>
    </w:p>
    <w:p>
      <w:pPr>
        <w:pStyle w:val="6"/>
        <w:keepNext w:val="0"/>
        <w:keepLines w:val="0"/>
        <w:pageBreakBefore w:val="0"/>
        <w:widowControl w:val="0"/>
        <w:kinsoku/>
        <w:wordWrap/>
        <w:overflowPunct/>
        <w:topLinePunct w:val="0"/>
        <w:autoSpaceDE/>
        <w:autoSpaceDN/>
        <w:bidi w:val="0"/>
        <w:adjustRightInd/>
        <w:snapToGrid/>
        <w:spacing w:after="0" w:line="578" w:lineRule="exact"/>
        <w:ind w:firstLine="612" w:firstLineChars="200"/>
        <w:textAlignment w:val="auto"/>
        <w:rPr>
          <w:rFonts w:hint="eastAsia" w:ascii="仿宋" w:hAnsi="仿宋" w:eastAsia="仿宋" w:cs="仿宋"/>
          <w:spacing w:val="-7"/>
          <w:sz w:val="32"/>
          <w:szCs w:val="24"/>
          <w:lang w:val="en-US" w:eastAsia="zh-CN"/>
        </w:rPr>
      </w:pPr>
      <w:r>
        <w:rPr>
          <w:rFonts w:hint="eastAsia" w:ascii="仿宋" w:hAnsi="仿宋" w:eastAsia="仿宋" w:cs="仿宋"/>
          <w:spacing w:val="-7"/>
          <w:sz w:val="32"/>
          <w:szCs w:val="24"/>
          <w:lang w:val="en-US" w:eastAsia="zh-CN"/>
        </w:rPr>
        <w:t>1.采用“清运机械抽吸+人工辅助”结合方式，对池内难以抽吸的板结淤泥，需用专业工具松动后再清掏，避免残留；禁止采用破坏性方式清掏，防止损坏化粪池池体及内部结构。</w:t>
      </w:r>
    </w:p>
    <w:p>
      <w:pPr>
        <w:pStyle w:val="6"/>
        <w:keepNext w:val="0"/>
        <w:keepLines w:val="0"/>
        <w:pageBreakBefore w:val="0"/>
        <w:widowControl w:val="0"/>
        <w:kinsoku/>
        <w:wordWrap/>
        <w:overflowPunct/>
        <w:topLinePunct w:val="0"/>
        <w:autoSpaceDE/>
        <w:autoSpaceDN/>
        <w:bidi w:val="0"/>
        <w:adjustRightInd/>
        <w:snapToGrid/>
        <w:spacing w:after="0" w:line="578" w:lineRule="exact"/>
        <w:ind w:firstLine="612" w:firstLineChars="200"/>
        <w:textAlignment w:val="auto"/>
        <w:rPr>
          <w:rFonts w:hint="eastAsia" w:ascii="仿宋" w:hAnsi="仿宋" w:eastAsia="仿宋" w:cs="仿宋"/>
          <w:spacing w:val="-7"/>
          <w:sz w:val="32"/>
          <w:szCs w:val="24"/>
          <w:lang w:val="en-US" w:eastAsia="zh-CN"/>
        </w:rPr>
      </w:pPr>
      <w:r>
        <w:rPr>
          <w:rFonts w:hint="eastAsia" w:ascii="仿宋" w:hAnsi="仿宋" w:eastAsia="仿宋" w:cs="仿宋"/>
          <w:spacing w:val="-7"/>
          <w:sz w:val="32"/>
          <w:szCs w:val="24"/>
          <w:lang w:val="en-US" w:eastAsia="zh-CN"/>
        </w:rPr>
        <w:t>2.清运的粪渣、污水等污物，必须转运至具备合法资质的污水处理厂或废弃物处置场所，需向公司提供处置单位资质证明及处置单据备查。如因清运处理引发相关城建、环卫等主管部门给予处罚或</w:t>
      </w:r>
      <w:r>
        <w:rPr>
          <w:rFonts w:hint="eastAsia" w:ascii="仿宋" w:hAnsi="仿宋" w:eastAsia="仿宋" w:cs="仿宋"/>
          <w:color w:val="000000"/>
          <w:spacing w:val="-7"/>
          <w:sz w:val="32"/>
          <w:szCs w:val="24"/>
          <w:highlight w:val="none"/>
          <w:u w:val="none"/>
          <w:lang w:val="en-US" w:eastAsia="zh-CN"/>
        </w:rPr>
        <w:t>其他</w:t>
      </w:r>
      <w:r>
        <w:rPr>
          <w:rFonts w:hint="eastAsia" w:ascii="仿宋" w:hAnsi="仿宋" w:eastAsia="仿宋" w:cs="仿宋"/>
          <w:spacing w:val="-7"/>
          <w:sz w:val="32"/>
          <w:szCs w:val="24"/>
          <w:lang w:val="en-US" w:eastAsia="zh-CN"/>
        </w:rPr>
        <w:t>相关事宜，由清运方负责协调及承担责任。</w:t>
      </w:r>
    </w:p>
    <w:p>
      <w:pPr>
        <w:pStyle w:val="6"/>
        <w:keepNext w:val="0"/>
        <w:keepLines w:val="0"/>
        <w:pageBreakBefore w:val="0"/>
        <w:widowControl w:val="0"/>
        <w:kinsoku/>
        <w:wordWrap/>
        <w:overflowPunct/>
        <w:topLinePunct w:val="0"/>
        <w:autoSpaceDE/>
        <w:autoSpaceDN/>
        <w:bidi w:val="0"/>
        <w:adjustRightInd/>
        <w:snapToGrid/>
        <w:spacing w:after="0" w:line="578" w:lineRule="exact"/>
        <w:ind w:firstLine="612" w:firstLineChars="200"/>
        <w:textAlignment w:val="auto"/>
        <w:rPr>
          <w:rFonts w:hint="eastAsia" w:ascii="仿宋" w:hAnsi="仿宋" w:eastAsia="仿宋" w:cs="仿宋"/>
          <w:spacing w:val="-7"/>
          <w:sz w:val="32"/>
          <w:szCs w:val="24"/>
          <w:lang w:val="en-US" w:eastAsia="zh-CN"/>
        </w:rPr>
      </w:pPr>
      <w:r>
        <w:rPr>
          <w:rFonts w:hint="eastAsia" w:ascii="仿宋" w:hAnsi="仿宋" w:eastAsia="仿宋" w:cs="仿宋"/>
          <w:spacing w:val="-7"/>
          <w:sz w:val="32"/>
          <w:szCs w:val="24"/>
          <w:lang w:val="en-US" w:eastAsia="zh-CN"/>
        </w:rPr>
        <w:t>3.清掏完成后，需对化粪池进出口水流速度、密封性进行简单检测，确保管道畅通，池体无渗漏；若发现池体破损、管道堵塞等问题，需第一时间书面告知公司。</w:t>
      </w:r>
    </w:p>
    <w:p>
      <w:pPr>
        <w:pStyle w:val="7"/>
        <w:spacing w:line="578" w:lineRule="exact"/>
        <w:ind w:left="0" w:leftChars="0" w:firstLine="612" w:firstLineChars="200"/>
        <w:jc w:val="both"/>
        <w:rPr>
          <w:rFonts w:hint="eastAsia" w:ascii="黑体" w:hAnsi="黑体" w:eastAsia="黑体" w:cs="黑体"/>
          <w:b w:val="0"/>
          <w:bCs/>
          <w:color w:val="auto"/>
          <w:spacing w:val="-7"/>
          <w:kern w:val="2"/>
          <w:sz w:val="32"/>
          <w:szCs w:val="24"/>
          <w:lang w:val="en-US" w:eastAsia="zh-CN" w:bidi="ar-SA"/>
        </w:rPr>
      </w:pPr>
      <w:r>
        <w:rPr>
          <w:rFonts w:hint="eastAsia" w:ascii="黑体" w:hAnsi="黑体" w:eastAsia="黑体" w:cs="黑体"/>
          <w:b w:val="0"/>
          <w:bCs/>
          <w:color w:val="auto"/>
          <w:spacing w:val="-7"/>
          <w:kern w:val="2"/>
          <w:sz w:val="32"/>
          <w:szCs w:val="24"/>
          <w:lang w:val="en-US" w:eastAsia="zh-CN" w:bidi="ar-SA"/>
        </w:rPr>
        <w:t>三、施工要求</w:t>
      </w:r>
    </w:p>
    <w:p>
      <w:pPr>
        <w:pStyle w:val="6"/>
        <w:keepNext w:val="0"/>
        <w:keepLines w:val="0"/>
        <w:pageBreakBefore w:val="0"/>
        <w:widowControl w:val="0"/>
        <w:kinsoku/>
        <w:wordWrap/>
        <w:overflowPunct/>
        <w:topLinePunct w:val="0"/>
        <w:autoSpaceDE/>
        <w:autoSpaceDN/>
        <w:bidi w:val="0"/>
        <w:adjustRightInd/>
        <w:snapToGrid/>
        <w:spacing w:after="0" w:line="578" w:lineRule="exact"/>
        <w:ind w:firstLine="612" w:firstLineChars="200"/>
        <w:textAlignment w:val="auto"/>
        <w:rPr>
          <w:rFonts w:hint="eastAsia" w:ascii="仿宋" w:hAnsi="仿宋" w:eastAsia="仿宋" w:cs="仿宋"/>
          <w:spacing w:val="-7"/>
          <w:sz w:val="32"/>
          <w:szCs w:val="24"/>
          <w:lang w:val="en-US" w:eastAsia="zh-CN"/>
        </w:rPr>
      </w:pPr>
      <w:r>
        <w:rPr>
          <w:rFonts w:hint="eastAsia" w:ascii="仿宋" w:hAnsi="仿宋" w:eastAsia="仿宋" w:cs="仿宋"/>
          <w:spacing w:val="-7"/>
          <w:sz w:val="32"/>
          <w:szCs w:val="24"/>
          <w:lang w:val="en-US" w:eastAsia="zh-CN"/>
        </w:rPr>
        <w:t>1.安全管理：作业前设置明显警示标识，划定作业区域，禁止无关人员进入；作业人员必须佩戴安全帽、防滑鞋、防护手套等劳保用品，化粪池开盖后需先通风15分钟以上，避免有毒气体积聚引发危险。</w:t>
      </w:r>
    </w:p>
    <w:p>
      <w:pPr>
        <w:pStyle w:val="6"/>
        <w:keepNext w:val="0"/>
        <w:keepLines w:val="0"/>
        <w:pageBreakBefore w:val="0"/>
        <w:widowControl w:val="0"/>
        <w:kinsoku/>
        <w:wordWrap/>
        <w:overflowPunct/>
        <w:topLinePunct w:val="0"/>
        <w:autoSpaceDE/>
        <w:autoSpaceDN/>
        <w:bidi w:val="0"/>
        <w:adjustRightInd/>
        <w:snapToGrid/>
        <w:spacing w:after="0" w:line="578" w:lineRule="exact"/>
        <w:ind w:firstLine="612" w:firstLineChars="200"/>
        <w:textAlignment w:val="auto"/>
        <w:rPr>
          <w:rFonts w:hint="eastAsia" w:ascii="仿宋" w:hAnsi="仿宋" w:eastAsia="仿宋" w:cs="仿宋"/>
          <w:spacing w:val="-7"/>
          <w:sz w:val="32"/>
          <w:szCs w:val="24"/>
          <w:lang w:val="en-US" w:eastAsia="zh-CN"/>
        </w:rPr>
      </w:pPr>
      <w:r>
        <w:rPr>
          <w:rFonts w:hint="eastAsia" w:ascii="仿宋" w:hAnsi="仿宋" w:eastAsia="仿宋" w:cs="仿宋"/>
          <w:spacing w:val="-7"/>
          <w:sz w:val="32"/>
          <w:szCs w:val="24"/>
          <w:lang w:val="en-US" w:eastAsia="zh-CN"/>
        </w:rPr>
        <w:t>2.现场防护：施工过程中，需在作业点周边铺设防污垫、塑料布等，防止污物滴落污染地面；配备应急吸污设备，若发生少量泄漏，需立即清理，避免扩散。</w:t>
      </w:r>
    </w:p>
    <w:p>
      <w:pPr>
        <w:pStyle w:val="6"/>
        <w:keepNext w:val="0"/>
        <w:keepLines w:val="0"/>
        <w:pageBreakBefore w:val="0"/>
        <w:widowControl w:val="0"/>
        <w:kinsoku/>
        <w:wordWrap/>
        <w:overflowPunct/>
        <w:topLinePunct w:val="0"/>
        <w:autoSpaceDE/>
        <w:autoSpaceDN/>
        <w:bidi w:val="0"/>
        <w:adjustRightInd/>
        <w:snapToGrid/>
        <w:spacing w:after="0" w:line="578" w:lineRule="exact"/>
        <w:ind w:firstLine="612" w:firstLineChars="200"/>
        <w:textAlignment w:val="auto"/>
        <w:rPr>
          <w:rFonts w:hint="eastAsia" w:ascii="仿宋" w:hAnsi="仿宋" w:eastAsia="仿宋" w:cs="仿宋"/>
          <w:spacing w:val="-7"/>
          <w:sz w:val="32"/>
          <w:szCs w:val="24"/>
          <w:lang w:val="en-US" w:eastAsia="zh-CN"/>
        </w:rPr>
      </w:pPr>
      <w:r>
        <w:rPr>
          <w:rFonts w:hint="eastAsia" w:ascii="仿宋" w:hAnsi="仿宋" w:eastAsia="仿宋" w:cs="仿宋"/>
          <w:spacing w:val="-7"/>
          <w:sz w:val="32"/>
          <w:szCs w:val="24"/>
          <w:lang w:val="en-US" w:eastAsia="zh-CN"/>
        </w:rPr>
        <w:t>3.时间规范：需在双方约定时间内完成清运，原则上办公区清运避开周一至周五生产繁忙时段；单次作业时间控制在合理范围内，减少对公司正常办公、生产秩序的影响。</w:t>
      </w:r>
    </w:p>
    <w:p>
      <w:pPr>
        <w:pStyle w:val="6"/>
        <w:keepNext w:val="0"/>
        <w:keepLines w:val="0"/>
        <w:pageBreakBefore w:val="0"/>
        <w:widowControl w:val="0"/>
        <w:kinsoku/>
        <w:wordWrap/>
        <w:overflowPunct/>
        <w:topLinePunct w:val="0"/>
        <w:autoSpaceDE/>
        <w:autoSpaceDN/>
        <w:bidi w:val="0"/>
        <w:adjustRightInd/>
        <w:snapToGrid/>
        <w:spacing w:after="0" w:line="578" w:lineRule="exact"/>
        <w:ind w:firstLine="612" w:firstLineChars="200"/>
        <w:textAlignment w:val="auto"/>
        <w:rPr>
          <w:rFonts w:hint="eastAsia" w:ascii="仿宋" w:hAnsi="仿宋" w:eastAsia="仿宋" w:cs="仿宋"/>
          <w:spacing w:val="-7"/>
          <w:sz w:val="32"/>
          <w:szCs w:val="24"/>
          <w:lang w:val="en-US" w:eastAsia="zh-CN"/>
        </w:rPr>
      </w:pPr>
      <w:r>
        <w:rPr>
          <w:rFonts w:hint="eastAsia" w:ascii="仿宋" w:hAnsi="仿宋" w:eastAsia="仿宋" w:cs="仿宋"/>
          <w:spacing w:val="-7"/>
          <w:sz w:val="32"/>
          <w:szCs w:val="24"/>
          <w:lang w:val="en-US" w:eastAsia="zh-CN"/>
        </w:rPr>
        <w:t>4.现场恢复：作业结束后，需将化粪池井盖复位并紧固，清理现场所有施工垃圾、防护设施，对污染地面进行冲洗、消毒，确保现场环境恢复至施工前状态。</w:t>
      </w:r>
    </w:p>
    <w:p>
      <w:pPr>
        <w:pStyle w:val="7"/>
        <w:spacing w:line="578" w:lineRule="exact"/>
        <w:ind w:left="0" w:leftChars="0" w:firstLine="612" w:firstLineChars="200"/>
        <w:jc w:val="both"/>
        <w:rPr>
          <w:rFonts w:hint="eastAsia" w:ascii="黑体" w:hAnsi="黑体" w:eastAsia="黑体" w:cs="黑体"/>
          <w:b w:val="0"/>
          <w:bCs/>
          <w:spacing w:val="-7"/>
          <w:sz w:val="32"/>
          <w:szCs w:val="24"/>
          <w:lang w:val="en-US" w:eastAsia="zh-CN"/>
        </w:rPr>
      </w:pPr>
      <w:r>
        <w:rPr>
          <w:rFonts w:hint="eastAsia" w:ascii="黑体" w:hAnsi="黑体" w:eastAsia="黑体" w:cs="黑体"/>
          <w:b w:val="0"/>
          <w:bCs/>
          <w:spacing w:val="-7"/>
          <w:sz w:val="32"/>
          <w:szCs w:val="24"/>
          <w:lang w:val="en-US" w:eastAsia="zh-CN"/>
        </w:rPr>
        <w:t>四、质保期与服务响应</w:t>
      </w:r>
    </w:p>
    <w:p>
      <w:pPr>
        <w:pStyle w:val="6"/>
        <w:keepNext w:val="0"/>
        <w:keepLines w:val="0"/>
        <w:pageBreakBefore w:val="0"/>
        <w:widowControl w:val="0"/>
        <w:kinsoku/>
        <w:wordWrap/>
        <w:overflowPunct/>
        <w:topLinePunct w:val="0"/>
        <w:autoSpaceDE/>
        <w:autoSpaceDN/>
        <w:bidi w:val="0"/>
        <w:adjustRightInd/>
        <w:snapToGrid/>
        <w:spacing w:after="0" w:line="578" w:lineRule="exact"/>
        <w:ind w:firstLine="612" w:firstLineChars="200"/>
        <w:textAlignment w:val="auto"/>
        <w:rPr>
          <w:rFonts w:hint="eastAsia" w:ascii="仿宋" w:hAnsi="仿宋" w:eastAsia="仿宋" w:cs="仿宋"/>
          <w:spacing w:val="-7"/>
          <w:sz w:val="32"/>
          <w:szCs w:val="24"/>
          <w:lang w:val="en-US" w:eastAsia="zh-CN"/>
        </w:rPr>
      </w:pPr>
      <w:r>
        <w:rPr>
          <w:rFonts w:hint="eastAsia" w:ascii="仿宋" w:hAnsi="仿宋" w:eastAsia="仿宋" w:cs="仿宋"/>
          <w:spacing w:val="-7"/>
          <w:sz w:val="32"/>
          <w:szCs w:val="24"/>
          <w:lang w:val="en-US" w:eastAsia="zh-CN"/>
        </w:rPr>
        <w:t>质保期：3-6个月，期间如出现堵塞、外溢等问题免费处理。</w:t>
      </w:r>
    </w:p>
    <w:p>
      <w:pPr>
        <w:pStyle w:val="6"/>
        <w:keepNext w:val="0"/>
        <w:keepLines w:val="0"/>
        <w:pageBreakBefore w:val="0"/>
        <w:widowControl w:val="0"/>
        <w:kinsoku/>
        <w:wordWrap/>
        <w:overflowPunct/>
        <w:topLinePunct w:val="0"/>
        <w:autoSpaceDE/>
        <w:autoSpaceDN/>
        <w:bidi w:val="0"/>
        <w:adjustRightInd/>
        <w:snapToGrid/>
        <w:spacing w:after="0" w:line="578" w:lineRule="exact"/>
        <w:ind w:firstLine="612" w:firstLineChars="200"/>
        <w:textAlignment w:val="auto"/>
        <w:rPr>
          <w:rFonts w:hint="eastAsia" w:ascii="仿宋" w:hAnsi="仿宋" w:eastAsia="仿宋" w:cs="仿宋"/>
          <w:spacing w:val="-7"/>
          <w:sz w:val="32"/>
          <w:szCs w:val="24"/>
          <w:lang w:val="en-US" w:eastAsia="zh-CN"/>
        </w:rPr>
      </w:pPr>
      <w:r>
        <w:rPr>
          <w:rFonts w:hint="eastAsia" w:ascii="仿宋" w:hAnsi="仿宋" w:eastAsia="仿宋" w:cs="仿宋"/>
          <w:spacing w:val="-7"/>
          <w:sz w:val="32"/>
          <w:szCs w:val="24"/>
          <w:lang w:val="en-US" w:eastAsia="zh-CN"/>
        </w:rPr>
        <w:t>响应时间：紧急情况2小时内到场，一般问题4小时内响应。</w:t>
      </w:r>
    </w:p>
    <w:p>
      <w:pPr>
        <w:pStyle w:val="6"/>
        <w:keepNext w:val="0"/>
        <w:keepLines w:val="0"/>
        <w:pageBreakBefore w:val="0"/>
        <w:widowControl w:val="0"/>
        <w:kinsoku/>
        <w:wordWrap/>
        <w:overflowPunct/>
        <w:topLinePunct w:val="0"/>
        <w:autoSpaceDE/>
        <w:autoSpaceDN/>
        <w:bidi w:val="0"/>
        <w:adjustRightInd/>
        <w:snapToGrid/>
        <w:spacing w:after="0" w:line="578" w:lineRule="exact"/>
        <w:ind w:firstLine="612" w:firstLineChars="200"/>
        <w:textAlignment w:val="auto"/>
        <w:rPr>
          <w:rFonts w:hint="eastAsia" w:ascii="仿宋" w:hAnsi="仿宋" w:eastAsia="仿宋" w:cs="仿宋"/>
          <w:spacing w:val="-7"/>
          <w:sz w:val="32"/>
          <w:szCs w:val="24"/>
          <w:lang w:val="en-US" w:eastAsia="zh-CN"/>
        </w:rPr>
      </w:pPr>
      <w:r>
        <w:rPr>
          <w:rFonts w:hint="eastAsia" w:ascii="仿宋" w:hAnsi="仿宋" w:eastAsia="仿宋" w:cs="仿宋"/>
          <w:spacing w:val="-7"/>
          <w:sz w:val="32"/>
          <w:szCs w:val="24"/>
          <w:lang w:val="en-US" w:eastAsia="zh-CN"/>
        </w:rPr>
        <w:t>质保范围：清掏不彻底导致的堵塞或外溢，施工造成的设施损坏修复，因操作不当引发的二次污染清理。</w:t>
      </w:r>
    </w:p>
    <w:p>
      <w:pPr>
        <w:pStyle w:val="6"/>
        <w:keepNext w:val="0"/>
        <w:keepLines w:val="0"/>
        <w:pageBreakBefore w:val="0"/>
        <w:widowControl w:val="0"/>
        <w:kinsoku/>
        <w:wordWrap/>
        <w:overflowPunct/>
        <w:topLinePunct w:val="0"/>
        <w:autoSpaceDE/>
        <w:autoSpaceDN/>
        <w:bidi w:val="0"/>
        <w:adjustRightInd/>
        <w:snapToGrid/>
        <w:spacing w:after="0" w:line="578" w:lineRule="exact"/>
        <w:ind w:firstLine="612" w:firstLineChars="200"/>
        <w:textAlignment w:val="auto"/>
        <w:rPr>
          <w:rFonts w:hint="eastAsia" w:ascii="仿宋" w:hAnsi="仿宋" w:eastAsia="仿宋" w:cs="仿宋"/>
          <w:spacing w:val="-7"/>
          <w:sz w:val="32"/>
          <w:szCs w:val="24"/>
          <w:lang w:val="en-US" w:eastAsia="zh-CN"/>
        </w:rPr>
      </w:pPr>
      <w:r>
        <w:rPr>
          <w:rFonts w:hint="eastAsia" w:ascii="仿宋" w:hAnsi="仿宋" w:eastAsia="仿宋" w:cs="仿宋"/>
          <w:spacing w:val="-7"/>
          <w:sz w:val="32"/>
          <w:szCs w:val="24"/>
          <w:lang w:val="en-US" w:eastAsia="zh-CN"/>
        </w:rPr>
        <w:t>服务要求：服务前必须通知我方工作人员全程参与旁站监督，按施工要求及技术要求服务。质保期内定期回访1-2次，提供化粪池使用维护建议。</w:t>
      </w:r>
    </w:p>
    <w:p>
      <w:pPr>
        <w:pStyle w:val="7"/>
        <w:spacing w:line="578" w:lineRule="exact"/>
        <w:ind w:left="0" w:leftChars="0" w:firstLine="612" w:firstLineChars="200"/>
        <w:jc w:val="both"/>
        <w:rPr>
          <w:rFonts w:hint="eastAsia" w:ascii="黑体" w:hAnsi="黑体" w:eastAsia="黑体" w:cs="黑体"/>
          <w:b w:val="0"/>
          <w:bCs/>
          <w:spacing w:val="-7"/>
          <w:sz w:val="32"/>
          <w:szCs w:val="24"/>
          <w:lang w:val="en-US" w:eastAsia="zh-CN"/>
        </w:rPr>
      </w:pPr>
      <w:r>
        <w:rPr>
          <w:rFonts w:hint="eastAsia" w:ascii="黑体" w:hAnsi="黑体" w:eastAsia="黑体" w:cs="黑体"/>
          <w:b w:val="0"/>
          <w:bCs/>
          <w:spacing w:val="-7"/>
          <w:sz w:val="32"/>
          <w:szCs w:val="24"/>
          <w:lang w:val="en-US" w:eastAsia="zh-CN"/>
        </w:rPr>
        <w:t>五、资质要求</w:t>
      </w:r>
    </w:p>
    <w:p>
      <w:pPr>
        <w:pStyle w:val="6"/>
        <w:keepNext w:val="0"/>
        <w:keepLines w:val="0"/>
        <w:pageBreakBefore w:val="0"/>
        <w:widowControl w:val="0"/>
        <w:kinsoku/>
        <w:wordWrap/>
        <w:overflowPunct/>
        <w:topLinePunct w:val="0"/>
        <w:autoSpaceDE/>
        <w:autoSpaceDN/>
        <w:bidi w:val="0"/>
        <w:adjustRightInd/>
        <w:snapToGrid/>
        <w:spacing w:after="0" w:line="578" w:lineRule="exact"/>
        <w:ind w:firstLine="612" w:firstLineChars="200"/>
        <w:textAlignment w:val="auto"/>
        <w:rPr>
          <w:rFonts w:hint="eastAsia" w:ascii="仿宋" w:hAnsi="仿宋" w:eastAsia="仿宋" w:cs="仿宋"/>
          <w:spacing w:val="-7"/>
          <w:sz w:val="32"/>
          <w:szCs w:val="24"/>
          <w:lang w:val="en-US" w:eastAsia="zh-CN"/>
        </w:rPr>
      </w:pPr>
      <w:r>
        <w:rPr>
          <w:rFonts w:hint="eastAsia" w:ascii="仿宋" w:hAnsi="仿宋" w:eastAsia="仿宋" w:cs="仿宋"/>
          <w:spacing w:val="-7"/>
          <w:sz w:val="32"/>
          <w:szCs w:val="24"/>
          <w:lang w:val="en-US" w:eastAsia="zh-CN"/>
        </w:rPr>
        <w:t>针对我公司本次化粪池清运项目，要求具备中华人民共和国境内注册合法运作的企业或法人，具有独立承担招标项目的能力和独立履行合同的能力。必须有昆明市关于环卫资质许可的证明、有粪便处置的资质，且营业执照经营范围应涵盖包含“环卫清洁”或“污物清运”等相关业务，证明其具备从事本项目的合法经营资格，具有履行合同所必需的设备和专业技术能力，参加投标的供应商提交三年内无违法违规经营行为证明，企业或法人不在南方电网公司供货商黑名单处罚期内。人员资质要求作业人员需经过专业培训，熟悉化粪池安全操作规程和防护措施（密闭空间施工防护）。</w:t>
      </w:r>
    </w:p>
    <w:p>
      <w:pPr>
        <w:pStyle w:val="7"/>
        <w:spacing w:line="578" w:lineRule="exact"/>
        <w:ind w:left="0" w:leftChars="0" w:firstLine="612" w:firstLineChars="200"/>
        <w:jc w:val="both"/>
        <w:rPr>
          <w:rFonts w:hint="eastAsia" w:ascii="黑体" w:hAnsi="黑体" w:eastAsia="黑体" w:cs="黑体"/>
          <w:b w:val="0"/>
          <w:bCs/>
          <w:spacing w:val="-7"/>
          <w:sz w:val="32"/>
          <w:szCs w:val="24"/>
          <w:lang w:val="en-US" w:eastAsia="zh-CN"/>
        </w:rPr>
      </w:pPr>
      <w:r>
        <w:rPr>
          <w:rFonts w:hint="eastAsia" w:ascii="黑体" w:hAnsi="黑体" w:eastAsia="黑体" w:cs="黑体"/>
          <w:b w:val="0"/>
          <w:bCs/>
          <w:spacing w:val="-7"/>
          <w:sz w:val="32"/>
          <w:szCs w:val="24"/>
          <w:lang w:val="en-US" w:eastAsia="zh-CN"/>
        </w:rPr>
        <w:t>六、付款方式</w:t>
      </w:r>
    </w:p>
    <w:p>
      <w:pPr>
        <w:pStyle w:val="6"/>
        <w:keepNext w:val="0"/>
        <w:keepLines w:val="0"/>
        <w:pageBreakBefore w:val="0"/>
        <w:widowControl w:val="0"/>
        <w:kinsoku/>
        <w:wordWrap/>
        <w:overflowPunct/>
        <w:topLinePunct w:val="0"/>
        <w:autoSpaceDE/>
        <w:autoSpaceDN/>
        <w:bidi w:val="0"/>
        <w:adjustRightInd/>
        <w:snapToGrid/>
        <w:spacing w:after="0" w:line="578" w:lineRule="exact"/>
        <w:ind w:firstLine="612" w:firstLineChars="200"/>
        <w:textAlignment w:val="auto"/>
        <w:rPr>
          <w:rFonts w:hint="eastAsia" w:ascii="仿宋" w:hAnsi="仿宋" w:eastAsia="仿宋" w:cs="仿宋"/>
          <w:spacing w:val="-7"/>
          <w:sz w:val="32"/>
          <w:szCs w:val="24"/>
          <w:lang w:val="en-US" w:eastAsia="zh-CN"/>
        </w:rPr>
      </w:pPr>
      <w:r>
        <w:rPr>
          <w:rFonts w:hint="eastAsia" w:ascii="仿宋" w:hAnsi="仿宋" w:eastAsia="仿宋" w:cs="仿宋"/>
          <w:spacing w:val="-7"/>
          <w:sz w:val="32"/>
          <w:szCs w:val="24"/>
          <w:lang w:val="en-US" w:eastAsia="zh-CN"/>
        </w:rPr>
        <w:t>本项目工期为三年，本项目每年施工完毕验收合格后乙方开具本年度增值税发票，甲方收到发票后10个工作日内一次性付清当年项目款项。</w:t>
      </w:r>
    </w:p>
    <w:p>
      <w:pPr>
        <w:pStyle w:val="7"/>
        <w:spacing w:line="578" w:lineRule="exact"/>
        <w:ind w:left="0" w:leftChars="0" w:firstLine="612" w:firstLineChars="200"/>
        <w:jc w:val="both"/>
        <w:rPr>
          <w:rFonts w:hint="eastAsia" w:ascii="黑体" w:hAnsi="黑体" w:eastAsia="黑体" w:cs="黑体"/>
          <w:b w:val="0"/>
          <w:bCs/>
          <w:spacing w:val="-7"/>
          <w:sz w:val="32"/>
          <w:szCs w:val="24"/>
          <w:lang w:val="en-US" w:eastAsia="zh-CN"/>
        </w:rPr>
      </w:pPr>
      <w:r>
        <w:rPr>
          <w:rFonts w:hint="eastAsia" w:ascii="黑体" w:hAnsi="黑体" w:eastAsia="黑体" w:cs="黑体"/>
          <w:b w:val="0"/>
          <w:bCs/>
          <w:spacing w:val="-7"/>
          <w:sz w:val="32"/>
          <w:szCs w:val="24"/>
          <w:lang w:val="en-US" w:eastAsia="zh-CN"/>
        </w:rPr>
        <w:t>七、</w:t>
      </w:r>
      <w:r>
        <w:rPr>
          <w:rFonts w:hint="eastAsia" w:ascii="黑体" w:hAnsi="黑体" w:eastAsia="黑体" w:cs="黑体"/>
          <w:b w:val="0"/>
          <w:bCs/>
          <w:color w:val="000000"/>
          <w:spacing w:val="-7"/>
          <w:sz w:val="32"/>
          <w:szCs w:val="24"/>
          <w:highlight w:val="none"/>
          <w:u w:val="none"/>
          <w:lang w:val="en-US" w:eastAsia="zh-CN"/>
        </w:rPr>
        <w:t>其他</w:t>
      </w:r>
      <w:r>
        <w:rPr>
          <w:rFonts w:hint="eastAsia" w:ascii="黑体" w:hAnsi="黑体" w:eastAsia="黑体" w:cs="黑体"/>
          <w:b w:val="0"/>
          <w:bCs/>
          <w:spacing w:val="-7"/>
          <w:sz w:val="32"/>
          <w:szCs w:val="24"/>
          <w:lang w:val="en-US" w:eastAsia="zh-CN"/>
        </w:rPr>
        <w:t>要求</w:t>
      </w:r>
    </w:p>
    <w:p>
      <w:pPr>
        <w:pStyle w:val="6"/>
        <w:keepNext w:val="0"/>
        <w:keepLines w:val="0"/>
        <w:pageBreakBefore w:val="0"/>
        <w:widowControl w:val="0"/>
        <w:kinsoku/>
        <w:wordWrap/>
        <w:overflowPunct/>
        <w:topLinePunct w:val="0"/>
        <w:autoSpaceDE/>
        <w:autoSpaceDN/>
        <w:bidi w:val="0"/>
        <w:adjustRightInd/>
        <w:snapToGrid/>
        <w:spacing w:after="0" w:line="578" w:lineRule="exact"/>
        <w:ind w:firstLine="612" w:firstLineChars="200"/>
        <w:textAlignment w:val="auto"/>
        <w:rPr>
          <w:rFonts w:hint="eastAsia" w:ascii="仿宋" w:hAnsi="仿宋" w:eastAsia="仿宋" w:cs="仿宋"/>
          <w:spacing w:val="-7"/>
          <w:sz w:val="32"/>
          <w:szCs w:val="24"/>
          <w:lang w:val="en-US" w:eastAsia="zh-CN"/>
        </w:rPr>
      </w:pPr>
      <w:r>
        <w:rPr>
          <w:rFonts w:hint="eastAsia" w:ascii="仿宋" w:hAnsi="仿宋" w:eastAsia="仿宋" w:cs="仿宋"/>
          <w:spacing w:val="-7"/>
          <w:sz w:val="32"/>
          <w:szCs w:val="24"/>
          <w:lang w:val="en-US" w:eastAsia="zh-CN"/>
        </w:rPr>
        <w:t>7.1公司化粪池清运项目具体要求详见采购清单中要求，报价必须响应采购清单中分项要求。报价文件中应明确具体联系人及电话。</w:t>
      </w:r>
    </w:p>
    <w:p>
      <w:pPr>
        <w:pStyle w:val="6"/>
        <w:keepNext w:val="0"/>
        <w:keepLines w:val="0"/>
        <w:pageBreakBefore w:val="0"/>
        <w:widowControl w:val="0"/>
        <w:kinsoku/>
        <w:wordWrap/>
        <w:overflowPunct/>
        <w:topLinePunct w:val="0"/>
        <w:autoSpaceDE/>
        <w:autoSpaceDN/>
        <w:bidi w:val="0"/>
        <w:adjustRightInd/>
        <w:snapToGrid/>
        <w:spacing w:after="0" w:line="578" w:lineRule="exact"/>
        <w:ind w:firstLine="612" w:firstLineChars="200"/>
        <w:textAlignment w:val="auto"/>
        <w:rPr>
          <w:rFonts w:hint="eastAsia" w:ascii="仿宋" w:hAnsi="仿宋" w:eastAsia="仿宋" w:cs="仿宋"/>
          <w:spacing w:val="-7"/>
          <w:sz w:val="32"/>
          <w:szCs w:val="24"/>
          <w:lang w:val="en-US" w:eastAsia="zh-CN"/>
        </w:rPr>
      </w:pPr>
      <w:r>
        <w:rPr>
          <w:rFonts w:hint="eastAsia" w:ascii="仿宋" w:hAnsi="仿宋" w:eastAsia="仿宋" w:cs="仿宋"/>
          <w:spacing w:val="-7"/>
          <w:sz w:val="32"/>
          <w:szCs w:val="24"/>
          <w:lang w:val="en-US" w:eastAsia="zh-CN"/>
        </w:rPr>
        <w:t>7.2报价：本价格为三年服务包干费用，包含采购清单中所有项目在内。报价应分类分项报价，包括单价、合价、总价等，列出费用明细。本项目总报价应分别填报含税价和不含税价，最终选择不含税价最低的报价为服务商。所有设备费、人工费、清运费等费用均包含在报价中。报价文件中应同时要求提供企业或法人资质文件彩色复印件或彩色扫描件。采购完毕后必须开具增值税专用发票。</w:t>
      </w:r>
    </w:p>
    <w:p>
      <w:pPr>
        <w:pStyle w:val="6"/>
        <w:keepNext w:val="0"/>
        <w:keepLines w:val="0"/>
        <w:pageBreakBefore w:val="0"/>
        <w:widowControl w:val="0"/>
        <w:kinsoku/>
        <w:wordWrap/>
        <w:overflowPunct/>
        <w:topLinePunct w:val="0"/>
        <w:autoSpaceDE/>
        <w:autoSpaceDN/>
        <w:bidi w:val="0"/>
        <w:adjustRightInd/>
        <w:snapToGrid/>
        <w:spacing w:after="0" w:line="578" w:lineRule="exact"/>
        <w:ind w:firstLine="612" w:firstLineChars="200"/>
        <w:textAlignment w:val="auto"/>
        <w:rPr>
          <w:rFonts w:hint="eastAsia" w:ascii="仿宋" w:hAnsi="仿宋" w:eastAsia="仿宋" w:cs="仿宋"/>
          <w:spacing w:val="-7"/>
          <w:sz w:val="32"/>
          <w:szCs w:val="24"/>
          <w:lang w:val="en-US" w:eastAsia="zh-CN"/>
        </w:rPr>
      </w:pPr>
      <w:r>
        <w:rPr>
          <w:rFonts w:hint="eastAsia" w:ascii="仿宋" w:hAnsi="仿宋" w:eastAsia="仿宋" w:cs="仿宋"/>
          <w:spacing w:val="-7"/>
          <w:sz w:val="32"/>
          <w:szCs w:val="24"/>
          <w:lang w:val="en-US" w:eastAsia="zh-CN"/>
        </w:rPr>
        <w:t>7.3因考虑到清运的及时性及今后的质保及售后服务等问题，在同等报价情况下本地企业优先考虑。</w:t>
      </w:r>
    </w:p>
    <w:p>
      <w:pPr>
        <w:pStyle w:val="6"/>
        <w:keepNext w:val="0"/>
        <w:keepLines w:val="0"/>
        <w:pageBreakBefore w:val="0"/>
        <w:widowControl w:val="0"/>
        <w:kinsoku/>
        <w:wordWrap/>
        <w:overflowPunct/>
        <w:topLinePunct w:val="0"/>
        <w:autoSpaceDE/>
        <w:autoSpaceDN/>
        <w:bidi w:val="0"/>
        <w:adjustRightInd/>
        <w:snapToGrid/>
        <w:spacing w:after="0" w:line="578" w:lineRule="exact"/>
        <w:ind w:firstLine="612" w:firstLineChars="200"/>
        <w:textAlignment w:val="auto"/>
        <w:rPr>
          <w:rFonts w:hint="eastAsia" w:ascii="仿宋" w:hAnsi="仿宋" w:eastAsia="仿宋" w:cs="仿宋"/>
          <w:spacing w:val="-7"/>
          <w:sz w:val="32"/>
          <w:szCs w:val="24"/>
          <w:lang w:val="en-US" w:eastAsia="zh-CN"/>
        </w:rPr>
      </w:pPr>
      <w:r>
        <w:rPr>
          <w:rFonts w:hint="eastAsia" w:ascii="仿宋" w:hAnsi="仿宋" w:eastAsia="仿宋" w:cs="仿宋"/>
          <w:spacing w:val="-7"/>
          <w:sz w:val="32"/>
          <w:szCs w:val="24"/>
          <w:lang w:val="en-US" w:eastAsia="zh-CN"/>
        </w:rPr>
        <w:t>7.4监督：在采购过程中发现违规违纪问题，需要反映线索的请联系：监督电话党群部杨晓梅：13518721885、综合办公室马丽：13700635385</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spacing w:val="-7"/>
          <w:kern w:val="2"/>
          <w:sz w:val="24"/>
          <w:szCs w:val="24"/>
          <w:lang w:val="en-US" w:eastAsia="zh-CN" w:bidi="ar-SA"/>
        </w:rPr>
      </w:pP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578" w:lineRule="exact"/>
        <w:ind w:left="1602" w:leftChars="300" w:hanging="972" w:hangingChars="304"/>
        <w:jc w:val="both"/>
        <w:textAlignment w:val="auto"/>
        <w:rPr>
          <w:rFonts w:hint="eastAsia" w:ascii="仿宋" w:hAnsi="仿宋" w:eastAsia="仿宋" w:cs="仿宋"/>
          <w:b w:val="0"/>
          <w:bCs w:val="0"/>
          <w:spacing w:val="0"/>
          <w:kern w:val="2"/>
          <w:sz w:val="32"/>
          <w:szCs w:val="24"/>
          <w:lang w:val="en-US" w:eastAsia="zh-CN" w:bidi="ar-SA"/>
        </w:rPr>
      </w:pPr>
      <w:r>
        <w:rPr>
          <w:rFonts w:hint="eastAsia" w:ascii="仿宋" w:hAnsi="仿宋" w:eastAsia="仿宋" w:cs="仿宋"/>
          <w:b w:val="0"/>
          <w:bCs w:val="0"/>
          <w:spacing w:val="0"/>
          <w:kern w:val="2"/>
          <w:sz w:val="32"/>
          <w:szCs w:val="24"/>
          <w:lang w:val="en-US" w:eastAsia="zh-CN" w:bidi="ar-SA"/>
        </w:rPr>
        <w:t>附件：2025-2027年云南电力建设监理咨询有限责任公司化粪池清运零星采购项目采购报价清单</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right"/>
        <w:textAlignment w:val="auto"/>
        <w:rPr>
          <w:rFonts w:hint="eastAsia" w:ascii="宋体" w:hAnsi="宋体" w:eastAsia="宋体" w:cs="宋体"/>
          <w:b w:val="0"/>
          <w:bCs w:val="0"/>
          <w:spacing w:val="-7"/>
          <w:kern w:val="2"/>
          <w:sz w:val="24"/>
          <w:szCs w:val="24"/>
          <w:lang w:val="en-US" w:eastAsia="zh-CN" w:bidi="ar-SA"/>
        </w:rPr>
      </w:pP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578" w:lineRule="exact"/>
        <w:ind w:left="1602" w:leftChars="300" w:hanging="972" w:hangingChars="304"/>
        <w:jc w:val="right"/>
        <w:textAlignment w:val="auto"/>
        <w:rPr>
          <w:rFonts w:hint="eastAsia" w:ascii="仿宋" w:hAnsi="仿宋" w:eastAsia="仿宋" w:cs="仿宋"/>
          <w:b w:val="0"/>
          <w:bCs w:val="0"/>
          <w:spacing w:val="0"/>
          <w:kern w:val="2"/>
          <w:sz w:val="32"/>
          <w:szCs w:val="24"/>
          <w:lang w:val="en-US" w:eastAsia="zh-CN" w:bidi="ar-SA"/>
        </w:rPr>
      </w:pPr>
      <w:r>
        <w:rPr>
          <w:rFonts w:hint="eastAsia" w:ascii="仿宋" w:hAnsi="仿宋" w:eastAsia="仿宋" w:cs="仿宋"/>
          <w:b w:val="0"/>
          <w:bCs w:val="0"/>
          <w:spacing w:val="0"/>
          <w:kern w:val="2"/>
          <w:sz w:val="32"/>
          <w:szCs w:val="24"/>
          <w:lang w:val="en-US" w:eastAsia="zh-CN" w:bidi="ar-SA"/>
        </w:rPr>
        <w:t>云南电力建设监理咨询有限责任公司</w:t>
      </w:r>
    </w:p>
    <w:p>
      <w:pPr>
        <w:pStyle w:val="7"/>
        <w:keepNext w:val="0"/>
        <w:keepLines w:val="0"/>
        <w:pageBreakBefore w:val="0"/>
        <w:widowControl w:val="0"/>
        <w:kinsoku/>
        <w:wordWrap w:val="0"/>
        <w:overflowPunct/>
        <w:topLinePunct w:val="0"/>
        <w:autoSpaceDE/>
        <w:autoSpaceDN/>
        <w:bidi w:val="0"/>
        <w:adjustRightInd/>
        <w:snapToGrid/>
        <w:spacing w:before="0" w:beforeLines="0" w:after="0" w:afterLines="0" w:line="578" w:lineRule="exact"/>
        <w:ind w:left="1602" w:leftChars="300" w:hanging="972" w:hangingChars="304"/>
        <w:jc w:val="right"/>
        <w:textAlignment w:val="auto"/>
        <w:rPr>
          <w:rFonts w:hint="default" w:ascii="仿宋" w:hAnsi="仿宋" w:eastAsia="仿宋" w:cs="仿宋"/>
          <w:b w:val="0"/>
          <w:bCs w:val="0"/>
          <w:spacing w:val="0"/>
          <w:kern w:val="2"/>
          <w:sz w:val="32"/>
          <w:szCs w:val="24"/>
          <w:lang w:val="en-US" w:eastAsia="zh-CN" w:bidi="ar-SA"/>
        </w:rPr>
      </w:pPr>
      <w:r>
        <w:rPr>
          <w:rFonts w:hint="eastAsia" w:ascii="仿宋" w:hAnsi="仿宋" w:eastAsia="仿宋" w:cs="仿宋"/>
          <w:b w:val="0"/>
          <w:bCs w:val="0"/>
          <w:spacing w:val="0"/>
          <w:kern w:val="2"/>
          <w:sz w:val="32"/>
          <w:szCs w:val="24"/>
          <w:lang w:val="en-US" w:eastAsia="zh-CN" w:bidi="ar-SA"/>
        </w:rPr>
        <w:t xml:space="preserve">2025年11月4日      </w:t>
      </w:r>
    </w:p>
    <w:sectPr>
      <w:footerReference r:id="rId3" w:type="default"/>
      <w:pgSz w:w="11906" w:h="16838"/>
      <w:pgMar w:top="2098" w:right="1531" w:bottom="1985" w:left="1588" w:header="851" w:footer="1501"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outside" w:y="1"/>
      <w:pBdr>
        <w:top w:val="none" w:color="auto" w:sz="0" w:space="0"/>
        <w:left w:val="none" w:color="auto" w:sz="0" w:space="0"/>
        <w:bottom w:val="none" w:color="auto" w:sz="0" w:space="0"/>
        <w:right w:val="none" w:color="auto" w:sz="0" w:space="0"/>
        <w:between w:val="none" w:color="auto" w:sz="0" w:space="0"/>
      </w:pBdr>
      <w:spacing w:after="0" w:afterLines="0"/>
      <w:ind w:left="315" w:leftChars="150" w:right="315" w:rightChars="150" w:firstLine="0" w:firstLineChars="0"/>
      <w:rPr>
        <w:rFonts w:hint="default" w:ascii="Times New Roman" w:hAnsi="Times New Roman" w:cs="Times New Roman" w:eastAsiaTheme="minorEastAsia"/>
        <w:sz w:val="21"/>
        <w:szCs w:val="21"/>
        <w:lang w:eastAsia="zh-CN"/>
      </w:rPr>
    </w:pPr>
    <w:r>
      <w:rPr>
        <w:rStyle w:val="14"/>
        <w:rFonts w:hint="eastAsia" w:ascii="宋体" w:hAnsi="宋体" w:eastAsia="宋体" w:cs="宋体"/>
        <w:sz w:val="28"/>
        <w:szCs w:val="21"/>
        <w:lang w:eastAsia="zh-CN"/>
      </w:rPr>
      <w:t xml:space="preserve">— </w:t>
    </w:r>
    <w:r>
      <w:rPr>
        <w:rStyle w:val="14"/>
        <w:rFonts w:hint="eastAsia" w:ascii="宋体" w:hAnsi="宋体" w:eastAsia="宋体" w:cs="宋体"/>
        <w:sz w:val="28"/>
        <w:szCs w:val="21"/>
        <w:lang w:eastAsia="zh-CN"/>
      </w:rPr>
      <w:fldChar w:fldCharType="begin"/>
    </w:r>
    <w:r>
      <w:rPr>
        <w:rStyle w:val="14"/>
        <w:rFonts w:hint="eastAsia" w:ascii="宋体" w:hAnsi="宋体" w:eastAsia="宋体" w:cs="宋体"/>
        <w:sz w:val="28"/>
        <w:szCs w:val="21"/>
        <w:lang w:eastAsia="zh-CN"/>
      </w:rPr>
      <w:instrText xml:space="preserve"> PAGE  </w:instrText>
    </w:r>
    <w:r>
      <w:rPr>
        <w:rStyle w:val="14"/>
        <w:rFonts w:hint="eastAsia" w:ascii="宋体" w:hAnsi="宋体" w:eastAsia="宋体" w:cs="宋体"/>
        <w:sz w:val="28"/>
        <w:szCs w:val="21"/>
        <w:lang w:eastAsia="zh-CN"/>
      </w:rPr>
      <w:fldChar w:fldCharType="separate"/>
    </w:r>
    <w:r>
      <w:rPr>
        <w:rStyle w:val="14"/>
        <w:rFonts w:hint="eastAsia" w:ascii="宋体" w:hAnsi="宋体" w:eastAsia="宋体" w:cs="宋体"/>
        <w:sz w:val="28"/>
        <w:szCs w:val="21"/>
        <w:lang w:eastAsia="zh-CN"/>
      </w:rPr>
      <w:t>1</w:t>
    </w:r>
    <w:r>
      <w:rPr>
        <w:rStyle w:val="14"/>
        <w:rFonts w:hint="eastAsia" w:ascii="宋体" w:hAnsi="宋体" w:eastAsia="宋体" w:cs="宋体"/>
        <w:sz w:val="28"/>
        <w:szCs w:val="21"/>
        <w:lang w:eastAsia="zh-CN"/>
      </w:rPr>
      <w:fldChar w:fldCharType="end"/>
    </w:r>
    <w:r>
      <w:rPr>
        <w:rStyle w:val="14"/>
        <w:rFonts w:hint="eastAsia" w:ascii="宋体" w:hAnsi="宋体" w:eastAsia="宋体" w:cs="宋体"/>
        <w:sz w:val="28"/>
        <w:szCs w:val="21"/>
        <w:lang w:eastAsia="zh-CN"/>
      </w:rPr>
      <w:t xml:space="preserve"> —</w:t>
    </w:r>
  </w:p>
  <w:p>
    <w:pPr>
      <w:pStyle w:val="8"/>
      <w:ind w:right="360" w:firstLine="360" w:firstLineChars="0"/>
      <w:jc w:val="center"/>
      <w:rPr>
        <w:rFonts w:hint="default" w:ascii="Times New Roman" w:hAnsi="Times New Roman" w:cs="Times New Roman" w:eastAsiaTheme="minorEastAsia"/>
        <w:sz w:val="21"/>
        <w:szCs w:val="21"/>
        <w:lang w:eastAsia="zh-CN"/>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D92FFB"/>
    <w:rsid w:val="01395070"/>
    <w:rsid w:val="01C64E3A"/>
    <w:rsid w:val="041A1FA5"/>
    <w:rsid w:val="0424300B"/>
    <w:rsid w:val="078C716B"/>
    <w:rsid w:val="0A4B4A26"/>
    <w:rsid w:val="0B18682D"/>
    <w:rsid w:val="0B5F07FF"/>
    <w:rsid w:val="0BA059EE"/>
    <w:rsid w:val="0DA53BF1"/>
    <w:rsid w:val="0F971E23"/>
    <w:rsid w:val="12C04473"/>
    <w:rsid w:val="12D246E5"/>
    <w:rsid w:val="14BB7577"/>
    <w:rsid w:val="15BD1DAE"/>
    <w:rsid w:val="16D300B8"/>
    <w:rsid w:val="17DF0618"/>
    <w:rsid w:val="18EA0FF3"/>
    <w:rsid w:val="1CCD7140"/>
    <w:rsid w:val="1CD16EC2"/>
    <w:rsid w:val="1D903545"/>
    <w:rsid w:val="1E3B5D1F"/>
    <w:rsid w:val="1E6A1329"/>
    <w:rsid w:val="21BB7AA4"/>
    <w:rsid w:val="24D45AF5"/>
    <w:rsid w:val="24D91838"/>
    <w:rsid w:val="26E25037"/>
    <w:rsid w:val="28675C42"/>
    <w:rsid w:val="2A4E4159"/>
    <w:rsid w:val="2B5B4049"/>
    <w:rsid w:val="2EA52B48"/>
    <w:rsid w:val="2ECF5A25"/>
    <w:rsid w:val="31BC338E"/>
    <w:rsid w:val="32924D80"/>
    <w:rsid w:val="34B16912"/>
    <w:rsid w:val="3581366B"/>
    <w:rsid w:val="3879638D"/>
    <w:rsid w:val="38A263AE"/>
    <w:rsid w:val="398C17BE"/>
    <w:rsid w:val="3AD42A49"/>
    <w:rsid w:val="3ADC34C0"/>
    <w:rsid w:val="3D0A07F5"/>
    <w:rsid w:val="3DCF4CE9"/>
    <w:rsid w:val="3E6249D8"/>
    <w:rsid w:val="3EEA600A"/>
    <w:rsid w:val="3EEB6427"/>
    <w:rsid w:val="410C2722"/>
    <w:rsid w:val="48323C48"/>
    <w:rsid w:val="4CB060D7"/>
    <w:rsid w:val="4DAE6043"/>
    <w:rsid w:val="4EA704BC"/>
    <w:rsid w:val="4F581497"/>
    <w:rsid w:val="4F771FAA"/>
    <w:rsid w:val="519B26F6"/>
    <w:rsid w:val="5231169F"/>
    <w:rsid w:val="53BA2EE1"/>
    <w:rsid w:val="544F5D95"/>
    <w:rsid w:val="550B6810"/>
    <w:rsid w:val="574C3A76"/>
    <w:rsid w:val="57DA1ED5"/>
    <w:rsid w:val="57EF3BD4"/>
    <w:rsid w:val="581936F3"/>
    <w:rsid w:val="585A7A00"/>
    <w:rsid w:val="5B554EB1"/>
    <w:rsid w:val="5B8A600E"/>
    <w:rsid w:val="5C324E41"/>
    <w:rsid w:val="5C4557EC"/>
    <w:rsid w:val="5CB409EA"/>
    <w:rsid w:val="5E210CF6"/>
    <w:rsid w:val="5E5009A5"/>
    <w:rsid w:val="5E7E6793"/>
    <w:rsid w:val="627743F3"/>
    <w:rsid w:val="63DB1CD9"/>
    <w:rsid w:val="65E02561"/>
    <w:rsid w:val="660C27D2"/>
    <w:rsid w:val="667D2BB4"/>
    <w:rsid w:val="6738305E"/>
    <w:rsid w:val="68A10795"/>
    <w:rsid w:val="6AB312DE"/>
    <w:rsid w:val="6C846A7B"/>
    <w:rsid w:val="735C4D8D"/>
    <w:rsid w:val="73FF16F8"/>
    <w:rsid w:val="74372D50"/>
    <w:rsid w:val="74495E1C"/>
    <w:rsid w:val="75B770C4"/>
    <w:rsid w:val="76C51CDD"/>
    <w:rsid w:val="76EC0A93"/>
    <w:rsid w:val="779C6248"/>
    <w:rsid w:val="78A65B77"/>
    <w:rsid w:val="7C7A6848"/>
    <w:rsid w:val="7E2B6BC9"/>
    <w:rsid w:val="7E456642"/>
    <w:rsid w:val="7F3B05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8"/>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5">
    <w:name w:val="heading 5"/>
    <w:basedOn w:val="1"/>
    <w:next w:val="1"/>
    <w:semiHidden/>
    <w:unhideWhenUsed/>
    <w:qFormat/>
    <w:uiPriority w:val="0"/>
    <w:pPr>
      <w:spacing w:before="0" w:beforeAutospacing="1" w:after="0" w:afterAutospacing="1"/>
      <w:jc w:val="left"/>
    </w:pPr>
    <w:rPr>
      <w:rFonts w:hint="eastAsia" w:ascii="宋体" w:hAnsi="宋体" w:eastAsia="宋体" w:cs="宋体"/>
      <w:b/>
      <w:bCs/>
      <w:kern w:val="0"/>
      <w:sz w:val="20"/>
      <w:szCs w:val="20"/>
      <w:lang w:val="en-US" w:eastAsia="zh-CN" w:bidi="ar"/>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6">
    <w:name w:val="Body Text"/>
    <w:basedOn w:val="1"/>
    <w:next w:val="7"/>
    <w:qFormat/>
    <w:uiPriority w:val="0"/>
    <w:pPr>
      <w:widowControl w:val="0"/>
      <w:spacing w:after="120"/>
      <w:jc w:val="both"/>
    </w:pPr>
    <w:rPr>
      <w:kern w:val="2"/>
      <w:sz w:val="21"/>
    </w:rPr>
  </w:style>
  <w:style w:type="paragraph" w:styleId="7">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3">
    <w:name w:val="Strong"/>
    <w:basedOn w:val="12"/>
    <w:qFormat/>
    <w:uiPriority w:val="0"/>
    <w:rPr>
      <w:b/>
    </w:rPr>
  </w:style>
  <w:style w:type="character" w:styleId="14">
    <w:name w:val="page number"/>
    <w:basedOn w:val="12"/>
    <w:qFormat/>
    <w:uiPriority w:val="0"/>
  </w:style>
  <w:style w:type="table" w:customStyle="1" w:styleId="15">
    <w:name w:val="Table Normal"/>
    <w:semiHidden/>
    <w:unhideWhenUsed/>
    <w:qFormat/>
    <w:uiPriority w:val="0"/>
    <w:tblPr>
      <w:tblCellMar>
        <w:top w:w="0" w:type="dxa"/>
        <w:left w:w="0" w:type="dxa"/>
        <w:bottom w:w="0" w:type="dxa"/>
        <w:right w:w="0" w:type="dxa"/>
      </w:tblCellMar>
    </w:tblPr>
  </w:style>
  <w:style w:type="paragraph" w:customStyle="1" w:styleId="16">
    <w:name w:val="Table Text"/>
    <w:basedOn w:val="1"/>
    <w:semiHidden/>
    <w:qFormat/>
    <w:uiPriority w:val="0"/>
    <w:rPr>
      <w:rFonts w:ascii="宋体" w:hAnsi="宋体" w:eastAsia="宋体" w:cs="宋体"/>
      <w:sz w:val="24"/>
      <w:szCs w:val="24"/>
      <w:lang w:val="en-US" w:eastAsia="en-US" w:bidi="ar-SA"/>
    </w:rPr>
  </w:style>
  <w:style w:type="paragraph" w:customStyle="1" w:styleId="17">
    <w:name w:val="p0"/>
    <w:basedOn w:val="1"/>
    <w:qFormat/>
    <w:uiPriority w:val="0"/>
    <w:pPr>
      <w:widowControl/>
    </w:pPr>
    <w:rPr>
      <w:rFonts w:ascii="Times New Roman" w:hAnsi="Times New Roman"/>
      <w:kern w:val="0"/>
      <w:szCs w:val="21"/>
    </w:rPr>
  </w:style>
  <w:style w:type="character" w:customStyle="1" w:styleId="18">
    <w:name w:val="NormalCharacter"/>
    <w:link w:val="1"/>
    <w:uiPriority w:val="0"/>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image" Target="media/image8.jpeg"/><Relationship Id="rId11" Type="http://schemas.openxmlformats.org/officeDocument/2006/relationships/image" Target="media/image7.jpeg"/><Relationship Id="rId10" Type="http://schemas.openxmlformats.org/officeDocument/2006/relationships/image" Target="media/image6.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3911</Words>
  <Characters>4299</Characters>
  <Lines>0</Lines>
  <Paragraphs>0</Paragraphs>
  <TotalTime>5</TotalTime>
  <ScaleCrop>false</ScaleCrop>
  <LinksUpToDate>false</LinksUpToDate>
  <CharactersWithSpaces>4395</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2025-03-26T08:12:00Z</dcterms:created>
  <dc:creator>陈东</dc:creator>
  <cp:lastModifiedBy>祖延强</cp:lastModifiedBy>
  <dcterms:modified xsi:type="dcterms:W3CDTF">2025-11-04T05:58:15Z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KSOTemplateDocerSaveRecord">
    <vt:lpwstr>eyJoZGlkIjoiYTM0NzA4ZTBjZjI1YmFlMDQ0MjkyYTA4MjYwYTljMGIiLCJ1c2VySWQiOiI2OTQyOTA0OTUifQ==</vt:lpwstr>
  </property>
  <property fmtid="{D5CDD505-2E9C-101B-9397-08002B2CF9AE}" pid="4" name="ICV">
    <vt:lpwstr>F6730807E1E04F09864050F6F2CF38E3_13</vt:lpwstr>
  </property>
</Properties>
</file>