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r>
        <w:rPr>
          <w:rFonts w:hint="eastAsia"/>
          <w:b/>
          <w:sz w:val="48"/>
          <w:szCs w:val="48"/>
          <w:lang w:val="en-US" w:eastAsia="zh-CN"/>
        </w:rPr>
        <w:t>梧州网区2025年第二批职创项目加工服务（一种低压保供电不停电快速接入的对接式插头）</w:t>
      </w:r>
      <w:bookmarkStart w:id="14" w:name="_GoBack"/>
      <w:bookmarkEnd w:id="14"/>
      <w:r>
        <w:rPr>
          <w:rFonts w:hint="eastAsia"/>
          <w:b/>
          <w:sz w:val="48"/>
          <w:szCs w:val="48"/>
        </w:rPr>
        <w:t>技术规范书</w:t>
      </w: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3"/>
        <w:rPr>
          <w:rFonts w:hint="eastAsia"/>
        </w:rPr>
      </w:pP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3"/>
        <w:rPr>
          <w:rFonts w:hint="eastAsia"/>
        </w:rPr>
      </w:pP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3"/>
        <w:rPr>
          <w:rFonts w:hint="eastAsia"/>
        </w:rPr>
      </w:pP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pStyle w:val="3"/>
        <w:rPr>
          <w:rFonts w:hint="eastAsia"/>
        </w:rPr>
      </w:pPr>
    </w:p>
    <w:p>
      <w:pPr>
        <w:rPr>
          <w:rFonts w:hint="eastAsia"/>
        </w:rPr>
      </w:pPr>
    </w:p>
    <w:p>
      <w:pPr>
        <w:spacing w:line="360" w:lineRule="auto"/>
        <w:jc w:val="center"/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</w:pP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广西电网有限责任公司梧州供电局</w:t>
      </w:r>
    </w:p>
    <w:p>
      <w:pPr>
        <w:spacing w:line="360" w:lineRule="auto"/>
        <w:jc w:val="center"/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</w:pP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2025年10月22日</w:t>
      </w:r>
    </w:p>
    <w:p>
      <w:pPr>
        <w:rPr>
          <w:rFonts w:hint="eastAsia"/>
        </w:rPr>
      </w:pPr>
      <w:r>
        <w:rPr>
          <w:rFonts w:hint="eastAsia"/>
        </w:rPr>
        <w:br w:type="page"/>
      </w:r>
    </w:p>
    <w:p>
      <w:pPr>
        <w:pStyle w:val="2"/>
        <w:rPr>
          <w:rFonts w:hint="eastAsia"/>
        </w:rPr>
      </w:pPr>
    </w:p>
    <w:p>
      <w:pPr>
        <w:spacing w:line="360" w:lineRule="auto"/>
        <w:rPr>
          <w:rFonts w:hint="eastAsia"/>
        </w:rPr>
      </w:pPr>
    </w:p>
    <w:sdt>
      <w:sdtPr>
        <w:rPr>
          <w:lang w:val="zh-CN"/>
        </w:rPr>
        <w:id w:val="-441228423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color w:val="auto"/>
          <w:kern w:val="2"/>
          <w:sz w:val="24"/>
          <w:szCs w:val="22"/>
          <w:lang w:val="zh-CN"/>
        </w:rPr>
      </w:sdtEndPr>
      <w:sdtContent>
        <w:p>
          <w:pPr>
            <w:spacing w:before="0" w:beforeLines="0" w:after="0" w:afterLines="0" w:line="360" w:lineRule="auto"/>
            <w:ind w:left="0" w:leftChars="0" w:right="0" w:rightChars="0" w:firstLine="0" w:firstLineChars="0"/>
            <w:jc w:val="center"/>
          </w:pPr>
          <w:r>
            <w:rPr>
              <w:rFonts w:ascii="宋体" w:hAnsi="宋体" w:eastAsia="宋体"/>
              <w:sz w:val="21"/>
            </w:rPr>
            <w:t>目录</w:t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sz w:val="24"/>
            </w:rPr>
            <w:fldChar w:fldCharType="begin"/>
          </w:r>
          <w:r>
            <w:rPr>
              <w:sz w:val="24"/>
            </w:rPr>
            <w:instrText xml:space="preserve"> TOC \o "1-3" \h \z \u </w:instrText>
          </w:r>
          <w:r>
            <w:rPr>
              <w:sz w:val="24"/>
            </w:rPr>
            <w:fldChar w:fldCharType="separate"/>
          </w:r>
          <w:r>
            <w:fldChar w:fldCharType="begin"/>
          </w:r>
          <w:r>
            <w:instrText xml:space="preserve"> HYPERLINK \l _Toc2053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  <w:lang w:val="en-US" w:eastAsia="zh-CN"/>
            </w:rPr>
            <w:t>1总则</w:t>
          </w:r>
          <w:r>
            <w:tab/>
          </w:r>
          <w:r>
            <w:fldChar w:fldCharType="begin"/>
          </w:r>
          <w:r>
            <w:instrText xml:space="preserve"> PAGEREF _Toc2053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_Toc9878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Calibri" w:eastAsia="宋体" w:cs="Times New Roman"/>
              <w:lang w:val="en-US" w:eastAsia="zh-CN"/>
            </w:rPr>
            <w:t>2标准和规程</w:t>
          </w:r>
          <w:r>
            <w:tab/>
          </w:r>
          <w:r>
            <w:fldChar w:fldCharType="begin"/>
          </w:r>
          <w:r>
            <w:instrText xml:space="preserve"> PAGEREF _Toc9878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_Toc436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Calibri" w:eastAsia="宋体" w:cs="Times New Roman"/>
              <w:lang w:val="en-US" w:eastAsia="zh-CN"/>
            </w:rPr>
            <w:t>3 项目概述</w:t>
          </w:r>
          <w:r>
            <w:tab/>
          </w:r>
          <w:r>
            <w:fldChar w:fldCharType="begin"/>
          </w:r>
          <w:r>
            <w:instrText xml:space="preserve"> PAGEREF _Toc436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_Toc27800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Calibri" w:eastAsia="宋体" w:cs="Times New Roman"/>
              <w:lang w:val="en-US" w:eastAsia="zh-CN"/>
            </w:rPr>
            <w:t>4加工技术要求</w:t>
          </w:r>
          <w:r>
            <w:tab/>
          </w:r>
          <w:r>
            <w:fldChar w:fldCharType="begin"/>
          </w:r>
          <w:r>
            <w:instrText xml:space="preserve"> PAGEREF _Toc27800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_Toc5407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Calibri" w:eastAsia="宋体" w:cs="Times New Roman"/>
              <w:lang w:val="en-US" w:eastAsia="zh-CN"/>
            </w:rPr>
            <w:t>5功能要求</w:t>
          </w:r>
          <w:r>
            <w:tab/>
          </w:r>
          <w:r>
            <w:fldChar w:fldCharType="begin"/>
          </w:r>
          <w:r>
            <w:instrText xml:space="preserve"> PAGEREF _Toc5407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  <w:spacing w:line="360" w:lineRule="auto"/>
            <w:ind w:left="0" w:leftChars="0" w:firstLine="0" w:firstLineChars="0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_Toc1567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  <w:lang w:val="en-US" w:eastAsia="zh-CN"/>
            </w:rPr>
            <w:t>6服务</w:t>
          </w:r>
          <w:r>
            <w:rPr>
              <w:rFonts w:hint="eastAsia"/>
            </w:rPr>
            <w:t>范围</w:t>
          </w:r>
          <w:r>
            <w:tab/>
          </w:r>
          <w:r>
            <w:fldChar w:fldCharType="begin"/>
          </w:r>
          <w:r>
            <w:instrText xml:space="preserve"> PAGEREF _Toc1567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0"/>
            <w:tabs>
              <w:tab w:val="right" w:leader="dot" w:pos="8306"/>
            </w:tabs>
            <w:spacing w:line="360" w:lineRule="auto"/>
            <w:ind w:left="0" w:leftChars="0" w:firstLine="0" w:firstLineChars="0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_Toc16594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宋体" w:eastAsia="宋体" w:cs="Times New Roman"/>
              <w:bCs/>
              <w:kern w:val="44"/>
              <w:szCs w:val="28"/>
              <w:lang w:val="en-US" w:eastAsia="zh-CN" w:bidi="ar-SA"/>
            </w:rPr>
            <w:t>7包装、运输及质量保证</w:t>
          </w:r>
          <w:r>
            <w:tab/>
          </w:r>
          <w:r>
            <w:fldChar w:fldCharType="begin"/>
          </w:r>
          <w:r>
            <w:instrText xml:space="preserve"> PAGEREF _Toc16594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_Toc28920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 w:ascii="Calibri" w:hAnsi="Calibri" w:eastAsia="宋体" w:cs="Times New Roman"/>
              <w:lang w:val="en-US" w:eastAsia="zh-CN"/>
            </w:rPr>
            <w:t>附件</w:t>
          </w:r>
          <w:r>
            <w:tab/>
          </w:r>
          <w:r>
            <w:fldChar w:fldCharType="begin"/>
          </w:r>
          <w:r>
            <w:instrText xml:space="preserve"> PAGEREF _Toc28920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spacing w:line="360" w:lineRule="auto"/>
            <w:rPr>
              <w:sz w:val="24"/>
            </w:rPr>
          </w:pPr>
          <w:r>
            <w:rPr>
              <w:bCs/>
              <w:lang w:val="zh-CN"/>
            </w:rPr>
            <w:fldChar w:fldCharType="end"/>
          </w:r>
        </w:p>
      </w:sdtContent>
    </w:sdt>
    <w:p>
      <w:pPr>
        <w:widowControl/>
        <w:jc w:val="left"/>
      </w:pPr>
      <w:r>
        <w:br w:type="page"/>
      </w:r>
    </w:p>
    <w:p>
      <w:pPr>
        <w:pStyle w:val="4"/>
        <w:bidi w:val="0"/>
        <w:spacing w:before="0" w:after="0" w:line="360" w:lineRule="auto"/>
        <w:rPr>
          <w:rFonts w:hint="eastAsia" w:ascii="Calibri" w:hAnsi="Calibri" w:eastAsia="宋体" w:cs="Times New Roman"/>
          <w:sz w:val="28"/>
          <w:lang w:val="en-US" w:eastAsia="zh-CN"/>
        </w:rPr>
      </w:pPr>
      <w:bookmarkStart w:id="0" w:name="_Toc2053"/>
      <w:r>
        <w:rPr>
          <w:rFonts w:hint="eastAsia" w:ascii="Calibri" w:hAnsi="Calibri" w:eastAsia="宋体" w:cs="Times New Roman"/>
          <w:sz w:val="28"/>
          <w:lang w:val="en-US" w:eastAsia="zh-CN"/>
        </w:rPr>
        <w:t>1总则</w:t>
      </w:r>
      <w:bookmarkEnd w:id="0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1.1本技术规范书适用于“一种低压保供电不停电快速接入的对接式插头</w:t>
      </w:r>
      <w:r>
        <w:rPr>
          <w:rFonts w:hint="default" w:ascii="宋体" w:hAnsi="宋体" w:eastAsia="宋体" w:cs="Times New Roman"/>
          <w:sz w:val="28"/>
          <w:szCs w:val="28"/>
          <w:lang w:val="en-US" w:eastAsia="zh-CN"/>
        </w:rPr>
        <w:t>”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加工服务采购，提出了加工该装置的技术和功能方面的要求，投标方必须认真阅读本技术条款内容，以免造成投标失败。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1.2本规范书指标要求中，凡标有下划线或加“★”的地方均被视为重要的技术指标要求或性能要求。投标方要特别加以注意，必须完全满足这些要求。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1.3本技术规范书提出的是最低限度的技术要求，并未对一切技术细节做出规定，也未充分引述有关标准和规范的条文，投标方应保证提供满足本技术规范书要求、满足有关国家质量标准要求、满足国家有关安全、环保等强制性标准和规范要求的完整服务和工作产品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1.4如投标方对本技术规范书有异议时，应以书面形式在报价截止日之前1天提出，如没有以书面形式对本规范书的条款提出异议，则意味着投标方已清楚并理解本规范书的要求。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1.5 投标方应对本次招标方采购涉及所有文件保密，不得向其他单位公布或泄漏招标项目的有关信息。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1.6本技术规范书作为招标方的采购文件，投标方应在报价文件中按要求作出应答，如有差异，还需以本技术规范书附件“差异表”的形式另外列出。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1.7双方确认成交后，本技术规范书与合同具有同等的法律约束效力，本技术规范书未尽事宜，由招标方和中标方双方协商确定。</w:t>
      </w:r>
    </w:p>
    <w:p>
      <w:pPr>
        <w:pStyle w:val="4"/>
        <w:bidi w:val="0"/>
        <w:spacing w:before="0" w:after="0" w:line="360" w:lineRule="auto"/>
        <w:rPr>
          <w:rFonts w:hint="eastAsia" w:ascii="Calibri" w:hAnsi="Calibri" w:eastAsia="宋体" w:cs="Times New Roman"/>
          <w:sz w:val="28"/>
          <w:lang w:val="en-US" w:eastAsia="zh-CN"/>
        </w:rPr>
      </w:pPr>
      <w:bookmarkStart w:id="1" w:name="_Toc9878"/>
      <w:r>
        <w:rPr>
          <w:rFonts w:hint="eastAsia" w:ascii="Calibri" w:hAnsi="Calibri" w:eastAsia="宋体" w:cs="Times New Roman"/>
          <w:sz w:val="28"/>
          <w:lang w:val="en-US" w:eastAsia="zh-CN"/>
        </w:rPr>
        <w:t>2标准和规程</w:t>
      </w:r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本规范书中涉及的所有规范、标准或材料规格均应为最新版本，即以招标方发出本定单之日作为采用最新版本的截止日期。若发现本规范书与所列标准之间有不一致之处，投标方应向招标方指明，并由招标方确定采用哪一个规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投标方如果采用自己的标准或规范，必须向招标方提供中文复印件并经招标方同意后方可采用，但不能低于国家标准GB、行业标准JB有关规定。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下列标准所包括的条文，通过在本规定中引用而构成本规定的条文。本标准出版时所示版本均为有效。所有标准都会被修订，使用本标准的各方应探讨使用下列标准最新版本的可能性。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2.1《中华人民共和国产品质量法》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2.2《中国南方电网有限责任公司电力安全工作规程》</w:t>
      </w:r>
    </w:p>
    <w:p>
      <w:pPr>
        <w:pStyle w:val="4"/>
        <w:bidi w:val="0"/>
        <w:spacing w:before="0" w:after="0" w:line="360" w:lineRule="auto"/>
        <w:rPr>
          <w:rFonts w:hint="default" w:ascii="Calibri" w:hAnsi="Calibri" w:eastAsia="宋体" w:cs="Times New Roman"/>
          <w:sz w:val="28"/>
          <w:lang w:val="en-US" w:eastAsia="zh-CN"/>
        </w:rPr>
      </w:pPr>
      <w:bookmarkStart w:id="2" w:name="_Toc436"/>
      <w:bookmarkStart w:id="3" w:name="_Toc22903_WPSOffice_Level1"/>
      <w:r>
        <w:rPr>
          <w:rFonts w:hint="eastAsia" w:ascii="Calibri" w:hAnsi="Calibri" w:eastAsia="宋体" w:cs="Times New Roman"/>
          <w:sz w:val="28"/>
          <w:lang w:val="en-US" w:eastAsia="zh-CN"/>
        </w:rPr>
        <w:t xml:space="preserve">3 </w:t>
      </w:r>
      <w:bookmarkEnd w:id="2"/>
      <w:bookmarkEnd w:id="3"/>
      <w:r>
        <w:rPr>
          <w:rFonts w:hint="eastAsia" w:ascii="Calibri" w:hAnsi="Calibri" w:eastAsia="宋体" w:cs="Times New Roman"/>
          <w:sz w:val="28"/>
          <w:lang w:val="en-US" w:eastAsia="zh-CN"/>
        </w:rPr>
        <w:t>加工总体要求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本次加工所需材料清单、要求及设计图由甲方提供给乙方，乙方在收到上述资料后，根据本规范书的技术、功能要求与甲方协商落实最后完整的加工方案后，购买材料并进行加工。</w:t>
      </w:r>
    </w:p>
    <w:p>
      <w:pPr>
        <w:pStyle w:val="4"/>
        <w:bidi w:val="0"/>
        <w:spacing w:before="0" w:after="0" w:line="360" w:lineRule="auto"/>
        <w:rPr>
          <w:rFonts w:hint="eastAsia" w:ascii="Calibri" w:hAnsi="Calibri" w:eastAsia="宋体" w:cs="Times New Roman"/>
          <w:sz w:val="28"/>
          <w:lang w:val="en-US" w:eastAsia="zh-CN"/>
        </w:rPr>
      </w:pPr>
      <w:bookmarkStart w:id="4" w:name="_Toc27800"/>
      <w:r>
        <w:rPr>
          <w:rFonts w:hint="eastAsia" w:ascii="Calibri" w:hAnsi="Calibri" w:eastAsia="宋体" w:cs="Times New Roman"/>
          <w:sz w:val="28"/>
          <w:lang w:val="en-US" w:eastAsia="zh-CN"/>
        </w:rPr>
        <w:t>4技术要求</w:t>
      </w:r>
      <w:bookmarkEnd w:id="4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4.1技术指标要求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4.1.1运行环境条件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jc w:val="left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4.1.1.1环境温度：：-25～+70 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jc w:val="left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4.1.1.2环境湿度：5-95%。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jc w:val="left"/>
        <w:textAlignment w:val="auto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4.1.1.3大气环境腐蚀程度：C2及以下。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jc w:val="left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sz w:val="28"/>
          <w:szCs w:val="28"/>
          <w:lang w:val="en-US" w:eastAsia="zh-CN"/>
        </w:rPr>
        <w:t>4.1.1.4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海拔高度：最大工作海拔高度不小于1000m。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4.1.2适用范围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4.1.2.1电压等级：35kV及以下。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b w:val="0"/>
          <w:bCs w:val="0"/>
          <w:kern w:val="2"/>
          <w:sz w:val="28"/>
          <w:szCs w:val="28"/>
          <w:lang w:val="en-US" w:eastAsia="zh-CN" w:bidi="ar-SA"/>
        </w:rPr>
        <w:t>4.1.2.2安装高度：1.5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～8.5米。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559" w:leftChars="266" w:firstLine="0" w:firstLine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4.1.2.3金属材料耐腐蚀性：达到Ⅲ类，耐腐蚀级别4及以上。4.1.2.4使用寿命：在4.1.1环境条件下使用寿命达到10年。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★4.2技术参数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4.2.1航空插头及发电车电缆适配件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4.2.1.1耐腐蚀性达到4.1.2.4要求，重量适中，长期户外运行不存在老化、腐蚀，耐用年限应达到10年以上。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4.2.1.2材质大小：一侧适配50-240mm²线径的铜线，一侧适配50-240mm²铝线，跨径调节，应能达到可靠连接无松动、电流传输无发热，配件装卸不卡涩、转动灵活，可使用次数不低于3000次。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4.2.1.3绝缘性能：应能达到GB/T12706,电气强度和绝缘电阻达到相应国标值，长期耐受不发生绝缘击穿、闪络、放电，所有部位均应带有绝缘设计，无直接裸露电气部位。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4.2.1.4机械性能：应能达到GB/T12706相应国标值，拉伸强度及断裂伸长率、热老化性能保持率、抗撕裂性能、低温性能等满足国标要求。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4.2.1.5机械性能：应能达到GB/T12706相应国标值，拉伸强度及断裂伸长率、热老化性能保持率、抗撕裂性能、低温性能等满足国标要求。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4.2.1.6产品数量：应按低压三相四线设计，每套产品应包含航空插头本体4只，电缆适配件4只，电缆固定绝缘绳/带4条，本项目产品数量为2套。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</w:p>
    <w:p>
      <w:pPr>
        <w:pStyle w:val="4"/>
        <w:bidi w:val="0"/>
        <w:spacing w:before="0" w:after="0" w:line="360" w:lineRule="auto"/>
        <w:rPr>
          <w:rFonts w:hint="eastAsia" w:ascii="Calibri" w:hAnsi="Calibri" w:eastAsia="宋体" w:cs="Times New Roman"/>
          <w:sz w:val="28"/>
          <w:lang w:val="en-US" w:eastAsia="zh-CN"/>
        </w:rPr>
      </w:pPr>
      <w:bookmarkStart w:id="5" w:name="_Toc5407"/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★</w:t>
      </w:r>
      <w:r>
        <w:rPr>
          <w:rFonts w:hint="eastAsia" w:ascii="Calibri" w:hAnsi="Calibri" w:eastAsia="宋体" w:cs="Times New Roman"/>
          <w:sz w:val="28"/>
          <w:lang w:val="en-US" w:eastAsia="zh-CN"/>
        </w:rPr>
        <w:t>5功能要求</w:t>
      </w:r>
      <w:bookmarkEnd w:id="5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5.1航空插头及发电车电缆适配件功能要求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5.1.1航空插头：涵盖可调范围直径50～240mm²铝线，长期载荷大于50千克不移位、滑落，冲击载荷100千克不发生大于5mm移位,若承受发电车电缆悬空高度重量及电缆本身拉力不位移、松动。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 xml:space="preserve">  5.1.2电缆适配件：适配50-240mm²线径的铜线，应能达到可靠连接无松动、电流传输无发热，配件装卸不卡涩、转动灵活，可使用次数不低于3000次。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5.1.3电缆固定绝缘绳/带：辅助电缆固定，使航空插口不直接承受电缆重力及拉力，长期耐用可靠、不发生腐蚀、老化、裂纹。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</w:p>
    <w:p>
      <w:pPr>
        <w:pStyle w:val="5"/>
        <w:rPr>
          <w:rFonts w:hint="eastAsia"/>
          <w:lang w:val="en-US" w:eastAsia="zh-CN"/>
        </w:rPr>
      </w:pPr>
      <w:bookmarkStart w:id="6" w:name="_Toc1567"/>
    </w:p>
    <w:p>
      <w:pPr>
        <w:pStyle w:val="5"/>
        <w:rPr>
          <w:rFonts w:hint="eastAsia"/>
          <w:lang w:val="en-US" w:eastAsia="zh-CN"/>
        </w:rPr>
      </w:pPr>
    </w:p>
    <w:p>
      <w:pPr>
        <w:pStyle w:val="5"/>
        <w:rPr>
          <w:rFonts w:hint="eastAsia"/>
          <w:lang w:val="en-US" w:eastAsia="zh-CN"/>
        </w:rPr>
      </w:pPr>
    </w:p>
    <w:p>
      <w:pPr>
        <w:pStyle w:val="5"/>
        <w:rPr>
          <w:rFonts w:hint="eastAsia"/>
        </w:rPr>
      </w:pPr>
      <w:r>
        <w:rPr>
          <w:rFonts w:hint="eastAsia"/>
          <w:lang w:val="en-US" w:eastAsia="zh-CN"/>
        </w:rPr>
        <w:t>6服务</w:t>
      </w:r>
      <w:r>
        <w:rPr>
          <w:rFonts w:hint="eastAsia"/>
        </w:rPr>
        <w:t>范围</w:t>
      </w:r>
      <w:bookmarkEnd w:id="6"/>
    </w:p>
    <w:p>
      <w:pPr>
        <w:jc w:val="center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服务</w:t>
      </w:r>
      <w:r>
        <w:rPr>
          <w:rFonts w:hint="eastAsia"/>
          <w:sz w:val="28"/>
          <w:szCs w:val="28"/>
        </w:rPr>
        <w:t>范围一览表</w:t>
      </w:r>
    </w:p>
    <w:tbl>
      <w:tblPr>
        <w:tblStyle w:val="12"/>
        <w:tblW w:w="87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"/>
        <w:gridCol w:w="2256"/>
        <w:gridCol w:w="1025"/>
        <w:gridCol w:w="1420"/>
        <w:gridCol w:w="1666"/>
        <w:gridCol w:w="14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2256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名称</w:t>
            </w:r>
          </w:p>
        </w:tc>
        <w:tc>
          <w:tcPr>
            <w:tcW w:w="102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形式、规格</w:t>
            </w:r>
          </w:p>
        </w:tc>
        <w:tc>
          <w:tcPr>
            <w:tcW w:w="1666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8"/>
                <w:szCs w:val="28"/>
                <w:lang w:eastAsia="zh-CN"/>
              </w:rPr>
              <w:t>服务期限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256" w:type="dxa"/>
            <w:vAlign w:val="center"/>
          </w:tcPr>
          <w:p>
            <w:pPr>
              <w:jc w:val="center"/>
              <w:rPr>
                <w:rFonts w:hint="eastAsia" w:eastAsiaTheme="minorEastAsia"/>
                <w:color w:val="auto"/>
                <w:sz w:val="28"/>
                <w:szCs w:val="28"/>
                <w:lang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一种低压保供电不停电快速接入的对接式插头加工服务</w:t>
            </w:r>
          </w:p>
        </w:tc>
        <w:tc>
          <w:tcPr>
            <w:tcW w:w="1025" w:type="dxa"/>
            <w:vAlign w:val="center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项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满足本技术规范</w:t>
            </w:r>
            <w:r>
              <w:rPr>
                <w:rFonts w:hint="eastAsia"/>
                <w:sz w:val="28"/>
                <w:szCs w:val="28"/>
                <w:lang w:eastAsia="zh-CN"/>
              </w:rPr>
              <w:t>书</w:t>
            </w:r>
            <w:r>
              <w:rPr>
                <w:rFonts w:hint="eastAsia"/>
                <w:sz w:val="28"/>
                <w:szCs w:val="28"/>
              </w:rPr>
              <w:t>要求</w:t>
            </w:r>
          </w:p>
        </w:tc>
        <w:tc>
          <w:tcPr>
            <w:tcW w:w="1666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 w:cs="宋体"/>
                <w:sz w:val="28"/>
                <w:szCs w:val="28"/>
              </w:rPr>
              <w:t>自合同约定之日起90天内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256" w:type="dxa"/>
            <w:vAlign w:val="center"/>
          </w:tcPr>
          <w:p>
            <w:pPr>
              <w:jc w:val="center"/>
              <w:rPr>
                <w:rFonts w:hint="eastAsia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第三方检测报告（CMA、CNAS）</w:t>
            </w:r>
          </w:p>
        </w:tc>
        <w:tc>
          <w:tcPr>
            <w:tcW w:w="1025" w:type="dxa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  <w:lang w:eastAsia="zh-CN"/>
              </w:rPr>
              <w:t>份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lang w:eastAsia="zh-CN"/>
              </w:rPr>
            </w:pPr>
            <w:r>
              <w:rPr>
                <w:rFonts w:hint="eastAsia"/>
                <w:sz w:val="28"/>
                <w:szCs w:val="28"/>
              </w:rPr>
              <w:t>型式试验，对于暂无型式试验标准的，应进行含关键检测项的委托试验</w:t>
            </w:r>
          </w:p>
        </w:tc>
        <w:tc>
          <w:tcPr>
            <w:tcW w:w="1666" w:type="dxa"/>
            <w:vMerge w:val="continue"/>
            <w:vAlign w:val="center"/>
          </w:tcPr>
          <w:p>
            <w:pPr>
              <w:jc w:val="center"/>
              <w:rPr>
                <w:rFonts w:hint="eastAsia"/>
                <w:sz w:val="28"/>
                <w:szCs w:val="28"/>
                <w:lang w:eastAsia="zh-CN"/>
              </w:rPr>
            </w:pP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rFonts w:hint="eastAsia" w:eastAsia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/>
                <w:sz w:val="28"/>
                <w:szCs w:val="28"/>
                <w:lang w:val="en-US" w:eastAsia="zh-CN"/>
              </w:rPr>
              <w:t>1</w:t>
            </w:r>
          </w:p>
        </w:tc>
      </w:tr>
    </w:tbl>
    <w:p>
      <w:pPr>
        <w:rPr>
          <w:rFonts w:hint="eastAsia"/>
        </w:rPr>
      </w:pPr>
    </w:p>
    <w:p>
      <w:pPr>
        <w:pStyle w:val="5"/>
        <w:rPr>
          <w:rFonts w:hint="eastAsia" w:ascii="Calibri" w:hAnsi="宋体" w:eastAsia="宋体" w:cs="Times New Roman"/>
          <w:b/>
          <w:bCs/>
          <w:color w:val="auto"/>
          <w:kern w:val="44"/>
          <w:sz w:val="28"/>
          <w:szCs w:val="28"/>
          <w:lang w:val="en-US" w:eastAsia="zh-CN" w:bidi="ar-SA"/>
        </w:rPr>
      </w:pPr>
      <w:bookmarkStart w:id="7" w:name="_Toc16594"/>
      <w:r>
        <w:rPr>
          <w:rFonts w:hint="eastAsia" w:ascii="Calibri" w:hAnsi="宋体" w:eastAsia="宋体" w:cs="Times New Roman"/>
          <w:b/>
          <w:bCs/>
          <w:color w:val="auto"/>
          <w:kern w:val="44"/>
          <w:sz w:val="28"/>
          <w:szCs w:val="28"/>
          <w:lang w:val="en-US" w:eastAsia="zh-CN" w:bidi="ar-SA"/>
        </w:rPr>
        <w:t>7包装、运输及质量保证</w:t>
      </w:r>
      <w:bookmarkEnd w:id="7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7.1产品在运输应有防护措施，以免散失损坏或丢失、变形、受潮和腐蚀，中标方应按电压等级分类供货。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7.2储存、运输中应该注意通风、防潮,同时不得与有腐蚀性的物品堆放在一起。还应注意避开有腐蚀性气体环境。运输工程中应避免野蛮装卸。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★7.3中标方应对所加工的产品通过招标方验收评审通过之日计起，提供一年“三包”质量保证，质保期后如发生损坏，中标方应及时提供维修、更换服务，并按最近的投标价提供。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7.4中标方应遵守本招标技术文件中各条款和工作项目的ISO9000、GB/T19000质量保证体系, 该质量保证体系已经过国家认证和正常运转。</w:t>
      </w:r>
    </w:p>
    <w:p>
      <w:pPr>
        <w:rPr>
          <w:rFonts w:hint="eastAsia" w:ascii="Calibri" w:hAnsi="Calibri" w:eastAsia="宋体" w:cs="Times New Roman"/>
          <w:sz w:val="28"/>
          <w:lang w:val="en-US" w:eastAsia="zh-CN"/>
        </w:rPr>
      </w:pPr>
      <w:bookmarkStart w:id="8" w:name="_Toc28920"/>
      <w:r>
        <w:rPr>
          <w:rFonts w:hint="eastAsia" w:ascii="Calibri" w:hAnsi="Calibri" w:eastAsia="宋体" w:cs="Times New Roman"/>
          <w:sz w:val="28"/>
          <w:lang w:val="en-US" w:eastAsia="zh-CN"/>
        </w:rPr>
        <w:t>附件</w:t>
      </w:r>
      <w:bookmarkEnd w:id="8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1.差异表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序号招标文件投标文件条目</w:t>
      </w:r>
    </w:p>
    <w:tbl>
      <w:tblPr>
        <w:tblStyle w:val="11"/>
        <w:tblW w:w="850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368"/>
        <w:gridCol w:w="2412"/>
        <w:gridCol w:w="1644"/>
        <w:gridCol w:w="2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bookmarkStart w:id="9" w:name="_Toc148970013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序号</w:t>
            </w:r>
            <w:bookmarkEnd w:id="9"/>
          </w:p>
        </w:tc>
        <w:tc>
          <w:tcPr>
            <w:tcW w:w="3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bookmarkStart w:id="10" w:name="_Toc148970014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招标文件</w:t>
            </w:r>
            <w:bookmarkEnd w:id="10"/>
          </w:p>
        </w:tc>
        <w:tc>
          <w:tcPr>
            <w:tcW w:w="38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bookmarkStart w:id="11" w:name="_Toc148970015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投标文件</w:t>
            </w:r>
            <w:bookmarkEnd w:id="1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0" w:hRule="atLeast"/>
          <w:jc w:val="center"/>
        </w:trPr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bookmarkStart w:id="12" w:name="_Toc148970016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条目</w:t>
            </w:r>
            <w:bookmarkEnd w:id="12"/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bookmarkStart w:id="13" w:name="_Toc148970017"/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简要内容</w:t>
            </w:r>
            <w:bookmarkEnd w:id="13"/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满足程度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……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……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优于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部分满足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/不满足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……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……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优于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部分满足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/不满足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bidi w:val="0"/>
              <w:spacing w:line="360" w:lineRule="auto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  <w:t>……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80" w:firstLineChars="100"/>
        <w:textAlignment w:val="auto"/>
        <w:rPr>
          <w:rFonts w:hint="eastAsia" w:ascii="宋体" w:hAnsi="宋体" w:eastAsia="宋体" w:cs="Times New Roman"/>
          <w:sz w:val="28"/>
          <w:szCs w:val="28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2、投标方需要说明的其它问题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2BA"/>
    <w:rsid w:val="0000347D"/>
    <w:rsid w:val="000C6D20"/>
    <w:rsid w:val="000E5E5B"/>
    <w:rsid w:val="00132F0B"/>
    <w:rsid w:val="00192F60"/>
    <w:rsid w:val="001A29E4"/>
    <w:rsid w:val="001B5C1B"/>
    <w:rsid w:val="001F102B"/>
    <w:rsid w:val="00237B17"/>
    <w:rsid w:val="002F34D6"/>
    <w:rsid w:val="003B32BA"/>
    <w:rsid w:val="00555852"/>
    <w:rsid w:val="005649F5"/>
    <w:rsid w:val="005E4095"/>
    <w:rsid w:val="00660D42"/>
    <w:rsid w:val="00671434"/>
    <w:rsid w:val="006737E9"/>
    <w:rsid w:val="00674768"/>
    <w:rsid w:val="006E0B10"/>
    <w:rsid w:val="00730762"/>
    <w:rsid w:val="009A5C63"/>
    <w:rsid w:val="00B618A5"/>
    <w:rsid w:val="00B917D5"/>
    <w:rsid w:val="00C12DD9"/>
    <w:rsid w:val="00CD7AC5"/>
    <w:rsid w:val="00EF68A3"/>
    <w:rsid w:val="00F524B0"/>
    <w:rsid w:val="00F82C64"/>
    <w:rsid w:val="00FF2E87"/>
    <w:rsid w:val="095F4F6E"/>
    <w:rsid w:val="0C8711CC"/>
    <w:rsid w:val="0C941588"/>
    <w:rsid w:val="102F7FC0"/>
    <w:rsid w:val="14BA4D40"/>
    <w:rsid w:val="15AD5F8B"/>
    <w:rsid w:val="267D55BB"/>
    <w:rsid w:val="26C70ED2"/>
    <w:rsid w:val="2A06284F"/>
    <w:rsid w:val="3B9F4427"/>
    <w:rsid w:val="3E8308D2"/>
    <w:rsid w:val="49957DAE"/>
    <w:rsid w:val="4A6E1422"/>
    <w:rsid w:val="4CD25091"/>
    <w:rsid w:val="559E7A57"/>
    <w:rsid w:val="572A4459"/>
    <w:rsid w:val="749234CF"/>
    <w:rsid w:val="75EC3368"/>
    <w:rsid w:val="7D420F4A"/>
    <w:rsid w:val="7E065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8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7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semiHidden/>
    <w:unhideWhenUsed/>
    <w:qFormat/>
    <w:uiPriority w:val="39"/>
  </w:style>
  <w:style w:type="paragraph" w:styleId="10">
    <w:name w:val="toc 2"/>
    <w:basedOn w:val="1"/>
    <w:next w:val="1"/>
    <w:unhideWhenUsed/>
    <w:qFormat/>
    <w:uiPriority w:val="39"/>
    <w:pPr>
      <w:ind w:left="420" w:leftChars="200"/>
    </w:pPr>
  </w:style>
  <w:style w:type="table" w:styleId="12">
    <w:name w:val="Table Grid"/>
    <w:basedOn w:val="11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Hyperlink"/>
    <w:basedOn w:val="1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5">
    <w:name w:val="页眉 Char"/>
    <w:basedOn w:val="13"/>
    <w:link w:val="8"/>
    <w:qFormat/>
    <w:uiPriority w:val="99"/>
    <w:rPr>
      <w:sz w:val="18"/>
      <w:szCs w:val="18"/>
    </w:rPr>
  </w:style>
  <w:style w:type="character" w:customStyle="1" w:styleId="16">
    <w:name w:val="页脚 Char"/>
    <w:basedOn w:val="13"/>
    <w:link w:val="7"/>
    <w:qFormat/>
    <w:uiPriority w:val="99"/>
    <w:rPr>
      <w:sz w:val="18"/>
      <w:szCs w:val="18"/>
    </w:rPr>
  </w:style>
  <w:style w:type="character" w:customStyle="1" w:styleId="17">
    <w:name w:val="标题 2 Char"/>
    <w:basedOn w:val="13"/>
    <w:link w:val="5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8">
    <w:name w:val="标题 1 Char"/>
    <w:basedOn w:val="13"/>
    <w:link w:val="4"/>
    <w:qFormat/>
    <w:uiPriority w:val="9"/>
    <w:rPr>
      <w:b/>
      <w:bCs/>
      <w:kern w:val="44"/>
      <w:sz w:val="44"/>
      <w:szCs w:val="44"/>
    </w:rPr>
  </w:style>
  <w:style w:type="paragraph" w:customStyle="1" w:styleId="19">
    <w:name w:val="TOC Heading"/>
    <w:basedOn w:val="4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20">
    <w:name w:val="批注框文本 Char"/>
    <w:basedOn w:val="13"/>
    <w:link w:val="6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840C916-548B-454A-B2EF-C800392536C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515</Words>
  <Characters>2939</Characters>
  <Lines>24</Lines>
  <Paragraphs>6</Paragraphs>
  <TotalTime>1</TotalTime>
  <ScaleCrop>false</ScaleCrop>
  <LinksUpToDate>false</LinksUpToDate>
  <CharactersWithSpaces>3448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2023-10-07T15:28:00Z</dcterms:created>
  <dc:creator>admin</dc:creator>
  <cp:lastModifiedBy>陈欣</cp:lastModifiedBy>
  <dcterms:modified xsi:type="dcterms:W3CDTF">2025-11-05T11:43:26Z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B38BF451DF084E658E0F6574E718ED8F</vt:lpwstr>
  </property>
</Properties>
</file>