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Times New Roman" w:asciiTheme="minorEastAsia" w:hAnsiTheme="minorEastAsia" w:eastAsiaTheme="minorEastAsia"/>
          <w:b/>
          <w:bCs/>
          <w:color w:val="FF0000"/>
          <w:sz w:val="48"/>
          <w:szCs w:val="48"/>
        </w:rPr>
      </w:pPr>
    </w:p>
    <w:p>
      <w:pPr>
        <w:jc w:val="center"/>
        <w:rPr>
          <w:rFonts w:cs="Times New Roman" w:asciiTheme="minorEastAsia" w:hAnsiTheme="minorEastAsia" w:eastAsiaTheme="minorEastAsia"/>
          <w:b/>
          <w:bCs/>
          <w:color w:val="FF0000"/>
          <w:sz w:val="48"/>
          <w:szCs w:val="48"/>
        </w:rPr>
      </w:pPr>
    </w:p>
    <w:p>
      <w:pPr>
        <w:jc w:val="center"/>
        <w:rPr>
          <w:rFonts w:cs="Times New Roman" w:asciiTheme="minorEastAsia" w:hAnsiTheme="minorEastAsia" w:eastAsiaTheme="minorEastAsia"/>
          <w:b/>
          <w:bCs/>
          <w:color w:val="auto"/>
          <w:sz w:val="48"/>
          <w:szCs w:val="48"/>
        </w:rPr>
      </w:pPr>
      <w:r>
        <w:rPr>
          <w:rFonts w:hint="eastAsia" w:cs="Times New Roman" w:asciiTheme="minorEastAsia" w:hAnsiTheme="minorEastAsia" w:eastAsiaTheme="minorEastAsia"/>
          <w:b/>
          <w:bCs/>
          <w:color w:val="auto"/>
          <w:sz w:val="48"/>
          <w:szCs w:val="48"/>
        </w:rPr>
        <w:t>梧州网区2025年第二批职创项目加工服务（一种具备安全管控功能的35kV变电站蓄电池接入装置）</w:t>
      </w: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jc w:val="center"/>
        <w:rPr>
          <w:rFonts w:cs="Times New Roman" w:asciiTheme="minorEastAsia" w:hAnsiTheme="minorEastAsia" w:eastAsiaTheme="minorEastAsia"/>
        </w:rPr>
      </w:pPr>
      <w:r>
        <w:rPr>
          <w:rFonts w:hint="eastAsia" w:cs="宋体" w:asciiTheme="minorEastAsia" w:hAnsiTheme="minorEastAsia" w:eastAsiaTheme="minorEastAsia"/>
          <w:b/>
          <w:bCs/>
          <w:sz w:val="48"/>
          <w:szCs w:val="48"/>
        </w:rPr>
        <w:t>技术规范书</w:t>
      </w:r>
    </w:p>
    <w:p>
      <w:pPr>
        <w:rPr>
          <w:rFonts w:cs="Times New Roman" w:asciiTheme="minorEastAsia" w:hAnsiTheme="minorEastAsia" w:eastAsiaTheme="minorEastAsia"/>
        </w:rPr>
      </w:pP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pStyle w:val="3"/>
        <w:rPr>
          <w:rFonts w:cs="Times New Roman" w:asciiTheme="minorEastAsia" w:hAnsiTheme="minorEastAsia" w:eastAsiaTheme="minorEastAsia"/>
        </w:rPr>
      </w:pPr>
    </w:p>
    <w:p>
      <w:pPr>
        <w:rPr>
          <w:rFonts w:cs="Times New Roman" w:asciiTheme="minorEastAsia" w:hAnsiTheme="minorEastAsia" w:eastAsiaTheme="minorEastAsia"/>
        </w:rPr>
      </w:pP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pStyle w:val="3"/>
        <w:rPr>
          <w:rFonts w:cs="Times New Roman" w:asciiTheme="minorEastAsia" w:hAnsiTheme="minorEastAsia" w:eastAsiaTheme="minorEastAsia"/>
        </w:rPr>
      </w:pPr>
    </w:p>
    <w:p>
      <w:pPr>
        <w:rPr>
          <w:rFonts w:cs="Times New Roman" w:asciiTheme="minorEastAsia" w:hAnsiTheme="minorEastAsia" w:eastAsiaTheme="minorEastAsia"/>
        </w:rPr>
      </w:pP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pStyle w:val="3"/>
        <w:rPr>
          <w:rFonts w:cs="Times New Roman" w:asciiTheme="minorEastAsia" w:hAnsiTheme="minorEastAsia" w:eastAsiaTheme="minorEastAsia"/>
        </w:rPr>
      </w:pPr>
    </w:p>
    <w:p>
      <w:pPr>
        <w:rPr>
          <w:rFonts w:cs="Times New Roman" w:asciiTheme="minorEastAsia" w:hAnsiTheme="minorEastAsia" w:eastAsiaTheme="minorEastAsia"/>
        </w:rPr>
      </w:pP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pStyle w:val="3"/>
        <w:rPr>
          <w:rFonts w:cs="Times New Roman" w:asciiTheme="minorEastAsia" w:hAnsiTheme="minorEastAsia" w:eastAsiaTheme="minorEastAsia"/>
        </w:rPr>
      </w:pPr>
    </w:p>
    <w:p>
      <w:pPr>
        <w:rPr>
          <w:rFonts w:cs="Times New Roman" w:asciiTheme="minorEastAsia" w:hAnsiTheme="minorEastAsia" w:eastAsiaTheme="minorEastAsia"/>
        </w:rPr>
      </w:pPr>
    </w:p>
    <w:p>
      <w:pPr>
        <w:spacing w:line="360" w:lineRule="auto"/>
        <w:jc w:val="center"/>
        <w:rPr>
          <w:rFonts w:cs="Times New Roman" w:asciiTheme="minorEastAsia" w:hAnsiTheme="minorEastAsia" w:eastAsiaTheme="minorEastAsia"/>
          <w:b/>
          <w:bCs/>
          <w:sz w:val="32"/>
          <w:szCs w:val="32"/>
        </w:rPr>
      </w:pPr>
      <w:r>
        <w:rPr>
          <w:rFonts w:hint="eastAsia" w:cs="宋体" w:asciiTheme="minorEastAsia" w:hAnsiTheme="minorEastAsia" w:eastAsiaTheme="minorEastAsia"/>
          <w:b/>
          <w:bCs/>
          <w:sz w:val="32"/>
          <w:szCs w:val="32"/>
        </w:rPr>
        <w:t>广西电网有限责任公司梧州供电局</w:t>
      </w:r>
    </w:p>
    <w:p>
      <w:pPr>
        <w:spacing w:line="360" w:lineRule="auto"/>
        <w:jc w:val="center"/>
        <w:rPr>
          <w:rFonts w:cs="Times New Roman" w:asciiTheme="minorEastAsia" w:hAnsiTheme="minorEastAsia" w:eastAsiaTheme="minorEastAsia"/>
          <w:b/>
          <w:bCs/>
          <w:sz w:val="32"/>
          <w:szCs w:val="32"/>
        </w:rPr>
      </w:pPr>
      <w:r>
        <w:rPr>
          <w:rFonts w:cs="宋体" w:asciiTheme="minorEastAsia" w:hAnsiTheme="minorEastAsia" w:eastAsiaTheme="minorEastAsia"/>
          <w:b/>
          <w:bCs/>
          <w:sz w:val="32"/>
          <w:szCs w:val="32"/>
        </w:rPr>
        <w:t>2025</w:t>
      </w:r>
      <w:r>
        <w:rPr>
          <w:rFonts w:hint="eastAsia" w:cs="宋体" w:asciiTheme="minorEastAsia" w:hAnsiTheme="minorEastAsia" w:eastAsiaTheme="minorEastAsia"/>
          <w:b/>
          <w:bCs/>
          <w:sz w:val="32"/>
          <w:szCs w:val="32"/>
        </w:rPr>
        <w:t>年10月</w:t>
      </w:r>
      <w:r>
        <w:rPr>
          <w:rFonts w:cs="宋体" w:asciiTheme="minorEastAsia" w:hAnsiTheme="minorEastAsia" w:eastAsiaTheme="minorEastAsia"/>
          <w:b/>
          <w:bCs/>
          <w:sz w:val="32"/>
          <w:szCs w:val="32"/>
        </w:rPr>
        <w:t>1</w:t>
      </w:r>
      <w:r>
        <w:rPr>
          <w:rFonts w:hint="eastAsia" w:cs="宋体" w:asciiTheme="minorEastAsia" w:hAnsiTheme="minorEastAsia" w:eastAsiaTheme="minorEastAsia"/>
          <w:b/>
          <w:bCs/>
          <w:sz w:val="32"/>
          <w:szCs w:val="32"/>
        </w:rPr>
        <w:t>5日</w:t>
      </w:r>
    </w:p>
    <w:p>
      <w:pPr>
        <w:rPr>
          <w:rFonts w:cs="Times New Roman" w:asciiTheme="minorEastAsia" w:hAnsiTheme="minorEastAsia" w:eastAsiaTheme="minorEastAsia"/>
        </w:rPr>
      </w:pPr>
      <w:r>
        <w:rPr>
          <w:rFonts w:cs="Times New Roman" w:asciiTheme="minorEastAsia" w:hAnsiTheme="minorEastAsia" w:eastAsiaTheme="minorEastAsia"/>
        </w:rPr>
        <w:br w:type="page"/>
      </w:r>
    </w:p>
    <w:p>
      <w:pPr>
        <w:pStyle w:val="2"/>
        <w:rPr>
          <w:rFonts w:cs="Times New Roman" w:asciiTheme="minorEastAsia" w:hAnsiTheme="minorEastAsia" w:eastAsiaTheme="minorEastAsia"/>
        </w:rPr>
      </w:pPr>
    </w:p>
    <w:p>
      <w:pPr>
        <w:spacing w:line="360" w:lineRule="auto"/>
        <w:rPr>
          <w:rFonts w:cs="Times New Roman" w:asciiTheme="minorEastAsia" w:hAnsiTheme="minorEastAsia" w:eastAsiaTheme="minorEastAsia"/>
        </w:rPr>
      </w:pPr>
    </w:p>
    <w:p>
      <w:pPr>
        <w:spacing w:line="360" w:lineRule="auto"/>
        <w:jc w:val="center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目录</w:t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TOC \o "1-3" \h \z \u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fldChar w:fldCharType="begin"/>
      </w:r>
      <w:r>
        <w:instrText xml:space="preserve"> HYPERLINK \l "_Toc2053"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总则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_Toc2053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3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"_Toc9878"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2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标准和规程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_Toc9878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4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"_Toc436"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 xml:space="preserve">3 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项目概述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_Toc436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5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"_Toc27800"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4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加工技术要求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_Toc27800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5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"_Toc5407"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5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功能要求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_Toc5407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6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ind w:left="0" w:leftChars="0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"_Toc1567" </w:instrText>
      </w:r>
      <w: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6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服务范围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_Toc1567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7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ind w:left="0" w:leftChars="0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"_Toc16594" </w:instrText>
      </w:r>
      <w:r>
        <w:fldChar w:fldCharType="separate"/>
      </w:r>
      <w:r>
        <w:rPr>
          <w:rFonts w:asciiTheme="minorEastAsia" w:hAnsiTheme="minorEastAsia" w:eastAsiaTheme="minorEastAsia"/>
          <w:kern w:val="44"/>
          <w:sz w:val="24"/>
          <w:szCs w:val="24"/>
        </w:rPr>
        <w:t>7</w:t>
      </w:r>
      <w:r>
        <w:rPr>
          <w:rFonts w:hint="eastAsia" w:cs="宋体" w:asciiTheme="minorEastAsia" w:hAnsiTheme="minorEastAsia" w:eastAsiaTheme="minorEastAsia"/>
          <w:kern w:val="44"/>
          <w:sz w:val="24"/>
          <w:szCs w:val="24"/>
        </w:rPr>
        <w:t>包装、运输及质量保证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_Toc16594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8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fldChar w:fldCharType="begin"/>
      </w:r>
      <w:r>
        <w:instrText xml:space="preserve"> HYPERLINK \l "_Toc28920" </w:instrText>
      </w:r>
      <w:r>
        <w:fldChar w:fldCharType="separate"/>
      </w:r>
      <w:r>
        <w:rPr>
          <w:rFonts w:hint="eastAsia" w:cs="宋体" w:asciiTheme="minorEastAsia" w:hAnsiTheme="minorEastAsia" w:eastAsiaTheme="minorEastAsia"/>
          <w:sz w:val="24"/>
          <w:szCs w:val="24"/>
        </w:rPr>
        <w:t>附件</w:t>
      </w:r>
      <w:r>
        <w:rPr>
          <w:rFonts w:cs="Times New Roman" w:asciiTheme="minorEastAsia" w:hAnsiTheme="minorEastAsia" w:eastAsiaTheme="minorEastAsia"/>
          <w:sz w:val="24"/>
          <w:szCs w:val="24"/>
        </w:rPr>
        <w:tab/>
      </w:r>
      <w:r>
        <w:rPr>
          <w:rFonts w:asciiTheme="minorEastAsia" w:hAnsiTheme="minorEastAsia" w:eastAsiaTheme="minorEastAsia"/>
          <w:sz w:val="24"/>
          <w:szCs w:val="24"/>
        </w:rPr>
        <w:fldChar w:fldCharType="begin"/>
      </w:r>
      <w:r>
        <w:rPr>
          <w:rFonts w:asciiTheme="minorEastAsia" w:hAnsiTheme="minorEastAsia" w:eastAsiaTheme="minorEastAsia"/>
          <w:sz w:val="24"/>
          <w:szCs w:val="24"/>
        </w:rPr>
        <w:instrText xml:space="preserve"> PAGEREF _Toc28920 \h </w:instrText>
      </w:r>
      <w:r>
        <w:rPr>
          <w:rFonts w:asciiTheme="minorEastAsia" w:hAnsiTheme="minorEastAsia" w:eastAsiaTheme="minorEastAsia"/>
          <w:sz w:val="24"/>
          <w:szCs w:val="24"/>
        </w:rPr>
        <w:fldChar w:fldCharType="separate"/>
      </w:r>
      <w:r>
        <w:rPr>
          <w:rFonts w:asciiTheme="minorEastAsia" w:hAnsiTheme="minorEastAsia" w:eastAsiaTheme="minorEastAsia"/>
          <w:sz w:val="24"/>
          <w:szCs w:val="24"/>
        </w:rPr>
        <w:t>9</w:t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spacing w:line="360" w:lineRule="auto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fldChar w:fldCharType="end"/>
      </w:r>
    </w:p>
    <w:p>
      <w:pPr>
        <w:widowControl/>
        <w:jc w:val="left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Times New Roman" w:asciiTheme="minorEastAsia" w:hAnsiTheme="minorEastAsia" w:eastAsiaTheme="minorEastAsia"/>
        </w:rPr>
        <w:br w:type="page"/>
      </w:r>
      <w:bookmarkStart w:id="0" w:name="_Toc2053"/>
      <w:r>
        <w:rPr>
          <w:rFonts w:asciiTheme="minorEastAsia" w:hAnsiTheme="minorEastAsia" w:eastAsiaTheme="minorEastAsia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总则</w:t>
      </w:r>
      <w:bookmarkEnd w:id="0"/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本技术规范书适用于“一种具备安全管控功能的35kV变电站蓄电池接入装置研制”加工服务采购，提出了加工该装置的技术和功能方面的要求，投标方必须认真阅读本技术条款内容，以免造成投标失败。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1.3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1.4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如投标方对本技术规范书有异议时，应以书面形式在报价截止日之前</w:t>
      </w:r>
      <w:r>
        <w:rPr>
          <w:rFonts w:cs="宋体" w:asciiTheme="minorEastAsia" w:hAnsiTheme="minorEastAsia" w:eastAsiaTheme="minorEastAsia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1.5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1.6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cs="宋体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1.7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双方确认成交后，本技术规范书与合同具有同等的法律约束效力，本技术规范书未尽事宜，由招标方和中标方双方协商确定。</w:t>
      </w:r>
    </w:p>
    <w:p>
      <w:pPr>
        <w:pStyle w:val="4"/>
        <w:spacing w:before="0" w:after="0"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bookmarkStart w:id="1" w:name="_Toc9878"/>
      <w:r>
        <w:rPr>
          <w:rFonts w:asciiTheme="minorEastAsia" w:hAnsiTheme="minorEastAsia" w:eastAsiaTheme="minorEastAsia"/>
          <w:sz w:val="28"/>
          <w:szCs w:val="28"/>
        </w:rPr>
        <w:t>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标准和规程</w:t>
      </w:r>
      <w:bookmarkEnd w:id="1"/>
    </w:p>
    <w:p>
      <w:pPr>
        <w:spacing w:line="360" w:lineRule="auto"/>
        <w:ind w:firstLine="560" w:firstLineChars="2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投标方如果采用自己的标准或规范，必须向招标方提供中文复印件并经招标方同意后方可采用，但不能低于国家标准</w:t>
      </w:r>
      <w:r>
        <w:rPr>
          <w:rFonts w:cs="宋体" w:asciiTheme="minorEastAsia" w:hAnsiTheme="minorEastAsia" w:eastAsiaTheme="minorEastAsia"/>
          <w:sz w:val="28"/>
          <w:szCs w:val="28"/>
        </w:rPr>
        <w:t>GB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、行业标准</w:t>
      </w:r>
      <w:r>
        <w:rPr>
          <w:rFonts w:cs="宋体" w:asciiTheme="minorEastAsia" w:hAnsiTheme="minorEastAsia" w:eastAsiaTheme="minorEastAsia"/>
          <w:sz w:val="28"/>
          <w:szCs w:val="28"/>
        </w:rPr>
        <w:t>JB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有关规定。</w:t>
      </w:r>
    </w:p>
    <w:p>
      <w:pPr>
        <w:spacing w:line="360" w:lineRule="auto"/>
        <w:ind w:firstLine="560" w:firstLineChars="2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 4208    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外壳防护等级（</w:t>
      </w:r>
      <w:r>
        <w:rPr>
          <w:rFonts w:cs="宋体" w:asciiTheme="minorEastAsia" w:hAnsiTheme="minorEastAsia" w:eastAsiaTheme="minorEastAsia"/>
          <w:sz w:val="28"/>
          <w:szCs w:val="28"/>
        </w:rPr>
        <w:t>IP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代码）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191   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包装储运图示标志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2423.1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电工电子产品环境试验第</w:t>
      </w:r>
      <w:r>
        <w:rPr>
          <w:rFonts w:cs="宋体" w:asciiTheme="minorEastAsia" w:hAnsiTheme="minorEastAsia" w:eastAsiaTheme="minorEastAsia"/>
          <w:sz w:val="28"/>
          <w:szCs w:val="28"/>
        </w:rPr>
        <w:t>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部分：试验方法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3873  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通信设备产品包装通用技术条件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6587.6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电子测量仪器运输试验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15464  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仪器仪表包装通用技术规范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17626.2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电磁兼容试验和测量技术静电放电抗扰度试验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17626.5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电磁兼容试验和测量技术浪涌（冲击）抗扰度试验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17626.8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电磁兼容试验和测量技术工频磁场抗扰度试验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17626.9 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电磁兼容试验和测量技术脉冲磁场抗扰度试验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GB/T 17626.12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电磁兼容试验和测量技术振荡波抗扰度试验</w:t>
      </w:r>
    </w:p>
    <w:p>
      <w:pPr>
        <w:adjustRightInd w:val="0"/>
        <w:snapToGrid w:val="0"/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 xml:space="preserve">Q/CSG 1204009 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中国南方电网电力监控系统安全防护技术规范</w:t>
      </w:r>
    </w:p>
    <w:p>
      <w:pPr>
        <w:pStyle w:val="4"/>
        <w:spacing w:before="0" w:after="0"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bookmarkStart w:id="2" w:name="_Toc436"/>
      <w:bookmarkStart w:id="3" w:name="_Toc22903_WPSOffice_Level1"/>
      <w:r>
        <w:rPr>
          <w:rFonts w:asciiTheme="minorEastAsia" w:hAnsiTheme="minorEastAsia" w:eastAsiaTheme="minorEastAsia"/>
          <w:sz w:val="28"/>
          <w:szCs w:val="28"/>
        </w:rPr>
        <w:t xml:space="preserve">3 </w:t>
      </w:r>
      <w:bookmarkEnd w:id="2"/>
      <w:bookmarkEnd w:id="3"/>
      <w:r>
        <w:rPr>
          <w:rFonts w:hint="eastAsia" w:cs="宋体" w:asciiTheme="minorEastAsia" w:hAnsiTheme="minorEastAsia" w:eastAsiaTheme="minorEastAsia"/>
          <w:sz w:val="28"/>
          <w:szCs w:val="28"/>
        </w:rPr>
        <w:t>加工总体要求</w:t>
      </w:r>
    </w:p>
    <w:p>
      <w:pPr>
        <w:spacing w:line="360" w:lineRule="auto"/>
        <w:ind w:firstLine="560" w:firstLineChars="2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本次加工所需材料清单、要求及设计图由甲方提供给乙方，乙方在收到上述资料后，根据本规范书的技术、功能要求与甲方协商落实最后完整的加工方案后，购买材料并进行加工。</w:t>
      </w:r>
    </w:p>
    <w:p>
      <w:pPr>
        <w:pStyle w:val="4"/>
        <w:spacing w:before="0" w:after="0"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bookmarkStart w:id="4" w:name="_Toc27800"/>
      <w:r>
        <w:rPr>
          <w:rFonts w:asciiTheme="minorEastAsia" w:hAnsiTheme="minorEastAsia" w:eastAsiaTheme="minorEastAsia"/>
          <w:sz w:val="28"/>
          <w:szCs w:val="28"/>
        </w:rPr>
        <w:t>4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技术要求</w:t>
      </w:r>
      <w:bookmarkEnd w:id="4"/>
    </w:p>
    <w:p>
      <w:p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4.1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技术指标要求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4.1.1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运行环境条件</w:t>
      </w:r>
    </w:p>
    <w:p>
      <w:pPr>
        <w:numPr>
          <w:ilvl w:val="0"/>
          <w:numId w:val="1"/>
        </w:num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环境温度：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>-10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℃～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>+55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℃</w:t>
      </w:r>
    </w:p>
    <w:p>
      <w:pPr>
        <w:numPr>
          <w:ilvl w:val="0"/>
          <w:numId w:val="1"/>
        </w:num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环境相对湿度：</w:t>
      </w:r>
      <w:r>
        <w:rPr>
          <w:rFonts w:cs="宋体" w:asciiTheme="minorEastAsia" w:hAnsiTheme="minorEastAsia" w:eastAsiaTheme="minorEastAsia"/>
          <w:sz w:val="28"/>
          <w:szCs w:val="28"/>
        </w:rPr>
        <w:t xml:space="preserve">   10%RH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～</w:t>
      </w:r>
      <w:r>
        <w:rPr>
          <w:rFonts w:cs="宋体" w:asciiTheme="minorEastAsia" w:hAnsiTheme="minorEastAsia" w:eastAsiaTheme="minorEastAsia"/>
          <w:sz w:val="28"/>
          <w:szCs w:val="28"/>
        </w:rPr>
        <w:t xml:space="preserve"> 95%RH</w:t>
      </w:r>
    </w:p>
    <w:p>
      <w:pPr>
        <w:numPr>
          <w:ilvl w:val="0"/>
          <w:numId w:val="1"/>
        </w:num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相对湿度：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 xml:space="preserve">        5%~90%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（内部既不应凝露，也不应结冰）；</w:t>
      </w:r>
    </w:p>
    <w:p>
      <w:pPr>
        <w:numPr>
          <w:ilvl w:val="0"/>
          <w:numId w:val="1"/>
        </w:num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大气压力：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 xml:space="preserve">       80kPa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～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>106kPa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；</w:t>
      </w:r>
    </w:p>
    <w:p>
      <w:pPr>
        <w:numPr>
          <w:ilvl w:val="0"/>
          <w:numId w:val="1"/>
        </w:numPr>
        <w:spacing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场地要求：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 xml:space="preserve">       GB/T 9361-2011 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中</w:t>
      </w:r>
      <w:r>
        <w:rPr>
          <w:rFonts w:asciiTheme="minorEastAsia" w:hAnsiTheme="minorEastAsia" w:eastAsiaTheme="minorEastAsia"/>
          <w:color w:val="000000"/>
          <w:sz w:val="28"/>
          <w:szCs w:val="28"/>
        </w:rPr>
        <w:t xml:space="preserve"> B 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类安全要求；</w:t>
      </w:r>
    </w:p>
    <w:p>
      <w:pPr>
        <w:ind w:firstLine="42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⑹适应海拨：</w:t>
      </w:r>
      <w:r>
        <w:rPr>
          <w:rFonts w:asciiTheme="minorEastAsia" w:hAnsiTheme="minorEastAsia" w:eastAsiaTheme="minorEastAsia"/>
          <w:sz w:val="28"/>
          <w:szCs w:val="28"/>
        </w:rPr>
        <w:t xml:space="preserve">        1000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～</w:t>
      </w:r>
      <w:r>
        <w:rPr>
          <w:rFonts w:asciiTheme="minorEastAsia" w:hAnsiTheme="minorEastAsia" w:eastAsiaTheme="minorEastAsia"/>
          <w:sz w:val="28"/>
          <w:szCs w:val="28"/>
        </w:rPr>
        <w:t>2500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米。</w:t>
      </w:r>
    </w:p>
    <w:p>
      <w:pPr>
        <w:ind w:firstLine="42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⑺</w:t>
      </w:r>
      <w:r>
        <w:rPr>
          <w:rFonts w:hint="eastAsia" w:cs="宋体" w:asciiTheme="minorEastAsia" w:hAnsiTheme="minorEastAsia" w:eastAsiaTheme="minorEastAsia"/>
          <w:color w:val="000000"/>
          <w:sz w:val="28"/>
          <w:szCs w:val="28"/>
        </w:rPr>
        <w:t>用地点无爆炸危险的物质，周围介质中不含有能腐蚀金属、破坏绝缘和表面敷层的介质及导电介质，没有严重的霉菌存在。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4.1.2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适用范围</w:t>
      </w:r>
    </w:p>
    <w:p>
      <w:pPr>
        <w:pStyle w:val="2"/>
        <w:adjustRightInd w:val="0"/>
        <w:snapToGrid w:val="0"/>
        <w:spacing w:after="0" w:line="360" w:lineRule="auto"/>
        <w:ind w:firstLine="560" w:firstLineChars="200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拟研制一种具备安全管控功能的35kV变电站蓄电池接入装置，研究内容如下：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1、内含自恢复式防爆保险和火花消除回路以及双向DC/DC模块，消除压差和打火现象；</w:t>
      </w:r>
      <w:r>
        <w:rPr>
          <w:rFonts w:ascii="宋体" w:hAnsi="宋体" w:cs="宋体"/>
          <w:b w:val="0"/>
          <w:bCs w:val="0"/>
          <w:sz w:val="28"/>
          <w:szCs w:val="28"/>
        </w:rPr>
        <w:t>硬件端需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具备多通道插座接口、LED指示模块、控制开关单元、电源保护体系、报警逻辑单元、自检模块</w:t>
      </w:r>
      <w:r>
        <w:rPr>
          <w:rFonts w:ascii="宋体" w:hAnsi="宋体" w:cs="宋体"/>
          <w:b w:val="0"/>
          <w:bCs w:val="0"/>
          <w:sz w:val="28"/>
          <w:szCs w:val="28"/>
        </w:rPr>
        <w:t>，集成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4</w:t>
      </w:r>
      <w:r>
        <w:rPr>
          <w:rFonts w:ascii="宋体" w:hAnsi="宋体" w:cs="宋体"/>
          <w:b w:val="0"/>
          <w:bCs w:val="0"/>
          <w:sz w:val="28"/>
          <w:szCs w:val="28"/>
        </w:rPr>
        <w:t>通道24位ADC同步采样电路与本地存储模块；算法层需构建接触质量评估模型（融合四线制开尔文检测与动态阈值补偿）、基于SVM的12类故障特征库识别系统</w:t>
      </w: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。</w:t>
      </w:r>
    </w:p>
    <w:p>
      <w:pPr>
        <w:spacing w:after="120"/>
        <w:rPr>
          <w:rFonts w:hint="eastAsia" w:ascii="宋体" w:hAnsi="宋体" w:cs="宋体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2、运用快速空开以及状态指示装置的保护模块，实现电流速断保护，极端状况下保证操作安全和将短路、过载电流断开；</w:t>
      </w:r>
      <w:r>
        <w:rPr>
          <w:rFonts w:hint="eastAsia" w:ascii="宋体" w:hAnsi="宋体" w:cs="宋体"/>
          <w:sz w:val="28"/>
          <w:szCs w:val="28"/>
        </w:rPr>
        <w:t>稳压单元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为</w:t>
      </w:r>
      <w:r>
        <w:rPr>
          <w:rFonts w:hint="eastAsia" w:ascii="宋体" w:hAnsi="宋体" w:cs="宋体"/>
          <w:sz w:val="28"/>
          <w:szCs w:val="28"/>
        </w:rPr>
        <w:t>降压模块+线性稳压器，输出精度±0.1V；调压接口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是</w:t>
      </w:r>
      <w:r>
        <w:rPr>
          <w:rFonts w:hint="eastAsia" w:ascii="宋体" w:hAnsi="宋体" w:cs="宋体"/>
          <w:sz w:val="28"/>
          <w:szCs w:val="28"/>
        </w:rPr>
        <w:t>手动电位器调节电压数显,实时显示设定值；保护机制：限压电路、过流保护、短路保护三重安全设计。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 xml:space="preserve">3、多光谱LCD矩阵+蜂鸣器，与霍尔传感器联动指示正负极性，发出声光警报；4、模块化设计接口，支持多类不同接口，采用316L不锈钢镀银触点，满足不同厂家规格； 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hint="eastAsia" w:ascii="宋体" w:hAnsi="宋体" w:cs="宋体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4、装置配备接入接出状态指示，明确其电压、电流、压差等参数并具备双极防短路定位装置，快速判断故障位置。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控制开关单元</w:t>
      </w: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的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按钮触发检测流程，可观察触点动作；电源保护体系</w:t>
      </w: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由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集成TVS瞬态抑制二极管、自恢复保险丝（PTC），防御过流/过压冲击；报警逻辑单元</w:t>
      </w: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能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实现状态逻辑判断与蜂鸣器提示功能；自检模块</w:t>
      </w: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可以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开机自动检测电路导通性，验证插座针脚接触可靠性；</w:t>
      </w:r>
    </w:p>
    <w:p>
      <w:pPr>
        <w:spacing w:line="360" w:lineRule="auto"/>
        <w:rPr>
          <w:rFonts w:cs="宋体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★</w:t>
      </w:r>
      <w:r>
        <w:rPr>
          <w:rFonts w:cs="宋体" w:asciiTheme="minorEastAsia" w:hAnsiTheme="minorEastAsia" w:eastAsiaTheme="minorEastAsia"/>
          <w:sz w:val="28"/>
          <w:szCs w:val="28"/>
        </w:rPr>
        <w:t>4.2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技术参数</w:t>
      </w:r>
    </w:p>
    <w:tbl>
      <w:tblPr>
        <w:tblStyle w:val="11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4"/>
        <w:gridCol w:w="1476"/>
        <w:gridCol w:w="2274"/>
        <w:gridCol w:w="31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模块名称</w:t>
            </w:r>
          </w:p>
        </w:tc>
        <w:tc>
          <w:tcPr>
            <w:tcW w:w="1476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型号</w:t>
            </w:r>
          </w:p>
        </w:tc>
        <w:tc>
          <w:tcPr>
            <w:tcW w:w="227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技术指标</w:t>
            </w:r>
          </w:p>
        </w:tc>
        <w:tc>
          <w:tcPr>
            <w:tcW w:w="3168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实现方式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状态管理</w:t>
            </w:r>
          </w:p>
        </w:tc>
        <w:tc>
          <w:tcPr>
            <w:tcW w:w="1476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 xml:space="preserve">TPC7062KF </w:t>
            </w:r>
          </w:p>
        </w:tc>
        <w:tc>
          <w:tcPr>
            <w:tcW w:w="227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声光指示延迟≤10ms</w:t>
            </w:r>
          </w:p>
        </w:tc>
        <w:tc>
          <w:tcPr>
            <w:tcW w:w="3168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多光谱LCD矩阵+蜂鸣器，与霍尔传感器联动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保护模块</w:t>
            </w:r>
          </w:p>
        </w:tc>
        <w:tc>
          <w:tcPr>
            <w:tcW w:w="1476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PO-7</w:t>
            </w:r>
          </w:p>
        </w:tc>
        <w:tc>
          <w:tcPr>
            <w:tcW w:w="227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分断能力≥50A/100ms</w:t>
            </w:r>
          </w:p>
        </w:tc>
        <w:tc>
          <w:tcPr>
            <w:tcW w:w="3168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磁保持继电器+自恢复式防爆保险（I²t特性曲线匹配）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接口系统</w:t>
            </w:r>
          </w:p>
        </w:tc>
        <w:tc>
          <w:tcPr>
            <w:tcW w:w="1476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PLT500</w:t>
            </w:r>
          </w:p>
        </w:tc>
        <w:tc>
          <w:tcPr>
            <w:tcW w:w="227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支持4类接口（针式/线夹/线耳/航空插头）</w:t>
            </w:r>
          </w:p>
        </w:tc>
        <w:tc>
          <w:tcPr>
            <w:tcW w:w="3168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模块化设计，采用316L不锈钢镀银触点，接触电阻≤0.2mΩ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" w:hRule="atLeast"/>
        </w:trPr>
        <w:tc>
          <w:tcPr>
            <w:tcW w:w="160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电压适配</w:t>
            </w:r>
          </w:p>
        </w:tc>
        <w:tc>
          <w:tcPr>
            <w:tcW w:w="1476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BC98-200</w:t>
            </w:r>
          </w:p>
        </w:tc>
        <w:tc>
          <w:tcPr>
            <w:tcW w:w="2274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压差补偿范围±5V</w:t>
            </w:r>
          </w:p>
        </w:tc>
        <w:tc>
          <w:tcPr>
            <w:tcW w:w="3168" w:type="dxa"/>
            <w:vAlign w:val="center"/>
          </w:tcPr>
          <w:p>
            <w:pPr>
              <w:pStyle w:val="2"/>
              <w:adjustRightInd w:val="0"/>
              <w:snapToGrid w:val="0"/>
              <w:spacing w:after="0" w:line="360" w:lineRule="auto"/>
              <w:rPr>
                <w:rFonts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b w:val="0"/>
                <w:bCs w:val="0"/>
                <w:sz w:val="28"/>
                <w:szCs w:val="28"/>
              </w:rPr>
              <w:t>双向DC/DC模块（效率≥95%）</w:t>
            </w:r>
          </w:p>
        </w:tc>
      </w:tr>
    </w:tbl>
    <w:p>
      <w:pPr>
        <w:pStyle w:val="4"/>
        <w:adjustRightInd w:val="0"/>
        <w:snapToGrid w:val="0"/>
        <w:spacing w:before="0" w:after="0" w:line="360" w:lineRule="auto"/>
        <w:rPr>
          <w:rFonts w:cs="宋体" w:asciiTheme="minorEastAsia" w:hAnsiTheme="minorEastAsia" w:eastAsiaTheme="minorEastAsia"/>
          <w:sz w:val="28"/>
          <w:szCs w:val="28"/>
        </w:rPr>
      </w:pPr>
      <w:bookmarkStart w:id="5" w:name="_Toc5407"/>
      <w:r>
        <w:rPr>
          <w:rFonts w:hint="eastAsia" w:cs="宋体" w:asciiTheme="minorEastAsia" w:hAnsiTheme="minorEastAsia" w:eastAsiaTheme="minorEastAsia"/>
          <w:sz w:val="28"/>
          <w:szCs w:val="28"/>
        </w:rPr>
        <w:t>★</w:t>
      </w:r>
      <w:r>
        <w:rPr>
          <w:rFonts w:asciiTheme="minorEastAsia" w:hAnsiTheme="minorEastAsia" w:eastAsiaTheme="minorEastAsia"/>
          <w:sz w:val="28"/>
          <w:szCs w:val="28"/>
        </w:rPr>
        <w:t>5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功能要求</w:t>
      </w:r>
      <w:bookmarkEnd w:id="5"/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1.智能互锁机制：采用四级安全联锁（机械-电气-光学-逻辑），确保操作时序符合IEC 61851-23标准；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2.动态压差补偿：基于PID算法的自适应均压技术，可将蓄电池组间电压差控制在0.5V以内；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3.快速连接系统：大电流航空插头（MIL-DTL-38999标准）配合自对准导向结构，插拔寿命≥5000次。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4.大电流快速分断技术：采用真空灭弧室与电磁斥力机构结合方案，分断时间较传统空开缩短80%；</w:t>
      </w:r>
    </w:p>
    <w:p>
      <w:pPr>
        <w:pStyle w:val="2"/>
        <w:adjustRightInd w:val="0"/>
        <w:snapToGrid w:val="0"/>
        <w:spacing w:after="0" w:line="360" w:lineRule="auto"/>
        <w:jc w:val="left"/>
        <w:rPr>
          <w:rFonts w:cs="宋体" w:asciiTheme="minorEastAsia" w:hAnsiTheme="minorEastAsia" w:eastAsiaTheme="minorEastAsia"/>
          <w:b w:val="0"/>
          <w:bCs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bCs w:val="0"/>
          <w:sz w:val="28"/>
          <w:szCs w:val="28"/>
        </w:rPr>
        <w:t>5.自适应均压算法：基于FPGA的实时控制策略，压差调节精度达±0.2V；</w:t>
      </w:r>
    </w:p>
    <w:p>
      <w:pPr>
        <w:pStyle w:val="5"/>
        <w:rPr>
          <w:rFonts w:cs="Times New Roman" w:asciiTheme="minorEastAsia" w:hAnsiTheme="minorEastAsia" w:eastAsiaTheme="minorEastAsia"/>
        </w:rPr>
      </w:pPr>
      <w:bookmarkStart w:id="6" w:name="_Toc1567"/>
      <w:r>
        <w:rPr>
          <w:rFonts w:asciiTheme="minorEastAsia" w:hAnsiTheme="minorEastAsia" w:eastAsiaTheme="minorEastAsia"/>
        </w:rPr>
        <w:t>6</w:t>
      </w:r>
      <w:r>
        <w:rPr>
          <w:rFonts w:hint="eastAsia" w:cs="宋体" w:asciiTheme="minorEastAsia" w:hAnsiTheme="minorEastAsia" w:eastAsiaTheme="minorEastAsia"/>
        </w:rPr>
        <w:t>服务范围</w:t>
      </w:r>
      <w:bookmarkEnd w:id="6"/>
    </w:p>
    <w:p>
      <w:pPr>
        <w:jc w:val="center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服务范围一览表</w:t>
      </w:r>
    </w:p>
    <w:tbl>
      <w:tblPr>
        <w:tblStyle w:val="11"/>
        <w:tblW w:w="876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496"/>
        <w:gridCol w:w="785"/>
        <w:gridCol w:w="1908"/>
        <w:gridCol w:w="1178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序号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名称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单位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形式、规格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1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“一种具备安全管控功能的35kV变电站蓄电池接入装置</w:t>
            </w:r>
            <w:bookmarkStart w:id="14" w:name="_GoBack"/>
            <w:bookmarkEnd w:id="14"/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”加工服务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项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满足本技术规范书要求</w:t>
            </w:r>
          </w:p>
        </w:tc>
        <w:tc>
          <w:tcPr>
            <w:tcW w:w="1178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自合同约定之日起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9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0</w:t>
            </w: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日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2</w:t>
            </w:r>
          </w:p>
        </w:tc>
        <w:tc>
          <w:tcPr>
            <w:tcW w:w="2496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第三方检测报告</w:t>
            </w:r>
            <w:r>
              <w:rPr>
                <w:rFonts w:hint="eastAsia"/>
                <w:sz w:val="28"/>
                <w:szCs w:val="28"/>
              </w:rPr>
              <w:t>（CMA、CNAS）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份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型式试验，对于暂无型式试验标准的，应进行含关键检测项的委托试验</w:t>
            </w:r>
          </w:p>
        </w:tc>
        <w:tc>
          <w:tcPr>
            <w:tcW w:w="1178" w:type="dxa"/>
            <w:vMerge w:val="continue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1</w:t>
            </w:r>
          </w:p>
        </w:tc>
      </w:tr>
    </w:tbl>
    <w:p>
      <w:pPr>
        <w:rPr>
          <w:rFonts w:cs="Times New Roman" w:asciiTheme="minorEastAsia" w:hAnsiTheme="minorEastAsia" w:eastAsiaTheme="minorEastAsia"/>
        </w:rPr>
      </w:pPr>
    </w:p>
    <w:p>
      <w:pPr>
        <w:pStyle w:val="5"/>
        <w:rPr>
          <w:rFonts w:cs="Times New Roman" w:asciiTheme="minorEastAsia" w:hAnsiTheme="minorEastAsia" w:eastAsiaTheme="minorEastAsia"/>
          <w:kern w:val="44"/>
          <w:sz w:val="28"/>
          <w:szCs w:val="28"/>
        </w:rPr>
      </w:pPr>
      <w:bookmarkStart w:id="7" w:name="_Toc16594"/>
      <w:r>
        <w:rPr>
          <w:rFonts w:cs="Calibri" w:asciiTheme="minorEastAsia" w:hAnsiTheme="minorEastAsia" w:eastAsiaTheme="minorEastAsia"/>
          <w:kern w:val="44"/>
          <w:sz w:val="28"/>
          <w:szCs w:val="28"/>
        </w:rPr>
        <w:t>7</w:t>
      </w:r>
      <w:r>
        <w:rPr>
          <w:rFonts w:hint="eastAsia" w:cs="宋体" w:asciiTheme="minorEastAsia" w:hAnsiTheme="minorEastAsia" w:eastAsiaTheme="minorEastAsia"/>
          <w:kern w:val="44"/>
          <w:sz w:val="28"/>
          <w:szCs w:val="28"/>
        </w:rPr>
        <w:t>包装、运输及质量保证</w:t>
      </w:r>
      <w:bookmarkEnd w:id="7"/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7.1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产品在运输应有防护措施，以免散失损坏或丢失、变形、受潮和腐蚀，中标方应按电压等级分类供货。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7.2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储存、运输中应该注意通风、防潮</w:t>
      </w:r>
      <w:r>
        <w:rPr>
          <w:rFonts w:cs="宋体" w:asciiTheme="minorEastAsia" w:hAnsiTheme="minorEastAsia" w:eastAsiaTheme="minorEastAsia"/>
          <w:sz w:val="28"/>
          <w:szCs w:val="28"/>
        </w:rPr>
        <w:t>,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7.3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spacing w:line="360" w:lineRule="auto"/>
        <w:ind w:firstLine="280" w:firstLineChars="100"/>
        <w:rPr>
          <w:rFonts w:hint="eastAsia" w:cs="宋体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★</w:t>
      </w:r>
      <w:r>
        <w:rPr>
          <w:rFonts w:cs="宋体" w:asciiTheme="minorEastAsia" w:hAnsiTheme="minorEastAsia" w:eastAsiaTheme="minorEastAsia"/>
          <w:sz w:val="28"/>
          <w:szCs w:val="28"/>
        </w:rPr>
        <w:t>7.4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中标方应遵守本招标技术文件中各条款和工作项目的</w:t>
      </w:r>
      <w:r>
        <w:rPr>
          <w:rFonts w:cs="宋体" w:asciiTheme="minorEastAsia" w:hAnsiTheme="minorEastAsia" w:eastAsiaTheme="minorEastAsia"/>
          <w:sz w:val="28"/>
          <w:szCs w:val="28"/>
        </w:rPr>
        <w:t>ISO9000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、</w:t>
      </w:r>
      <w:r>
        <w:rPr>
          <w:rFonts w:cs="宋体" w:asciiTheme="minorEastAsia" w:hAnsiTheme="minorEastAsia" w:eastAsiaTheme="minorEastAsia"/>
          <w:sz w:val="28"/>
          <w:szCs w:val="28"/>
        </w:rPr>
        <w:t>GB/T19000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质量保证体系</w:t>
      </w:r>
      <w:r>
        <w:rPr>
          <w:rFonts w:cs="宋体" w:asciiTheme="minorEastAsia" w:hAnsiTheme="minorEastAsia" w:eastAsiaTheme="minorEastAsia"/>
          <w:sz w:val="28"/>
          <w:szCs w:val="28"/>
        </w:rPr>
        <w:t xml:space="preserve">, 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中标方质量保证体系已经过国家认证和且在有效期内。</w:t>
      </w:r>
      <w:bookmarkStart w:id="8" w:name="_Toc28920"/>
    </w:p>
    <w:p>
      <w:pPr>
        <w:pStyle w:val="2"/>
        <w:rPr>
          <w:rFonts w:hint="eastAsia" w:cs="宋体" w:asciiTheme="minorEastAsia" w:hAnsiTheme="minorEastAsia" w:eastAsiaTheme="minorEastAsia"/>
          <w:sz w:val="28"/>
          <w:szCs w:val="28"/>
        </w:rPr>
      </w:pPr>
    </w:p>
    <w:p>
      <w:pPr>
        <w:pStyle w:val="3"/>
        <w:rPr>
          <w:rFonts w:hint="eastAsia" w:cs="宋体" w:asciiTheme="minorEastAsia" w:hAnsiTheme="minorEastAsia" w:eastAsiaTheme="minorEastAsia"/>
          <w:sz w:val="28"/>
          <w:szCs w:val="28"/>
        </w:rPr>
      </w:pPr>
    </w:p>
    <w:p/>
    <w:p>
      <w:pPr>
        <w:pStyle w:val="4"/>
        <w:spacing w:before="0" w:after="0" w:line="360" w:lineRule="auto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1.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差异表</w:t>
      </w: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优于</w:t>
            </w: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/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部分满足</w:t>
            </w: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/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不满足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优于</w:t>
            </w: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/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部分满足</w:t>
            </w:r>
            <w:r>
              <w:rPr>
                <w:rFonts w:cs="宋体" w:asciiTheme="minorEastAsia" w:hAnsiTheme="minorEastAsia" w:eastAsiaTheme="minorEastAsia"/>
                <w:sz w:val="24"/>
                <w:szCs w:val="24"/>
              </w:rPr>
              <w:t>/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不满足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</w:p>
    <w:p>
      <w:pPr>
        <w:spacing w:line="360" w:lineRule="auto"/>
        <w:ind w:firstLine="280" w:firstLineChars="1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cs="宋体" w:asciiTheme="minorEastAsia" w:hAnsiTheme="minorEastAsia" w:eastAsiaTheme="minorEastAsia"/>
          <w:sz w:val="28"/>
          <w:szCs w:val="28"/>
        </w:rPr>
        <w:t>2</w:t>
      </w:r>
      <w:r>
        <w:rPr>
          <w:rFonts w:hint="eastAsia" w:cs="宋体" w:asciiTheme="minorEastAsia" w:hAnsiTheme="minorEastAsia" w:eastAsiaTheme="minorEastAsia"/>
          <w:sz w:val="28"/>
          <w:szCs w:val="28"/>
        </w:rPr>
        <w:t>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474EE"/>
    <w:multiLevelType w:val="multilevel"/>
    <w:tmpl w:val="651474EE"/>
    <w:lvl w:ilvl="0" w:tentative="0">
      <w:start w:val="1"/>
      <w:numFmt w:val="decimalEnclosedParen"/>
      <w:lvlText w:val="%1"/>
      <w:lvlJc w:val="left"/>
      <w:pPr>
        <w:ind w:left="780" w:hanging="36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4605B"/>
    <w:rsid w:val="00096618"/>
    <w:rsid w:val="000B1751"/>
    <w:rsid w:val="000C5062"/>
    <w:rsid w:val="000C6D15"/>
    <w:rsid w:val="000C6D20"/>
    <w:rsid w:val="000E5E5B"/>
    <w:rsid w:val="00132F0B"/>
    <w:rsid w:val="001363AE"/>
    <w:rsid w:val="00160588"/>
    <w:rsid w:val="00163335"/>
    <w:rsid w:val="00192F60"/>
    <w:rsid w:val="001A29E4"/>
    <w:rsid w:val="001B5C1B"/>
    <w:rsid w:val="001F2393"/>
    <w:rsid w:val="00237B17"/>
    <w:rsid w:val="002A091D"/>
    <w:rsid w:val="002F34D6"/>
    <w:rsid w:val="00316F10"/>
    <w:rsid w:val="00336DA9"/>
    <w:rsid w:val="003B32BA"/>
    <w:rsid w:val="003C03FC"/>
    <w:rsid w:val="003E71BC"/>
    <w:rsid w:val="004317CE"/>
    <w:rsid w:val="00555852"/>
    <w:rsid w:val="00563C21"/>
    <w:rsid w:val="005649F5"/>
    <w:rsid w:val="00595B84"/>
    <w:rsid w:val="005B1254"/>
    <w:rsid w:val="005D61BC"/>
    <w:rsid w:val="005E0BA9"/>
    <w:rsid w:val="005E4095"/>
    <w:rsid w:val="00625359"/>
    <w:rsid w:val="00651E02"/>
    <w:rsid w:val="00660D42"/>
    <w:rsid w:val="00671434"/>
    <w:rsid w:val="006737E9"/>
    <w:rsid w:val="00674768"/>
    <w:rsid w:val="00674817"/>
    <w:rsid w:val="006800F8"/>
    <w:rsid w:val="006E0B10"/>
    <w:rsid w:val="00730762"/>
    <w:rsid w:val="008855FA"/>
    <w:rsid w:val="008B09F4"/>
    <w:rsid w:val="008B5D75"/>
    <w:rsid w:val="008C01CF"/>
    <w:rsid w:val="008F3E9D"/>
    <w:rsid w:val="0090265A"/>
    <w:rsid w:val="009A5C63"/>
    <w:rsid w:val="009E648D"/>
    <w:rsid w:val="00A1149B"/>
    <w:rsid w:val="00A251D6"/>
    <w:rsid w:val="00A80C4A"/>
    <w:rsid w:val="00B0475A"/>
    <w:rsid w:val="00B618A5"/>
    <w:rsid w:val="00B723F3"/>
    <w:rsid w:val="00B917D5"/>
    <w:rsid w:val="00C12DD9"/>
    <w:rsid w:val="00C17862"/>
    <w:rsid w:val="00C21DFD"/>
    <w:rsid w:val="00CD7AC5"/>
    <w:rsid w:val="00CF0829"/>
    <w:rsid w:val="00D62F0D"/>
    <w:rsid w:val="00DA5389"/>
    <w:rsid w:val="00DF7A7C"/>
    <w:rsid w:val="00E33F81"/>
    <w:rsid w:val="00EF68A3"/>
    <w:rsid w:val="00F22709"/>
    <w:rsid w:val="00F512B2"/>
    <w:rsid w:val="00F524B0"/>
    <w:rsid w:val="00F82C64"/>
    <w:rsid w:val="00FB34BD"/>
    <w:rsid w:val="00FC21C5"/>
    <w:rsid w:val="00FF07F2"/>
    <w:rsid w:val="00FF2E87"/>
    <w:rsid w:val="044E16AA"/>
    <w:rsid w:val="095F4F6E"/>
    <w:rsid w:val="0C8711CC"/>
    <w:rsid w:val="116756B0"/>
    <w:rsid w:val="15AD5F8B"/>
    <w:rsid w:val="267D55BB"/>
    <w:rsid w:val="34036C6D"/>
    <w:rsid w:val="3490661E"/>
    <w:rsid w:val="3B9F4427"/>
    <w:rsid w:val="3E8308D2"/>
    <w:rsid w:val="4A6E1422"/>
    <w:rsid w:val="4CD25091"/>
    <w:rsid w:val="572A4459"/>
    <w:rsid w:val="749234CF"/>
    <w:rsid w:val="75EC3368"/>
    <w:rsid w:val="76EA786F"/>
    <w:rsid w:val="7D420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99" w:name="toc 1"/>
    <w:lsdException w:qFormat="1" w:unhideWhenUsed="0" w:uiPriority="99" w:name="toc 2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6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link w:val="17"/>
    <w:qFormat/>
    <w:uiPriority w:val="99"/>
    <w:pPr>
      <w:spacing w:after="120"/>
    </w:pPr>
  </w:style>
  <w:style w:type="paragraph" w:styleId="3">
    <w:name w:val="Title"/>
    <w:basedOn w:val="1"/>
    <w:next w:val="1"/>
    <w:link w:val="18"/>
    <w:qFormat/>
    <w:uiPriority w:val="99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qFormat/>
    <w:uiPriority w:val="99"/>
  </w:style>
  <w:style w:type="paragraph" w:styleId="10">
    <w:name w:val="toc 2"/>
    <w:basedOn w:val="1"/>
    <w:next w:val="1"/>
    <w:semiHidden/>
    <w:qFormat/>
    <w:uiPriority w:val="99"/>
    <w:pPr>
      <w:ind w:left="420" w:leftChars="200"/>
    </w:p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customStyle="1" w:styleId="15">
    <w:name w:val="标题 1 Char"/>
    <w:basedOn w:val="13"/>
    <w:link w:val="4"/>
    <w:qFormat/>
    <w:locked/>
    <w:uiPriority w:val="99"/>
    <w:rPr>
      <w:b/>
      <w:bCs/>
      <w:kern w:val="44"/>
      <w:sz w:val="44"/>
      <w:szCs w:val="44"/>
    </w:rPr>
  </w:style>
  <w:style w:type="character" w:customStyle="1" w:styleId="16">
    <w:name w:val="标题 2 Char"/>
    <w:basedOn w:val="13"/>
    <w:link w:val="5"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7">
    <w:name w:val="正文文本 Char"/>
    <w:basedOn w:val="13"/>
    <w:link w:val="2"/>
    <w:semiHidden/>
    <w:qFormat/>
    <w:uiPriority w:val="99"/>
    <w:rPr>
      <w:rFonts w:ascii="Calibri" w:hAnsi="Calibri" w:cs="Calibri"/>
      <w:szCs w:val="21"/>
    </w:rPr>
  </w:style>
  <w:style w:type="character" w:customStyle="1" w:styleId="18">
    <w:name w:val="标题 Char"/>
    <w:basedOn w:val="13"/>
    <w:link w:val="3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9">
    <w:name w:val="批注框文本 Char"/>
    <w:basedOn w:val="13"/>
    <w:link w:val="6"/>
    <w:semiHidden/>
    <w:qFormat/>
    <w:locked/>
    <w:uiPriority w:val="99"/>
    <w:rPr>
      <w:sz w:val="18"/>
      <w:szCs w:val="18"/>
    </w:rPr>
  </w:style>
  <w:style w:type="character" w:customStyle="1" w:styleId="20">
    <w:name w:val="页脚 Char"/>
    <w:basedOn w:val="13"/>
    <w:link w:val="7"/>
    <w:qFormat/>
    <w:locked/>
    <w:uiPriority w:val="99"/>
    <w:rPr>
      <w:sz w:val="18"/>
      <w:szCs w:val="18"/>
    </w:rPr>
  </w:style>
  <w:style w:type="character" w:customStyle="1" w:styleId="21">
    <w:name w:val="页眉 Char"/>
    <w:basedOn w:val="13"/>
    <w:link w:val="8"/>
    <w:qFormat/>
    <w:locked/>
    <w:uiPriority w:val="99"/>
    <w:rPr>
      <w:sz w:val="18"/>
      <w:szCs w:val="18"/>
    </w:rPr>
  </w:style>
  <w:style w:type="paragraph" w:customStyle="1" w:styleId="22">
    <w:name w:val="TOC 标题1"/>
    <w:basedOn w:val="4"/>
    <w:next w:val="1"/>
    <w:semiHidden/>
    <w:qFormat/>
    <w:uiPriority w:val="99"/>
    <w:pPr>
      <w:widowControl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577</Words>
  <Characters>3295</Characters>
  <Lines>27</Lines>
  <Paragraphs>7</Paragraphs>
  <TotalTime>26</TotalTime>
  <ScaleCrop>false</ScaleCrop>
  <LinksUpToDate>false</LinksUpToDate>
  <CharactersWithSpaces>3865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2025-11-05T09:47:42Z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5513C265E1C94BD4B43E4BE288B63F29</vt:lpwstr>
  </property>
</Properties>
</file>