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624" w:beforeLines="200" w:line="0" w:lineRule="atLeast"/>
        <w:jc w:val="center"/>
        <w:rPr>
          <w:rFonts w:hint="eastAsia" w:ascii="黑体" w:hAnsi="黑体" w:eastAsia="黑体" w:cs="黑体"/>
          <w:b/>
          <w:sz w:val="44"/>
          <w:szCs w:val="44"/>
        </w:rPr>
      </w:pPr>
      <w:bookmarkStart w:id="0" w:name="_Toc131133981"/>
      <w:bookmarkStart w:id="1" w:name="_Toc114028927"/>
      <w:bookmarkStart w:id="2" w:name="_Toc131168595"/>
      <w:bookmarkStart w:id="3" w:name="_Toc183578143"/>
      <w:bookmarkStart w:id="4" w:name="_Toc131134327"/>
      <w:bookmarkStart w:id="5" w:name="_Toc131134226"/>
      <w:r>
        <w:rPr>
          <w:rFonts w:hint="eastAsia" w:ascii="黑体" w:hAnsi="黑体" w:eastAsia="黑体" w:cs="黑体"/>
          <w:b/>
          <w:bCs/>
          <w:sz w:val="44"/>
          <w:szCs w:val="44"/>
          <w:u w:val="single"/>
        </w:rPr>
        <w:t>数字电网公司2025年配网终端核心板关键元器件采购项目</w:t>
      </w:r>
      <w:r>
        <w:rPr>
          <w:rFonts w:hint="eastAsia" w:ascii="黑体" w:hAnsi="黑体" w:eastAsia="黑体" w:cs="黑体"/>
          <w:b/>
          <w:sz w:val="44"/>
          <w:szCs w:val="44"/>
        </w:rPr>
        <w:t xml:space="preserve"> </w:t>
      </w:r>
    </w:p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sz w:val="48"/>
          <w:szCs w:val="21"/>
        </w:rPr>
      </w:pPr>
      <w:bookmarkStart w:id="6" w:name="_Toc124534206"/>
      <w:bookmarkStart w:id="7" w:name="_Toc28031"/>
      <w:bookmarkStart w:id="8" w:name="_Toc6124"/>
      <w:bookmarkStart w:id="9" w:name="_Toc21562"/>
      <w:bookmarkStart w:id="10" w:name="_Toc124496990"/>
      <w:bookmarkStart w:id="11" w:name="_Toc122702569"/>
      <w:bookmarkStart w:id="12" w:name="_Toc127289271"/>
      <w:bookmarkStart w:id="13" w:name="_Toc2621"/>
      <w:bookmarkStart w:id="14" w:name="_Toc26117"/>
      <w:bookmarkStart w:id="15" w:name="_Toc12389"/>
      <w:bookmarkStart w:id="16" w:name="_Toc1546"/>
      <w:bookmarkStart w:id="17" w:name="_Toc21712"/>
      <w:r>
        <w:rPr>
          <w:rFonts w:hint="eastAsia" w:ascii="仿宋_GB2312" w:hAnsi="仿宋_GB2312" w:eastAsia="仿宋_GB2312" w:cs="仿宋_GB2312"/>
          <w:b/>
          <w:sz w:val="48"/>
          <w:szCs w:val="21"/>
        </w:rPr>
        <w:t>技术规范书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</w:p>
    <w:p>
      <w:pPr>
        <w:pStyle w:val="9"/>
        <w:ind w:firstLine="480"/>
        <w:outlineLvl w:val="9"/>
      </w:pPr>
    </w:p>
    <w:p>
      <w:pPr>
        <w:pStyle w:val="17"/>
        <w:outlineLvl w:val="9"/>
      </w:pPr>
    </w:p>
    <w:p>
      <w:pPr>
        <w:outlineLvl w:val="9"/>
      </w:pPr>
    </w:p>
    <w:p>
      <w:pPr>
        <w:pStyle w:val="9"/>
        <w:outlineLvl w:val="9"/>
      </w:pPr>
    </w:p>
    <w:p>
      <w:pPr>
        <w:pStyle w:val="17"/>
        <w:outlineLvl w:val="9"/>
      </w:pPr>
    </w:p>
    <w:p/>
    <w:p>
      <w:pPr>
        <w:pStyle w:val="9"/>
      </w:pPr>
    </w:p>
    <w:p>
      <w:pPr>
        <w:pStyle w:val="17"/>
      </w:pPr>
    </w:p>
    <w:p/>
    <w:p>
      <w:pPr>
        <w:pStyle w:val="9"/>
        <w:rPr>
          <w:rFonts w:hint="eastAsia" w:eastAsia="宋体"/>
          <w:lang w:val="en-US" w:eastAsia="zh-CN"/>
        </w:rPr>
      </w:pPr>
    </w:p>
    <w:p>
      <w:pPr>
        <w:outlineLvl w:val="9"/>
      </w:pPr>
    </w:p>
    <w:p>
      <w:pPr>
        <w:pStyle w:val="9"/>
        <w:outlineLvl w:val="9"/>
      </w:pPr>
    </w:p>
    <w:p>
      <w:pPr>
        <w:pStyle w:val="17"/>
        <w:outlineLvl w:val="9"/>
      </w:pPr>
    </w:p>
    <w:p>
      <w:pPr>
        <w:pStyle w:val="9"/>
        <w:ind w:left="0" w:leftChars="0" w:firstLine="0" w:firstLineChars="0"/>
        <w:jc w:val="both"/>
        <w:outlineLvl w:val="9"/>
      </w:pPr>
    </w:p>
    <w:p>
      <w:pPr>
        <w:spacing w:before="624" w:beforeLines="200" w:line="0" w:lineRule="atLeast"/>
        <w:jc w:val="center"/>
        <w:outlineLvl w:val="9"/>
        <w:rPr>
          <w:rFonts w:ascii="仿宋_GB2312" w:hAnsi="仿宋_GB2312" w:eastAsia="仿宋_GB2312" w:cs="仿宋_GB2312"/>
          <w:b/>
          <w:sz w:val="36"/>
        </w:rPr>
      </w:pPr>
      <w:bookmarkStart w:id="18" w:name="_Toc20233"/>
      <w:bookmarkStart w:id="19" w:name="_Toc620"/>
      <w:bookmarkStart w:id="20" w:name="_Toc17545"/>
      <w:bookmarkStart w:id="21" w:name="_Toc6890"/>
      <w:r>
        <w:rPr>
          <w:rFonts w:hint="eastAsia" w:ascii="仿宋_GB2312" w:hAnsi="仿宋_GB2312" w:eastAsia="仿宋_GB2312" w:cs="仿宋_GB2312"/>
          <w:b/>
          <w:sz w:val="36"/>
        </w:rPr>
        <w:t>南方电网数字电网科技（广东）有限公司</w:t>
      </w:r>
      <w:r>
        <w:rPr>
          <w:rFonts w:ascii="宋体" w:hAnsi="宋体" w:cs="宋体"/>
          <w:sz w:val="24"/>
        </w:rPr>
        <w:t> </w:t>
      </w:r>
      <w:bookmarkEnd w:id="18"/>
      <w:bookmarkEnd w:id="19"/>
      <w:bookmarkEnd w:id="20"/>
      <w:bookmarkEnd w:id="21"/>
    </w:p>
    <w:p>
      <w:pPr>
        <w:spacing w:line="360" w:lineRule="auto"/>
        <w:jc w:val="center"/>
        <w:rPr>
          <w:rFonts w:ascii="仿宋_GB2312" w:hAnsi="仿宋_GB2312" w:eastAsia="仿宋_GB2312" w:cs="仿宋_GB2312"/>
          <w:b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sz w:val="36"/>
        </w:rPr>
        <w:t>202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/>
          <w:sz w:val="36"/>
        </w:rPr>
        <w:t>年</w:t>
      </w:r>
      <w:r>
        <w:rPr>
          <w:rFonts w:hint="eastAsia" w:ascii="仿宋_GB2312" w:hAnsi="仿宋_GB2312" w:eastAsia="仿宋_GB2312" w:cs="仿宋_GB2312"/>
          <w:b/>
          <w:sz w:val="36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b/>
          <w:sz w:val="36"/>
        </w:rPr>
        <w:t xml:space="preserve">月  </w:t>
      </w:r>
      <w:bookmarkEnd w:id="0"/>
      <w:bookmarkEnd w:id="1"/>
      <w:bookmarkEnd w:id="2"/>
      <w:bookmarkEnd w:id="3"/>
      <w:bookmarkEnd w:id="4"/>
      <w:bookmarkEnd w:id="5"/>
      <w:r>
        <w:rPr>
          <w:rFonts w:hint="eastAsia" w:ascii="仿宋_GB2312" w:hAnsi="仿宋_GB2312" w:eastAsia="仿宋_GB2312" w:cs="仿宋_GB2312"/>
          <w:b/>
          <w:sz w:val="36"/>
        </w:rPr>
        <w:br w:type="page"/>
      </w:r>
      <w:r>
        <w:rPr>
          <w:rFonts w:hint="eastAsia" w:ascii="仿宋_GB2312" w:hAnsi="仿宋_GB2312" w:eastAsia="仿宋_GB2312" w:cs="仿宋_GB2312"/>
          <w:b/>
          <w:sz w:val="32"/>
          <w:szCs w:val="32"/>
        </w:rPr>
        <w:t>目 录</w:t>
      </w:r>
    </w:p>
    <w:p>
      <w:pPr>
        <w:pStyle w:val="14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begin"/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instrText xml:space="preserve">TOC \o "1-2" \h \u </w:instrText>
      </w:r>
      <w:r>
        <w:rPr>
          <w:rFonts w:hint="eastAsia" w:asciiTheme="minorEastAsia" w:hAnsiTheme="minorEastAsia" w:eastAsiaTheme="minorEastAsia" w:cstheme="minorEastAsia"/>
          <w:b/>
          <w:bCs/>
          <w:caps/>
          <w:sz w:val="28"/>
          <w:szCs w:val="28"/>
        </w:rPr>
        <w:fldChar w:fldCharType="separate"/>
      </w:r>
      <w:r>
        <w:rPr>
          <w:rFonts w:hint="eastAsia" w:ascii="仿宋" w:hAnsi="仿宋" w:eastAsia="仿宋" w:cs="仿宋"/>
          <w:bCs/>
          <w:caps/>
          <w:szCs w:val="28"/>
        </w:rPr>
        <w:fldChar w:fldCharType="begin"/>
      </w:r>
      <w:r>
        <w:rPr>
          <w:rFonts w:hint="eastAsia" w:ascii="仿宋" w:hAnsi="仿宋" w:eastAsia="仿宋" w:cs="仿宋"/>
          <w:bCs/>
          <w:caps/>
          <w:szCs w:val="28"/>
        </w:rPr>
        <w:instrText xml:space="preserve"> HYPERLINK \l _Toc6540 </w:instrText>
      </w:r>
      <w:r>
        <w:rPr>
          <w:rFonts w:hint="eastAsia" w:ascii="仿宋" w:hAnsi="仿宋" w:eastAsia="仿宋" w:cs="仿宋"/>
          <w:bCs/>
          <w:caps/>
          <w:szCs w:val="28"/>
        </w:rPr>
        <w:fldChar w:fldCharType="separate"/>
      </w:r>
      <w:r>
        <w:rPr>
          <w:rFonts w:hint="eastAsia" w:ascii="仿宋" w:hAnsi="仿宋" w:eastAsia="仿宋" w:cs="仿宋"/>
        </w:rPr>
        <w:t>1. 总则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_Toc6540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/>
          <w:caps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_Toc8220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1.1. 概述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_Toc8220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_Toc22077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 xml:space="preserve">1.2. </w:t>
      </w:r>
      <w:r>
        <w:rPr>
          <w:rFonts w:hint="eastAsia" w:ascii="仿宋" w:hAnsi="仿宋" w:eastAsia="仿宋" w:cs="仿宋"/>
          <w:lang w:val="en-US" w:eastAsia="zh-CN"/>
        </w:rPr>
        <w:t>采购</w:t>
      </w:r>
      <w:r>
        <w:rPr>
          <w:rFonts w:hint="eastAsia" w:ascii="仿宋" w:hAnsi="仿宋" w:eastAsia="仿宋" w:cs="仿宋"/>
        </w:rPr>
        <w:t>范围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</w:rPr>
        <w:fldChar w:fldCharType="begin"/>
      </w:r>
      <w:r>
        <w:rPr>
          <w:rFonts w:hint="eastAsia" w:ascii="仿宋" w:hAnsi="仿宋" w:eastAsia="仿宋" w:cs="仿宋"/>
        </w:rPr>
        <w:instrText xml:space="preserve"> PAGEREF _Toc22077 \h </w:instrText>
      </w:r>
      <w:r>
        <w:rPr>
          <w:rFonts w:hint="eastAsia" w:ascii="仿宋" w:hAnsi="仿宋" w:eastAsia="仿宋" w:cs="仿宋"/>
        </w:rPr>
        <w:fldChar w:fldCharType="separate"/>
      </w:r>
      <w:r>
        <w:rPr>
          <w:rFonts w:hint="eastAsia" w:ascii="仿宋" w:hAnsi="仿宋" w:eastAsia="仿宋" w:cs="仿宋"/>
        </w:rPr>
        <w:t>1</w:t>
      </w:r>
      <w:r>
        <w:rPr>
          <w:rFonts w:hint="eastAsia" w:ascii="仿宋" w:hAnsi="仿宋" w:eastAsia="仿宋" w:cs="仿宋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_Toc2396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 xml:space="preserve">1.3. </w:t>
      </w:r>
      <w:r>
        <w:rPr>
          <w:rFonts w:hint="eastAsia" w:ascii="仿宋" w:hAnsi="仿宋" w:eastAsia="仿宋" w:cs="仿宋"/>
          <w:lang w:val="en-US" w:eastAsia="zh-CN"/>
        </w:rPr>
        <w:t>项目</w:t>
      </w:r>
      <w:r>
        <w:rPr>
          <w:rFonts w:hint="eastAsia" w:ascii="仿宋" w:hAnsi="仿宋" w:eastAsia="仿宋" w:cs="仿宋"/>
        </w:rPr>
        <w:t>保证</w:t>
      </w:r>
      <w:r>
        <w:rPr>
          <w:rFonts w:hint="eastAsia" w:ascii="仿宋" w:hAnsi="仿宋" w:eastAsia="仿宋" w:cs="仿宋"/>
        </w:rPr>
        <w:tab/>
      </w:r>
      <w:r>
        <w:rPr>
          <w:rFonts w:hint="default" w:ascii="仿宋" w:hAnsi="仿宋" w:eastAsia="仿宋" w:cs="仿宋"/>
          <w:lang w:val="en-US"/>
        </w:rPr>
        <w:t>3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</w:p>
    <w:p>
      <w:pPr>
        <w:pStyle w:val="14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_Toc5807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2. 项目内容</w:t>
      </w:r>
      <w:r>
        <w:rPr>
          <w:rFonts w:hint="eastAsia" w:ascii="仿宋" w:hAnsi="仿宋" w:eastAsia="仿宋" w:cs="仿宋"/>
        </w:rPr>
        <w:tab/>
      </w:r>
      <w:r>
        <w:rPr>
          <w:rFonts w:hint="default" w:ascii="仿宋" w:hAnsi="仿宋" w:eastAsia="仿宋" w:cs="仿宋"/>
          <w:lang w:val="en-US"/>
        </w:rPr>
        <w:t>4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_Toc17685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2.1. 项目背景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lang w:val="en-US" w:eastAsia="zh-CN"/>
        </w:rPr>
        <w:t>4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_Toc6001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 xml:space="preserve">2.2. </w:t>
      </w:r>
      <w:r>
        <w:rPr>
          <w:rFonts w:hint="eastAsia" w:ascii="仿宋" w:hAnsi="仿宋" w:eastAsia="仿宋" w:cs="仿宋"/>
          <w:lang w:val="en-US" w:eastAsia="zh-CN"/>
        </w:rPr>
        <w:t>技术要求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lang w:val="en-US" w:eastAsia="zh-CN"/>
        </w:rPr>
        <w:t>4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  <w:bCs w:val="0"/>
          <w:caps w:val="0"/>
          <w:szCs w:val="28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_Toc9633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 xml:space="preserve">2.3. </w:t>
      </w:r>
      <w:r>
        <w:rPr>
          <w:rFonts w:hint="eastAsia" w:ascii="仿宋" w:hAnsi="仿宋" w:eastAsia="仿宋" w:cs="仿宋"/>
          <w:lang w:val="en-US" w:eastAsia="zh-CN"/>
        </w:rPr>
        <w:t>系统规格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lang w:val="en-US" w:eastAsia="zh-CN"/>
        </w:rPr>
        <w:t>4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</w:p>
    <w:p>
      <w:pPr>
        <w:rPr>
          <w:rFonts w:hint="default" w:eastAsia="仿宋"/>
          <w:lang w:val="en-US" w:eastAsia="zh-CN"/>
        </w:rPr>
      </w:pPr>
      <w:r>
        <w:rPr>
          <w:rFonts w:hint="eastAsia" w:ascii="仿宋" w:hAnsi="仿宋" w:eastAsia="仿宋" w:cs="仿宋"/>
          <w:bCs w:val="0"/>
          <w:caps w:val="0"/>
          <w:szCs w:val="28"/>
          <w:lang w:val="en-US" w:eastAsia="zh-CN"/>
        </w:rPr>
        <w:t xml:space="preserve">    2.4  核心板对外接口说明...................................................5</w:t>
      </w:r>
    </w:p>
    <w:p>
      <w:pPr>
        <w:pStyle w:val="14"/>
        <w:tabs>
          <w:tab w:val="right" w:leader="dot" w:pos="8312"/>
        </w:tabs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_Toc20854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3. 质量及服务方式要求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lang w:val="en-US" w:eastAsia="zh-CN"/>
        </w:rPr>
        <w:t>1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szCs w:val="28"/>
          <w:lang w:val="en-US" w:eastAsia="zh-CN"/>
        </w:rPr>
        <w:t>2</w:t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_Toc22584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3.1. 质量保证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lang w:val="en-US" w:eastAsia="zh-CN"/>
        </w:rPr>
        <w:t>1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szCs w:val="28"/>
          <w:lang w:val="en-US" w:eastAsia="zh-CN"/>
        </w:rPr>
        <w:t>2</w:t>
      </w:r>
    </w:p>
    <w:p>
      <w:pPr>
        <w:pStyle w:val="15"/>
        <w:tabs>
          <w:tab w:val="right" w:leader="dot" w:pos="8312"/>
        </w:tabs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_Toc15580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3.2. 售后服务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lang w:val="en-US" w:eastAsia="zh-CN"/>
        </w:rPr>
        <w:t>1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szCs w:val="28"/>
          <w:lang w:val="en-US" w:eastAsia="zh-CN"/>
        </w:rPr>
        <w:t>2</w:t>
      </w:r>
    </w:p>
    <w:p>
      <w:pPr>
        <w:pStyle w:val="14"/>
        <w:tabs>
          <w:tab w:val="right" w:leader="dot" w:pos="8312"/>
        </w:tabs>
        <w:rPr>
          <w:rFonts w:hint="eastAsia" w:eastAsia="仿宋"/>
          <w:lang w:val="en-US" w:eastAsia="zh-CN"/>
        </w:rPr>
      </w:pP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begin"/>
      </w:r>
      <w:r>
        <w:rPr>
          <w:rFonts w:hint="eastAsia" w:ascii="仿宋" w:hAnsi="仿宋" w:eastAsia="仿宋" w:cs="仿宋"/>
          <w:bCs w:val="0"/>
          <w:caps w:val="0"/>
          <w:szCs w:val="28"/>
        </w:rPr>
        <w:instrText xml:space="preserve"> HYPERLINK \l _Toc7460 </w:instrTex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separate"/>
      </w:r>
      <w:r>
        <w:rPr>
          <w:rFonts w:hint="eastAsia" w:ascii="仿宋" w:hAnsi="仿宋" w:eastAsia="仿宋" w:cs="仿宋"/>
        </w:rPr>
        <w:t>4. 安全保密要求</w:t>
      </w:r>
      <w:r>
        <w:rPr>
          <w:rFonts w:hint="eastAsia" w:ascii="仿宋" w:hAnsi="仿宋" w:eastAsia="仿宋" w:cs="仿宋"/>
        </w:rPr>
        <w:tab/>
      </w:r>
      <w:r>
        <w:rPr>
          <w:rFonts w:hint="eastAsia" w:ascii="仿宋" w:hAnsi="仿宋" w:eastAsia="仿宋" w:cs="仿宋"/>
          <w:lang w:val="en-US" w:eastAsia="zh-CN"/>
        </w:rPr>
        <w:t>1</w:t>
      </w:r>
      <w:r>
        <w:rPr>
          <w:rFonts w:hint="eastAsia" w:ascii="仿宋" w:hAnsi="仿宋" w:eastAsia="仿宋" w:cs="仿宋"/>
          <w:bCs w:val="0"/>
          <w:caps w:val="0"/>
          <w:szCs w:val="28"/>
        </w:rPr>
        <w:fldChar w:fldCharType="end"/>
      </w:r>
      <w:r>
        <w:rPr>
          <w:rFonts w:hint="eastAsia" w:ascii="仿宋" w:hAnsi="仿宋" w:eastAsia="仿宋" w:cs="仿宋"/>
          <w:bCs w:val="0"/>
          <w:caps w:val="0"/>
          <w:szCs w:val="28"/>
          <w:lang w:val="en-US" w:eastAsia="zh-CN"/>
        </w:rPr>
        <w:t>3</w:t>
      </w:r>
    </w:p>
    <w:p>
      <w:pPr>
        <w:pStyle w:val="30"/>
        <w:tabs>
          <w:tab w:val="left" w:pos="420"/>
          <w:tab w:val="right" w:leader="dot" w:pos="8302"/>
        </w:tabs>
        <w:spacing w:line="360" w:lineRule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Cs w:val="0"/>
          <w:caps w:val="0"/>
          <w:szCs w:val="28"/>
        </w:rPr>
        <w:fldChar w:fldCharType="end"/>
      </w:r>
    </w:p>
    <w:p>
      <w:pPr>
        <w:spacing w:line="360" w:lineRule="auto"/>
        <w:rPr>
          <w:rFonts w:ascii="仿宋_GB2312" w:hAnsi="仿宋_GB2312" w:eastAsia="仿宋_GB2312" w:cs="仿宋_GB2312"/>
          <w:sz w:val="24"/>
        </w:rPr>
      </w:pPr>
    </w:p>
    <w:p>
      <w:pPr>
        <w:spacing w:line="360" w:lineRule="auto"/>
        <w:rPr>
          <w:rFonts w:ascii="仿宋_GB2312" w:hAnsi="仿宋_GB2312" w:eastAsia="仿宋_GB2312" w:cs="仿宋_GB2312"/>
          <w:sz w:val="24"/>
        </w:rPr>
        <w:sectPr>
          <w:footerReference r:id="rId3" w:type="default"/>
          <w:pgSz w:w="11906" w:h="16838"/>
          <w:pgMar w:top="1440" w:right="1797" w:bottom="1440" w:left="1797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docGrid w:type="lines" w:linePitch="312" w:charSpace="0"/>
        </w:sectPr>
      </w:pPr>
    </w:p>
    <w:p>
      <w:pPr>
        <w:pStyle w:val="2"/>
        <w:numPr>
          <w:ilvl w:val="0"/>
          <w:numId w:val="3"/>
        </w:numPr>
        <w:tabs>
          <w:tab w:val="clear" w:pos="425"/>
        </w:tabs>
        <w:ind w:left="425" w:leftChars="0" w:hanging="425" w:firstLineChars="0"/>
        <w:rPr>
          <w:rFonts w:eastAsia="仿宋_GB2312" w:cs="仿宋_GB2312"/>
        </w:rPr>
      </w:pPr>
      <w:bookmarkStart w:id="22" w:name="_Toc192340307"/>
      <w:bookmarkEnd w:id="22"/>
      <w:bookmarkStart w:id="23" w:name="_Toc192340308"/>
      <w:bookmarkEnd w:id="23"/>
      <w:bookmarkStart w:id="24" w:name="_Toc4967"/>
      <w:bookmarkStart w:id="25" w:name="_Toc17766"/>
      <w:bookmarkStart w:id="26" w:name="_Toc10542"/>
      <w:bookmarkStart w:id="27" w:name="_Toc6540"/>
      <w:bookmarkStart w:id="28" w:name="_Toc3246"/>
      <w:bookmarkStart w:id="29" w:name="_Toc27137"/>
      <w:bookmarkStart w:id="30" w:name="_Toc27374"/>
      <w:bookmarkStart w:id="31" w:name="_Toc2861"/>
      <w:bookmarkStart w:id="32" w:name="_Toc198288426"/>
      <w:bookmarkStart w:id="33" w:name="_Toc8192"/>
      <w:bookmarkStart w:id="34" w:name="_Toc147371417"/>
      <w:r>
        <w:rPr>
          <w:rFonts w:hint="eastAsia" w:eastAsia="仿宋_GB2312" w:cs="仿宋_GB2312"/>
        </w:rPr>
        <w:t>总则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" w:hAnsi="仿宋" w:eastAsia="仿宋" w:cs="仿宋"/>
        </w:rPr>
      </w:pPr>
      <w:bookmarkStart w:id="35" w:name="_Toc5598"/>
      <w:bookmarkStart w:id="36" w:name="_Toc31589"/>
      <w:bookmarkStart w:id="37" w:name="_Toc296516184"/>
      <w:bookmarkStart w:id="38" w:name="_Toc24317"/>
      <w:bookmarkStart w:id="39" w:name="_Toc28067"/>
      <w:bookmarkStart w:id="40" w:name="_Toc25167"/>
      <w:bookmarkStart w:id="41" w:name="_Toc9898"/>
      <w:bookmarkStart w:id="42" w:name="_Toc23290"/>
      <w:bookmarkStart w:id="43" w:name="_Toc8220"/>
      <w:bookmarkStart w:id="44" w:name="_Toc18895"/>
      <w:bookmarkStart w:id="45" w:name="_Toc270544309"/>
      <w:r>
        <w:rPr>
          <w:rFonts w:hint="eastAsia" w:ascii="仿宋" w:hAnsi="仿宋" w:eastAsia="仿宋" w:cs="仿宋"/>
        </w:rPr>
        <w:t>概述</w:t>
      </w:r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本文件适用于南方电网数字电网科技（广东）有限公司</w:t>
      </w:r>
      <w:r>
        <w:rPr>
          <w:rFonts w:ascii="宋体" w:hAnsi="宋体" w:cs="宋体"/>
          <w:szCs w:val="24"/>
        </w:rPr>
        <w:t> </w:t>
      </w:r>
      <w:r>
        <w:rPr>
          <w:rFonts w:hint="eastAsia" w:ascii="仿宋_GB2312" w:hAnsi="仿宋_GB2312" w:eastAsia="仿宋_GB2312" w:cs="仿宋_GB2312"/>
          <w:sz w:val="28"/>
          <w:szCs w:val="28"/>
        </w:rPr>
        <w:t>（以下简称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数字电网公司2025年配网终端核心板关键元器件采购项目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28"/>
          <w:szCs w:val="28"/>
        </w:rPr>
        <w:t>本文件的最终解释权归南方电网数字电网科技（广东）有限公司。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可以就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认为的遗漏项目提请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注意，并详细说明理由。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将就此进行澄清。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应保证所提供的所有资料真实、完整、准确无误，否则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将有权取消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的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资格，</w:t>
      </w:r>
      <w:r>
        <w:rPr>
          <w:rFonts w:hint="eastAsia" w:ascii="仿宋_GB2312" w:hAnsi="仿宋_GB2312" w:eastAsia="仿宋_GB2312" w:cs="仿宋_GB2312"/>
          <w:sz w:val="28"/>
          <w:szCs w:val="28"/>
        </w:rPr>
        <w:t>由此产生的一切后果由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承担。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在任何时候保留和拥有对本技术规范书的解释权。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未经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同意，不得以任何形式向第三方公开本技术规范书。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本技术规范书解释权属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采购方</w:t>
      </w:r>
      <w:r>
        <w:rPr>
          <w:rFonts w:hint="eastAsia" w:ascii="仿宋_GB2312" w:hAnsi="仿宋_GB2312" w:eastAsia="仿宋_GB2312" w:cs="仿宋_GB2312"/>
          <w:sz w:val="28"/>
          <w:szCs w:val="28"/>
        </w:rPr>
        <w:t>所有。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4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425" w:firstLine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充分理解本项目的项目背景、项目目标等，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提供符合本技术规范书要求的模组材料，并完成出厂制造、装配、试验、运输、包装、保管。</w:t>
      </w:r>
    </w:p>
    <w:p>
      <w:pPr>
        <w:pStyle w:val="6"/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90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5" w:leftChars="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</w:rPr>
      </w:pPr>
      <w:bookmarkStart w:id="46" w:name="_Toc22077"/>
      <w:bookmarkStart w:id="47" w:name="_Toc30309"/>
      <w:bookmarkStart w:id="48" w:name="_Toc956"/>
      <w:bookmarkStart w:id="49" w:name="_Toc296516186"/>
      <w:bookmarkStart w:id="50" w:name="_Toc10272"/>
      <w:bookmarkStart w:id="51" w:name="_Toc3933"/>
      <w:bookmarkStart w:id="52" w:name="_Toc105396785"/>
      <w:bookmarkStart w:id="53" w:name="_Toc17569"/>
      <w:bookmarkStart w:id="54" w:name="_Toc113682936"/>
      <w:bookmarkStart w:id="55" w:name="_Toc32685"/>
      <w:bookmarkStart w:id="56" w:name="_Toc288466921"/>
      <w:bookmarkStart w:id="57" w:name="_Toc285723380"/>
      <w:bookmarkStart w:id="58" w:name="_Toc286929894"/>
      <w:bookmarkStart w:id="59" w:name="_Toc31046"/>
      <w:bookmarkStart w:id="60" w:name="_Toc12937"/>
      <w:bookmarkStart w:id="61" w:name="_Toc270544311"/>
      <w:r>
        <w:rPr>
          <w:rFonts w:hint="eastAsia" w:ascii="仿宋_GB2312" w:hAnsi="仿宋_GB2312" w:eastAsia="仿宋_GB2312" w:cs="仿宋_GB231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</w:rPr>
        <w:t>范围</w:t>
      </w:r>
      <w:bookmarkEnd w:id="46"/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62" w:name="TXT_964B32BB4C6549149317C7DF75C889F5_1"/>
      <w:r>
        <w:rPr>
          <w:rFonts w:hint="eastAsia" w:ascii="仿宋_GB2312" w:hAnsi="仿宋_GB2312" w:eastAsia="仿宋_GB2312" w:cs="仿宋_GB2312"/>
          <w:sz w:val="28"/>
          <w:szCs w:val="28"/>
        </w:rPr>
        <w:t>本规范规定了南方电网数字电网科技（广东）有限公司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配网终端核心板关键元器件</w:t>
      </w:r>
      <w:r>
        <w:rPr>
          <w:rFonts w:hint="eastAsia" w:ascii="仿宋_GB2312" w:hAnsi="仿宋_GB2312" w:eastAsia="仿宋_GB2312" w:cs="仿宋_GB2312"/>
          <w:sz w:val="28"/>
          <w:szCs w:val="28"/>
        </w:rPr>
        <w:t>功能、安全等技术要求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default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为满足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项目基于配网终端核心板产品结构设计与硬件研发的对比测试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需求，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拟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采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一批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配用核心板。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同时响应方需要提供响应的材料的系统调试技术支持服务。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</w:t>
      </w:r>
      <w:r>
        <w:rPr>
          <w:rFonts w:hint="eastAsia" w:ascii="仿宋_GB2312" w:hAnsi="仿宋_GB2312" w:eastAsia="仿宋_GB2312" w:cs="仿宋_GB2312"/>
          <w:sz w:val="28"/>
          <w:szCs w:val="28"/>
        </w:rPr>
        <w:t>应按本规范书的要求提供全新的、合格的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配用核心板</w:t>
      </w:r>
      <w:r>
        <w:rPr>
          <w:rFonts w:hint="eastAsia" w:ascii="仿宋_GB2312" w:hAnsi="仿宋_GB2312" w:eastAsia="仿宋_GB2312" w:cs="仿宋_GB2312"/>
          <w:sz w:val="28"/>
          <w:szCs w:val="28"/>
        </w:rPr>
        <w:t>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方所提供的组件或附件如需向第三方外购时，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方应对质量向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方负责，并提供相应出厂和验收证明。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范围</w:t>
      </w:r>
      <w:bookmarkStart w:id="63" w:name="_Toc282433715"/>
      <w:bookmarkStart w:id="64" w:name="_Toc283142589"/>
      <w:bookmarkStart w:id="65" w:name="_Toc283011667"/>
      <w:r>
        <w:rPr>
          <w:rFonts w:hint="eastAsia" w:ascii="仿宋_GB2312" w:hAnsi="仿宋_GB2312" w:eastAsia="仿宋_GB2312" w:cs="仿宋_GB2312"/>
          <w:sz w:val="28"/>
          <w:szCs w:val="28"/>
        </w:rPr>
        <w:t>一览表</w:t>
      </w:r>
      <w:bookmarkEnd w:id="63"/>
      <w:bookmarkEnd w:id="64"/>
      <w:bookmarkEnd w:id="65"/>
    </w:p>
    <w:p>
      <w:pPr>
        <w:pStyle w:val="29"/>
        <w:ind w:left="0" w:leftChars="0" w:firstLine="0" w:firstLineChars="0"/>
        <w:jc w:val="center"/>
        <w:rPr>
          <w:rFonts w:hint="eastAsia" w:ascii="仿宋_GB2312" w:hAnsi="仿宋_GB2312" w:eastAsia="仿宋_GB2312" w:cs="仿宋_GB2312"/>
          <w:sz w:val="24"/>
          <w:szCs w:val="24"/>
          <w:lang w:val="en-US" w:eastAsia="zh-Hans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Hans"/>
        </w:rPr>
        <w:t>采购范围一览表</w:t>
      </w:r>
    </w:p>
    <w:tbl>
      <w:tblPr>
        <w:tblStyle w:val="20"/>
        <w:tblW w:w="4999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08"/>
        <w:gridCol w:w="5492"/>
        <w:gridCol w:w="1528"/>
        <w:gridCol w:w="15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  <w:jc w:val="center"/>
        </w:trPr>
        <w:tc>
          <w:tcPr>
            <w:tcW w:w="70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序号</w:t>
            </w:r>
          </w:p>
        </w:tc>
        <w:tc>
          <w:tcPr>
            <w:tcW w:w="275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材料名称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Hans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单位</w:t>
            </w:r>
          </w:p>
        </w:tc>
        <w:tc>
          <w:tcPr>
            <w:tcW w:w="767" w:type="pct"/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70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275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配网终端核心板关键元器件</w:t>
            </w:r>
          </w:p>
        </w:tc>
        <w:tc>
          <w:tcPr>
            <w:tcW w:w="76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片</w:t>
            </w:r>
          </w:p>
        </w:tc>
        <w:tc>
          <w:tcPr>
            <w:tcW w:w="767" w:type="pct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</w:p>
        </w:tc>
      </w:tr>
      <w:bookmarkEnd w:id="62"/>
    </w:tbl>
    <w:p>
      <w:pPr>
        <w:bidi w:val="0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p>
      <w:pPr>
        <w:bidi w:val="0"/>
        <w:rPr>
          <w:rFonts w:hint="default" w:ascii="仿宋_GB2312" w:hAnsi="仿宋_GB2312" w:eastAsia="仿宋_GB2312" w:cs="仿宋_GB2312"/>
          <w:kern w:val="2"/>
          <w:sz w:val="28"/>
          <w:szCs w:val="28"/>
          <w:lang w:val="en-US" w:eastAsia="zh-CN" w:bidi="ar-SA"/>
        </w:rPr>
      </w:pP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</w:rPr>
      </w:pPr>
      <w:bookmarkStart w:id="66" w:name="_Toc2396"/>
      <w:r>
        <w:rPr>
          <w:rFonts w:hint="eastAsia" w:ascii="仿宋_GB2312" w:hAnsi="仿宋_GB2312" w:eastAsia="仿宋_GB2312" w:cs="仿宋_GB2312"/>
          <w:lang w:val="en-US" w:eastAsia="zh-CN"/>
        </w:rPr>
        <w:t>项目</w:t>
      </w:r>
      <w:r>
        <w:rPr>
          <w:rFonts w:hint="eastAsia" w:ascii="仿宋_GB2312" w:hAnsi="仿宋_GB2312" w:eastAsia="仿宋_GB2312" w:cs="仿宋_GB2312"/>
        </w:rPr>
        <w:t>保证</w:t>
      </w:r>
      <w:bookmarkEnd w:id="66"/>
      <w:r>
        <w:rPr>
          <w:rFonts w:hint="eastAsia" w:ascii="仿宋_GB2312" w:hAnsi="仿宋_GB2312" w:eastAsia="仿宋_GB2312" w:cs="仿宋_GB2312"/>
        </w:rPr>
        <w:t xml:space="preserve"> </w:t>
      </w:r>
    </w:p>
    <w:p>
      <w:pPr>
        <w:pStyle w:val="29"/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（1）组织保证 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方必须向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方保证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项目实施</w:t>
      </w:r>
      <w:r>
        <w:rPr>
          <w:rFonts w:hint="eastAsia" w:ascii="仿宋_GB2312" w:hAnsi="仿宋_GB2312" w:eastAsia="仿宋_GB2312" w:cs="仿宋_GB2312"/>
          <w:sz w:val="28"/>
          <w:szCs w:val="28"/>
        </w:rPr>
        <w:t>人员组织的稳定性，在本项目结束前，参加本项目的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商务、材料交付、技术支持</w:t>
      </w:r>
      <w:r>
        <w:rPr>
          <w:rFonts w:hint="eastAsia" w:ascii="仿宋_GB2312" w:hAnsi="仿宋_GB2312" w:eastAsia="仿宋_GB2312" w:cs="仿宋_GB2312"/>
          <w:sz w:val="28"/>
          <w:szCs w:val="28"/>
        </w:rPr>
        <w:t>人员变动必须取得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方同意。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28"/>
          <w:szCs w:val="28"/>
        </w:rPr>
        <w:t>方有权要求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sz w:val="28"/>
          <w:szCs w:val="28"/>
        </w:rPr>
        <w:t>方更换项目组中工作能力不足的工程师。</w:t>
      </w:r>
    </w:p>
    <w:p>
      <w:pPr>
        <w:pStyle w:val="29"/>
        <w:ind w:firstLine="562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（2）质量保证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>
      <w:pPr>
        <w:pStyle w:val="29"/>
        <w:ind w:firstLine="560"/>
        <w:rPr>
          <w:rFonts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响应方必须保证所交付配用核心板质量合格，外观无明显缺陷，零部件无异常、连接可靠，所有接口、功能正常可用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。 </w:t>
      </w:r>
    </w:p>
    <w:p>
      <w:pPr>
        <w:pStyle w:val="29"/>
        <w:ind w:firstLine="562"/>
        <w:rPr>
          <w:rFonts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（3）进度保证 </w:t>
      </w:r>
    </w:p>
    <w:p>
      <w:pPr>
        <w:pStyle w:val="29"/>
        <w:ind w:firstLine="560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 xml:space="preserve">本项目要求所采购材料最终交付日期不晚于12月30日。 </w:t>
      </w:r>
    </w:p>
    <w:bookmarkEnd w:id="34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p>
      <w:pPr>
        <w:pStyle w:val="2"/>
        <w:numPr>
          <w:ilvl w:val="0"/>
          <w:numId w:val="3"/>
        </w:numPr>
        <w:tabs>
          <w:tab w:val="clear" w:pos="425"/>
        </w:tabs>
        <w:ind w:left="425" w:leftChars="0" w:hanging="425" w:firstLineChars="0"/>
        <w:rPr>
          <w:rFonts w:hint="eastAsia" w:ascii="仿宋_GB2312" w:hAnsi="仿宋_GB2312" w:eastAsia="仿宋_GB2312" w:cs="仿宋_GB2312"/>
        </w:rPr>
      </w:pPr>
      <w:bookmarkStart w:id="67" w:name="_Toc3512"/>
      <w:bookmarkStart w:id="68" w:name="_Toc12739"/>
      <w:bookmarkStart w:id="69" w:name="_Toc25169"/>
      <w:bookmarkStart w:id="70" w:name="_Toc23511"/>
      <w:bookmarkStart w:id="71" w:name="_Toc5747"/>
      <w:bookmarkStart w:id="72" w:name="_Toc13986"/>
      <w:bookmarkStart w:id="73" w:name="_Toc31220"/>
      <w:bookmarkStart w:id="74" w:name="_Toc16638"/>
      <w:bookmarkStart w:id="75" w:name="_Toc5807"/>
      <w:r>
        <w:rPr>
          <w:rFonts w:hint="eastAsia" w:ascii="仿宋_GB2312" w:hAnsi="仿宋_GB2312" w:eastAsia="仿宋_GB2312" w:cs="仿宋_GB2312"/>
        </w:rPr>
        <w:t>项目内容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</w:rPr>
      </w:pPr>
      <w:bookmarkStart w:id="76" w:name="_Toc10714"/>
      <w:bookmarkStart w:id="77" w:name="_Toc17189"/>
      <w:bookmarkStart w:id="78" w:name="_Toc26124"/>
      <w:bookmarkStart w:id="79" w:name="_Toc32273"/>
      <w:bookmarkStart w:id="80" w:name="_Toc12257"/>
      <w:bookmarkStart w:id="81" w:name="_Toc26011"/>
      <w:bookmarkStart w:id="82" w:name="_Toc735"/>
      <w:bookmarkStart w:id="83" w:name="_Toc17685"/>
      <w:bookmarkStart w:id="84" w:name="_Toc29634"/>
      <w:r>
        <w:rPr>
          <w:rFonts w:hint="eastAsia" w:ascii="仿宋_GB2312" w:hAnsi="仿宋_GB2312" w:eastAsia="仿宋_GB2312" w:cs="仿宋_GB2312"/>
        </w:rPr>
        <w:t>项目背景</w:t>
      </w:r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85" w:name="_Toc561"/>
      <w:bookmarkStart w:id="86" w:name="_Toc7017"/>
      <w:bookmarkStart w:id="87" w:name="_Toc14303"/>
      <w:bookmarkStart w:id="88" w:name="_Toc31437"/>
      <w:bookmarkStart w:id="89" w:name="_Toc26770"/>
      <w:bookmarkStart w:id="90" w:name="_Toc30858"/>
      <w:bookmarkStart w:id="91" w:name="_Toc17046"/>
      <w:bookmarkStart w:id="92" w:name="_Toc24477"/>
      <w:bookmarkStart w:id="93" w:name="_Toc3531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为满足项目研制以及系统调试测试需求，拟采购一批配网终端核心板关键元器件，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</w:rPr>
        <w:t>用于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电能质量分析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</w:rPr>
      </w:pPr>
      <w:bookmarkStart w:id="94" w:name="_Toc6001"/>
      <w:r>
        <w:rPr>
          <w:rFonts w:hint="eastAsia" w:ascii="仿宋_GB2312" w:hAnsi="仿宋_GB2312" w:eastAsia="仿宋_GB2312" w:cs="仿宋_GB2312"/>
          <w:lang w:val="en-US" w:eastAsia="zh-CN"/>
        </w:rPr>
        <w:t>技术要求</w:t>
      </w:r>
      <w:bookmarkEnd w:id="94"/>
    </w:p>
    <w:p>
      <w:pPr>
        <w:pStyle w:val="4"/>
        <w:numPr>
          <w:ilvl w:val="2"/>
          <w:numId w:val="0"/>
        </w:numPr>
        <w:tabs>
          <w:tab w:val="clear" w:pos="709"/>
        </w:tabs>
        <w:bidi w:val="0"/>
        <w:ind w:leftChars="0" w:firstLine="281" w:firstLineChars="1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配网终端核心板关键元器件性能指标</w:t>
      </w:r>
    </w:p>
    <w:tbl>
      <w:tblPr>
        <w:tblStyle w:val="85"/>
        <w:tblW w:w="9378" w:type="dxa"/>
        <w:tblInd w:w="18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47"/>
        <w:gridCol w:w="1288"/>
        <w:gridCol w:w="4151"/>
        <w:gridCol w:w="2092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 w:hRule="atLeast"/>
        </w:trPr>
        <w:tc>
          <w:tcPr>
            <w:tcW w:w="1847" w:type="dxa"/>
            <w:vAlign w:val="top"/>
          </w:tcPr>
          <w:p>
            <w:pPr>
              <w:spacing w:before="177" w:line="220" w:lineRule="auto"/>
              <w:ind w:left="44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模块型号</w:t>
            </w:r>
          </w:p>
        </w:tc>
        <w:tc>
          <w:tcPr>
            <w:tcW w:w="1288" w:type="dxa"/>
            <w:vAlign w:val="top"/>
          </w:tcPr>
          <w:p>
            <w:pPr>
              <w:spacing w:before="177" w:line="220" w:lineRule="auto"/>
              <w:ind w:left="16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4"/>
                <w:sz w:val="24"/>
                <w:szCs w:val="24"/>
              </w:rPr>
              <w:t>硬件形式</w:t>
            </w:r>
          </w:p>
        </w:tc>
        <w:tc>
          <w:tcPr>
            <w:tcW w:w="4151" w:type="dxa"/>
            <w:vAlign w:val="top"/>
          </w:tcPr>
          <w:p>
            <w:pPr>
              <w:spacing w:before="177" w:line="222" w:lineRule="auto"/>
              <w:ind w:left="184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描述</w:t>
            </w:r>
          </w:p>
        </w:tc>
        <w:tc>
          <w:tcPr>
            <w:tcW w:w="2092" w:type="dxa"/>
            <w:vAlign w:val="top"/>
          </w:tcPr>
          <w:p>
            <w:pPr>
              <w:spacing w:before="177" w:line="221" w:lineRule="auto"/>
              <w:ind w:left="81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b/>
                <w:bCs/>
                <w:spacing w:val="-5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35" w:hRule="atLeast"/>
        </w:trPr>
        <w:tc>
          <w:tcPr>
            <w:tcW w:w="1847" w:type="dxa"/>
            <w:vAlign w:val="top"/>
          </w:tcPr>
          <w:p>
            <w:pPr>
              <w:pStyle w:val="86"/>
              <w:spacing w:line="332" w:lineRule="auto"/>
            </w:pPr>
          </w:p>
          <w:p>
            <w:pPr>
              <w:pStyle w:val="86"/>
              <w:spacing w:line="332" w:lineRule="auto"/>
            </w:pPr>
          </w:p>
          <w:p>
            <w:pPr>
              <w:spacing w:before="69" w:line="188" w:lineRule="auto"/>
              <w:ind w:left="109"/>
              <w:rPr>
                <w:rFonts w:hint="eastAsia" w:ascii="Times New Roman" w:hAnsi="Times New Roman" w:eastAsia="宋体" w:cs="Times New Roman"/>
                <w:sz w:val="24"/>
                <w:szCs w:val="24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pacing w:val="-1"/>
                <w:sz w:val="24"/>
                <w:szCs w:val="24"/>
                <w:lang w:eastAsia="zh-CN"/>
              </w:rPr>
              <w:t>SWKJ-HXB08</w:t>
            </w:r>
          </w:p>
        </w:tc>
        <w:tc>
          <w:tcPr>
            <w:tcW w:w="1288" w:type="dxa"/>
            <w:vAlign w:val="top"/>
          </w:tcPr>
          <w:p>
            <w:pPr>
              <w:pStyle w:val="86"/>
              <w:spacing w:line="306" w:lineRule="auto"/>
            </w:pPr>
          </w:p>
          <w:p>
            <w:pPr>
              <w:pStyle w:val="86"/>
              <w:spacing w:line="307" w:lineRule="auto"/>
            </w:pPr>
          </w:p>
          <w:p>
            <w:pPr>
              <w:spacing w:before="78" w:line="220" w:lineRule="auto"/>
              <w:ind w:left="11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模块</w:t>
            </w:r>
          </w:p>
        </w:tc>
        <w:tc>
          <w:tcPr>
            <w:tcW w:w="4151" w:type="dxa"/>
            <w:vAlign w:val="top"/>
          </w:tcPr>
          <w:p>
            <w:pPr>
              <w:spacing w:before="44" w:line="243" w:lineRule="auto"/>
              <w:ind w:left="110" w:right="39"/>
              <w:jc w:val="both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 xml:space="preserve">2*Ethernet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-6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 xml:space="preserve">10*UART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-6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1*U</w:t>
            </w:r>
            <w:r>
              <w:rPr>
                <w:rFonts w:ascii="Times New Roman" w:hAnsi="Times New Roman" w:eastAsia="Times New Roman" w:cs="Times New Roman"/>
                <w:spacing w:val="-5"/>
                <w:sz w:val="24"/>
                <w:szCs w:val="24"/>
              </w:rPr>
              <w:t xml:space="preserve">SB3.0 </w:t>
            </w: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1*USB2.0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-6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3*SPI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3*IIC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4*CANFD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2*SDIO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2*ADC*12bit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1*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MIPI-DSI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1*MIPI-CSI</w:t>
            </w:r>
            <w:r>
              <w:rPr>
                <w:rFonts w:ascii="Times New Roman" w:hAnsi="Times New Roman" w:eastAsia="Times New Roman" w:cs="Times New Roman"/>
                <w:spacing w:val="31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-6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2*LVDS</w:t>
            </w:r>
            <w:r>
              <w:rPr>
                <w:rFonts w:ascii="Times New Roman" w:hAnsi="Times New Roman" w:eastAsia="Times New Roman" w:cs="Times New Roman"/>
                <w:spacing w:val="23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-6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2*IIS-SC</w:t>
            </w:r>
            <w:r>
              <w:rPr>
                <w:rFonts w:ascii="Times New Roman" w:hAnsi="Times New Roman" w:eastAsia="Times New Roman" w:cs="Times New Roman"/>
                <w:spacing w:val="24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3*IIC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DC</w:t>
            </w:r>
            <w:r>
              <w:rPr>
                <w:rFonts w:ascii="Times New Roman" w:hAnsi="Times New Roman" w:eastAsia="Times New Roman" w:cs="Times New Roman"/>
                <w:spacing w:val="54"/>
                <w:w w:val="10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电源输入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(5V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 xml:space="preserve">± 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5%)</w:t>
            </w:r>
          </w:p>
        </w:tc>
        <w:tc>
          <w:tcPr>
            <w:tcW w:w="2092" w:type="dxa"/>
            <w:vAlign w:val="top"/>
          </w:tcPr>
          <w:p>
            <w:pPr>
              <w:pStyle w:val="86"/>
              <w:spacing w:line="454" w:lineRule="auto"/>
            </w:pPr>
          </w:p>
          <w:p>
            <w:pPr>
              <w:spacing w:before="78" w:line="236" w:lineRule="auto"/>
              <w:ind w:left="117" w:right="124" w:hanging="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0"/>
                <w:sz w:val="24"/>
                <w:szCs w:val="24"/>
              </w:rPr>
              <w:t>PCBA</w:t>
            </w: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，软件已加</w:t>
            </w:r>
            <w:r>
              <w:rPr>
                <w:rFonts w:ascii="宋体" w:hAnsi="宋体" w:eastAsia="宋体" w:cs="宋体"/>
                <w:sz w:val="24"/>
                <w:szCs w:val="24"/>
              </w:rPr>
              <w:t>载</w:t>
            </w:r>
          </w:p>
        </w:tc>
      </w:tr>
    </w:tbl>
    <w:p>
      <w:pPr>
        <w:pStyle w:val="3"/>
        <w:numPr>
          <w:ilvl w:val="1"/>
          <w:numId w:val="0"/>
        </w:numPr>
        <w:tabs>
          <w:tab w:val="clear" w:pos="567"/>
        </w:tabs>
        <w:ind w:leftChars="0"/>
        <w:rPr>
          <w:rFonts w:hint="eastAsia" w:cs="仿宋_GB2312"/>
          <w:lang w:val="en-US" w:eastAsia="zh-CN"/>
        </w:rPr>
      </w:pPr>
    </w:p>
    <w:p>
      <w:pPr>
        <w:pStyle w:val="3"/>
        <w:numPr>
          <w:ilvl w:val="1"/>
          <w:numId w:val="0"/>
        </w:numPr>
        <w:tabs>
          <w:tab w:val="clear" w:pos="567"/>
        </w:tabs>
        <w:ind w:leftChars="0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cs="仿宋_GB2312"/>
          <w:lang w:val="en-US" w:eastAsia="zh-CN"/>
        </w:rPr>
        <w:t xml:space="preserve">2.3 </w:t>
      </w:r>
      <w:r>
        <w:rPr>
          <w:rFonts w:hint="eastAsia" w:ascii="仿宋_GB2312" w:hAnsi="仿宋_GB2312" w:eastAsia="仿宋_GB2312" w:cs="仿宋_GB2312"/>
          <w:lang w:val="en-US" w:eastAsia="zh-CN"/>
        </w:rPr>
        <w:t>系统规格</w:t>
      </w:r>
    </w:p>
    <w:p>
      <w:pPr>
        <w:spacing w:line="166" w:lineRule="exact"/>
      </w:pPr>
    </w:p>
    <w:p>
      <w:pPr>
        <w:spacing w:before="174" w:line="220" w:lineRule="auto"/>
        <w:ind w:left="6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详细硬件规格如下：</w:t>
      </w:r>
    </w:p>
    <w:p>
      <w:pPr>
        <w:pStyle w:val="9"/>
        <w:spacing w:line="312" w:lineRule="auto"/>
      </w:pPr>
    </w:p>
    <w:p>
      <w:pPr>
        <w:pStyle w:val="9"/>
        <w:spacing w:before="68" w:line="220" w:lineRule="auto"/>
        <w:ind w:firstLine="2926" w:firstLineChars="1100"/>
        <w:rPr>
          <w:rFonts w:ascii="黑体" w:hAnsi="黑体" w:eastAsia="黑体" w:cs="黑体"/>
        </w:rPr>
      </w:pPr>
      <w:r>
        <w:rPr>
          <w:spacing w:val="13"/>
        </w:rPr>
        <w:t xml:space="preserve"> </w:t>
      </w:r>
      <w:r>
        <w:rPr>
          <w:rFonts w:ascii="黑体" w:hAnsi="黑体" w:eastAsia="黑体" w:cs="黑体"/>
          <w:spacing w:val="-1"/>
        </w:rPr>
        <w:t>核心模块的整体硬件规格列表</w:t>
      </w:r>
    </w:p>
    <w:p>
      <w:pPr>
        <w:spacing w:line="18" w:lineRule="exact"/>
      </w:pPr>
    </w:p>
    <w:tbl>
      <w:tblPr>
        <w:tblStyle w:val="85"/>
        <w:tblW w:w="7609" w:type="dxa"/>
        <w:tblInd w:w="106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3"/>
        <w:gridCol w:w="561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6" w:hRule="atLeast"/>
        </w:trPr>
        <w:tc>
          <w:tcPr>
            <w:tcW w:w="1993" w:type="dxa"/>
            <w:vAlign w:val="top"/>
          </w:tcPr>
          <w:p>
            <w:pPr>
              <w:pStyle w:val="86"/>
              <w:spacing w:line="278" w:lineRule="auto"/>
            </w:pPr>
          </w:p>
          <w:p>
            <w:pPr>
              <w:spacing w:before="69" w:line="188" w:lineRule="auto"/>
              <w:ind w:left="1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CPU</w:t>
            </w:r>
          </w:p>
        </w:tc>
        <w:tc>
          <w:tcPr>
            <w:tcW w:w="5616" w:type="dxa"/>
            <w:vAlign w:val="top"/>
          </w:tcPr>
          <w:p>
            <w:pPr>
              <w:spacing w:before="97" w:line="288" w:lineRule="auto"/>
              <w:ind w:left="106" w:right="3259"/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Arm Cortex-A55</w:t>
            </w:r>
            <w:r>
              <w:rPr>
                <w:rFonts w:ascii="Times New Roman" w:hAnsi="Times New Roman" w:eastAsia="Times New Roman" w:cs="Times New Roman"/>
                <w:spacing w:val="2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四核</w:t>
            </w:r>
            <w:r>
              <w:rPr>
                <w:rFonts w:ascii="宋体" w:hAnsi="宋体" w:eastAsia="宋体" w:cs="宋体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Arm Cortex-R5F</w:t>
            </w:r>
            <w:r>
              <w:rPr>
                <w:rFonts w:ascii="Times New Roman" w:hAnsi="Times New Roman" w:eastAsia="Times New Roman" w:cs="Times New Roman"/>
                <w:spacing w:val="6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双核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30" w:hRule="atLeast"/>
        </w:trPr>
        <w:tc>
          <w:tcPr>
            <w:tcW w:w="1993" w:type="dxa"/>
            <w:vAlign w:val="top"/>
          </w:tcPr>
          <w:p>
            <w:pPr>
              <w:spacing w:before="133" w:line="188" w:lineRule="auto"/>
              <w:ind w:left="116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GPU</w:t>
            </w:r>
          </w:p>
        </w:tc>
        <w:tc>
          <w:tcPr>
            <w:tcW w:w="5616" w:type="dxa"/>
            <w:vAlign w:val="top"/>
          </w:tcPr>
          <w:p>
            <w:pPr>
              <w:spacing w:before="133" w:line="188" w:lineRule="auto"/>
              <w:ind w:left="11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IMG PowerVR 9XM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993" w:type="dxa"/>
            <w:vAlign w:val="top"/>
          </w:tcPr>
          <w:p>
            <w:pPr>
              <w:spacing w:before="132" w:line="189" w:lineRule="auto"/>
              <w:ind w:left="11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RAM</w:t>
            </w:r>
          </w:p>
        </w:tc>
        <w:tc>
          <w:tcPr>
            <w:tcW w:w="5616" w:type="dxa"/>
            <w:vAlign w:val="top"/>
          </w:tcPr>
          <w:p>
            <w:pPr>
              <w:spacing w:before="93" w:line="232" w:lineRule="auto"/>
              <w:ind w:left="1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1GB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LPDDR4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993" w:type="dxa"/>
            <w:vAlign w:val="top"/>
          </w:tcPr>
          <w:p>
            <w:pPr>
              <w:spacing w:before="133" w:line="188" w:lineRule="auto"/>
              <w:ind w:left="112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EMMC</w:t>
            </w:r>
          </w:p>
        </w:tc>
        <w:tc>
          <w:tcPr>
            <w:tcW w:w="5616" w:type="dxa"/>
            <w:vAlign w:val="top"/>
          </w:tcPr>
          <w:p>
            <w:pPr>
              <w:spacing w:before="133" w:line="188" w:lineRule="auto"/>
              <w:ind w:left="119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8GB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1993" w:type="dxa"/>
            <w:vAlign w:val="top"/>
          </w:tcPr>
          <w:p>
            <w:pPr>
              <w:pStyle w:val="86"/>
              <w:spacing w:line="270" w:lineRule="auto"/>
            </w:pPr>
          </w:p>
          <w:p>
            <w:pPr>
              <w:spacing w:before="69" w:line="192" w:lineRule="auto"/>
              <w:ind w:left="111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DyingGasp</w:t>
            </w:r>
          </w:p>
        </w:tc>
        <w:tc>
          <w:tcPr>
            <w:tcW w:w="5616" w:type="dxa"/>
            <w:vAlign w:val="top"/>
          </w:tcPr>
          <w:p>
            <w:pPr>
              <w:spacing w:before="94" w:line="287" w:lineRule="auto"/>
              <w:ind w:left="115" w:right="22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支持掉电检测。备电及掉电检测由各厂家信号主控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9"/>
                <w:sz w:val="24"/>
                <w:szCs w:val="24"/>
              </w:rPr>
              <w:t>板提供。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1993" w:type="dxa"/>
            <w:vAlign w:val="top"/>
          </w:tcPr>
          <w:p>
            <w:pPr>
              <w:spacing w:before="95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插紧检测</w:t>
            </w:r>
          </w:p>
          <w:p>
            <w:pPr>
              <w:spacing w:before="139" w:line="221" w:lineRule="auto"/>
              <w:ind w:left="1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5"/>
                <w:sz w:val="24"/>
                <w:szCs w:val="24"/>
              </w:rPr>
              <w:t>（物理安全）</w:t>
            </w:r>
          </w:p>
        </w:tc>
        <w:tc>
          <w:tcPr>
            <w:tcW w:w="5616" w:type="dxa"/>
            <w:vAlign w:val="top"/>
          </w:tcPr>
          <w:p>
            <w:pPr>
              <w:spacing w:before="94" w:line="287" w:lineRule="auto"/>
              <w:ind w:left="114" w:righ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支持两个核心板插紧检测（ 上下两个双边缘连接</w:t>
            </w:r>
            <w:r>
              <w:rPr>
                <w:rFonts w:ascii="宋体" w:hAnsi="宋体" w:eastAsia="宋体" w:cs="宋体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0"/>
                <w:sz w:val="24"/>
                <w:szCs w:val="24"/>
              </w:rPr>
              <w:t>器）。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993" w:type="dxa"/>
            <w:vAlign w:val="top"/>
          </w:tcPr>
          <w:p>
            <w:pPr>
              <w:spacing w:before="95" w:line="220" w:lineRule="auto"/>
              <w:ind w:left="1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看门狗</w:t>
            </w:r>
          </w:p>
        </w:tc>
        <w:tc>
          <w:tcPr>
            <w:tcW w:w="5616" w:type="dxa"/>
            <w:vAlign w:val="top"/>
          </w:tcPr>
          <w:p>
            <w:pPr>
              <w:spacing w:before="96" w:line="219" w:lineRule="auto"/>
              <w:ind w:left="11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板载硬件看门狗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47" w:hRule="atLeast"/>
        </w:trPr>
        <w:tc>
          <w:tcPr>
            <w:tcW w:w="1993" w:type="dxa"/>
            <w:vAlign w:val="top"/>
          </w:tcPr>
          <w:p>
            <w:pPr>
              <w:pStyle w:val="86"/>
              <w:spacing w:line="273" w:lineRule="auto"/>
            </w:pPr>
          </w:p>
          <w:p>
            <w:pPr>
              <w:pStyle w:val="86"/>
              <w:spacing w:line="273" w:lineRule="auto"/>
            </w:pPr>
          </w:p>
          <w:p>
            <w:pPr>
              <w:pStyle w:val="86"/>
              <w:spacing w:line="273" w:lineRule="auto"/>
            </w:pPr>
          </w:p>
          <w:p>
            <w:pPr>
              <w:pStyle w:val="86"/>
              <w:spacing w:line="274" w:lineRule="auto"/>
            </w:pPr>
          </w:p>
          <w:p>
            <w:pPr>
              <w:pStyle w:val="86"/>
              <w:spacing w:line="274" w:lineRule="auto"/>
            </w:pPr>
          </w:p>
          <w:p>
            <w:pPr>
              <w:pStyle w:val="86"/>
              <w:spacing w:line="274" w:lineRule="auto"/>
            </w:pPr>
          </w:p>
          <w:p>
            <w:pPr>
              <w:pStyle w:val="86"/>
              <w:spacing w:line="274" w:lineRule="auto"/>
            </w:pPr>
          </w:p>
          <w:p>
            <w:pPr>
              <w:spacing w:before="78" w:line="220" w:lineRule="auto"/>
              <w:ind w:left="11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业务接口</w:t>
            </w:r>
          </w:p>
        </w:tc>
        <w:tc>
          <w:tcPr>
            <w:tcW w:w="5616" w:type="dxa"/>
            <w:vAlign w:val="top"/>
          </w:tcPr>
          <w:p>
            <w:pPr>
              <w:spacing w:before="96" w:line="236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2*Ethernet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；</w:t>
            </w:r>
          </w:p>
          <w:p>
            <w:pPr>
              <w:spacing w:before="118" w:line="222" w:lineRule="auto"/>
              <w:ind w:left="1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>10*UART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；</w:t>
            </w:r>
          </w:p>
          <w:p>
            <w:pPr>
              <w:spacing w:before="133" w:line="222" w:lineRule="auto"/>
              <w:ind w:left="1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1*USB3.0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</w:p>
          <w:p>
            <w:pPr>
              <w:spacing w:before="136" w:line="222" w:lineRule="auto"/>
              <w:ind w:left="13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4"/>
                <w:szCs w:val="24"/>
              </w:rPr>
              <w:t>1*USB2.0</w:t>
            </w:r>
            <w:r>
              <w:rPr>
                <w:rFonts w:ascii="宋体" w:hAnsi="宋体" w:eastAsia="宋体" w:cs="宋体"/>
                <w:spacing w:val="-4"/>
                <w:sz w:val="24"/>
                <w:szCs w:val="24"/>
              </w:rPr>
              <w:t>；</w:t>
            </w:r>
          </w:p>
          <w:p>
            <w:pPr>
              <w:spacing w:before="133" w:line="315" w:lineRule="auto"/>
              <w:ind w:left="108" w:right="3934" w:firstLine="6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>3*SPI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>3*IIC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4*CANFD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；</w:t>
            </w:r>
          </w:p>
          <w:p>
            <w:pPr>
              <w:spacing w:before="31" w:line="222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2*SDIO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；</w:t>
            </w:r>
          </w:p>
          <w:p>
            <w:pPr>
              <w:spacing w:before="133" w:line="301" w:lineRule="auto"/>
              <w:ind w:left="133" w:right="3961" w:hanging="2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4"/>
                <w:szCs w:val="24"/>
              </w:rPr>
              <w:t>2*ADC*12bit</w:t>
            </w:r>
            <w:r>
              <w:rPr>
                <w:rFonts w:ascii="宋体" w:hAnsi="宋体" w:eastAsia="宋体" w:cs="宋体"/>
                <w:spacing w:val="-6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1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1*MIPI-DSI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；</w:t>
            </w:r>
            <w:r>
              <w:rPr>
                <w:rFonts w:ascii="宋体" w:hAnsi="宋体" w:eastAsia="宋体" w:cs="宋体"/>
                <w:spacing w:val="2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>1*MIPI-CSI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；</w:t>
            </w:r>
          </w:p>
        </w:tc>
      </w:tr>
    </w:tbl>
    <w:p>
      <w:pPr>
        <w:spacing w:line="24" w:lineRule="auto"/>
        <w:rPr>
          <w:rFonts w:ascii="Arial"/>
          <w:sz w:val="2"/>
        </w:rPr>
      </w:pPr>
    </w:p>
    <w:tbl>
      <w:tblPr>
        <w:tblStyle w:val="85"/>
        <w:tblW w:w="7609" w:type="dxa"/>
        <w:tblInd w:w="1068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93"/>
        <w:gridCol w:w="561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</w:trPr>
        <w:tc>
          <w:tcPr>
            <w:tcW w:w="1993" w:type="dxa"/>
            <w:tcBorders>
              <w:top w:val="nil"/>
            </w:tcBorders>
            <w:vAlign w:val="top"/>
          </w:tcPr>
          <w:p>
            <w:pPr>
              <w:pStyle w:val="86"/>
            </w:pPr>
          </w:p>
        </w:tc>
        <w:tc>
          <w:tcPr>
            <w:tcW w:w="5616" w:type="dxa"/>
            <w:tcBorders>
              <w:top w:val="nil"/>
            </w:tcBorders>
            <w:vAlign w:val="top"/>
          </w:tcPr>
          <w:p>
            <w:pPr>
              <w:spacing w:before="93" w:line="318" w:lineRule="auto"/>
              <w:ind w:left="110" w:right="4414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8"/>
                <w:sz w:val="24"/>
                <w:szCs w:val="24"/>
              </w:rPr>
              <w:t>2*LVDS</w:t>
            </w:r>
            <w:r>
              <w:rPr>
                <w:rFonts w:ascii="宋体" w:hAnsi="宋体" w:eastAsia="宋体" w:cs="宋体"/>
                <w:spacing w:val="-8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7"/>
                <w:sz w:val="24"/>
                <w:szCs w:val="24"/>
              </w:rPr>
              <w:t>2*IIS-SC</w:t>
            </w:r>
            <w:r>
              <w:rPr>
                <w:rFonts w:ascii="宋体" w:hAnsi="宋体" w:eastAsia="宋体" w:cs="宋体"/>
                <w:spacing w:val="-7"/>
                <w:sz w:val="24"/>
                <w:szCs w:val="24"/>
              </w:rPr>
              <w:t>；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3*IIC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；</w:t>
            </w:r>
          </w:p>
          <w:p>
            <w:pPr>
              <w:spacing w:before="68" w:line="183" w:lineRule="auto"/>
              <w:ind w:left="11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27*GPIO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76" w:hRule="atLeast"/>
        </w:trPr>
        <w:tc>
          <w:tcPr>
            <w:tcW w:w="1993" w:type="dxa"/>
            <w:vAlign w:val="top"/>
          </w:tcPr>
          <w:p>
            <w:pPr>
              <w:pStyle w:val="86"/>
              <w:spacing w:line="439" w:lineRule="auto"/>
            </w:pPr>
          </w:p>
          <w:p>
            <w:pPr>
              <w:spacing w:before="78" w:line="221" w:lineRule="auto"/>
              <w:ind w:left="119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调试接口</w:t>
            </w:r>
          </w:p>
        </w:tc>
        <w:tc>
          <w:tcPr>
            <w:tcW w:w="5616" w:type="dxa"/>
            <w:vAlign w:val="top"/>
          </w:tcPr>
          <w:p>
            <w:pPr>
              <w:spacing w:before="96" w:line="318" w:lineRule="auto"/>
              <w:ind w:left="150" w:right="450" w:hanging="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>1*UART,</w:t>
            </w:r>
            <w:r>
              <w:rPr>
                <w:rFonts w:ascii="宋体" w:hAnsi="宋体" w:eastAsia="宋体" w:cs="宋体"/>
                <w:sz w:val="24"/>
                <w:szCs w:val="24"/>
              </w:rPr>
              <w:t>在各厂家信号主控板上出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RS232 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调试串 </w:t>
            </w:r>
            <w:r>
              <w:rPr>
                <w:rFonts w:ascii="宋体" w:hAnsi="宋体" w:eastAsia="宋体" w:cs="宋体"/>
                <w:spacing w:val="-21"/>
                <w:sz w:val="24"/>
                <w:szCs w:val="24"/>
              </w:rPr>
              <w:t>口。</w:t>
            </w:r>
          </w:p>
          <w:p>
            <w:pPr>
              <w:spacing w:before="18" w:line="219" w:lineRule="auto"/>
              <w:ind w:left="113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在各厂家信号主控板上出复位按键。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98" w:hRule="atLeast"/>
        </w:trPr>
        <w:tc>
          <w:tcPr>
            <w:tcW w:w="1993" w:type="dxa"/>
            <w:vAlign w:val="top"/>
          </w:tcPr>
          <w:p>
            <w:pPr>
              <w:pStyle w:val="86"/>
              <w:spacing w:line="325" w:lineRule="auto"/>
            </w:pPr>
          </w:p>
          <w:p>
            <w:pPr>
              <w:pStyle w:val="86"/>
              <w:spacing w:line="325" w:lineRule="auto"/>
            </w:pPr>
          </w:p>
          <w:p>
            <w:pPr>
              <w:spacing w:before="78" w:line="220" w:lineRule="auto"/>
              <w:ind w:left="120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指示灯</w:t>
            </w:r>
          </w:p>
        </w:tc>
        <w:tc>
          <w:tcPr>
            <w:tcW w:w="5616" w:type="dxa"/>
            <w:vAlign w:val="top"/>
          </w:tcPr>
          <w:p>
            <w:pPr>
              <w:spacing w:before="96" w:line="313" w:lineRule="auto"/>
              <w:ind w:left="115" w:right="34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板内指示灯： 单板提供</w:t>
            </w:r>
            <w:r>
              <w:rPr>
                <w:rFonts w:ascii="宋体" w:hAnsi="宋体" w:eastAsia="宋体" w:cs="宋体"/>
                <w:spacing w:val="-4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 xml:space="preserve">2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个板内指示灯（不出面</w:t>
            </w:r>
            <w:r>
              <w:rPr>
                <w:rFonts w:ascii="宋体" w:hAnsi="宋体" w:eastAsia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板</w:t>
            </w:r>
            <w:r>
              <w:rPr>
                <w:rFonts w:ascii="宋体" w:hAnsi="宋体" w:eastAsia="宋体" w:cs="宋体"/>
                <w:spacing w:val="-12"/>
                <w:sz w:val="24"/>
                <w:szCs w:val="24"/>
              </w:rPr>
              <w:t>）</w:t>
            </w:r>
            <w:r>
              <w:rPr>
                <w:rFonts w:ascii="宋体" w:hAnsi="宋体" w:eastAsia="宋体" w:cs="宋体"/>
                <w:spacing w:val="29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12"/>
                <w:sz w:val="24"/>
                <w:szCs w:val="24"/>
              </w:rPr>
              <w:t>，</w:t>
            </w:r>
            <w:r>
              <w:rPr>
                <w:rFonts w:ascii="宋体" w:hAnsi="宋体" w:eastAsia="宋体" w:cs="宋体"/>
                <w:spacing w:val="13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一个电源指示灯和一个</w:t>
            </w:r>
            <w:r>
              <w:rPr>
                <w:rFonts w:ascii="宋体" w:hAnsi="宋体" w:eastAsia="宋体" w:cs="宋体"/>
                <w:spacing w:val="-55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3"/>
                <w:sz w:val="24"/>
                <w:szCs w:val="24"/>
              </w:rPr>
              <w:t xml:space="preserve">RUN </w:t>
            </w: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指示灯。</w:t>
            </w:r>
          </w:p>
          <w:p>
            <w:pPr>
              <w:spacing w:before="34" w:line="286" w:lineRule="auto"/>
              <w:ind w:left="115" w:right="278" w:hanging="2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业务指示灯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 xml:space="preserve">:  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核心板只将信号连接到双边缘连接器</w:t>
            </w:r>
            <w:r>
              <w:rPr>
                <w:rFonts w:ascii="宋体" w:hAnsi="宋体" w:eastAsia="宋体" w:cs="宋体"/>
                <w:spacing w:val="15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z w:val="24"/>
                <w:szCs w:val="24"/>
              </w:rPr>
              <w:t>上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9" w:hRule="atLeast"/>
        </w:trPr>
        <w:tc>
          <w:tcPr>
            <w:tcW w:w="1993" w:type="dxa"/>
            <w:vAlign w:val="top"/>
          </w:tcPr>
          <w:p>
            <w:pPr>
              <w:spacing w:before="99" w:line="220" w:lineRule="auto"/>
              <w:ind w:left="12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3"/>
                <w:sz w:val="24"/>
                <w:szCs w:val="24"/>
              </w:rPr>
              <w:t>功耗要求</w:t>
            </w:r>
          </w:p>
        </w:tc>
        <w:tc>
          <w:tcPr>
            <w:tcW w:w="5616" w:type="dxa"/>
            <w:vAlign w:val="top"/>
          </w:tcPr>
          <w:p>
            <w:pPr>
              <w:spacing w:before="99" w:line="219" w:lineRule="auto"/>
              <w:ind w:left="117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最大功耗＜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16W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；静态功耗＜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8W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（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TBD</w:t>
            </w: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4" w:hRule="atLeast"/>
        </w:trPr>
        <w:tc>
          <w:tcPr>
            <w:tcW w:w="1993" w:type="dxa"/>
            <w:vAlign w:val="top"/>
          </w:tcPr>
          <w:p>
            <w:pPr>
              <w:spacing w:before="311" w:line="219" w:lineRule="auto"/>
              <w:ind w:left="111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PCB</w:t>
            </w:r>
            <w:r>
              <w:rPr>
                <w:rFonts w:ascii="Times New Roman" w:hAnsi="Times New Roman" w:eastAsia="Times New Roman" w:cs="Times New Roman"/>
                <w:spacing w:val="11"/>
                <w:sz w:val="24"/>
                <w:szCs w:val="24"/>
              </w:rPr>
              <w:t xml:space="preserve"> 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尺寸</w:t>
            </w:r>
          </w:p>
        </w:tc>
        <w:tc>
          <w:tcPr>
            <w:tcW w:w="5616" w:type="dxa"/>
            <w:vAlign w:val="top"/>
          </w:tcPr>
          <w:p>
            <w:pPr>
              <w:spacing w:before="97" w:line="219" w:lineRule="auto"/>
              <w:ind w:left="113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</w:rPr>
              <w:t xml:space="preserve">尺寸： </w:t>
            </w:r>
            <w:r>
              <w:rPr>
                <w:rFonts w:ascii="Times New Roman" w:hAnsi="Times New Roman" w:eastAsia="Times New Roman" w:cs="Times New Roman"/>
                <w:spacing w:val="-1"/>
                <w:sz w:val="24"/>
                <w:szCs w:val="24"/>
              </w:rPr>
              <w:t>67mm*67mm</w:t>
            </w:r>
          </w:p>
          <w:p>
            <w:pPr>
              <w:spacing w:before="140" w:line="219" w:lineRule="auto"/>
              <w:ind w:left="115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 xml:space="preserve">板厚： </w:t>
            </w:r>
            <w:r>
              <w:rPr>
                <w:rFonts w:ascii="Times New Roman" w:hAnsi="Times New Roman" w:eastAsia="Times New Roman" w:cs="Times New Roman"/>
                <w:spacing w:val="-2"/>
                <w:sz w:val="24"/>
                <w:szCs w:val="24"/>
              </w:rPr>
              <w:t>9.85mm</w:t>
            </w:r>
            <w:r>
              <w:rPr>
                <w:rFonts w:ascii="宋体" w:hAnsi="宋体" w:eastAsia="宋体" w:cs="宋体"/>
                <w:spacing w:val="-2"/>
                <w:sz w:val="24"/>
                <w:szCs w:val="24"/>
              </w:rPr>
              <w:t>（含屏蔽罩）</w:t>
            </w:r>
          </w:p>
        </w:tc>
      </w:tr>
    </w:tbl>
    <w:p>
      <w:pPr>
        <w:rPr>
          <w:rFonts w:hint="eastAsia" w:eastAsia="仿宋_GB2312"/>
          <w:lang w:val="en-US" w:eastAsia="zh-CN"/>
        </w:rPr>
      </w:pPr>
    </w:p>
    <w:p>
      <w:pPr>
        <w:rPr>
          <w:rFonts w:hint="eastAsia" w:eastAsia="仿宋_GB2312"/>
          <w:lang w:val="en-US" w:eastAsia="zh-CN"/>
        </w:rPr>
      </w:pPr>
    </w:p>
    <w:p>
      <w:pPr>
        <w:rPr>
          <w:rFonts w:hint="eastAsia" w:eastAsia="仿宋_GB2312"/>
          <w:lang w:val="en-US" w:eastAsia="zh-CN"/>
        </w:rPr>
      </w:pPr>
    </w:p>
    <w:p>
      <w:pPr>
        <w:rPr>
          <w:rFonts w:hint="eastAsia" w:eastAsia="仿宋_GB2312"/>
          <w:lang w:val="en-US" w:eastAsia="zh-CN"/>
        </w:rPr>
      </w:pPr>
    </w:p>
    <w:p>
      <w:pPr>
        <w:rPr>
          <w:rFonts w:hint="eastAsia" w:eastAsia="仿宋_GB2312"/>
          <w:lang w:val="en-US" w:eastAsia="zh-CN"/>
        </w:rPr>
      </w:pPr>
    </w:p>
    <w:p>
      <w:pPr>
        <w:rPr>
          <w:rFonts w:hint="eastAsia" w:eastAsia="仿宋_GB2312"/>
          <w:lang w:val="en-US" w:eastAsia="zh-CN"/>
        </w:rPr>
      </w:pPr>
    </w:p>
    <w:p>
      <w:pPr>
        <w:rPr>
          <w:rFonts w:hint="eastAsia" w:eastAsia="仿宋_GB2312"/>
          <w:lang w:val="en-US" w:eastAsia="zh-CN"/>
        </w:rPr>
      </w:pPr>
    </w:p>
    <w:p>
      <w:pPr>
        <w:spacing w:before="170" w:line="224" w:lineRule="auto"/>
        <w:ind w:left="115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hint="eastAsia" w:ascii="Times New Roman" w:hAnsi="Times New Roman" w:eastAsia="宋体" w:cs="Times New Roman"/>
          <w:b/>
          <w:bCs/>
          <w:spacing w:val="30"/>
          <w:sz w:val="31"/>
          <w:szCs w:val="31"/>
          <w:lang w:val="en-US" w:eastAsia="zh-CN"/>
        </w:rPr>
        <w:t>2.4</w:t>
      </w:r>
      <w:r>
        <w:rPr>
          <w:rFonts w:hint="eastAsia" w:ascii="宋体" w:hAnsi="宋体" w:eastAsia="宋体" w:cs="宋体"/>
          <w:b/>
          <w:bCs/>
          <w:spacing w:val="4"/>
          <w:sz w:val="31"/>
          <w:szCs w:val="31"/>
        </w:rPr>
        <w:t>配网终端核心板</w:t>
      </w:r>
      <w:bookmarkStart w:id="150" w:name="_GoBack"/>
      <w:bookmarkEnd w:id="150"/>
      <w:r>
        <w:rPr>
          <w:rFonts w:ascii="宋体" w:hAnsi="宋体" w:eastAsia="宋体" w:cs="宋体"/>
          <w:b/>
          <w:bCs/>
          <w:spacing w:val="4"/>
          <w:sz w:val="31"/>
          <w:szCs w:val="31"/>
        </w:rPr>
        <w:t>对外接口说明</w:t>
      </w:r>
    </w:p>
    <w:p>
      <w:pPr>
        <w:spacing w:before="292" w:line="220" w:lineRule="auto"/>
        <w:ind w:left="114"/>
        <w:outlineLvl w:val="1"/>
        <w:rPr>
          <w:rFonts w:ascii="宋体" w:hAnsi="宋体" w:eastAsia="宋体" w:cs="宋体"/>
          <w:sz w:val="28"/>
          <w:szCs w:val="28"/>
        </w:rPr>
      </w:pPr>
      <w:bookmarkStart w:id="95" w:name="bookmark9"/>
      <w:bookmarkEnd w:id="95"/>
      <w:bookmarkStart w:id="96" w:name="_Toc1940"/>
      <w:r>
        <w:rPr>
          <w:rFonts w:hint="eastAsia" w:ascii="Times New Roman" w:hAnsi="Times New Roman" w:eastAsia="宋体" w:cs="Times New Roman"/>
          <w:b/>
          <w:bCs/>
          <w:spacing w:val="-1"/>
          <w:sz w:val="28"/>
          <w:szCs w:val="28"/>
          <w:lang w:val="en-US" w:eastAsia="zh-CN"/>
        </w:rPr>
        <w:t xml:space="preserve">2.4.1 </w:t>
      </w:r>
      <w:r>
        <w:rPr>
          <w:rFonts w:ascii="Times New Roman" w:hAnsi="Times New Roman" w:eastAsia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spacing w:val="-1"/>
          <w:sz w:val="28"/>
          <w:szCs w:val="28"/>
        </w:rPr>
        <w:t>业务接口连接器说明</w:t>
      </w:r>
      <w:bookmarkEnd w:id="96"/>
    </w:p>
    <w:p>
      <w:pPr>
        <w:spacing w:before="176" w:line="219" w:lineRule="auto"/>
        <w:ind w:firstLine="472" w:firstLineChars="200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-2"/>
          <w:sz w:val="24"/>
          <w:szCs w:val="24"/>
        </w:rPr>
        <w:t>配网终端核心板</w:t>
      </w:r>
      <w:r>
        <w:rPr>
          <w:rFonts w:ascii="宋体" w:hAnsi="宋体" w:eastAsia="宋体" w:cs="宋体"/>
          <w:spacing w:val="-2"/>
          <w:sz w:val="24"/>
          <w:szCs w:val="24"/>
        </w:rPr>
        <w:t>采用两个</w:t>
      </w:r>
      <w:r>
        <w:rPr>
          <w:rFonts w:ascii="宋体" w:hAnsi="宋体" w:eastAsia="宋体" w:cs="宋体"/>
          <w:spacing w:val="-4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>Pin</w:t>
      </w:r>
      <w:r>
        <w:rPr>
          <w:rFonts w:ascii="Times New Roman" w:hAnsi="Times New Roman" w:eastAsia="Times New Roman" w:cs="Times New Roman"/>
          <w:spacing w:val="28"/>
          <w:w w:val="10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2"/>
          <w:sz w:val="24"/>
          <w:szCs w:val="24"/>
        </w:rPr>
        <w:t>间距为</w:t>
      </w:r>
      <w:r>
        <w:rPr>
          <w:rFonts w:ascii="宋体" w:hAnsi="宋体" w:eastAsia="宋体" w:cs="宋体"/>
          <w:spacing w:val="-5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>0.8mm</w:t>
      </w:r>
      <w:r>
        <w:rPr>
          <w:rFonts w:ascii="Times New Roman" w:hAnsi="Times New Roman" w:eastAsia="Times New Roman" w:cs="Times New Roman"/>
          <w:spacing w:val="15"/>
          <w:w w:val="101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 xml:space="preserve">SMT </w:t>
      </w:r>
      <w:r>
        <w:rPr>
          <w:rFonts w:ascii="宋体" w:hAnsi="宋体" w:eastAsia="宋体" w:cs="宋体"/>
          <w:spacing w:val="-2"/>
          <w:sz w:val="24"/>
          <w:szCs w:val="24"/>
        </w:rPr>
        <w:t>双边缘连接器， 与底板进行业务连接以及电</w:t>
      </w:r>
    </w:p>
    <w:p>
      <w:pPr>
        <w:spacing w:before="41" w:line="219" w:lineRule="auto"/>
        <w:ind w:left="116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7"/>
          <w:sz w:val="24"/>
          <w:szCs w:val="24"/>
        </w:rPr>
        <w:t>源供电等。</w:t>
      </w:r>
    </w:p>
    <w:p>
      <w:pPr>
        <w:spacing w:before="72" w:line="220" w:lineRule="auto"/>
        <w:ind w:firstLine="436" w:firstLineChars="200"/>
        <w:rPr>
          <w:rFonts w:ascii="宋体" w:hAnsi="宋体" w:eastAsia="宋体" w:cs="宋体"/>
          <w:sz w:val="22"/>
          <w:szCs w:val="22"/>
        </w:rPr>
      </w:pPr>
      <w:r>
        <w:rPr>
          <w:rFonts w:ascii="宋体" w:hAnsi="宋体" w:eastAsia="宋体" w:cs="宋体"/>
          <w:spacing w:val="-1"/>
          <w:sz w:val="22"/>
          <w:szCs w:val="22"/>
        </w:rPr>
        <w:t>业务接口连接器型号</w:t>
      </w:r>
      <w:r>
        <w:rPr>
          <w:rFonts w:ascii="宋体" w:hAnsi="宋体" w:eastAsia="宋体" w:cs="宋体"/>
          <w:sz w:val="22"/>
          <w:szCs w:val="22"/>
        </w:rPr>
        <w:t>描述： 双边缘连接器-120PIN-公-</w:t>
      </w:r>
      <w:r>
        <w:rPr>
          <w:rFonts w:ascii="宋体" w:hAnsi="宋体" w:eastAsia="宋体" w:cs="宋体"/>
          <w:spacing w:val="-1"/>
          <w:sz w:val="22"/>
          <w:szCs w:val="22"/>
        </w:rPr>
        <w:t>0.8mm-SMT</w:t>
      </w:r>
    </w:p>
    <w:p>
      <w:pPr>
        <w:spacing w:before="72" w:line="260" w:lineRule="auto"/>
        <w:ind w:right="2083" w:firstLine="440" w:firstLineChars="200"/>
        <w:rPr>
          <w:rFonts w:ascii="宋体" w:hAnsi="宋体" w:eastAsia="宋体" w:cs="宋体"/>
          <w:spacing w:val="-4"/>
          <w:sz w:val="22"/>
          <w:szCs w:val="22"/>
        </w:rPr>
      </w:pPr>
      <w:r>
        <w:rPr>
          <w:rFonts w:ascii="宋体" w:hAnsi="宋体" w:eastAsia="宋体" w:cs="宋体"/>
          <w:sz w:val="22"/>
          <w:szCs w:val="22"/>
        </w:rPr>
        <w:t>对应与之配套母头选型建议： 描述：双边缘连接器-120PIN-母-0.8</w:t>
      </w:r>
      <w:r>
        <w:rPr>
          <w:rFonts w:ascii="宋体" w:hAnsi="宋体" w:eastAsia="宋体" w:cs="宋体"/>
          <w:spacing w:val="-1"/>
          <w:sz w:val="22"/>
          <w:szCs w:val="22"/>
        </w:rPr>
        <w:t>mm-SMT</w:t>
      </w:r>
      <w:r>
        <w:rPr>
          <w:rFonts w:ascii="宋体" w:hAnsi="宋体" w:eastAsia="宋体" w:cs="宋体"/>
          <w:spacing w:val="1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4"/>
          <w:sz w:val="22"/>
          <w:szCs w:val="22"/>
        </w:rPr>
        <w:t>高</w:t>
      </w:r>
      <w:r>
        <w:rPr>
          <w:rFonts w:ascii="宋体" w:hAnsi="宋体" w:eastAsia="宋体" w:cs="宋体"/>
          <w:spacing w:val="-39"/>
          <w:sz w:val="22"/>
          <w:szCs w:val="22"/>
        </w:rPr>
        <w:t xml:space="preserve"> </w:t>
      </w:r>
      <w:r>
        <w:rPr>
          <w:rFonts w:ascii="宋体" w:hAnsi="宋体" w:eastAsia="宋体" w:cs="宋体"/>
          <w:spacing w:val="-4"/>
          <w:sz w:val="22"/>
          <w:szCs w:val="22"/>
        </w:rPr>
        <w:t>5mm。</w:t>
      </w:r>
    </w:p>
    <w:p>
      <w:pPr>
        <w:spacing w:before="72" w:line="260" w:lineRule="auto"/>
        <w:ind w:left="117" w:right="2083" w:firstLine="9"/>
        <w:rPr>
          <w:rFonts w:ascii="宋体" w:hAnsi="宋体" w:eastAsia="宋体" w:cs="宋体"/>
          <w:spacing w:val="-4"/>
          <w:sz w:val="22"/>
          <w:szCs w:val="22"/>
        </w:rPr>
      </w:pPr>
    </w:p>
    <w:p>
      <w:pPr>
        <w:spacing w:before="72" w:line="260" w:lineRule="auto"/>
        <w:ind w:left="117" w:right="2083" w:firstLine="9"/>
        <w:rPr>
          <w:rFonts w:ascii="宋体" w:hAnsi="宋体" w:eastAsia="宋体" w:cs="宋体"/>
          <w:spacing w:val="-4"/>
          <w:sz w:val="22"/>
          <w:szCs w:val="22"/>
        </w:rPr>
      </w:pPr>
    </w:p>
    <w:p>
      <w:pPr>
        <w:spacing w:before="166" w:line="220" w:lineRule="auto"/>
        <w:ind w:left="114"/>
        <w:outlineLvl w:val="1"/>
        <w:rPr>
          <w:rFonts w:ascii="宋体" w:hAnsi="宋体" w:eastAsia="宋体" w:cs="宋体"/>
          <w:b/>
          <w:bCs/>
          <w:spacing w:val="-1"/>
          <w:sz w:val="28"/>
          <w:szCs w:val="28"/>
        </w:rPr>
      </w:pPr>
      <w:bookmarkStart w:id="97" w:name="bookmark11"/>
      <w:bookmarkEnd w:id="97"/>
      <w:bookmarkStart w:id="98" w:name="bookmark12"/>
      <w:bookmarkEnd w:id="98"/>
      <w:bookmarkStart w:id="99" w:name="_Toc3377"/>
      <w:r>
        <w:rPr>
          <w:rFonts w:ascii="Times New Roman" w:hAnsi="Times New Roman" w:eastAsia="Times New Roman" w:cs="Times New Roman"/>
          <w:b/>
          <w:bCs/>
          <w:spacing w:val="-1"/>
          <w:sz w:val="28"/>
          <w:szCs w:val="28"/>
        </w:rPr>
        <w:t>2.</w:t>
      </w:r>
      <w:r>
        <w:rPr>
          <w:rFonts w:hint="eastAsia" w:ascii="Times New Roman" w:hAnsi="Times New Roman" w:eastAsia="宋体" w:cs="Times New Roman"/>
          <w:b/>
          <w:bCs/>
          <w:spacing w:val="-1"/>
          <w:sz w:val="28"/>
          <w:szCs w:val="28"/>
          <w:lang w:val="en-US" w:eastAsia="zh-CN"/>
        </w:rPr>
        <w:t>4.2</w:t>
      </w:r>
      <w:r>
        <w:rPr>
          <w:rFonts w:ascii="Times New Roman" w:hAnsi="Times New Roman" w:eastAsia="Times New Roman" w:cs="Times New Roman"/>
          <w:b/>
          <w:bCs/>
          <w:spacing w:val="-1"/>
          <w:sz w:val="28"/>
          <w:szCs w:val="28"/>
        </w:rPr>
        <w:t xml:space="preserve">.  </w:t>
      </w:r>
      <w:r>
        <w:rPr>
          <w:rFonts w:ascii="宋体" w:hAnsi="宋体" w:eastAsia="宋体" w:cs="宋体"/>
          <w:b/>
          <w:bCs/>
          <w:spacing w:val="-1"/>
          <w:sz w:val="28"/>
          <w:szCs w:val="28"/>
        </w:rPr>
        <w:t>业务接口连接器信号定义</w:t>
      </w:r>
      <w:bookmarkEnd w:id="99"/>
    </w:p>
    <w:p>
      <w:pPr>
        <w:spacing w:before="166" w:line="220" w:lineRule="auto"/>
        <w:ind w:left="114"/>
        <w:outlineLvl w:val="1"/>
        <w:rPr>
          <w:rFonts w:ascii="宋体" w:hAnsi="宋体" w:eastAsia="宋体" w:cs="宋体"/>
          <w:b/>
          <w:bCs/>
          <w:spacing w:val="-1"/>
          <w:sz w:val="28"/>
          <w:szCs w:val="28"/>
        </w:rPr>
      </w:pPr>
    </w:p>
    <w:p>
      <w:pPr>
        <w:spacing w:before="205" w:line="4737" w:lineRule="exact"/>
      </w:pPr>
      <w:r>
        <w:rPr>
          <w:rFonts w:hint="eastAsia"/>
          <w:position w:val="-94"/>
          <w:lang w:val="en-US" w:eastAsia="zh-CN"/>
        </w:rPr>
        <w:t xml:space="preserve">          </w:t>
      </w:r>
      <w:r>
        <w:rPr>
          <w:position w:val="-94"/>
        </w:rPr>
        <w:drawing>
          <wp:inline distT="0" distB="0" distL="0" distR="0">
            <wp:extent cx="4293235" cy="3188335"/>
            <wp:effectExtent l="0" t="0" r="12065" b="12065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3235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before="139" w:line="219" w:lineRule="auto"/>
        <w:ind w:firstLine="3648" w:firstLineChars="1600"/>
        <w:jc w:val="left"/>
        <w:rPr>
          <w:rFonts w:ascii="黑体" w:hAnsi="黑体" w:eastAsia="黑体" w:cs="黑体"/>
        </w:rPr>
        <w:sectPr>
          <w:pgSz w:w="11907" w:h="16839"/>
          <w:pgMar w:top="871" w:right="1082" w:bottom="524" w:left="1082" w:header="303" w:footer="274" w:gutter="0"/>
          <w:pgNumType w:fmt="decimal"/>
          <w:cols w:space="720" w:num="1"/>
        </w:sectPr>
      </w:pPr>
      <w:r>
        <w:rPr>
          <w:rFonts w:ascii="黑体" w:hAnsi="黑体" w:eastAsia="黑体" w:cs="黑体"/>
          <w:spacing w:val="-6"/>
        </w:rPr>
        <w:t>图</w:t>
      </w:r>
      <w:r>
        <w:rPr>
          <w:rFonts w:ascii="黑体" w:hAnsi="黑体" w:eastAsia="黑体" w:cs="黑体"/>
          <w:spacing w:val="25"/>
        </w:rPr>
        <w:t xml:space="preserve"> </w:t>
      </w:r>
      <w:r>
        <w:rPr>
          <w:spacing w:val="-6"/>
        </w:rPr>
        <w:t>1</w:t>
      </w:r>
      <w:r>
        <w:rPr>
          <w:spacing w:val="51"/>
          <w:w w:val="101"/>
        </w:rPr>
        <w:t xml:space="preserve"> </w:t>
      </w:r>
      <w:r>
        <w:rPr>
          <w:rFonts w:hint="eastAsia" w:ascii="黑体" w:hAnsi="黑体" w:eastAsia="黑体" w:cs="黑体"/>
          <w:spacing w:val="-6"/>
        </w:rPr>
        <w:t>配网终端核心板</w:t>
      </w:r>
      <w:r>
        <w:rPr>
          <w:rFonts w:ascii="黑体" w:hAnsi="黑体" w:eastAsia="黑体" w:cs="黑体"/>
          <w:spacing w:val="-6"/>
        </w:rPr>
        <w:t>底视图</w:t>
      </w: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2"/>
        </w:rPr>
      </w:pPr>
      <w:r>
        <w:rPr>
          <w:rFonts w:ascii="黑体" w:hAnsi="黑体" w:eastAsia="黑体" w:cs="黑体"/>
          <w:spacing w:val="-1"/>
        </w:rPr>
        <w:t xml:space="preserve">表 </w:t>
      </w:r>
      <w:r>
        <w:rPr>
          <w:spacing w:val="-1"/>
        </w:rPr>
        <w:t xml:space="preserve">3   </w:t>
      </w:r>
      <w:r>
        <w:rPr>
          <w:rFonts w:hint="eastAsia"/>
          <w:spacing w:val="-1"/>
          <w:lang w:eastAsia="zh-CN"/>
        </w:rPr>
        <w:t>SWKJ-HXB08</w:t>
      </w:r>
      <w:r>
        <w:rPr>
          <w:spacing w:val="-1"/>
        </w:rPr>
        <w:t xml:space="preserve">  </w:t>
      </w:r>
      <w:r>
        <w:rPr>
          <w:rFonts w:ascii="黑体" w:hAnsi="黑体" w:eastAsia="黑体" w:cs="黑体"/>
          <w:spacing w:val="-1"/>
        </w:rPr>
        <w:t>核心板连接器</w:t>
      </w:r>
      <w:r>
        <w:rPr>
          <w:rFonts w:ascii="黑体" w:hAnsi="黑体" w:eastAsia="黑体" w:cs="黑体"/>
          <w:spacing w:val="-47"/>
        </w:rPr>
        <w:t xml:space="preserve"> </w:t>
      </w:r>
      <w:r>
        <w:rPr>
          <w:spacing w:val="-1"/>
        </w:rPr>
        <w:t xml:space="preserve">J1 </w:t>
      </w:r>
      <w:r>
        <w:rPr>
          <w:rFonts w:ascii="黑体" w:hAnsi="黑体" w:eastAsia="黑体" w:cs="黑体"/>
          <w:spacing w:val="-1"/>
        </w:rPr>
        <w:t>信号定义</w:t>
      </w:r>
      <w:r>
        <w:rPr>
          <w:rFonts w:ascii="黑体" w:hAnsi="黑体" w:eastAsia="黑体" w:cs="黑体"/>
          <w:spacing w:val="-2"/>
        </w:rPr>
        <w:t>功能说明</w:t>
      </w:r>
      <w:r>
        <w:rPr>
          <w:rFonts w:ascii="黑体" w:hAnsi="黑体" w:eastAsia="黑体" w:cs="黑体"/>
          <w:spacing w:val="-29"/>
        </w:rPr>
        <w:t xml:space="preserve"> </w:t>
      </w:r>
      <w:r>
        <w:rPr>
          <w:spacing w:val="-2"/>
        </w:rPr>
        <w:t>1</w:t>
      </w:r>
      <w:r>
        <w:rPr>
          <w:rFonts w:ascii="黑体" w:hAnsi="黑体" w:eastAsia="黑体" w:cs="黑体"/>
          <w:spacing w:val="-2"/>
        </w:rPr>
        <w:t>（</w:t>
      </w:r>
      <w:r>
        <w:rPr>
          <w:rFonts w:ascii="黑体" w:hAnsi="黑体" w:eastAsia="黑体" w:cs="黑体"/>
          <w:spacing w:val="27"/>
        </w:rPr>
        <w:t xml:space="preserve"> </w:t>
      </w:r>
      <w:r>
        <w:rPr>
          <w:spacing w:val="-2"/>
        </w:rPr>
        <w:t xml:space="preserve">J1 </w:t>
      </w:r>
      <w:r>
        <w:rPr>
          <w:rFonts w:ascii="黑体" w:hAnsi="黑体" w:eastAsia="黑体" w:cs="黑体"/>
          <w:spacing w:val="-2"/>
        </w:rPr>
        <w:t>连接器奇数边）</w:t>
      </w: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2"/>
        </w:rPr>
      </w:pPr>
    </w:p>
    <w:p>
      <w:pPr>
        <w:spacing w:before="159" w:line="9512" w:lineRule="exact"/>
        <w:ind w:firstLine="108"/>
      </w:pPr>
      <w:r>
        <w:rPr>
          <w:position w:val="-190"/>
        </w:rPr>
        <w:drawing>
          <wp:inline distT="0" distB="0" distL="0" distR="0">
            <wp:extent cx="6047740" cy="6040120"/>
            <wp:effectExtent l="0" t="0" r="2540" b="10160"/>
            <wp:docPr id="12" name="IM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 1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6040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9512" w:lineRule="exact"/>
        <w:sectPr>
          <w:pgSz w:w="11907" w:h="16839"/>
          <w:pgMar w:top="871" w:right="1082" w:bottom="524" w:left="1082" w:header="303" w:footer="274" w:gutter="0"/>
          <w:pgNumType w:fmt="decimal"/>
          <w:cols w:space="720" w:num="1"/>
        </w:sectPr>
      </w:pP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  <w:r>
        <w:rPr>
          <w:rFonts w:ascii="黑体" w:hAnsi="黑体" w:eastAsia="黑体" w:cs="黑体"/>
          <w:spacing w:val="-1"/>
        </w:rPr>
        <w:t xml:space="preserve">表 </w:t>
      </w:r>
      <w:r>
        <w:rPr>
          <w:spacing w:val="-1"/>
        </w:rPr>
        <w:t xml:space="preserve">4   </w:t>
      </w:r>
      <w:r>
        <w:rPr>
          <w:rFonts w:hint="eastAsia"/>
          <w:spacing w:val="-1"/>
          <w:lang w:eastAsia="zh-CN"/>
        </w:rPr>
        <w:t>SWKJ-HXB08</w:t>
      </w:r>
      <w:r>
        <w:rPr>
          <w:spacing w:val="-1"/>
        </w:rPr>
        <w:t xml:space="preserve">  </w:t>
      </w:r>
      <w:r>
        <w:rPr>
          <w:rFonts w:ascii="黑体" w:hAnsi="黑体" w:eastAsia="黑体" w:cs="黑体"/>
          <w:spacing w:val="-1"/>
        </w:rPr>
        <w:t>核心板连接器</w:t>
      </w:r>
      <w:r>
        <w:rPr>
          <w:rFonts w:ascii="黑体" w:hAnsi="黑体" w:eastAsia="黑体" w:cs="黑体"/>
          <w:spacing w:val="-46"/>
        </w:rPr>
        <w:t xml:space="preserve"> </w:t>
      </w:r>
      <w:r>
        <w:rPr>
          <w:spacing w:val="-1"/>
        </w:rPr>
        <w:t xml:space="preserve">J1 </w:t>
      </w:r>
      <w:r>
        <w:rPr>
          <w:rFonts w:ascii="黑体" w:hAnsi="黑体" w:eastAsia="黑体" w:cs="黑体"/>
          <w:spacing w:val="-1"/>
        </w:rPr>
        <w:t>信号定义功能说明</w:t>
      </w:r>
      <w:r>
        <w:rPr>
          <w:rFonts w:ascii="黑体" w:hAnsi="黑体" w:eastAsia="黑体" w:cs="黑体"/>
          <w:spacing w:val="-46"/>
        </w:rPr>
        <w:t xml:space="preserve"> </w:t>
      </w:r>
      <w:r>
        <w:rPr>
          <w:spacing w:val="-1"/>
        </w:rPr>
        <w:t>2</w:t>
      </w:r>
      <w:r>
        <w:rPr>
          <w:rFonts w:ascii="黑体" w:hAnsi="黑体" w:eastAsia="黑体" w:cs="黑体"/>
          <w:spacing w:val="-1"/>
        </w:rPr>
        <w:t>（</w:t>
      </w:r>
      <w:r>
        <w:rPr>
          <w:rFonts w:ascii="黑体" w:hAnsi="黑体" w:eastAsia="黑体" w:cs="黑体"/>
          <w:spacing w:val="27"/>
        </w:rPr>
        <w:t xml:space="preserve"> </w:t>
      </w:r>
      <w:r>
        <w:rPr>
          <w:spacing w:val="-1"/>
        </w:rPr>
        <w:t xml:space="preserve">J1 </w:t>
      </w:r>
      <w:r>
        <w:rPr>
          <w:rFonts w:ascii="黑体" w:hAnsi="黑体" w:eastAsia="黑体" w:cs="黑体"/>
          <w:spacing w:val="-1"/>
        </w:rPr>
        <w:t>连接器偶数边）</w:t>
      </w: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</w:p>
    <w:p>
      <w:pPr>
        <w:spacing w:before="103" w:line="7651" w:lineRule="exact"/>
        <w:ind w:firstLine="108"/>
      </w:pPr>
      <w:r>
        <w:rPr>
          <w:position w:val="-153"/>
        </w:rPr>
        <w:drawing>
          <wp:inline distT="0" distB="0" distL="0" distR="0">
            <wp:extent cx="6047740" cy="4857750"/>
            <wp:effectExtent l="0" t="0" r="2540" b="3810"/>
            <wp:docPr id="14" name="IM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 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485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7651" w:lineRule="exact"/>
        <w:sectPr>
          <w:pgSz w:w="11907" w:h="16839"/>
          <w:pgMar w:top="871" w:right="1082" w:bottom="524" w:left="1082" w:header="303" w:footer="274" w:gutter="0"/>
          <w:pgNumType w:fmt="decimal"/>
          <w:cols w:space="720" w:num="1"/>
        </w:sectPr>
      </w:pP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  <w:r>
        <w:rPr>
          <w:rFonts w:ascii="黑体" w:hAnsi="黑体" w:eastAsia="黑体" w:cs="黑体"/>
          <w:spacing w:val="-1"/>
        </w:rPr>
        <w:t xml:space="preserve">表 </w:t>
      </w:r>
      <w:r>
        <w:rPr>
          <w:spacing w:val="-1"/>
        </w:rPr>
        <w:t xml:space="preserve">5   </w:t>
      </w:r>
      <w:r>
        <w:rPr>
          <w:rFonts w:hint="eastAsia"/>
          <w:spacing w:val="-1"/>
          <w:lang w:eastAsia="zh-CN"/>
        </w:rPr>
        <w:t>SWKJ-HXB08</w:t>
      </w:r>
      <w:r>
        <w:rPr>
          <w:spacing w:val="-1"/>
        </w:rPr>
        <w:t xml:space="preserve">  </w:t>
      </w:r>
      <w:r>
        <w:rPr>
          <w:rFonts w:ascii="黑体" w:hAnsi="黑体" w:eastAsia="黑体" w:cs="黑体"/>
          <w:spacing w:val="-1"/>
        </w:rPr>
        <w:t>核心板连接器</w:t>
      </w:r>
      <w:r>
        <w:rPr>
          <w:rFonts w:ascii="黑体" w:hAnsi="黑体" w:eastAsia="黑体" w:cs="黑体"/>
          <w:spacing w:val="-46"/>
        </w:rPr>
        <w:t xml:space="preserve"> </w:t>
      </w:r>
      <w:r>
        <w:rPr>
          <w:spacing w:val="-1"/>
        </w:rPr>
        <w:t xml:space="preserve">J1 </w:t>
      </w:r>
      <w:r>
        <w:rPr>
          <w:rFonts w:ascii="黑体" w:hAnsi="黑体" w:eastAsia="黑体" w:cs="黑体"/>
          <w:spacing w:val="-1"/>
        </w:rPr>
        <w:t>信号定义功能说明</w:t>
      </w:r>
      <w:r>
        <w:rPr>
          <w:rFonts w:ascii="黑体" w:hAnsi="黑体" w:eastAsia="黑体" w:cs="黑体"/>
          <w:spacing w:val="-46"/>
        </w:rPr>
        <w:t xml:space="preserve"> </w:t>
      </w:r>
      <w:r>
        <w:rPr>
          <w:spacing w:val="-1"/>
        </w:rPr>
        <w:t>2</w:t>
      </w:r>
      <w:r>
        <w:rPr>
          <w:rFonts w:ascii="黑体" w:hAnsi="黑体" w:eastAsia="黑体" w:cs="黑体"/>
          <w:spacing w:val="-1"/>
        </w:rPr>
        <w:t>（</w:t>
      </w:r>
      <w:r>
        <w:rPr>
          <w:rFonts w:ascii="黑体" w:hAnsi="黑体" w:eastAsia="黑体" w:cs="黑体"/>
          <w:spacing w:val="27"/>
        </w:rPr>
        <w:t xml:space="preserve"> </w:t>
      </w:r>
      <w:r>
        <w:rPr>
          <w:spacing w:val="-1"/>
        </w:rPr>
        <w:t xml:space="preserve">J2 </w:t>
      </w:r>
      <w:r>
        <w:rPr>
          <w:rFonts w:ascii="黑体" w:hAnsi="黑体" w:eastAsia="黑体" w:cs="黑体"/>
          <w:spacing w:val="-1"/>
        </w:rPr>
        <w:t>连接器奇数边）</w:t>
      </w: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</w:p>
    <w:p>
      <w:pPr>
        <w:spacing w:before="72" w:line="8032" w:lineRule="exact"/>
        <w:ind w:firstLine="108"/>
      </w:pPr>
      <w:r>
        <w:rPr>
          <w:position w:val="-160"/>
        </w:rPr>
        <w:drawing>
          <wp:inline distT="0" distB="0" distL="0" distR="0">
            <wp:extent cx="6047740" cy="7385685"/>
            <wp:effectExtent l="0" t="0" r="10160" b="5715"/>
            <wp:docPr id="16" name="I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 16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738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8032" w:lineRule="exact"/>
        <w:sectPr>
          <w:pgSz w:w="11907" w:h="16839"/>
          <w:pgMar w:top="871" w:right="1082" w:bottom="524" w:left="1082" w:header="303" w:footer="274" w:gutter="0"/>
          <w:pgNumType w:fmt="decimal"/>
          <w:cols w:space="720" w:num="1"/>
        </w:sectPr>
      </w:pP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  <w:r>
        <w:rPr>
          <w:rFonts w:ascii="黑体" w:hAnsi="黑体" w:eastAsia="黑体" w:cs="黑体"/>
          <w:spacing w:val="-1"/>
        </w:rPr>
        <w:t xml:space="preserve">表 </w:t>
      </w:r>
      <w:r>
        <w:rPr>
          <w:spacing w:val="-1"/>
        </w:rPr>
        <w:t xml:space="preserve">6   </w:t>
      </w:r>
      <w:r>
        <w:rPr>
          <w:rFonts w:hint="eastAsia"/>
          <w:spacing w:val="-1"/>
          <w:lang w:eastAsia="zh-CN"/>
        </w:rPr>
        <w:t>SWKJ-HXB08</w:t>
      </w:r>
      <w:r>
        <w:rPr>
          <w:spacing w:val="-1"/>
        </w:rPr>
        <w:t xml:space="preserve">  </w:t>
      </w:r>
      <w:r>
        <w:rPr>
          <w:rFonts w:ascii="黑体" w:hAnsi="黑体" w:eastAsia="黑体" w:cs="黑体"/>
          <w:spacing w:val="-1"/>
        </w:rPr>
        <w:t>核心板连接器</w:t>
      </w:r>
      <w:r>
        <w:rPr>
          <w:rFonts w:ascii="黑体" w:hAnsi="黑体" w:eastAsia="黑体" w:cs="黑体"/>
          <w:spacing w:val="-46"/>
        </w:rPr>
        <w:t xml:space="preserve"> </w:t>
      </w:r>
      <w:r>
        <w:rPr>
          <w:spacing w:val="-1"/>
        </w:rPr>
        <w:t xml:space="preserve">J1 </w:t>
      </w:r>
      <w:r>
        <w:rPr>
          <w:rFonts w:ascii="黑体" w:hAnsi="黑体" w:eastAsia="黑体" w:cs="黑体"/>
          <w:spacing w:val="-1"/>
        </w:rPr>
        <w:t>信号定义功能说明</w:t>
      </w:r>
      <w:r>
        <w:rPr>
          <w:rFonts w:ascii="黑体" w:hAnsi="黑体" w:eastAsia="黑体" w:cs="黑体"/>
          <w:spacing w:val="-46"/>
        </w:rPr>
        <w:t xml:space="preserve"> </w:t>
      </w:r>
      <w:r>
        <w:rPr>
          <w:spacing w:val="-1"/>
        </w:rPr>
        <w:t>2</w:t>
      </w:r>
      <w:r>
        <w:rPr>
          <w:rFonts w:ascii="黑体" w:hAnsi="黑体" w:eastAsia="黑体" w:cs="黑体"/>
          <w:spacing w:val="-1"/>
        </w:rPr>
        <w:t>（</w:t>
      </w:r>
      <w:r>
        <w:rPr>
          <w:rFonts w:ascii="黑体" w:hAnsi="黑体" w:eastAsia="黑体" w:cs="黑体"/>
          <w:spacing w:val="27"/>
        </w:rPr>
        <w:t xml:space="preserve"> </w:t>
      </w:r>
      <w:r>
        <w:rPr>
          <w:spacing w:val="-1"/>
        </w:rPr>
        <w:t xml:space="preserve">J2 </w:t>
      </w:r>
      <w:r>
        <w:rPr>
          <w:rFonts w:ascii="黑体" w:hAnsi="黑体" w:eastAsia="黑体" w:cs="黑体"/>
          <w:spacing w:val="-1"/>
        </w:rPr>
        <w:t>连接器偶数边）</w:t>
      </w:r>
    </w:p>
    <w:p>
      <w:pPr>
        <w:pStyle w:val="9"/>
        <w:spacing w:before="68" w:line="219" w:lineRule="auto"/>
        <w:jc w:val="center"/>
        <w:rPr>
          <w:rFonts w:ascii="黑体" w:hAnsi="黑体" w:eastAsia="黑体" w:cs="黑体"/>
          <w:spacing w:val="-1"/>
        </w:rPr>
      </w:pPr>
    </w:p>
    <w:p>
      <w:pPr>
        <w:spacing w:before="89" w:line="7670" w:lineRule="exact"/>
        <w:ind w:firstLine="108"/>
      </w:pPr>
      <w:r>
        <w:rPr>
          <w:position w:val="-153"/>
        </w:rPr>
        <w:drawing>
          <wp:inline distT="0" distB="0" distL="0" distR="0">
            <wp:extent cx="6047740" cy="10098405"/>
            <wp:effectExtent l="0" t="0" r="10160" b="17145"/>
            <wp:docPr id="18" name="IM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 18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47740" cy="1009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49" w:line="225" w:lineRule="auto"/>
        <w:ind w:left="113"/>
        <w:outlineLvl w:val="0"/>
        <w:rPr>
          <w:rFonts w:hint="eastAsia" w:ascii="Times New Roman" w:hAnsi="Times New Roman" w:eastAsia="宋体" w:cs="Times New Roman"/>
          <w:b/>
          <w:bCs/>
          <w:spacing w:val="27"/>
          <w:sz w:val="31"/>
          <w:szCs w:val="31"/>
          <w:lang w:val="en-US" w:eastAsia="zh-CN"/>
        </w:rPr>
      </w:pPr>
      <w:bookmarkStart w:id="100" w:name="bookmark13"/>
      <w:bookmarkEnd w:id="100"/>
      <w:bookmarkStart w:id="101" w:name="bookmark14"/>
      <w:bookmarkEnd w:id="101"/>
      <w:bookmarkStart w:id="102" w:name="_Toc31931"/>
    </w:p>
    <w:p>
      <w:pPr>
        <w:spacing w:before="249" w:line="225" w:lineRule="auto"/>
        <w:ind w:left="113"/>
        <w:outlineLvl w:val="0"/>
        <w:rPr>
          <w:rFonts w:hint="eastAsia" w:ascii="Times New Roman" w:hAnsi="Times New Roman" w:eastAsia="宋体" w:cs="Times New Roman"/>
          <w:b/>
          <w:bCs/>
          <w:spacing w:val="27"/>
          <w:sz w:val="31"/>
          <w:szCs w:val="31"/>
          <w:lang w:val="en-US" w:eastAsia="zh-CN"/>
        </w:rPr>
      </w:pPr>
    </w:p>
    <w:p>
      <w:pPr>
        <w:spacing w:before="249" w:line="225" w:lineRule="auto"/>
        <w:ind w:left="113"/>
        <w:outlineLvl w:val="0"/>
        <w:rPr>
          <w:rFonts w:hint="eastAsia" w:ascii="Times New Roman" w:hAnsi="Times New Roman" w:eastAsia="宋体" w:cs="Times New Roman"/>
          <w:b/>
          <w:bCs/>
          <w:spacing w:val="27"/>
          <w:sz w:val="31"/>
          <w:szCs w:val="31"/>
          <w:lang w:val="en-US" w:eastAsia="zh-CN"/>
        </w:rPr>
      </w:pPr>
    </w:p>
    <w:p>
      <w:pPr>
        <w:spacing w:before="249" w:line="225" w:lineRule="auto"/>
        <w:ind w:left="113"/>
        <w:outlineLvl w:val="0"/>
        <w:rPr>
          <w:rFonts w:hint="eastAsia" w:ascii="Times New Roman" w:hAnsi="Times New Roman" w:eastAsia="宋体" w:cs="Times New Roman"/>
          <w:b/>
          <w:bCs/>
          <w:spacing w:val="27"/>
          <w:sz w:val="31"/>
          <w:szCs w:val="31"/>
          <w:lang w:val="en-US" w:eastAsia="zh-CN"/>
        </w:rPr>
      </w:pPr>
    </w:p>
    <w:p>
      <w:pPr>
        <w:spacing w:before="249" w:line="225" w:lineRule="auto"/>
        <w:ind w:left="113"/>
        <w:outlineLvl w:val="0"/>
        <w:rPr>
          <w:rFonts w:hint="eastAsia" w:ascii="Times New Roman" w:hAnsi="Times New Roman" w:eastAsia="宋体" w:cs="Times New Roman"/>
          <w:b/>
          <w:bCs/>
          <w:spacing w:val="27"/>
          <w:sz w:val="31"/>
          <w:szCs w:val="31"/>
          <w:lang w:val="en-US" w:eastAsia="zh-CN"/>
        </w:rPr>
      </w:pPr>
    </w:p>
    <w:p>
      <w:pPr>
        <w:spacing w:before="249" w:line="225" w:lineRule="auto"/>
        <w:ind w:left="113"/>
        <w:outlineLvl w:val="0"/>
        <w:rPr>
          <w:rFonts w:ascii="宋体" w:hAnsi="宋体" w:eastAsia="宋体" w:cs="宋体"/>
          <w:sz w:val="31"/>
          <w:szCs w:val="31"/>
        </w:rPr>
      </w:pPr>
      <w:r>
        <w:rPr>
          <w:rFonts w:hint="eastAsia" w:ascii="Times New Roman" w:hAnsi="Times New Roman" w:eastAsia="宋体" w:cs="Times New Roman"/>
          <w:b/>
          <w:bCs/>
          <w:spacing w:val="27"/>
          <w:sz w:val="31"/>
          <w:szCs w:val="31"/>
          <w:lang w:val="en-US" w:eastAsia="zh-CN"/>
        </w:rPr>
        <w:t>2.4.3</w:t>
      </w:r>
      <w:r>
        <w:rPr>
          <w:rFonts w:ascii="Times New Roman" w:hAnsi="Times New Roman" w:eastAsia="Times New Roman" w:cs="Times New Roman"/>
          <w:b/>
          <w:bCs/>
          <w:spacing w:val="27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4"/>
          <w:sz w:val="31"/>
          <w:szCs w:val="31"/>
        </w:rPr>
        <w:t>参考安装方式</w:t>
      </w:r>
      <w:bookmarkEnd w:id="102"/>
    </w:p>
    <w:p>
      <w:pPr>
        <w:spacing w:before="150" w:line="219" w:lineRule="auto"/>
        <w:ind w:left="600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1"/>
          <w:sz w:val="24"/>
          <w:szCs w:val="24"/>
        </w:rPr>
        <w:t>核心板需要固定，底板采用贴片螺母，孔径</w:t>
      </w:r>
      <w:r>
        <w:rPr>
          <w:rFonts w:ascii="宋体" w:hAnsi="宋体" w:eastAsia="宋体" w:cs="宋体"/>
          <w:spacing w:val="-55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1"/>
          <w:sz w:val="24"/>
          <w:szCs w:val="24"/>
        </w:rPr>
        <w:t>4.15mm</w:t>
      </w:r>
      <w:r>
        <w:rPr>
          <w:rFonts w:ascii="宋体" w:hAnsi="宋体" w:eastAsia="宋体" w:cs="宋体"/>
          <w:spacing w:val="-1"/>
          <w:sz w:val="24"/>
          <w:szCs w:val="24"/>
        </w:rPr>
        <w:t>，</w:t>
      </w:r>
      <w:r>
        <w:rPr>
          <w:rFonts w:ascii="宋体" w:hAnsi="宋体" w:eastAsia="宋体" w:cs="宋体"/>
          <w:spacing w:val="-2"/>
          <w:sz w:val="24"/>
          <w:szCs w:val="24"/>
        </w:rPr>
        <w:t>高度为</w:t>
      </w:r>
      <w:r>
        <w:rPr>
          <w:rFonts w:ascii="宋体" w:hAnsi="宋体" w:eastAsia="宋体" w:cs="宋体"/>
          <w:spacing w:val="-3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pacing w:val="-2"/>
          <w:sz w:val="24"/>
          <w:szCs w:val="24"/>
        </w:rPr>
        <w:t>5mm</w:t>
      </w:r>
      <w:r>
        <w:rPr>
          <w:rFonts w:ascii="宋体" w:hAnsi="宋体" w:eastAsia="宋体" w:cs="宋体"/>
          <w:spacing w:val="-2"/>
          <w:sz w:val="24"/>
          <w:szCs w:val="24"/>
        </w:rPr>
        <w:t>，</w:t>
      </w:r>
    </w:p>
    <w:p>
      <w:pPr>
        <w:pStyle w:val="9"/>
        <w:spacing w:line="458" w:lineRule="auto"/>
      </w:pPr>
    </w:p>
    <w:p>
      <w:pPr>
        <w:spacing w:line="3635" w:lineRule="exact"/>
      </w:pPr>
      <w:r>
        <w:rPr>
          <w:position w:val="-72"/>
        </w:rPr>
        <w:drawing>
          <wp:inline distT="0" distB="0" distL="0" distR="0">
            <wp:extent cx="5725795" cy="2860675"/>
            <wp:effectExtent l="0" t="0" r="8255" b="15875"/>
            <wp:docPr id="20" name="IM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 20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5795" cy="286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before="200" w:line="219" w:lineRule="auto"/>
        <w:ind w:firstLine="3068" w:firstLineChars="1300"/>
        <w:rPr>
          <w:rFonts w:ascii="黑体" w:hAnsi="黑体" w:eastAsia="黑体" w:cs="黑体"/>
        </w:rPr>
      </w:pPr>
      <w:r>
        <w:rPr>
          <w:rFonts w:ascii="黑体" w:hAnsi="黑体" w:eastAsia="黑体" w:cs="黑体"/>
          <w:spacing w:val="-2"/>
        </w:rPr>
        <w:t xml:space="preserve">图 </w:t>
      </w:r>
      <w:r>
        <w:rPr>
          <w:spacing w:val="-2"/>
        </w:rPr>
        <w:t>2</w:t>
      </w:r>
      <w:r>
        <w:rPr>
          <w:spacing w:val="12"/>
        </w:rPr>
        <w:t xml:space="preserve">   </w:t>
      </w:r>
      <w:r>
        <w:rPr>
          <w:rFonts w:ascii="黑体" w:hAnsi="黑体" w:eastAsia="黑体" w:cs="黑体"/>
          <w:spacing w:val="-2"/>
        </w:rPr>
        <w:t>核心板安装结构图</w:t>
      </w:r>
    </w:p>
    <w:p>
      <w:pPr>
        <w:spacing w:line="219" w:lineRule="auto"/>
        <w:rPr>
          <w:rFonts w:ascii="黑体" w:hAnsi="黑体" w:eastAsia="黑体" w:cs="黑体"/>
        </w:rPr>
      </w:pPr>
    </w:p>
    <w:p>
      <w:pPr>
        <w:spacing w:before="78" w:line="219" w:lineRule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pacing w:val="-5"/>
          <w:sz w:val="24"/>
          <w:szCs w:val="24"/>
        </w:rPr>
        <w:t>与核心板对接的座子为母座，</w:t>
      </w:r>
    </w:p>
    <w:p>
      <w:pPr>
        <w:spacing w:before="124" w:line="5922" w:lineRule="exact"/>
      </w:pPr>
      <w:r>
        <w:rPr>
          <w:position w:val="-118"/>
        </w:rPr>
        <w:drawing>
          <wp:inline distT="0" distB="0" distL="0" distR="0">
            <wp:extent cx="5273040" cy="3409315"/>
            <wp:effectExtent l="0" t="0" r="3810" b="635"/>
            <wp:docPr id="22" name="IM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 2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3548" cy="340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9"/>
        <w:spacing w:before="204" w:line="219" w:lineRule="auto"/>
        <w:ind w:firstLine="2530" w:firstLineChars="1100"/>
        <w:rPr>
          <w:rFonts w:ascii="黑体" w:hAnsi="黑体" w:eastAsia="黑体" w:cs="黑体"/>
        </w:rPr>
      </w:pPr>
      <w:r>
        <w:rPr>
          <w:rFonts w:ascii="黑体" w:hAnsi="黑体" w:eastAsia="黑体" w:cs="黑体"/>
          <w:spacing w:val="-5"/>
        </w:rPr>
        <w:t>图</w:t>
      </w:r>
      <w:r>
        <w:rPr>
          <w:rFonts w:ascii="黑体" w:hAnsi="黑体" w:eastAsia="黑体" w:cs="黑体"/>
          <w:spacing w:val="26"/>
        </w:rPr>
        <w:t xml:space="preserve"> </w:t>
      </w:r>
      <w:r>
        <w:rPr>
          <w:rFonts w:hint="eastAsia" w:eastAsia="黑体"/>
          <w:spacing w:val="-5"/>
          <w:lang w:val="en-US" w:eastAsia="zh-CN"/>
        </w:rPr>
        <w:t>3</w:t>
      </w:r>
      <w:r>
        <w:rPr>
          <w:spacing w:val="14"/>
          <w:w w:val="101"/>
        </w:rPr>
        <w:t xml:space="preserve">  </w:t>
      </w:r>
      <w:r>
        <w:rPr>
          <w:rFonts w:ascii="黑体" w:hAnsi="黑体" w:eastAsia="黑体" w:cs="黑体"/>
          <w:spacing w:val="-5"/>
        </w:rPr>
        <w:t>双边缘连接器母座图</w:t>
      </w:r>
    </w:p>
    <w:p>
      <w:pPr>
        <w:spacing w:before="185" w:line="226" w:lineRule="auto"/>
        <w:ind w:left="115"/>
        <w:outlineLvl w:val="0"/>
        <w:rPr>
          <w:rFonts w:ascii="宋体" w:hAnsi="宋体" w:eastAsia="宋体" w:cs="宋体"/>
          <w:sz w:val="31"/>
          <w:szCs w:val="31"/>
        </w:rPr>
      </w:pPr>
      <w:bookmarkStart w:id="103" w:name="bookmark15"/>
      <w:bookmarkEnd w:id="103"/>
      <w:bookmarkStart w:id="104" w:name="bookmark16"/>
      <w:bookmarkEnd w:id="104"/>
      <w:bookmarkStart w:id="105" w:name="_Toc4842"/>
      <w:r>
        <w:rPr>
          <w:rFonts w:hint="eastAsia" w:ascii="Times New Roman" w:hAnsi="Times New Roman" w:eastAsia="宋体" w:cs="Times New Roman"/>
          <w:b/>
          <w:bCs/>
          <w:spacing w:val="24"/>
          <w:sz w:val="31"/>
          <w:szCs w:val="31"/>
          <w:lang w:val="en-US" w:eastAsia="zh-CN"/>
        </w:rPr>
        <w:t>2.4.4</w:t>
      </w:r>
      <w:r>
        <w:rPr>
          <w:rFonts w:ascii="Times New Roman" w:hAnsi="Times New Roman" w:eastAsia="Times New Roman" w:cs="Times New Roman"/>
          <w:b/>
          <w:bCs/>
          <w:spacing w:val="24"/>
          <w:sz w:val="31"/>
          <w:szCs w:val="31"/>
        </w:rPr>
        <w:t xml:space="preserve"> </w:t>
      </w:r>
      <w:r>
        <w:rPr>
          <w:rFonts w:ascii="宋体" w:hAnsi="宋体" w:eastAsia="宋体" w:cs="宋体"/>
          <w:b/>
          <w:bCs/>
          <w:spacing w:val="3"/>
          <w:sz w:val="31"/>
          <w:szCs w:val="31"/>
        </w:rPr>
        <w:t>包装清单</w:t>
      </w:r>
      <w:bookmarkEnd w:id="10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配网终端核心板3片</w:t>
      </w:r>
    </w:p>
    <w:p>
      <w:pPr>
        <w:rPr>
          <w:rFonts w:hint="eastAsia" w:eastAsia="仿宋_GB2312"/>
          <w:lang w:val="en-US" w:eastAsia="zh-CN"/>
        </w:rPr>
      </w:pPr>
    </w:p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p>
      <w:pPr>
        <w:pStyle w:val="3"/>
        <w:numPr>
          <w:ilvl w:val="1"/>
          <w:numId w:val="0"/>
        </w:numPr>
        <w:tabs>
          <w:tab w:val="clear" w:pos="567"/>
        </w:tabs>
        <w:ind w:leftChars="0"/>
        <w:rPr>
          <w:rFonts w:hint="eastAsia" w:ascii="仿宋_GB2312" w:hAnsi="仿宋_GB2312" w:eastAsia="仿宋_GB2312" w:cs="仿宋_GB2312"/>
        </w:rPr>
      </w:pPr>
      <w:bookmarkStart w:id="106" w:name="_Toc9633"/>
      <w:r>
        <w:rPr>
          <w:rFonts w:hint="eastAsia" w:cs="仿宋_GB2312"/>
          <w:lang w:val="en-US" w:eastAsia="zh-CN"/>
        </w:rPr>
        <w:t xml:space="preserve">2.4.5 </w:t>
      </w:r>
      <w:r>
        <w:rPr>
          <w:rFonts w:hint="eastAsia" w:ascii="仿宋_GB2312" w:hAnsi="仿宋_GB2312" w:eastAsia="仿宋_GB2312" w:cs="仿宋_GB2312"/>
        </w:rPr>
        <w:t>依据标准及规范</w:t>
      </w:r>
      <w:bookmarkEnd w:id="106"/>
      <w:r>
        <w:rPr>
          <w:rFonts w:hint="eastAsia" w:ascii="仿宋_GB2312" w:hAnsi="仿宋_GB2312" w:eastAsia="仿宋_GB2312" w:cs="仿宋_GB2312"/>
        </w:rPr>
        <w:t xml:space="preserve"> 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响应方应严格依据国家或国际有关标准进行材料生产、检测、包装、运输。</w:t>
      </w: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pStyle w:val="2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pStyle w:val="2"/>
        <w:numPr>
          <w:ilvl w:val="0"/>
          <w:numId w:val="3"/>
        </w:numPr>
        <w:tabs>
          <w:tab w:val="clear" w:pos="425"/>
        </w:tabs>
        <w:ind w:left="425" w:leftChars="0" w:hanging="425" w:firstLineChars="0"/>
        <w:rPr>
          <w:rFonts w:hint="eastAsia" w:ascii="仿宋_GB2312" w:hAnsi="仿宋_GB2312" w:eastAsia="仿宋_GB2312" w:cs="仿宋_GB2312"/>
        </w:rPr>
      </w:pPr>
      <w:bookmarkStart w:id="107" w:name="_Toc20909"/>
      <w:bookmarkStart w:id="108" w:name="_Toc31205"/>
      <w:bookmarkStart w:id="109" w:name="_Toc4336"/>
      <w:bookmarkStart w:id="110" w:name="_Toc27846"/>
      <w:bookmarkStart w:id="111" w:name="_Toc8518"/>
      <w:bookmarkStart w:id="112" w:name="_Toc25665"/>
      <w:bookmarkStart w:id="113" w:name="_Toc16164"/>
      <w:bookmarkStart w:id="114" w:name="_Toc26683"/>
      <w:bookmarkStart w:id="115" w:name="_Toc20854"/>
      <w:bookmarkStart w:id="116" w:name="_Toc13048"/>
      <w:bookmarkStart w:id="117" w:name="_Toc197719624"/>
      <w:bookmarkStart w:id="118" w:name="_Toc198288469"/>
      <w:r>
        <w:rPr>
          <w:rFonts w:hint="eastAsia" w:ascii="仿宋_GB2312" w:hAnsi="仿宋_GB2312" w:eastAsia="仿宋_GB2312" w:cs="仿宋_GB2312"/>
        </w:rPr>
        <w:t>质量及服务方式要求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</w:p>
    <w:bookmarkEnd w:id="116"/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</w:rPr>
      </w:pPr>
      <w:bookmarkStart w:id="119" w:name="_Toc17591"/>
      <w:bookmarkStart w:id="120" w:name="_Toc300391308"/>
      <w:bookmarkStart w:id="121" w:name="_Toc4099"/>
      <w:bookmarkStart w:id="122" w:name="_Toc22584"/>
      <w:bookmarkStart w:id="123" w:name="_Toc282993367"/>
      <w:bookmarkStart w:id="124" w:name="_Toc282433763"/>
      <w:bookmarkStart w:id="125" w:name="_Toc27754"/>
      <w:bookmarkStart w:id="126" w:name="_Toc384341038"/>
      <w:bookmarkStart w:id="127" w:name="_Toc5517"/>
      <w:bookmarkStart w:id="128" w:name="_Toc1305108599"/>
      <w:bookmarkStart w:id="129" w:name="_Toc14114"/>
      <w:bookmarkStart w:id="130" w:name="_Toc26678"/>
      <w:bookmarkStart w:id="131" w:name="_Toc9600"/>
      <w:bookmarkStart w:id="132" w:name="_Toc19595"/>
      <w:bookmarkStart w:id="133" w:name="_Toc15816"/>
      <w:bookmarkStart w:id="134" w:name="_Toc9734"/>
      <w:bookmarkStart w:id="135" w:name="_Toc8632"/>
      <w:bookmarkStart w:id="136" w:name="_Toc14542"/>
      <w:bookmarkStart w:id="137" w:name="_Toc28612"/>
      <w:r>
        <w:rPr>
          <w:rFonts w:hint="eastAsia" w:ascii="仿宋_GB2312" w:hAnsi="仿宋_GB2312" w:eastAsia="仿宋_GB2312" w:cs="仿宋_GB2312"/>
        </w:rPr>
        <w:t>质量保证</w:t>
      </w:r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（1）全部材料必须是全新的，持久耐用的。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响应方应对其整组设备在到货后提供不少于1年的“三包”质量保证。质保期之后如发生产品质量原因导致的损坏，响应方应免费更换或检修；如发生非产品质量原因导致的损坏，响应方应及时提供维修部件，并按最近的投标价提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（3）响应方应保证制造过程中的所有工艺、材料试验等（包括响应方的外购件在内）均应符合本规范的规定。若需根据运行经验指定响应方提供某种外购零部件，响应方应积极配合。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（4）附属及配套设备必须满足有关行业标准的要求，并提供试验报告和产品合格证。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（5）响应方应有遵守本标准中各条款和工作项目的ISO9000-GB/T19000质量保证体系， 该质量保证体系已经通过国家认证并在正常运转。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</w:p>
    <w:p>
      <w:pPr>
        <w:pStyle w:val="3"/>
        <w:numPr>
          <w:ilvl w:val="1"/>
          <w:numId w:val="3"/>
        </w:numPr>
        <w:tabs>
          <w:tab w:val="clear" w:pos="567"/>
        </w:tabs>
        <w:ind w:left="567" w:leftChars="0" w:hanging="567" w:firstLineChars="0"/>
        <w:rPr>
          <w:rFonts w:hint="eastAsia" w:ascii="仿宋_GB2312" w:hAnsi="仿宋_GB2312" w:eastAsia="仿宋_GB2312" w:cs="仿宋_GB2312"/>
        </w:rPr>
      </w:pPr>
      <w:bookmarkStart w:id="138" w:name="_Toc2090143106"/>
      <w:bookmarkStart w:id="139" w:name="_Toc11843"/>
      <w:bookmarkStart w:id="140" w:name="_Toc4229"/>
      <w:bookmarkStart w:id="141" w:name="_Toc18534"/>
      <w:bookmarkStart w:id="142" w:name="_Toc25845"/>
      <w:bookmarkStart w:id="143" w:name="_Toc15580"/>
      <w:bookmarkStart w:id="144" w:name="_Toc17156"/>
      <w:bookmarkStart w:id="145" w:name="_Toc562252935"/>
      <w:r>
        <w:rPr>
          <w:rFonts w:hint="eastAsia" w:ascii="仿宋_GB2312" w:hAnsi="仿宋_GB2312" w:eastAsia="仿宋_GB2312" w:cs="仿宋_GB2312"/>
        </w:rPr>
        <w:t>售后服务</w:t>
      </w:r>
      <w:bookmarkEnd w:id="138"/>
      <w:bookmarkEnd w:id="139"/>
      <w:bookmarkEnd w:id="140"/>
      <w:bookmarkEnd w:id="141"/>
      <w:bookmarkEnd w:id="142"/>
      <w:bookmarkEnd w:id="143"/>
      <w:bookmarkEnd w:id="144"/>
      <w:bookmarkEnd w:id="14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46" w:name="_Hlk43711768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（1）材料的质保期不低于1年，质保期内供货商免费更换所有配件、耗材，并承担维护及通信费用，确保其产品能正常运行，质保期内更换的所有配件应重新计算质保期（不低于1年）</w:t>
      </w:r>
      <w:bookmarkEnd w:id="146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（2）响应方对售后服务的需求必须在24小时答复，在48小时内提供技术服务。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47" w:name="_Hlk43711657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（3）响应方长期为采购方提供备件采购和供应服务。</w:t>
      </w:r>
    </w:p>
    <w:bookmarkEnd w:id="147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bookmarkStart w:id="148" w:name="_Hlk43711678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（4）软件系统必须能根据用户要求对软件功能进行修改</w:t>
      </w:r>
      <w:bookmarkEnd w:id="148"/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（5）响应方应保证所提供的所有材料都是全新的，未使用过的，且应按最佳方式进行设计和制造。采用的是优质材料和先进工艺，并在各方面符合合同规定的质量、规格和性能要求。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响应方应保证所供设备经过正确安装、正常操作和保养，在其寿命期内运行良好。</w:t>
      </w:r>
    </w:p>
    <w:p>
      <w:pPr>
        <w:pStyle w:val="2"/>
        <w:numPr>
          <w:ilvl w:val="0"/>
          <w:numId w:val="3"/>
        </w:numPr>
        <w:tabs>
          <w:tab w:val="clear" w:pos="425"/>
        </w:tabs>
        <w:ind w:left="425" w:leftChars="0" w:hanging="425" w:firstLineChars="0"/>
        <w:rPr>
          <w:rFonts w:hint="eastAsia" w:ascii="仿宋_GB2312" w:hAnsi="仿宋_GB2312" w:eastAsia="仿宋_GB2312" w:cs="仿宋_GB2312"/>
        </w:rPr>
      </w:pPr>
      <w:bookmarkStart w:id="149" w:name="_Toc7460"/>
      <w:r>
        <w:rPr>
          <w:rFonts w:hint="eastAsia" w:ascii="仿宋_GB2312" w:hAnsi="仿宋_GB2312" w:eastAsia="仿宋_GB2312" w:cs="仿宋_GB2312"/>
        </w:rPr>
        <w:t>安全保密要求</w:t>
      </w:r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4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（1）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响应方在服务期间，负有保护南方电网数字电网科技（广东）有限公司的网络安全、信息安全和系统数据安全的义务和责任；负有保护所持有、接触的属于或涉及南方电网数字电网科技（广东）有限公司商业秘密的信息安全的义务和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（2）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除非有采购方的书面许可，或该信息已被采购方认为不再是商业秘密，或已在社会上公开，响应方不得将采购方经营信息及商业秘密（包括生产管理的方式方法与资料、产品技术资料、客户名单、销售渠道企业战略及其他被认为是商业秘密的信息）对外透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（3）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在现场服务过程中，响应方必须在采购方指定地点办公，并遵守采购方关于第三方人员管理规定要求；未经许可不得以任何方式对保密信息及工作成果进行复制、传播、泄漏、告知，不得将保密信息带离办公场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</w:pPr>
      <w:r>
        <w:rPr>
          <w:rFonts w:hint="default" w:ascii="仿宋_GB2312" w:hAnsi="仿宋_GB2312" w:eastAsia="仿宋_GB2312" w:cs="仿宋_GB2312"/>
          <w:sz w:val="28"/>
          <w:szCs w:val="28"/>
          <w:lang w:val="en-US" w:eastAsia="zh-CN"/>
        </w:rPr>
        <w:t>（4）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无论何种原因导致合同解除或终止，本项目约定下的保密条款、保密内容及相关的违约责任的约定仍然生效。保密期限为签订合同之后至永久，保密范围为项目所涉及的任</w:t>
      </w:r>
      <w:bookmarkEnd w:id="117"/>
      <w:bookmarkEnd w:id="118"/>
    </w:p>
    <w:sectPr>
      <w:headerReference r:id="rId4" w:type="default"/>
      <w:footerReference r:id="rId5" w:type="default"/>
      <w:pgSz w:w="11906" w:h="16838"/>
      <w:pgMar w:top="1440" w:right="1797" w:bottom="1440" w:left="179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altName w:val="楷体"/>
    <w:panose1 w:val="020B0604020202020204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jc w:val="center"/>
                          </w:pPr>
                          <w:r>
                            <w:rPr>
                              <w:rStyle w:val="24"/>
                              <w:rFonts w:hint="eastAsia"/>
                            </w:rPr>
                            <w:t xml:space="preserve">－ </w:t>
                          </w:r>
                          <w:r>
                            <w:fldChar w:fldCharType="begin"/>
                          </w:r>
                          <w:r>
                            <w:rPr>
                              <w:rStyle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24"/>
                            </w:rPr>
                            <w:t>ii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24"/>
                              <w:rFonts w:hint="eastAsia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jc w:val="center"/>
                    </w:pPr>
                    <w:r>
                      <w:rPr>
                        <w:rStyle w:val="24"/>
                        <w:rFonts w:hint="eastAsia"/>
                      </w:rPr>
                      <w:t xml:space="preserve">－ </w:t>
                    </w:r>
                    <w:r>
                      <w:fldChar w:fldCharType="begin"/>
                    </w:r>
                    <w:r>
                      <w:rPr>
                        <w:rStyle w:val="24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Style w:val="24"/>
                      </w:rPr>
                      <w:t>ii</w:t>
                    </w:r>
                    <w:r>
                      <w:fldChar w:fldCharType="end"/>
                    </w:r>
                    <w:r>
                      <w:rPr>
                        <w:rStyle w:val="24"/>
                        <w:rFonts w:hint="eastAsia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jc w:val="center"/>
      <w:rPr>
        <w:rFonts w:hint="eastAsia" w:eastAsia="宋体"/>
        <w:lang w:val="en-US" w:eastAsia="zh-CN"/>
      </w:rPr>
    </w:pPr>
    <w:r>
      <w:rPr>
        <w:rFonts w:hint="default"/>
        <w:sz w:val="18"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default"/>
        <w:sz w:val="18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2"/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2"/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697EBD"/>
    <w:multiLevelType w:val="multilevel"/>
    <w:tmpl w:val="16697EBD"/>
    <w:lvl w:ilvl="0" w:tentative="0">
      <w:start w:val="1"/>
      <w:numFmt w:val="bullet"/>
      <w:pStyle w:val="38"/>
      <w:lvlText w:val=""/>
      <w:lvlJc w:val="left"/>
      <w:pPr>
        <w:tabs>
          <w:tab w:val="left" w:pos="1100"/>
        </w:tabs>
        <w:ind w:left="110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tabs>
          <w:tab w:val="left" w:pos="1520"/>
        </w:tabs>
        <w:ind w:left="152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940"/>
        </w:tabs>
        <w:ind w:left="194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2360"/>
        </w:tabs>
        <w:ind w:left="236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780"/>
        </w:tabs>
        <w:ind w:left="278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3200"/>
        </w:tabs>
        <w:ind w:left="320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3620"/>
        </w:tabs>
        <w:ind w:left="362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4040"/>
        </w:tabs>
        <w:ind w:left="404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4460"/>
        </w:tabs>
        <w:ind w:left="4460" w:hanging="420"/>
      </w:pPr>
      <w:rPr>
        <w:rFonts w:hint="default" w:ascii="Wingdings" w:hAnsi="Wingdings"/>
      </w:rPr>
    </w:lvl>
  </w:abstractNum>
  <w:abstractNum w:abstractNumId="1">
    <w:nsid w:val="3C514E14"/>
    <w:multiLevelType w:val="multilevel"/>
    <w:tmpl w:val="3C514E14"/>
    <w:lvl w:ilvl="0" w:tentative="0">
      <w:start w:val="1"/>
      <w:numFmt w:val="decimal"/>
      <w:suff w:val="space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suff w:val="space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756D29A0"/>
    <w:multiLevelType w:val="multilevel"/>
    <w:tmpl w:val="756D29A0"/>
    <w:lvl w:ilvl="0" w:tentative="0">
      <w:start w:val="1"/>
      <w:numFmt w:val="decimal"/>
      <w:pStyle w:val="2"/>
      <w:lvlText w:val="%1."/>
      <w:lvlJc w:val="left"/>
      <w:pPr>
        <w:tabs>
          <w:tab w:val="left" w:pos="425"/>
        </w:tabs>
        <w:ind w:left="425" w:hanging="425"/>
      </w:pPr>
      <w:rPr>
        <w:rFonts w:hint="default" w:ascii="Times New Roman" w:hAnsi="Times New Roman" w:eastAsia="宋体"/>
        <w:b/>
        <w:bCs/>
        <w:i w:val="0"/>
        <w:spacing w:val="-12"/>
        <w:sz w:val="28"/>
        <w:szCs w:val="44"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567"/>
        </w:tabs>
        <w:ind w:left="567" w:hanging="567"/>
      </w:pPr>
      <w:rPr>
        <w:rFonts w:hint="default" w:ascii="Times New Roman" w:hAnsi="Times New Roman" w:eastAsia="宋体"/>
        <w:sz w:val="28"/>
        <w:szCs w:val="24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709"/>
        </w:tabs>
        <w:ind w:left="709" w:hanging="709"/>
      </w:pPr>
      <w:rPr>
        <w:rFonts w:hint="default" w:ascii="Times New Roman" w:hAnsi="Times New Roman" w:cs="Times New Roman"/>
        <w:sz w:val="28"/>
      </w:rPr>
    </w:lvl>
    <w:lvl w:ilvl="3" w:tentative="0">
      <w:start w:val="1"/>
      <w:numFmt w:val="decimal"/>
      <w:lvlText w:val="%1.%2.%3.%4."/>
      <w:lvlJc w:val="left"/>
      <w:pPr>
        <w:tabs>
          <w:tab w:val="left" w:pos="851"/>
        </w:tabs>
        <w:ind w:left="851" w:hanging="851"/>
      </w:pPr>
      <w:rPr>
        <w:rFonts w:hint="eastAsia"/>
        <w:sz w:val="24"/>
        <w:szCs w:val="24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abstractNum w:abstractNumId="3">
    <w:nsid w:val="76BFF193"/>
    <w:multiLevelType w:val="singleLevel"/>
    <w:tmpl w:val="76BFF193"/>
    <w:lvl w:ilvl="0" w:tentative="0">
      <w:start w:val="1"/>
      <w:numFmt w:val="decimal"/>
      <w:suff w:val="space"/>
      <w:lvlText w:val="(%1)"/>
      <w:lvlJc w:val="left"/>
      <w:pPr>
        <w:ind w:left="425" w:hanging="425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UxZWE4NTVkZmVhMzhhZWVjYjdmNmViMzE0ODE2OGEifQ=="/>
    <w:docVar w:name="KSO_WPS_MARK_KEY" w:val="81e27ba7-097b-4cf9-ad22-b1fcd9b13053"/>
  </w:docVars>
  <w:rsids>
    <w:rsidRoot w:val="456D62B9"/>
    <w:rsid w:val="00005A8A"/>
    <w:rsid w:val="000123AE"/>
    <w:rsid w:val="00033ABD"/>
    <w:rsid w:val="00055C21"/>
    <w:rsid w:val="00072C5B"/>
    <w:rsid w:val="000735C7"/>
    <w:rsid w:val="00094E44"/>
    <w:rsid w:val="000961C1"/>
    <w:rsid w:val="000B14FC"/>
    <w:rsid w:val="000C31EC"/>
    <w:rsid w:val="000D4458"/>
    <w:rsid w:val="000D47C1"/>
    <w:rsid w:val="000E2739"/>
    <w:rsid w:val="00106663"/>
    <w:rsid w:val="00130683"/>
    <w:rsid w:val="00133252"/>
    <w:rsid w:val="00164BD1"/>
    <w:rsid w:val="00173000"/>
    <w:rsid w:val="0019446B"/>
    <w:rsid w:val="001949BE"/>
    <w:rsid w:val="001A5A53"/>
    <w:rsid w:val="001D4D93"/>
    <w:rsid w:val="001E4DFB"/>
    <w:rsid w:val="001F7FBC"/>
    <w:rsid w:val="00204E4C"/>
    <w:rsid w:val="002061F2"/>
    <w:rsid w:val="002067F0"/>
    <w:rsid w:val="00216FE3"/>
    <w:rsid w:val="00223B3C"/>
    <w:rsid w:val="00225676"/>
    <w:rsid w:val="0024421E"/>
    <w:rsid w:val="00244CF8"/>
    <w:rsid w:val="0029664E"/>
    <w:rsid w:val="002A4980"/>
    <w:rsid w:val="002C7323"/>
    <w:rsid w:val="002E15F6"/>
    <w:rsid w:val="002E1BA3"/>
    <w:rsid w:val="002E78EE"/>
    <w:rsid w:val="00310712"/>
    <w:rsid w:val="0032512B"/>
    <w:rsid w:val="00352260"/>
    <w:rsid w:val="00366030"/>
    <w:rsid w:val="00385A09"/>
    <w:rsid w:val="00390D97"/>
    <w:rsid w:val="003A13EA"/>
    <w:rsid w:val="003C0801"/>
    <w:rsid w:val="003E44B6"/>
    <w:rsid w:val="00400914"/>
    <w:rsid w:val="0040796C"/>
    <w:rsid w:val="00414D66"/>
    <w:rsid w:val="00420C51"/>
    <w:rsid w:val="00422E4C"/>
    <w:rsid w:val="00452F1B"/>
    <w:rsid w:val="004541E8"/>
    <w:rsid w:val="004541FD"/>
    <w:rsid w:val="0047664C"/>
    <w:rsid w:val="004A1628"/>
    <w:rsid w:val="005036D7"/>
    <w:rsid w:val="005133BD"/>
    <w:rsid w:val="00516580"/>
    <w:rsid w:val="00541BF4"/>
    <w:rsid w:val="00541EB5"/>
    <w:rsid w:val="00544F80"/>
    <w:rsid w:val="00584528"/>
    <w:rsid w:val="00594805"/>
    <w:rsid w:val="00597976"/>
    <w:rsid w:val="005B21BF"/>
    <w:rsid w:val="005B5C79"/>
    <w:rsid w:val="005D1DB1"/>
    <w:rsid w:val="005F5E6C"/>
    <w:rsid w:val="006038B8"/>
    <w:rsid w:val="0061607E"/>
    <w:rsid w:val="0061653C"/>
    <w:rsid w:val="0061793A"/>
    <w:rsid w:val="00630921"/>
    <w:rsid w:val="00665CBA"/>
    <w:rsid w:val="00667464"/>
    <w:rsid w:val="00693139"/>
    <w:rsid w:val="006A0156"/>
    <w:rsid w:val="006D57E1"/>
    <w:rsid w:val="006F6029"/>
    <w:rsid w:val="0070062A"/>
    <w:rsid w:val="00701F2C"/>
    <w:rsid w:val="007372DD"/>
    <w:rsid w:val="00737A1D"/>
    <w:rsid w:val="007421EB"/>
    <w:rsid w:val="00754AF8"/>
    <w:rsid w:val="0077764E"/>
    <w:rsid w:val="00782BEB"/>
    <w:rsid w:val="007953D8"/>
    <w:rsid w:val="007B2E38"/>
    <w:rsid w:val="007B38A9"/>
    <w:rsid w:val="007B7CD8"/>
    <w:rsid w:val="007E652C"/>
    <w:rsid w:val="007F58BE"/>
    <w:rsid w:val="007F7619"/>
    <w:rsid w:val="00816591"/>
    <w:rsid w:val="00831371"/>
    <w:rsid w:val="00835F2F"/>
    <w:rsid w:val="0083616C"/>
    <w:rsid w:val="00836315"/>
    <w:rsid w:val="00844703"/>
    <w:rsid w:val="00853A08"/>
    <w:rsid w:val="008767C4"/>
    <w:rsid w:val="00890557"/>
    <w:rsid w:val="008912E3"/>
    <w:rsid w:val="008923E0"/>
    <w:rsid w:val="008A3217"/>
    <w:rsid w:val="008B7EC7"/>
    <w:rsid w:val="008C6FD8"/>
    <w:rsid w:val="008E537D"/>
    <w:rsid w:val="008E798D"/>
    <w:rsid w:val="00916D73"/>
    <w:rsid w:val="00942C42"/>
    <w:rsid w:val="009548BE"/>
    <w:rsid w:val="00972AEA"/>
    <w:rsid w:val="0097524E"/>
    <w:rsid w:val="00983FF9"/>
    <w:rsid w:val="00996B29"/>
    <w:rsid w:val="00996FC2"/>
    <w:rsid w:val="009A41A3"/>
    <w:rsid w:val="009E494A"/>
    <w:rsid w:val="009F46B0"/>
    <w:rsid w:val="009F6BAE"/>
    <w:rsid w:val="00A0352B"/>
    <w:rsid w:val="00A037E9"/>
    <w:rsid w:val="00A36A31"/>
    <w:rsid w:val="00A53633"/>
    <w:rsid w:val="00A72B98"/>
    <w:rsid w:val="00A73397"/>
    <w:rsid w:val="00AA38A0"/>
    <w:rsid w:val="00AC48ED"/>
    <w:rsid w:val="00AD25CE"/>
    <w:rsid w:val="00AE350D"/>
    <w:rsid w:val="00B05428"/>
    <w:rsid w:val="00B05A67"/>
    <w:rsid w:val="00B10480"/>
    <w:rsid w:val="00B3710E"/>
    <w:rsid w:val="00B37CCF"/>
    <w:rsid w:val="00B502BD"/>
    <w:rsid w:val="00B50F0E"/>
    <w:rsid w:val="00B5699D"/>
    <w:rsid w:val="00B70B16"/>
    <w:rsid w:val="00BE5668"/>
    <w:rsid w:val="00BE6DA4"/>
    <w:rsid w:val="00C01068"/>
    <w:rsid w:val="00C038DD"/>
    <w:rsid w:val="00C12671"/>
    <w:rsid w:val="00C15B98"/>
    <w:rsid w:val="00C15DAC"/>
    <w:rsid w:val="00C34C80"/>
    <w:rsid w:val="00C5147A"/>
    <w:rsid w:val="00C52A0B"/>
    <w:rsid w:val="00C54230"/>
    <w:rsid w:val="00C7020D"/>
    <w:rsid w:val="00C82EE5"/>
    <w:rsid w:val="00C9407C"/>
    <w:rsid w:val="00C97CDA"/>
    <w:rsid w:val="00CA294E"/>
    <w:rsid w:val="00CC4C2C"/>
    <w:rsid w:val="00CC7761"/>
    <w:rsid w:val="00D21C58"/>
    <w:rsid w:val="00D26936"/>
    <w:rsid w:val="00D3536A"/>
    <w:rsid w:val="00D36AA6"/>
    <w:rsid w:val="00D42EC8"/>
    <w:rsid w:val="00D52D7C"/>
    <w:rsid w:val="00D55BBB"/>
    <w:rsid w:val="00D9501F"/>
    <w:rsid w:val="00DA1C52"/>
    <w:rsid w:val="00DA2912"/>
    <w:rsid w:val="00DA754A"/>
    <w:rsid w:val="00DE4905"/>
    <w:rsid w:val="00E21278"/>
    <w:rsid w:val="00E24C4F"/>
    <w:rsid w:val="00E56475"/>
    <w:rsid w:val="00E711F3"/>
    <w:rsid w:val="00E7560B"/>
    <w:rsid w:val="00E968B5"/>
    <w:rsid w:val="00EB1AF1"/>
    <w:rsid w:val="00F1361E"/>
    <w:rsid w:val="00F1389C"/>
    <w:rsid w:val="00F173F7"/>
    <w:rsid w:val="00F451D8"/>
    <w:rsid w:val="00F5410D"/>
    <w:rsid w:val="00F57C18"/>
    <w:rsid w:val="00F86E72"/>
    <w:rsid w:val="00FA027D"/>
    <w:rsid w:val="00FA4D75"/>
    <w:rsid w:val="00FC4544"/>
    <w:rsid w:val="00FF2D9C"/>
    <w:rsid w:val="010772F7"/>
    <w:rsid w:val="02B8008B"/>
    <w:rsid w:val="0354310B"/>
    <w:rsid w:val="042A3E5C"/>
    <w:rsid w:val="04BD1B14"/>
    <w:rsid w:val="04E124AB"/>
    <w:rsid w:val="06AC1E40"/>
    <w:rsid w:val="06F21498"/>
    <w:rsid w:val="082751D4"/>
    <w:rsid w:val="087C3598"/>
    <w:rsid w:val="08B01A1D"/>
    <w:rsid w:val="0958443C"/>
    <w:rsid w:val="096C7D03"/>
    <w:rsid w:val="09BB5848"/>
    <w:rsid w:val="0A0B6138"/>
    <w:rsid w:val="0A9A26C8"/>
    <w:rsid w:val="0AE55920"/>
    <w:rsid w:val="0BD2761D"/>
    <w:rsid w:val="0C6658D0"/>
    <w:rsid w:val="0D125AE7"/>
    <w:rsid w:val="0D4A5670"/>
    <w:rsid w:val="0D5374B9"/>
    <w:rsid w:val="0D6B18C2"/>
    <w:rsid w:val="0D74306F"/>
    <w:rsid w:val="0DB64159"/>
    <w:rsid w:val="0DC34C5E"/>
    <w:rsid w:val="0DF72A95"/>
    <w:rsid w:val="0EA0228A"/>
    <w:rsid w:val="0ED158DD"/>
    <w:rsid w:val="0F1409D8"/>
    <w:rsid w:val="0F1E5E95"/>
    <w:rsid w:val="0F427271"/>
    <w:rsid w:val="100449D5"/>
    <w:rsid w:val="10BE758F"/>
    <w:rsid w:val="10C92951"/>
    <w:rsid w:val="110C1E59"/>
    <w:rsid w:val="116770BE"/>
    <w:rsid w:val="12ED5CBA"/>
    <w:rsid w:val="13BF7CAB"/>
    <w:rsid w:val="14237DFD"/>
    <w:rsid w:val="14CA1FE3"/>
    <w:rsid w:val="14CB6B69"/>
    <w:rsid w:val="1521478B"/>
    <w:rsid w:val="152570C3"/>
    <w:rsid w:val="158567D3"/>
    <w:rsid w:val="158F03A1"/>
    <w:rsid w:val="15A875BC"/>
    <w:rsid w:val="15D16CB3"/>
    <w:rsid w:val="162931E1"/>
    <w:rsid w:val="164041C8"/>
    <w:rsid w:val="172805BA"/>
    <w:rsid w:val="174E034E"/>
    <w:rsid w:val="17AF3275"/>
    <w:rsid w:val="18467276"/>
    <w:rsid w:val="18581279"/>
    <w:rsid w:val="191A24AF"/>
    <w:rsid w:val="19BE1623"/>
    <w:rsid w:val="1A24629B"/>
    <w:rsid w:val="1AEE4DCF"/>
    <w:rsid w:val="1AF220BF"/>
    <w:rsid w:val="1B522B5E"/>
    <w:rsid w:val="1B921DDF"/>
    <w:rsid w:val="1C1510C3"/>
    <w:rsid w:val="1C8200A2"/>
    <w:rsid w:val="1E943D94"/>
    <w:rsid w:val="1EB268D8"/>
    <w:rsid w:val="1FE35702"/>
    <w:rsid w:val="1FF74F8E"/>
    <w:rsid w:val="20230F6D"/>
    <w:rsid w:val="20A17B17"/>
    <w:rsid w:val="226B0733"/>
    <w:rsid w:val="22C75BE0"/>
    <w:rsid w:val="23533577"/>
    <w:rsid w:val="23BA6527"/>
    <w:rsid w:val="24870F7D"/>
    <w:rsid w:val="24A216A6"/>
    <w:rsid w:val="24D64800"/>
    <w:rsid w:val="252D146A"/>
    <w:rsid w:val="26680D73"/>
    <w:rsid w:val="26D71DA6"/>
    <w:rsid w:val="28162ADB"/>
    <w:rsid w:val="28255771"/>
    <w:rsid w:val="291122AA"/>
    <w:rsid w:val="298C64C9"/>
    <w:rsid w:val="2A565492"/>
    <w:rsid w:val="2A595CD0"/>
    <w:rsid w:val="2ADC7059"/>
    <w:rsid w:val="2B0943D0"/>
    <w:rsid w:val="2B6F32B8"/>
    <w:rsid w:val="2BCC3368"/>
    <w:rsid w:val="2CFD6DB2"/>
    <w:rsid w:val="2D734AAD"/>
    <w:rsid w:val="2D835999"/>
    <w:rsid w:val="2D880661"/>
    <w:rsid w:val="2DAA19AE"/>
    <w:rsid w:val="2DC526CA"/>
    <w:rsid w:val="2DD47592"/>
    <w:rsid w:val="2DFE6E2A"/>
    <w:rsid w:val="2E2A33BD"/>
    <w:rsid w:val="2EA0524B"/>
    <w:rsid w:val="2F63179E"/>
    <w:rsid w:val="303B19BB"/>
    <w:rsid w:val="309E3B2D"/>
    <w:rsid w:val="31EA60C2"/>
    <w:rsid w:val="320428E3"/>
    <w:rsid w:val="32BB562C"/>
    <w:rsid w:val="32F045B9"/>
    <w:rsid w:val="33442501"/>
    <w:rsid w:val="346D303A"/>
    <w:rsid w:val="34924364"/>
    <w:rsid w:val="34931DC5"/>
    <w:rsid w:val="34D95509"/>
    <w:rsid w:val="35657300"/>
    <w:rsid w:val="356A38DC"/>
    <w:rsid w:val="3574562E"/>
    <w:rsid w:val="36794FEB"/>
    <w:rsid w:val="36B978CE"/>
    <w:rsid w:val="377073F0"/>
    <w:rsid w:val="379D0908"/>
    <w:rsid w:val="37D01583"/>
    <w:rsid w:val="38731CBB"/>
    <w:rsid w:val="38D1447C"/>
    <w:rsid w:val="38E07A8A"/>
    <w:rsid w:val="390F49AC"/>
    <w:rsid w:val="39D76559"/>
    <w:rsid w:val="39D82007"/>
    <w:rsid w:val="3A426F31"/>
    <w:rsid w:val="3A8A44E7"/>
    <w:rsid w:val="3AA500BA"/>
    <w:rsid w:val="3C2361E5"/>
    <w:rsid w:val="3D5D6B10"/>
    <w:rsid w:val="3D7572F7"/>
    <w:rsid w:val="3D76438A"/>
    <w:rsid w:val="3D8A3D56"/>
    <w:rsid w:val="3F2D72BA"/>
    <w:rsid w:val="3F980E7B"/>
    <w:rsid w:val="41A575DC"/>
    <w:rsid w:val="41AF2209"/>
    <w:rsid w:val="4249761C"/>
    <w:rsid w:val="42C6203C"/>
    <w:rsid w:val="42CB4E20"/>
    <w:rsid w:val="442C49D8"/>
    <w:rsid w:val="44435EE1"/>
    <w:rsid w:val="44B51143"/>
    <w:rsid w:val="44ED5522"/>
    <w:rsid w:val="456D62B9"/>
    <w:rsid w:val="459B6D2C"/>
    <w:rsid w:val="45F42696"/>
    <w:rsid w:val="46E16A5F"/>
    <w:rsid w:val="474D5189"/>
    <w:rsid w:val="47D1799B"/>
    <w:rsid w:val="47D84D6D"/>
    <w:rsid w:val="484B6BDE"/>
    <w:rsid w:val="489A776F"/>
    <w:rsid w:val="48E334ED"/>
    <w:rsid w:val="48F23F69"/>
    <w:rsid w:val="48F25AD5"/>
    <w:rsid w:val="49F21C2A"/>
    <w:rsid w:val="4A1878A4"/>
    <w:rsid w:val="4B046389"/>
    <w:rsid w:val="4B726781"/>
    <w:rsid w:val="4CB84667"/>
    <w:rsid w:val="4CC476A2"/>
    <w:rsid w:val="4CDA7876"/>
    <w:rsid w:val="4D3161C8"/>
    <w:rsid w:val="4E56172D"/>
    <w:rsid w:val="4E885416"/>
    <w:rsid w:val="4EE5726A"/>
    <w:rsid w:val="50165DB1"/>
    <w:rsid w:val="506A211C"/>
    <w:rsid w:val="50DB0924"/>
    <w:rsid w:val="50E41142"/>
    <w:rsid w:val="50F11EF6"/>
    <w:rsid w:val="510A3E0F"/>
    <w:rsid w:val="51671B48"/>
    <w:rsid w:val="51C5229D"/>
    <w:rsid w:val="520F3E84"/>
    <w:rsid w:val="52727FF2"/>
    <w:rsid w:val="52A30966"/>
    <w:rsid w:val="53166F93"/>
    <w:rsid w:val="5335540B"/>
    <w:rsid w:val="53626C1B"/>
    <w:rsid w:val="53722A3B"/>
    <w:rsid w:val="545D5AF4"/>
    <w:rsid w:val="547A1194"/>
    <w:rsid w:val="54CF47EF"/>
    <w:rsid w:val="55356B71"/>
    <w:rsid w:val="55410DBD"/>
    <w:rsid w:val="557C0232"/>
    <w:rsid w:val="56DB7DAA"/>
    <w:rsid w:val="5762751C"/>
    <w:rsid w:val="57A44166"/>
    <w:rsid w:val="58403763"/>
    <w:rsid w:val="58BD2E7F"/>
    <w:rsid w:val="58CC22D2"/>
    <w:rsid w:val="59B70513"/>
    <w:rsid w:val="59D10B16"/>
    <w:rsid w:val="59EE16C8"/>
    <w:rsid w:val="59FA6402"/>
    <w:rsid w:val="5A5A0BD4"/>
    <w:rsid w:val="5B254768"/>
    <w:rsid w:val="5B921C31"/>
    <w:rsid w:val="5B940ED8"/>
    <w:rsid w:val="5BBB41A2"/>
    <w:rsid w:val="5BF64864"/>
    <w:rsid w:val="5C0D5892"/>
    <w:rsid w:val="5C8265BF"/>
    <w:rsid w:val="5CDC6150"/>
    <w:rsid w:val="5D42520B"/>
    <w:rsid w:val="5DEB784E"/>
    <w:rsid w:val="5E15676A"/>
    <w:rsid w:val="5E5B674D"/>
    <w:rsid w:val="5EC81B1E"/>
    <w:rsid w:val="5F0C485E"/>
    <w:rsid w:val="602C4AE6"/>
    <w:rsid w:val="60D111EA"/>
    <w:rsid w:val="60D27197"/>
    <w:rsid w:val="613B7E7B"/>
    <w:rsid w:val="61783CF3"/>
    <w:rsid w:val="61F53810"/>
    <w:rsid w:val="62F403F2"/>
    <w:rsid w:val="63251B06"/>
    <w:rsid w:val="637202DD"/>
    <w:rsid w:val="637879A9"/>
    <w:rsid w:val="63827325"/>
    <w:rsid w:val="63C52215"/>
    <w:rsid w:val="640C53CD"/>
    <w:rsid w:val="643340F4"/>
    <w:rsid w:val="647311B7"/>
    <w:rsid w:val="64782020"/>
    <w:rsid w:val="64817511"/>
    <w:rsid w:val="64AC0143"/>
    <w:rsid w:val="64E70B07"/>
    <w:rsid w:val="650F1C64"/>
    <w:rsid w:val="652A557F"/>
    <w:rsid w:val="65E550F2"/>
    <w:rsid w:val="66C157CB"/>
    <w:rsid w:val="66D72ADD"/>
    <w:rsid w:val="676430BD"/>
    <w:rsid w:val="67D143D7"/>
    <w:rsid w:val="68630D54"/>
    <w:rsid w:val="68891926"/>
    <w:rsid w:val="688B5A21"/>
    <w:rsid w:val="69054339"/>
    <w:rsid w:val="692A10E8"/>
    <w:rsid w:val="69C77840"/>
    <w:rsid w:val="6A4D41E9"/>
    <w:rsid w:val="6A89136D"/>
    <w:rsid w:val="6B1B763B"/>
    <w:rsid w:val="6C520910"/>
    <w:rsid w:val="6CF43042"/>
    <w:rsid w:val="6CF531B5"/>
    <w:rsid w:val="6D8C078C"/>
    <w:rsid w:val="6DC5678C"/>
    <w:rsid w:val="6EA95FE7"/>
    <w:rsid w:val="6EC66318"/>
    <w:rsid w:val="6EFF1435"/>
    <w:rsid w:val="6F6A3DB6"/>
    <w:rsid w:val="6FD068F0"/>
    <w:rsid w:val="70330C01"/>
    <w:rsid w:val="70671E2E"/>
    <w:rsid w:val="708C3591"/>
    <w:rsid w:val="708E5C9B"/>
    <w:rsid w:val="70C475F5"/>
    <w:rsid w:val="70E30E24"/>
    <w:rsid w:val="70EB579D"/>
    <w:rsid w:val="716825B6"/>
    <w:rsid w:val="71793919"/>
    <w:rsid w:val="722B37CE"/>
    <w:rsid w:val="724C7047"/>
    <w:rsid w:val="72A921D9"/>
    <w:rsid w:val="72BD3ED6"/>
    <w:rsid w:val="7372099F"/>
    <w:rsid w:val="737B2D9A"/>
    <w:rsid w:val="73C03C7E"/>
    <w:rsid w:val="74791999"/>
    <w:rsid w:val="75170442"/>
    <w:rsid w:val="75295853"/>
    <w:rsid w:val="764A532C"/>
    <w:rsid w:val="76746552"/>
    <w:rsid w:val="769B34C2"/>
    <w:rsid w:val="76AB6FB1"/>
    <w:rsid w:val="76AE4262"/>
    <w:rsid w:val="76E75929"/>
    <w:rsid w:val="773526DE"/>
    <w:rsid w:val="775545EE"/>
    <w:rsid w:val="77B70EF4"/>
    <w:rsid w:val="78730286"/>
    <w:rsid w:val="794E7636"/>
    <w:rsid w:val="79780A9A"/>
    <w:rsid w:val="79AE4579"/>
    <w:rsid w:val="79B643EB"/>
    <w:rsid w:val="7B7E6F57"/>
    <w:rsid w:val="7CD52A5E"/>
    <w:rsid w:val="7D5B41D7"/>
    <w:rsid w:val="7E1E7F1F"/>
    <w:rsid w:val="7FA25EF6"/>
    <w:rsid w:val="7FBA3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/>
      <w:numPr>
        <w:ilvl w:val="0"/>
        <w:numId w:val="1"/>
      </w:numPr>
      <w:tabs>
        <w:tab w:val="left" w:pos="567"/>
      </w:tabs>
      <w:spacing w:before="240" w:after="240" w:line="360" w:lineRule="auto"/>
      <w:outlineLvl w:val="0"/>
    </w:pPr>
    <w:rPr>
      <w:rFonts w:ascii="仿宋_GB2312" w:hAnsi="仿宋_GB2312" w:eastAsia="仿宋"/>
      <w:b/>
      <w:kern w:val="44"/>
      <w:sz w:val="32"/>
      <w:szCs w:val="28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425"/>
      </w:tabs>
      <w:spacing w:line="360" w:lineRule="auto"/>
      <w:jc w:val="left"/>
      <w:outlineLvl w:val="1"/>
    </w:pPr>
    <w:rPr>
      <w:rFonts w:ascii="仿宋_GB2312" w:hAnsi="仿宋_GB2312" w:eastAsia="仿宋_GB2312"/>
      <w:b/>
      <w:bCs/>
      <w:sz w:val="30"/>
      <w:szCs w:val="28"/>
    </w:rPr>
  </w:style>
  <w:style w:type="paragraph" w:styleId="4">
    <w:name w:val="heading 3"/>
    <w:basedOn w:val="1"/>
    <w:next w:val="1"/>
    <w:link w:val="36"/>
    <w:qFormat/>
    <w:uiPriority w:val="0"/>
    <w:pPr>
      <w:keepNext/>
      <w:keepLines/>
      <w:numPr>
        <w:ilvl w:val="2"/>
        <w:numId w:val="1"/>
      </w:numPr>
      <w:tabs>
        <w:tab w:val="left" w:pos="425"/>
      </w:tabs>
      <w:spacing w:line="415" w:lineRule="auto"/>
      <w:outlineLvl w:val="2"/>
    </w:pPr>
    <w:rPr>
      <w:rFonts w:ascii="仿宋" w:hAnsi="仿宋" w:eastAsia="仿宋_GB2312"/>
      <w:b/>
      <w:bCs/>
      <w:sz w:val="28"/>
      <w:szCs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仿宋"/>
      <w:sz w:val="28"/>
    </w:rPr>
  </w:style>
  <w:style w:type="character" w:default="1" w:styleId="22">
    <w:name w:val="Default Paragraph Font"/>
    <w:semiHidden/>
    <w:unhideWhenUsed/>
    <w:qFormat/>
    <w:uiPriority w:val="1"/>
  </w:style>
  <w:style w:type="table" w:default="1" w:styleId="2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spacing w:line="300" w:lineRule="auto"/>
      <w:ind w:firstLine="420"/>
    </w:pPr>
    <w:rPr>
      <w:sz w:val="24"/>
      <w:szCs w:val="20"/>
    </w:rPr>
  </w:style>
  <w:style w:type="paragraph" w:styleId="7">
    <w:name w:val="caption"/>
    <w:basedOn w:val="1"/>
    <w:next w:val="1"/>
    <w:qFormat/>
    <w:uiPriority w:val="0"/>
    <w:pPr>
      <w:widowControl w:val="0"/>
      <w:spacing w:before="152" w:after="160"/>
      <w:jc w:val="center"/>
    </w:pPr>
    <w:rPr>
      <w:rFonts w:ascii="Arial" w:hAnsi="Arial" w:eastAsia="黑体" w:cs="Arial"/>
      <w:kern w:val="2"/>
      <w:sz w:val="18"/>
      <w:szCs w:val="18"/>
      <w:lang w:val="en-US" w:eastAsia="zh-CN" w:bidi="ar-SA"/>
    </w:rPr>
  </w:style>
  <w:style w:type="paragraph" w:styleId="8">
    <w:name w:val="annotation text"/>
    <w:basedOn w:val="1"/>
    <w:link w:val="42"/>
    <w:qFormat/>
    <w:uiPriority w:val="0"/>
    <w:pPr>
      <w:jc w:val="left"/>
    </w:pPr>
  </w:style>
  <w:style w:type="paragraph" w:styleId="9">
    <w:name w:val="Body Text"/>
    <w:basedOn w:val="1"/>
    <w:link w:val="46"/>
    <w:qFormat/>
    <w:uiPriority w:val="99"/>
    <w:pPr>
      <w:spacing w:after="120"/>
      <w:ind w:firstLine="200" w:firstLineChars="200"/>
    </w:pPr>
    <w:rPr>
      <w:sz w:val="24"/>
    </w:rPr>
  </w:style>
  <w:style w:type="paragraph" w:styleId="10">
    <w:name w:val="Plain Text"/>
    <w:basedOn w:val="1"/>
    <w:link w:val="45"/>
    <w:qFormat/>
    <w:uiPriority w:val="0"/>
    <w:pPr>
      <w:ind w:firstLine="200" w:firstLineChars="200"/>
    </w:pPr>
    <w:rPr>
      <w:rFonts w:ascii="宋体" w:hAnsi="Courier New"/>
      <w:sz w:val="24"/>
    </w:rPr>
  </w:style>
  <w:style w:type="paragraph" w:styleId="11">
    <w:name w:val="Balloon Text"/>
    <w:basedOn w:val="1"/>
    <w:link w:val="44"/>
    <w:qFormat/>
    <w:uiPriority w:val="0"/>
    <w:rPr>
      <w:sz w:val="18"/>
      <w:szCs w:val="18"/>
    </w:rPr>
  </w:style>
  <w:style w:type="paragraph" w:styleId="1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toc 1"/>
    <w:basedOn w:val="1"/>
    <w:next w:val="1"/>
    <w:qFormat/>
    <w:uiPriority w:val="39"/>
  </w:style>
  <w:style w:type="paragraph" w:styleId="15">
    <w:name w:val="toc 2"/>
    <w:basedOn w:val="1"/>
    <w:next w:val="1"/>
    <w:qFormat/>
    <w:uiPriority w:val="39"/>
    <w:pPr>
      <w:ind w:left="420" w:leftChars="200"/>
    </w:pPr>
  </w:style>
  <w:style w:type="paragraph" w:styleId="16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17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18">
    <w:name w:val="annotation subject"/>
    <w:basedOn w:val="8"/>
    <w:next w:val="8"/>
    <w:link w:val="43"/>
    <w:qFormat/>
    <w:uiPriority w:val="0"/>
    <w:rPr>
      <w:b/>
      <w:bCs/>
    </w:rPr>
  </w:style>
  <w:style w:type="paragraph" w:styleId="19">
    <w:name w:val="Body Text First Indent"/>
    <w:basedOn w:val="9"/>
    <w:qFormat/>
    <w:uiPriority w:val="0"/>
    <w:pPr>
      <w:adjustRightInd w:val="0"/>
      <w:spacing w:line="312" w:lineRule="atLeast"/>
      <w:ind w:firstLine="420" w:firstLineChars="100"/>
      <w:textAlignment w:val="baseline"/>
    </w:pPr>
    <w:rPr>
      <w:kern w:val="0"/>
      <w:sz w:val="21"/>
    </w:rPr>
  </w:style>
  <w:style w:type="table" w:styleId="21">
    <w:name w:val="Table Grid"/>
    <w:basedOn w:val="20"/>
    <w:qFormat/>
    <w:uiPriority w:val="0"/>
    <w:pPr>
      <w:widowControl w:val="0"/>
      <w:adjustRightInd w:val="0"/>
      <w:spacing w:line="312" w:lineRule="atLeast"/>
      <w:jc w:val="both"/>
      <w:textAlignment w:val="baseline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3">
    <w:name w:val="Strong"/>
    <w:basedOn w:val="22"/>
    <w:qFormat/>
    <w:uiPriority w:val="0"/>
    <w:rPr>
      <w:b/>
    </w:rPr>
  </w:style>
  <w:style w:type="character" w:styleId="24">
    <w:name w:val="page number"/>
    <w:basedOn w:val="22"/>
    <w:qFormat/>
    <w:uiPriority w:val="0"/>
  </w:style>
  <w:style w:type="character" w:styleId="25">
    <w:name w:val="FollowedHyperlink"/>
    <w:basedOn w:val="22"/>
    <w:unhideWhenUsed/>
    <w:qFormat/>
    <w:uiPriority w:val="99"/>
    <w:rPr>
      <w:color w:val="954F72"/>
      <w:u w:val="single"/>
    </w:rPr>
  </w:style>
  <w:style w:type="character" w:styleId="26">
    <w:name w:val="Hyperlink"/>
    <w:basedOn w:val="2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7">
    <w:name w:val="annotation reference"/>
    <w:basedOn w:val="22"/>
    <w:qFormat/>
    <w:uiPriority w:val="0"/>
    <w:rPr>
      <w:sz w:val="21"/>
      <w:szCs w:val="21"/>
    </w:rPr>
  </w:style>
  <w:style w:type="paragraph" w:customStyle="1" w:styleId="28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29">
    <w:name w:val="Normal Indent1"/>
    <w:basedOn w:val="1"/>
    <w:qFormat/>
    <w:uiPriority w:val="0"/>
    <w:pPr>
      <w:ind w:firstLine="200" w:firstLineChars="200"/>
    </w:pPr>
    <w:rPr>
      <w:sz w:val="24"/>
    </w:rPr>
  </w:style>
  <w:style w:type="paragraph" w:customStyle="1" w:styleId="30">
    <w:name w:val="目录 11"/>
    <w:basedOn w:val="1"/>
    <w:next w:val="1"/>
    <w:qFormat/>
    <w:uiPriority w:val="39"/>
    <w:pPr>
      <w:spacing w:before="120" w:after="120" w:line="60" w:lineRule="auto"/>
      <w:jc w:val="left"/>
    </w:pPr>
    <w:rPr>
      <w:b/>
      <w:bCs/>
      <w:caps/>
      <w:sz w:val="20"/>
      <w:szCs w:val="20"/>
    </w:rPr>
  </w:style>
  <w:style w:type="paragraph" w:customStyle="1" w:styleId="31">
    <w:name w:val="正文文本缩进1"/>
    <w:basedOn w:val="1"/>
    <w:qFormat/>
    <w:uiPriority w:val="0"/>
    <w:pPr>
      <w:spacing w:line="300" w:lineRule="auto"/>
      <w:ind w:firstLine="480"/>
    </w:pPr>
    <w:rPr>
      <w:rFonts w:ascii="宋体" w:hAnsi="宋体"/>
      <w:kern w:val="0"/>
      <w:sz w:val="24"/>
    </w:rPr>
  </w:style>
  <w:style w:type="paragraph" w:customStyle="1" w:styleId="32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 w:val="24"/>
    </w:rPr>
  </w:style>
  <w:style w:type="paragraph" w:customStyle="1" w:styleId="33">
    <w:name w:val="GEDI正文(无编号)"/>
    <w:basedOn w:val="1"/>
    <w:qFormat/>
    <w:uiPriority w:val="0"/>
    <w:pPr>
      <w:adjustRightInd w:val="0"/>
      <w:snapToGrid w:val="0"/>
      <w:ind w:left="420"/>
    </w:pPr>
    <w:rPr>
      <w:rFonts w:hAnsi="宋体"/>
      <w:szCs w:val="20"/>
    </w:rPr>
  </w:style>
  <w:style w:type="paragraph" w:styleId="34">
    <w:name w:val="List Paragraph"/>
    <w:basedOn w:val="1"/>
    <w:link w:val="37"/>
    <w:qFormat/>
    <w:uiPriority w:val="34"/>
    <w:pPr>
      <w:ind w:firstLine="420" w:firstLineChars="200"/>
    </w:pPr>
  </w:style>
  <w:style w:type="paragraph" w:customStyle="1" w:styleId="35">
    <w:name w:val="列出段落1"/>
    <w:basedOn w:val="1"/>
    <w:qFormat/>
    <w:uiPriority w:val="34"/>
    <w:pPr>
      <w:widowControl/>
      <w:spacing w:line="360" w:lineRule="auto"/>
      <w:ind w:firstLine="420" w:firstLineChars="200"/>
    </w:pPr>
    <w:rPr>
      <w:rFonts w:ascii="Calibri" w:hAnsi="Calibri"/>
      <w:kern w:val="0"/>
      <w:sz w:val="24"/>
    </w:rPr>
  </w:style>
  <w:style w:type="character" w:customStyle="1" w:styleId="36">
    <w:name w:val="标题 3 字符"/>
    <w:basedOn w:val="22"/>
    <w:link w:val="4"/>
    <w:qFormat/>
    <w:uiPriority w:val="0"/>
    <w:rPr>
      <w:rFonts w:ascii="仿宋" w:hAnsi="仿宋" w:eastAsia="仿宋_GB2312"/>
      <w:b/>
      <w:bCs/>
      <w:kern w:val="2"/>
      <w:sz w:val="28"/>
      <w:szCs w:val="32"/>
    </w:rPr>
  </w:style>
  <w:style w:type="character" w:customStyle="1" w:styleId="37">
    <w:name w:val="列表段落 字符"/>
    <w:link w:val="34"/>
    <w:qFormat/>
    <w:uiPriority w:val="34"/>
    <w:rPr>
      <w:kern w:val="2"/>
      <w:sz w:val="21"/>
      <w:szCs w:val="24"/>
    </w:rPr>
  </w:style>
  <w:style w:type="paragraph" w:customStyle="1" w:styleId="38">
    <w:name w:val="列表符号项目级别1"/>
    <w:basedOn w:val="1"/>
    <w:link w:val="39"/>
    <w:qFormat/>
    <w:uiPriority w:val="0"/>
    <w:pPr>
      <w:widowControl/>
      <w:numPr>
        <w:ilvl w:val="0"/>
        <w:numId w:val="2"/>
      </w:numPr>
      <w:spacing w:line="360" w:lineRule="auto"/>
    </w:pPr>
    <w:rPr>
      <w:rFonts w:ascii="Arial" w:hAnsi="Arial"/>
      <w:kern w:val="0"/>
      <w:sz w:val="24"/>
    </w:rPr>
  </w:style>
  <w:style w:type="character" w:customStyle="1" w:styleId="39">
    <w:name w:val="列表符号项目级别1 Char"/>
    <w:basedOn w:val="22"/>
    <w:link w:val="38"/>
    <w:qFormat/>
    <w:uiPriority w:val="0"/>
    <w:rPr>
      <w:rFonts w:ascii="Arial" w:hAnsi="Arial"/>
      <w:sz w:val="24"/>
      <w:szCs w:val="24"/>
    </w:rPr>
  </w:style>
  <w:style w:type="paragraph" w:customStyle="1" w:styleId="40">
    <w:name w:val="样式 正文缩进 + 首行缩进:  2 字符"/>
    <w:basedOn w:val="1"/>
    <w:link w:val="41"/>
    <w:qFormat/>
    <w:uiPriority w:val="0"/>
    <w:pPr>
      <w:widowControl/>
      <w:spacing w:line="360" w:lineRule="auto"/>
      <w:ind w:firstLine="200" w:firstLineChars="200"/>
    </w:pPr>
    <w:rPr>
      <w:rFonts w:ascii="Arial" w:hAnsi="Arial" w:cs="宋体"/>
      <w:kern w:val="0"/>
      <w:sz w:val="24"/>
      <w:szCs w:val="20"/>
    </w:rPr>
  </w:style>
  <w:style w:type="character" w:customStyle="1" w:styleId="41">
    <w:name w:val="样式 正文缩进 + 首行缩进:  2 字符 Char"/>
    <w:basedOn w:val="22"/>
    <w:link w:val="40"/>
    <w:qFormat/>
    <w:uiPriority w:val="0"/>
    <w:rPr>
      <w:rFonts w:ascii="Arial" w:hAnsi="Arial" w:cs="宋体"/>
      <w:sz w:val="24"/>
    </w:rPr>
  </w:style>
  <w:style w:type="character" w:customStyle="1" w:styleId="42">
    <w:name w:val="批注文字 字符"/>
    <w:basedOn w:val="22"/>
    <w:link w:val="8"/>
    <w:qFormat/>
    <w:uiPriority w:val="0"/>
    <w:rPr>
      <w:kern w:val="2"/>
      <w:sz w:val="21"/>
      <w:szCs w:val="24"/>
    </w:rPr>
  </w:style>
  <w:style w:type="character" w:customStyle="1" w:styleId="43">
    <w:name w:val="批注主题 字符"/>
    <w:basedOn w:val="42"/>
    <w:link w:val="18"/>
    <w:qFormat/>
    <w:uiPriority w:val="0"/>
    <w:rPr>
      <w:b/>
      <w:bCs/>
      <w:kern w:val="2"/>
      <w:sz w:val="21"/>
      <w:szCs w:val="24"/>
    </w:rPr>
  </w:style>
  <w:style w:type="character" w:customStyle="1" w:styleId="44">
    <w:name w:val="批注框文本 字符"/>
    <w:basedOn w:val="22"/>
    <w:link w:val="11"/>
    <w:qFormat/>
    <w:uiPriority w:val="0"/>
    <w:rPr>
      <w:kern w:val="2"/>
      <w:sz w:val="18"/>
      <w:szCs w:val="18"/>
    </w:rPr>
  </w:style>
  <w:style w:type="character" w:customStyle="1" w:styleId="45">
    <w:name w:val="纯文本 字符"/>
    <w:basedOn w:val="22"/>
    <w:link w:val="10"/>
    <w:qFormat/>
    <w:uiPriority w:val="0"/>
    <w:rPr>
      <w:rFonts w:ascii="宋体" w:hAnsi="Courier New"/>
      <w:kern w:val="2"/>
      <w:sz w:val="24"/>
      <w:szCs w:val="24"/>
    </w:rPr>
  </w:style>
  <w:style w:type="character" w:customStyle="1" w:styleId="46">
    <w:name w:val="正文文本 字符"/>
    <w:basedOn w:val="22"/>
    <w:link w:val="9"/>
    <w:qFormat/>
    <w:uiPriority w:val="99"/>
    <w:rPr>
      <w:kern w:val="2"/>
      <w:sz w:val="24"/>
      <w:szCs w:val="24"/>
    </w:rPr>
  </w:style>
  <w:style w:type="paragraph" w:customStyle="1" w:styleId="47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48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等线" w:hAnsi="等线" w:eastAsia="等线" w:cs="宋体"/>
      <w:kern w:val="0"/>
      <w:sz w:val="18"/>
      <w:szCs w:val="18"/>
    </w:rPr>
  </w:style>
  <w:style w:type="paragraph" w:customStyle="1" w:styleId="49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color w:val="000000"/>
      <w:kern w:val="0"/>
      <w:szCs w:val="21"/>
    </w:rPr>
  </w:style>
  <w:style w:type="paragraph" w:customStyle="1" w:styleId="50">
    <w:name w:val="xl65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1">
    <w:name w:val="xl66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52">
    <w:name w:val="xl6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3">
    <w:name w:val="xl6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4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5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56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7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58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59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0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1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2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3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4">
    <w:name w:val="xl79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5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6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仿宋" w:hAnsi="仿宋" w:eastAsia="仿宋" w:cs="宋体"/>
      <w:kern w:val="0"/>
      <w:sz w:val="24"/>
    </w:rPr>
  </w:style>
  <w:style w:type="paragraph" w:customStyle="1" w:styleId="67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kern w:val="0"/>
      <w:sz w:val="24"/>
    </w:rPr>
  </w:style>
  <w:style w:type="paragraph" w:customStyle="1" w:styleId="68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69">
    <w:name w:val="xl84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70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1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仿宋" w:hAnsi="仿宋" w:eastAsia="仿宋" w:cs="宋体"/>
      <w:kern w:val="0"/>
      <w:sz w:val="24"/>
    </w:rPr>
  </w:style>
  <w:style w:type="paragraph" w:customStyle="1" w:styleId="72">
    <w:name w:val="xl8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  <w:textAlignment w:val="bottom"/>
    </w:pPr>
    <w:rPr>
      <w:rFonts w:ascii="仿宋" w:hAnsi="仿宋" w:eastAsia="仿宋" w:cs="宋体"/>
      <w:kern w:val="0"/>
      <w:sz w:val="24"/>
    </w:rPr>
  </w:style>
  <w:style w:type="paragraph" w:customStyle="1" w:styleId="73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4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32"/>
      <w:szCs w:val="32"/>
    </w:rPr>
  </w:style>
  <w:style w:type="paragraph" w:customStyle="1" w:styleId="75">
    <w:name w:val="xl90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6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7">
    <w:name w:val="xl92"/>
    <w:basedOn w:val="1"/>
    <w:qFormat/>
    <w:uiPriority w:val="0"/>
    <w:pPr>
      <w:widowControl/>
      <w:pBdr>
        <w:top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8">
    <w:name w:val="xl93"/>
    <w:basedOn w:val="1"/>
    <w:qFormat/>
    <w:uiPriority w:val="0"/>
    <w:pPr>
      <w:widowControl/>
      <w:pBdr>
        <w:left w:val="single" w:color="auto" w:sz="4" w:space="0"/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79">
    <w:name w:val="xl94"/>
    <w:basedOn w:val="1"/>
    <w:qFormat/>
    <w:uiPriority w:val="0"/>
    <w:pPr>
      <w:widowControl/>
      <w:pBdr>
        <w:bottom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仿宋" w:hAnsi="仿宋" w:eastAsia="仿宋" w:cs="宋体"/>
      <w:b/>
      <w:bCs/>
      <w:kern w:val="0"/>
      <w:sz w:val="24"/>
    </w:rPr>
  </w:style>
  <w:style w:type="paragraph" w:customStyle="1" w:styleId="80">
    <w:name w:val="正文首行缩进 21"/>
    <w:basedOn w:val="1"/>
    <w:qFormat/>
    <w:uiPriority w:val="0"/>
    <w:pPr>
      <w:spacing w:before="62" w:after="62"/>
      <w:ind w:firstLine="420"/>
    </w:pPr>
  </w:style>
  <w:style w:type="character" w:customStyle="1" w:styleId="81">
    <w:name w:val="time"/>
    <w:qFormat/>
    <w:uiPriority w:val="0"/>
  </w:style>
  <w:style w:type="paragraph" w:customStyle="1" w:styleId="82">
    <w:name w:val="表头"/>
    <w:qFormat/>
    <w:uiPriority w:val="0"/>
    <w:pPr>
      <w:jc w:val="center"/>
    </w:pPr>
    <w:rPr>
      <w:rFonts w:ascii="Arial" w:hAnsi="Arial" w:eastAsia="黑体" w:cs="Arial"/>
      <w:kern w:val="2"/>
      <w:sz w:val="18"/>
      <w:szCs w:val="18"/>
      <w:lang w:val="en-US" w:eastAsia="zh-CN" w:bidi="ar-SA"/>
    </w:rPr>
  </w:style>
  <w:style w:type="paragraph" w:customStyle="1" w:styleId="83">
    <w:name w:val="表文字"/>
    <w:qFormat/>
    <w:uiPriority w:val="0"/>
    <w:pPr>
      <w:widowControl w:val="0"/>
      <w:jc w:val="center"/>
    </w:pPr>
    <w:rPr>
      <w:rFonts w:ascii="Times New Roman" w:hAnsi="Times New Roman" w:eastAsia="宋体" w:cs="Times New Roman"/>
      <w:sz w:val="18"/>
      <w:szCs w:val="18"/>
      <w:lang w:val="en-US" w:eastAsia="zh-CN" w:bidi="ar-SA"/>
    </w:rPr>
  </w:style>
  <w:style w:type="paragraph" w:customStyle="1" w:styleId="84">
    <w:name w:val="注"/>
    <w:qFormat/>
    <w:uiPriority w:val="0"/>
    <w:pPr>
      <w:ind w:firstLine="420"/>
    </w:pPr>
    <w:rPr>
      <w:rFonts w:ascii="Times New Roman" w:hAnsi="Times New Roman" w:eastAsia="楷体_GB2312" w:cs="Times New Roman"/>
      <w:kern w:val="2"/>
      <w:sz w:val="18"/>
      <w:szCs w:val="18"/>
      <w:lang w:val="en-US" w:eastAsia="zh-CN" w:bidi="ar-SA"/>
    </w:rPr>
  </w:style>
  <w:style w:type="table" w:customStyle="1" w:styleId="8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6">
    <w:name w:val="Table Text"/>
    <w:basedOn w:val="1"/>
    <w:semiHidden/>
    <w:qFormat/>
    <w:uiPriority w:val="0"/>
    <w:rPr>
      <w:rFonts w:ascii="Times New Roman" w:hAnsi="Times New Roman" w:eastAsia="Times New Roman" w:cs="Times New Roman"/>
      <w:sz w:val="18"/>
      <w:szCs w:val="18"/>
      <w:lang w:val="en-US" w:eastAsia="en-US" w:bidi="ar-SA"/>
    </w:rPr>
  </w:style>
  <w:style w:type="paragraph" w:customStyle="1" w:styleId="87">
    <w:name w:val="0-页脚"/>
    <w:basedOn w:val="88"/>
    <w:qFormat/>
    <w:uiPriority w:val="0"/>
    <w:rPr>
      <w:color w:val="FF0000"/>
    </w:rPr>
  </w:style>
  <w:style w:type="paragraph" w:customStyle="1" w:styleId="88">
    <w:name w:val="0-页眉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customXml" Target="../customXml/item1.xml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2661</Words>
  <Characters>3187</Characters>
  <Lines>86</Lines>
  <Paragraphs>24</Paragraphs>
  <TotalTime>5</TotalTime>
  <ScaleCrop>false</ScaleCrop>
  <LinksUpToDate>false</LinksUpToDate>
  <CharactersWithSpaces>3368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2023-03-07T21:48:00Z</dcterms:created>
  <dc:creator>七月</dc:creator>
  <cp:lastModifiedBy>E373D4D6C67EB511E053064310ACB07F</cp:lastModifiedBy>
  <dcterms:modified xsi:type="dcterms:W3CDTF">2025-11-10T09:36:55Z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AE93C06CEFFB48F490B74479C82C4F09_13</vt:lpwstr>
  </property>
</Properties>
</file>