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hint="eastAsia"/>
          <w:b/>
          <w:sz w:val="48"/>
          <w:szCs w:val="48"/>
        </w:rPr>
        <w:t>梧州网区2025年第二批职创项目加工服务</w:t>
      </w:r>
      <w:r>
        <w:rPr>
          <w:rFonts w:hint="eastAsia"/>
          <w:b/>
          <w:sz w:val="48"/>
          <w:szCs w:val="48"/>
          <w:lang w:eastAsia="zh-CN"/>
        </w:rPr>
        <w:t>（一种可以快速绑扎引线并可以伸缩锁紧的绝缘绳索）</w:t>
      </w:r>
      <w:r>
        <w:rPr>
          <w:rFonts w:hint="eastAsia"/>
          <w:b/>
          <w:sz w:val="48"/>
          <w:szCs w:val="48"/>
        </w:rPr>
        <w:t>技术规范书</w:t>
      </w:r>
    </w:p>
    <w:p/>
    <w:p>
      <w:pPr>
        <w:pStyle w:val="4"/>
      </w:pPr>
    </w:p>
    <w:p>
      <w:pPr>
        <w:pStyle w:val="5"/>
      </w:pPr>
    </w:p>
    <w:p/>
    <w:p>
      <w:pPr>
        <w:pStyle w:val="4"/>
      </w:pPr>
    </w:p>
    <w:p>
      <w:pPr>
        <w:pStyle w:val="5"/>
      </w:pPr>
    </w:p>
    <w:p/>
    <w:p>
      <w:pPr>
        <w:pStyle w:val="4"/>
      </w:pPr>
    </w:p>
    <w:p>
      <w:pPr>
        <w:pStyle w:val="5"/>
      </w:pPr>
    </w:p>
    <w:p/>
    <w:p>
      <w:pPr>
        <w:pStyle w:val="4"/>
      </w:pPr>
    </w:p>
    <w:p>
      <w:pPr>
        <w:pStyle w:val="5"/>
      </w:pPr>
    </w:p>
    <w:p/>
    <w:p>
      <w:pPr>
        <w:spacing w:line="360" w:lineRule="auto"/>
        <w:jc w:val="center"/>
        <w:rPr>
          <w:rFonts w:ascii="宋体" w:hAnsi="Times New Roman" w:eastAsia="宋体" w:cs="Times New Roman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广西电网有限责任公司梧州供电局</w:t>
      </w:r>
    </w:p>
    <w:p>
      <w:pPr>
        <w:spacing w:line="360" w:lineRule="auto"/>
        <w:jc w:val="center"/>
        <w:rPr>
          <w:rFonts w:ascii="宋体" w:hAnsi="Times New Roman" w:eastAsia="宋体" w:cs="Times New Roman"/>
          <w:b/>
          <w:sz w:val="32"/>
          <w:szCs w:val="32"/>
        </w:rPr>
      </w:pPr>
      <w:r>
        <w:rPr>
          <w:rFonts w:hint="eastAsia" w:ascii="宋体" w:hAnsi="Times New Roman" w:eastAsia="宋体" w:cs="Times New Roman"/>
          <w:b/>
          <w:sz w:val="32"/>
          <w:szCs w:val="32"/>
        </w:rPr>
        <w:t>202</w:t>
      </w:r>
      <w:r>
        <w:rPr>
          <w:rFonts w:ascii="宋体" w:hAnsi="Times New Roman" w:eastAsia="宋体" w:cs="Times New Roman"/>
          <w:b/>
          <w:sz w:val="32"/>
          <w:szCs w:val="32"/>
        </w:rPr>
        <w:t>5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年</w:t>
      </w: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10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月</w:t>
      </w:r>
      <w:r>
        <w:rPr>
          <w:rFonts w:hint="eastAsia" w:ascii="宋体" w:hAnsi="Times New Roman" w:eastAsia="宋体" w:cs="Times New Roman"/>
          <w:b/>
          <w:sz w:val="32"/>
          <w:szCs w:val="32"/>
          <w:lang w:val="en-US" w:eastAsia="zh-CN"/>
        </w:rPr>
        <w:t>16</w:t>
      </w:r>
      <w:r>
        <w:rPr>
          <w:rFonts w:hint="eastAsia" w:ascii="宋体" w:hAnsi="Times New Roman" w:eastAsia="宋体" w:cs="Times New Roman"/>
          <w:b/>
          <w:sz w:val="32"/>
          <w:szCs w:val="32"/>
        </w:rPr>
        <w:t>日</w:t>
      </w:r>
    </w:p>
    <w:p>
      <w:r>
        <w:rPr>
          <w:rFonts w:hint="eastAsia"/>
        </w:rPr>
        <w:br w:type="page"/>
      </w:r>
    </w:p>
    <w:p>
      <w:pPr>
        <w:pStyle w:val="4"/>
      </w:pPr>
    </w:p>
    <w:p>
      <w:pPr>
        <w:spacing w:line="360" w:lineRule="auto"/>
      </w:pPr>
    </w:p>
    <w:sdt>
      <w:sdtPr>
        <w:rPr>
          <w:lang w:val="zh-CN"/>
        </w:rPr>
        <w:id w:val="-441228423"/>
        <w:docPartObj>
          <w:docPartGallery w:val="Table of Contents"/>
          <w:docPartUnique/>
        </w:docPartObj>
      </w:sdtPr>
      <w:sdtEndPr>
        <w:rPr>
          <w:sz w:val="24"/>
          <w:lang w:val="zh-CN"/>
        </w:rPr>
      </w:sdtEndPr>
      <w:sdtContent>
        <w:p>
          <w:pPr>
            <w:spacing w:line="360" w:lineRule="auto"/>
            <w:jc w:val="center"/>
          </w:pPr>
          <w:r>
            <w:rPr>
              <w:rFonts w:ascii="宋体" w:hAnsi="宋体" w:eastAsia="宋体"/>
            </w:rPr>
            <w:t>目录</w:t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rPr>
              <w:sz w:val="24"/>
            </w:rPr>
            <w:fldChar w:fldCharType="begin"/>
          </w:r>
          <w:r>
            <w:rPr>
              <w:sz w:val="24"/>
            </w:rPr>
            <w:instrText xml:space="preserve"> TOC \o "1-3" \h \z \u </w:instrText>
          </w:r>
          <w:r>
            <w:rPr>
              <w:sz w:val="24"/>
            </w:rPr>
            <w:fldChar w:fldCharType="separate"/>
          </w:r>
          <w:r>
            <w:fldChar w:fldCharType="begin"/>
          </w:r>
          <w:r>
            <w:instrText xml:space="preserve"> HYPERLINK \l "_Toc2053"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1总则</w:t>
          </w:r>
          <w:r>
            <w:tab/>
          </w:r>
          <w:r>
            <w:fldChar w:fldCharType="begin"/>
          </w:r>
          <w:r>
            <w:instrText xml:space="preserve"> PAGEREF _Toc2053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"_Toc9878"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2标准和规程</w:t>
          </w:r>
          <w:r>
            <w:tab/>
          </w:r>
          <w:r>
            <w:fldChar w:fldCharType="begin"/>
          </w:r>
          <w:r>
            <w:instrText xml:space="preserve"> PAGEREF _Toc9878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"_Toc436"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3 项目概述</w:t>
          </w:r>
          <w:r>
            <w:tab/>
          </w:r>
          <w:r>
            <w:fldChar w:fldCharType="begin"/>
          </w:r>
          <w:r>
            <w:instrText xml:space="preserve"> PAGEREF _Toc436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"_Toc27800"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4加工技术要求</w:t>
          </w:r>
          <w:r>
            <w:tab/>
          </w:r>
          <w:r>
            <w:fldChar w:fldCharType="begin"/>
          </w:r>
          <w:r>
            <w:instrText xml:space="preserve"> PAGEREF _Toc27800 \h </w:instrText>
          </w:r>
          <w:r>
            <w:fldChar w:fldCharType="separate"/>
          </w:r>
          <w:r>
            <w:t>4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"_Toc5407"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5功能要求</w:t>
          </w:r>
          <w:r>
            <w:tab/>
          </w:r>
          <w:r>
            <w:fldChar w:fldCharType="begin"/>
          </w:r>
          <w:r>
            <w:instrText xml:space="preserve"> PAGEREF _Toc5407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/>
          </w:pPr>
          <w:r>
            <w:fldChar w:fldCharType="begin"/>
          </w:r>
          <w:r>
            <w:instrText xml:space="preserve"> HYPERLINK \l "_Toc1567" </w:instrText>
          </w:r>
          <w:r>
            <w:fldChar w:fldCharType="separate"/>
          </w:r>
          <w:r>
            <w:rPr>
              <w:rFonts w:hint="eastAsia"/>
            </w:rPr>
            <w:t>6服务范围</w:t>
          </w:r>
          <w:r>
            <w:tab/>
          </w:r>
          <w:r>
            <w:fldChar w:fldCharType="begin"/>
          </w:r>
          <w:r>
            <w:instrText xml:space="preserve"> PAGEREF _Toc1567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fldChar w:fldCharType="end"/>
          </w:r>
        </w:p>
        <w:p>
          <w:pPr>
            <w:pStyle w:val="10"/>
            <w:tabs>
              <w:tab w:val="right" w:leader="dot" w:pos="8306"/>
            </w:tabs>
            <w:spacing w:line="360" w:lineRule="auto"/>
            <w:ind w:left="0" w:leftChars="0"/>
          </w:pPr>
          <w:r>
            <w:fldChar w:fldCharType="begin"/>
          </w:r>
          <w:r>
            <w:instrText xml:space="preserve"> HYPERLINK \l "_Toc16594" </w:instrText>
          </w:r>
          <w:r>
            <w:fldChar w:fldCharType="separate"/>
          </w:r>
          <w:r>
            <w:rPr>
              <w:rFonts w:hint="eastAsia" w:ascii="Calibri" w:hAnsi="宋体" w:eastAsia="宋体" w:cs="Times New Roman"/>
              <w:bCs/>
              <w:kern w:val="44"/>
              <w:szCs w:val="28"/>
            </w:rPr>
            <w:t>7包装、运输及质量保证</w:t>
          </w:r>
          <w:r>
            <w:tab/>
          </w:r>
          <w:r>
            <w:fldChar w:fldCharType="begin"/>
          </w:r>
          <w:r>
            <w:instrText xml:space="preserve"> PAGEREF _Toc16594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fldChar w:fldCharType="end"/>
          </w:r>
        </w:p>
        <w:p>
          <w:pPr>
            <w:pStyle w:val="9"/>
            <w:tabs>
              <w:tab w:val="right" w:leader="dot" w:pos="8306"/>
            </w:tabs>
            <w:spacing w:line="360" w:lineRule="auto"/>
          </w:pPr>
          <w:r>
            <w:fldChar w:fldCharType="begin"/>
          </w:r>
          <w:r>
            <w:instrText xml:space="preserve"> HYPERLINK \l "_Toc28920" </w:instrText>
          </w:r>
          <w:r>
            <w:fldChar w:fldCharType="separate"/>
          </w:r>
          <w:r>
            <w:rPr>
              <w:rFonts w:hint="eastAsia" w:ascii="Calibri" w:hAnsi="Calibri" w:eastAsia="宋体" w:cs="Times New Roman"/>
            </w:rPr>
            <w:t>附件</w:t>
          </w:r>
          <w:r>
            <w:tab/>
          </w:r>
          <w:r>
            <w:fldChar w:fldCharType="begin"/>
          </w:r>
          <w:r>
            <w:instrText xml:space="preserve"> PAGEREF _Toc28920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fldChar w:fldCharType="end"/>
          </w:r>
        </w:p>
        <w:p>
          <w:pPr>
            <w:spacing w:line="360" w:lineRule="auto"/>
            <w:rPr>
              <w:sz w:val="24"/>
            </w:rPr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widowControl/>
        <w:jc w:val="left"/>
      </w:pPr>
      <w:r>
        <w:br w:type="page"/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0" w:name="_Toc2053"/>
      <w:r>
        <w:rPr>
          <w:rFonts w:hint="eastAsia" w:ascii="Calibri" w:hAnsi="Calibri" w:eastAsia="宋体" w:cs="Times New Roman"/>
          <w:sz w:val="28"/>
        </w:rPr>
        <w:t>1总则</w:t>
      </w:r>
      <w:bookmarkEnd w:id="0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1.1本技术规范书适用于“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一种可以快速绑扎引线并可以伸缩锁紧的绝缘绳索</w:t>
      </w:r>
      <w:r>
        <w:rPr>
          <w:rFonts w:ascii="宋体" w:hAnsi="宋体" w:eastAsia="宋体" w:cs="Times New Roman"/>
          <w:sz w:val="28"/>
          <w:szCs w:val="28"/>
        </w:rPr>
        <w:t>”</w:t>
      </w:r>
      <w:r>
        <w:rPr>
          <w:rFonts w:hint="eastAsia" w:ascii="宋体" w:hAnsi="宋体" w:eastAsia="宋体" w:cs="Times New Roman"/>
          <w:sz w:val="28"/>
          <w:szCs w:val="28"/>
        </w:rPr>
        <w:t>加工服务采购，提出了加工该装置的技术和功能方面的要求，投标方必须认真阅读本技术条款内容，以免造成投标失败。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1.2本规范书指标要求中，凡标有下划线或加“★”的地方均被视为重要的技术指标要求或性能要求。投标方要特别加以注意，必须完全满足这些要求。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1.3本技术规范书提出的是最低限度的技术要求，并未对一切技术细节做出规定，也未充分引述有关标准和规范的条文，投标方应保证提供满足本技术规范书要求、满足有关国家质量标准要求、满足国家有关安全、环保等强制性标准和规范要求的完整服务和工作产品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1.4如投标方对本技术规范书有异议时，应以书面形式在报价截止日之前1天提出，如没有以书面形式对本规范书的条款提出异议，则意味着投标方已清楚并理解本规范书的要求。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1.5 投标方应对本次招标方采购涉及所有文件保密，不得向其他单位公布或泄漏招标项目的有关信息。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1.6本技术规范书作为招标方的采购文件，投标方应在报价文件中按要求作出应答，如有差异，还需以本技术规范书附件“差异表”的形式另外列出。</w:t>
      </w: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1.7双方确认成交后，本技术规范书与合同具有同等的法律约束效力，本技术规范书未尽事宜，由招标方和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投标供应商</w:t>
      </w:r>
      <w:r>
        <w:rPr>
          <w:rFonts w:hint="eastAsia" w:ascii="宋体" w:hAnsi="宋体" w:eastAsia="宋体" w:cs="Times New Roman"/>
          <w:sz w:val="28"/>
          <w:szCs w:val="28"/>
        </w:rPr>
        <w:t>双方协商确定。</w:t>
      </w:r>
    </w:p>
    <w:p>
      <w:pPr>
        <w:spacing w:line="360" w:lineRule="auto"/>
        <w:ind w:firstLine="280" w:firstLineChars="100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1" w:name="_Toc9878"/>
      <w:r>
        <w:rPr>
          <w:rFonts w:hint="eastAsia" w:ascii="Calibri" w:hAnsi="Calibri" w:eastAsia="宋体" w:cs="Times New Roman"/>
          <w:sz w:val="28"/>
        </w:rPr>
        <w:t>2标准和规程</w:t>
      </w:r>
      <w:bookmarkEnd w:id="1"/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本规范书中涉及的所有规范、标准或材料规格均应为最新版本，即以招标方发出本定单之日作为采用最新版本的截止日期。若发现本规范书与所列标准之间有不一致之处，投标方应向招标方指明，并由招标方确定采用哪一个规范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投标方如果采用自己的标准或规范，必须向招标方提供中文复印件并经招标方同意后方可采用，但不能低于国家标准GB、行业标准JB有关规定。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下列标准所包括的条文，通过在本规定中引用而构成本规定的条文。本标准出版时所示版本均为有效。所有标准都会被修订，使用本标准的各方应探讨使用下列标准最新版本的可能性。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2.1《中华人民共和国产品质量法》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2.2《中国南方电网有限责任公司电力安全工作规程》</w:t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2" w:name="_Toc436"/>
      <w:bookmarkStart w:id="3" w:name="_Toc22903_WPSOffice_Level1"/>
      <w:r>
        <w:rPr>
          <w:rFonts w:hint="eastAsia" w:ascii="Calibri" w:hAnsi="Calibri" w:eastAsia="宋体" w:cs="Times New Roman"/>
          <w:sz w:val="28"/>
        </w:rPr>
        <w:t xml:space="preserve">3 </w:t>
      </w:r>
      <w:bookmarkEnd w:id="2"/>
      <w:bookmarkEnd w:id="3"/>
      <w:r>
        <w:rPr>
          <w:rFonts w:hint="eastAsia" w:ascii="Calibri" w:hAnsi="Calibri" w:eastAsia="宋体" w:cs="Times New Roman"/>
          <w:sz w:val="28"/>
        </w:rPr>
        <w:t>加工总体要求</w:t>
      </w:r>
    </w:p>
    <w:p>
      <w:pPr>
        <w:spacing w:line="360" w:lineRule="auto"/>
        <w:ind w:firstLine="560" w:firstLineChars="2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本次加工所需材料清单、要求及设计图由甲方提供给乙方，乙方在收到上述资料后，根据本规范书的技术、功能要求与甲方协商落实最后完整的加工方案后，购买材料并进行加工</w:t>
      </w:r>
      <w:bookmarkStart w:id="14" w:name="_GoBack"/>
      <w:bookmarkEnd w:id="14"/>
      <w:r>
        <w:rPr>
          <w:rFonts w:hint="eastAsia" w:ascii="宋体" w:hAnsi="宋体" w:eastAsia="宋体" w:cs="Times New Roman"/>
          <w:sz w:val="28"/>
          <w:szCs w:val="28"/>
        </w:rPr>
        <w:t>。</w:t>
      </w: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4" w:name="_Toc27800"/>
      <w:r>
        <w:rPr>
          <w:rFonts w:hint="eastAsia" w:ascii="Calibri" w:hAnsi="Calibri" w:eastAsia="宋体" w:cs="Times New Roman"/>
          <w:sz w:val="28"/>
        </w:rPr>
        <w:t>4技术要求</w:t>
      </w:r>
      <w:bookmarkEnd w:id="4"/>
    </w:p>
    <w:p>
      <w:pPr>
        <w:spacing w:line="360" w:lineRule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4.1技术指标要求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4.1.1运行环境条件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海拔高度：4000m及以下任何海拔高度均可正常使用；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最高环境温度：+55ºC；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最低环境温度：-20ºC；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年平均气温：20ºC；</w:t>
      </w:r>
    </w:p>
    <w:p>
      <w:pPr>
        <w:spacing w:line="360" w:lineRule="auto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环境相对湿度：80%。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4.1.2适用范围</w:t>
      </w:r>
    </w:p>
    <w:p>
      <w:pPr>
        <w:spacing w:line="360" w:lineRule="auto"/>
        <w:ind w:firstLine="560" w:firstLineChars="200"/>
        <w:rPr>
          <w:rFonts w:hint="default" w:ascii="宋体" w:hAnsi="宋体" w:eastAsia="宋体" w:cs="Times New Roman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本装置用于变电站一次设备运维场景中引线绑扎与线夹相关作业，服务对象为梧州供电局主网变电站等同类现场。装置采用可伸缩并可锁紧的绝缘绳索方案，支持快速绑扎引线、长度调节与一键锁紧，适配复杂高空环境，无需改变既有引线与线夹结构，以提升作业效率与安全性，降低高空协作风险。</w:t>
      </w:r>
    </w:p>
    <w:p>
      <w:pPr>
        <w:spacing w:line="360" w:lineRule="auto"/>
        <w:ind w:firstLine="560" w:firstLineChars="200"/>
        <w:rPr>
          <w:rFonts w:hint="eastAsia" w:ascii="宋体" w:hAnsi="宋体" w:eastAsia="宋体" w:cs="Times New Roman"/>
          <w:sz w:val="28"/>
          <w:szCs w:val="28"/>
          <w:highlight w:val="none"/>
          <w:lang w:eastAsia="zh-CN"/>
        </w:rPr>
      </w:pPr>
    </w:p>
    <w:p>
      <w:pPr>
        <w:spacing w:line="360" w:lineRule="auto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★4.2技术参数</w:t>
      </w:r>
    </w:p>
    <w:tbl>
      <w:tblPr>
        <w:tblStyle w:val="11"/>
        <w:tblW w:w="8319" w:type="dxa"/>
        <w:jc w:val="center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57"/>
        <w:gridCol w:w="2971"/>
        <w:gridCol w:w="4691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序号</w:t>
            </w:r>
          </w:p>
        </w:tc>
        <w:tc>
          <w:tcPr>
            <w:tcW w:w="297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项目</w:t>
            </w:r>
          </w:p>
        </w:tc>
        <w:tc>
          <w:tcPr>
            <w:tcW w:w="46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技术参数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1</w:t>
            </w:r>
          </w:p>
        </w:tc>
        <w:tc>
          <w:tcPr>
            <w:tcW w:w="297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适用电压等级</w:t>
            </w:r>
          </w:p>
        </w:tc>
        <w:tc>
          <w:tcPr>
            <w:tcW w:w="46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color w:val="auto"/>
                <w:sz w:val="28"/>
                <w:szCs w:val="28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Times New Roman"/>
                <w:color w:val="auto"/>
                <w:sz w:val="28"/>
                <w:szCs w:val="28"/>
                <w:highlight w:val="none"/>
                <w:lang w:eastAsia="zh-CN"/>
              </w:rPr>
              <w:t>kV及以下和停电的其他电压等级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2</w:t>
            </w:r>
          </w:p>
        </w:tc>
        <w:tc>
          <w:tcPr>
            <w:tcW w:w="297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工作环境温度</w:t>
            </w:r>
          </w:p>
        </w:tc>
        <w:tc>
          <w:tcPr>
            <w:tcW w:w="46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-20℃ ~ +55℃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3</w:t>
            </w:r>
          </w:p>
        </w:tc>
        <w:tc>
          <w:tcPr>
            <w:tcW w:w="297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相对湿度</w:t>
            </w:r>
          </w:p>
        </w:tc>
        <w:tc>
          <w:tcPr>
            <w:tcW w:w="46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≤80%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4</w:t>
            </w:r>
          </w:p>
        </w:tc>
        <w:tc>
          <w:tcPr>
            <w:tcW w:w="297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海拔高度</w:t>
            </w:r>
          </w:p>
        </w:tc>
        <w:tc>
          <w:tcPr>
            <w:tcW w:w="46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≤4000m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5</w:t>
            </w:r>
          </w:p>
        </w:tc>
        <w:tc>
          <w:tcPr>
            <w:tcW w:w="297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绝缘性能</w:t>
            </w:r>
          </w:p>
        </w:tc>
        <w:tc>
          <w:tcPr>
            <w:tcW w:w="46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全绝缘结构，无金属外露，满足《中国南方电网有限责任公司电力安全工作规程》对绝缘工具的绝缘要求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3" w:hRule="atLeast"/>
          <w:jc w:val="center"/>
        </w:trPr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6</w:t>
            </w:r>
          </w:p>
        </w:tc>
        <w:tc>
          <w:tcPr>
            <w:tcW w:w="297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核心机构</w:t>
            </w:r>
          </w:p>
        </w:tc>
        <w:tc>
          <w:tcPr>
            <w:tcW w:w="46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棘轮单向锁定机构，通过弹簧压力使卡扣卡入棘齿凹槽，实现拉伸后自动锁紧，防止回缩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" w:hRule="atLeast"/>
          <w:jc w:val="center"/>
        </w:trPr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7</w:t>
            </w:r>
          </w:p>
        </w:tc>
        <w:tc>
          <w:tcPr>
            <w:tcW w:w="297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伸缩与锁紧方式</w:t>
            </w:r>
          </w:p>
        </w:tc>
        <w:tc>
          <w:tcPr>
            <w:tcW w:w="46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手动拉伸，一键锁紧，可自由调节长度，锁紧后承受操作拉力不松动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  <w:jc w:val="center"/>
        </w:trPr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val="en-US" w:eastAsia="zh-CN"/>
              </w:rPr>
              <w:t>8</w:t>
            </w:r>
          </w:p>
        </w:tc>
        <w:tc>
          <w:tcPr>
            <w:tcW w:w="297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功能模块</w:t>
            </w:r>
          </w:p>
        </w:tc>
        <w:tc>
          <w:tcPr>
            <w:tcW w:w="46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包含绑扎锁紧模块、绝缘伸缩模块、绝缘绳模块，三者集成一体化设计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  <w:jc w:val="center"/>
        </w:trPr>
        <w:tc>
          <w:tcPr>
            <w:tcW w:w="657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val="en-US" w:eastAsia="zh-CN"/>
              </w:rPr>
              <w:t>9</w:t>
            </w:r>
          </w:p>
        </w:tc>
        <w:tc>
          <w:tcPr>
            <w:tcW w:w="297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操作方式</w:t>
            </w:r>
          </w:p>
        </w:tc>
        <w:tc>
          <w:tcPr>
            <w:tcW w:w="4691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Times New Roman"/>
                <w:sz w:val="28"/>
                <w:szCs w:val="28"/>
                <w:highlight w:val="none"/>
                <w:lang w:eastAsia="zh-CN"/>
              </w:rPr>
              <w:t>支持单人操作，两端快速固定，实现快速绑扎与拆卸</w:t>
            </w:r>
          </w:p>
        </w:tc>
      </w:tr>
    </w:tbl>
    <w:p>
      <w:pPr>
        <w:pStyle w:val="2"/>
        <w:spacing w:before="0" w:after="0" w:line="360" w:lineRule="auto"/>
        <w:rPr>
          <w:rFonts w:hint="eastAsia" w:ascii="Calibri" w:hAnsi="Calibri" w:eastAsia="宋体" w:cs="Times New Roman"/>
          <w:sz w:val="28"/>
        </w:rPr>
      </w:pPr>
      <w:bookmarkStart w:id="5" w:name="_Toc5407"/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r>
        <w:rPr>
          <w:rFonts w:hint="eastAsia" w:ascii="Calibri" w:hAnsi="Calibri" w:eastAsia="宋体" w:cs="Times New Roman"/>
          <w:sz w:val="28"/>
        </w:rPr>
        <w:t>5功能要求</w:t>
      </w:r>
      <w:bookmarkEnd w:id="5"/>
    </w:p>
    <w:p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快速绑扎：对一次引线实现快速、稳固的绑扎固定；</w:t>
      </w:r>
    </w:p>
    <w:p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伸缩调节：绳索长度可自由调节以适配不同作业位置与跨度；</w:t>
      </w:r>
    </w:p>
    <w:p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一键锁紧：实现停止拉伸即锁定的瞬时锁紧效果；</w:t>
      </w:r>
    </w:p>
    <w:p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双端快速固定：绳索两端具备快速固定能力，减少高空协作环节；</w:t>
      </w:r>
    </w:p>
    <w:p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全绝缘外观：外观与结构以绝缘封装且无金属外露为目标取向，降低电气风险。</w:t>
      </w:r>
    </w:p>
    <w:p>
      <w:pPr>
        <w:numPr>
          <w:ilvl w:val="0"/>
          <w:numId w:val="1"/>
        </w:numPr>
        <w:spacing w:line="360" w:lineRule="auto"/>
        <w:ind w:left="420" w:leftChars="0" w:hanging="420" w:firstLineChars="0"/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Times New Roman"/>
          <w:sz w:val="28"/>
          <w:szCs w:val="28"/>
          <w:highlight w:val="none"/>
          <w:lang w:val="en-US" w:eastAsia="zh-CN"/>
        </w:rPr>
        <w:t>适配效果：不改变既有引线与线夹结构的前提下，提高引线拆卸、清洗、回装等作业效率，降低人工目测与高空操作带来的风险，适应梧州地区湿热环境下的日常运维需求</w:t>
      </w:r>
    </w:p>
    <w:p>
      <w:pPr>
        <w:pStyle w:val="3"/>
      </w:pPr>
      <w:bookmarkStart w:id="6" w:name="_Toc1567"/>
      <w:r>
        <w:rPr>
          <w:rFonts w:hint="eastAsia"/>
        </w:rPr>
        <w:t>6服务范围</w:t>
      </w:r>
      <w:bookmarkEnd w:id="6"/>
    </w:p>
    <w:p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服务范围一览表</w:t>
      </w:r>
    </w:p>
    <w:tbl>
      <w:tblPr>
        <w:tblStyle w:val="12"/>
        <w:tblW w:w="876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9"/>
        <w:gridCol w:w="2531"/>
        <w:gridCol w:w="750"/>
        <w:gridCol w:w="1420"/>
        <w:gridCol w:w="1666"/>
        <w:gridCol w:w="14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序号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名称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单位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形式、规格</w:t>
            </w:r>
          </w:p>
        </w:tc>
        <w:tc>
          <w:tcPr>
            <w:tcW w:w="1666" w:type="dxa"/>
            <w:vAlign w:val="center"/>
          </w:tcPr>
          <w:p>
            <w:pPr>
              <w:jc w:val="center"/>
            </w:pPr>
            <w:r>
              <w:rPr>
                <w:rFonts w:hint="eastAsia"/>
                <w:sz w:val="28"/>
                <w:szCs w:val="28"/>
              </w:rPr>
              <w:t>服务期限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梧州网区2025年第二批职创项目加工服务（一种可以快速绑扎引线并可以伸缩锁紧的绝缘绳索）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项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满足本技术规范书要求</w:t>
            </w:r>
          </w:p>
        </w:tc>
        <w:tc>
          <w:tcPr>
            <w:tcW w:w="1666" w:type="dxa"/>
            <w:vMerge w:val="restart"/>
            <w:vAlign w:val="center"/>
          </w:tcPr>
          <w:p>
            <w:pPr>
              <w:jc w:val="center"/>
            </w:pPr>
            <w:r>
              <w:rPr>
                <w:rFonts w:hint="eastAsia" w:cs="宋体"/>
                <w:sz w:val="28"/>
                <w:szCs w:val="28"/>
              </w:rPr>
              <w:t>自合同约定之日起90</w:t>
            </w:r>
            <w:r>
              <w:rPr>
                <w:rFonts w:hint="eastAsia" w:cs="宋体"/>
                <w:sz w:val="28"/>
                <w:szCs w:val="28"/>
                <w:lang w:eastAsia="zh-CN"/>
              </w:rPr>
              <w:t>日</w:t>
            </w:r>
            <w:r>
              <w:rPr>
                <w:rFonts w:hint="eastAsia" w:cs="宋体"/>
                <w:sz w:val="28"/>
                <w:szCs w:val="28"/>
              </w:rPr>
              <w:t>内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79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</w:p>
        </w:tc>
        <w:tc>
          <w:tcPr>
            <w:tcW w:w="2531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第三方检测报告（CMA、CNAS）</w:t>
            </w:r>
          </w:p>
        </w:tc>
        <w:tc>
          <w:tcPr>
            <w:tcW w:w="750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eastAsia="zh-CN"/>
              </w:rPr>
              <w:t>份</w:t>
            </w: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color w:val="auto"/>
                <w:sz w:val="28"/>
                <w:szCs w:val="28"/>
                <w:lang w:val="en-US" w:eastAsia="zh-CN"/>
              </w:rPr>
              <w:t>型式试验，对于暂无型式试验标准的，应进行含关键检测项的委托试验</w:t>
            </w:r>
          </w:p>
        </w:tc>
        <w:tc>
          <w:tcPr>
            <w:tcW w:w="1666" w:type="dxa"/>
            <w:vMerge w:val="continue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420" w:type="dxa"/>
            <w:vAlign w:val="center"/>
          </w:tcPr>
          <w:p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</w:t>
            </w:r>
          </w:p>
        </w:tc>
      </w:tr>
    </w:tbl>
    <w:p/>
    <w:p>
      <w:pPr>
        <w:pStyle w:val="3"/>
        <w:rPr>
          <w:rFonts w:ascii="Calibri" w:hAnsi="宋体" w:eastAsia="宋体" w:cs="Times New Roman"/>
          <w:kern w:val="44"/>
          <w:sz w:val="28"/>
          <w:szCs w:val="28"/>
        </w:rPr>
      </w:pPr>
      <w:bookmarkStart w:id="7" w:name="_Toc16594"/>
      <w:r>
        <w:rPr>
          <w:rFonts w:hint="eastAsia" w:ascii="Calibri" w:hAnsi="宋体" w:eastAsia="宋体" w:cs="Times New Roman"/>
          <w:kern w:val="44"/>
          <w:sz w:val="28"/>
          <w:szCs w:val="28"/>
        </w:rPr>
        <w:t>7包装、运输及质量保证</w:t>
      </w:r>
      <w:bookmarkEnd w:id="7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7.1产品在运输应有防护措施，以免散失损坏或丢失、变形、受潮和腐蚀，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投标供应商</w:t>
      </w:r>
      <w:r>
        <w:rPr>
          <w:rFonts w:hint="eastAsia" w:ascii="宋体" w:hAnsi="宋体" w:eastAsia="宋体" w:cs="Times New Roman"/>
          <w:sz w:val="28"/>
          <w:szCs w:val="28"/>
        </w:rPr>
        <w:t>应按电压等级分类供货。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7.2储存、运输中应该注意通风、防潮,同时不得与有腐蚀性的物品堆放在一起。还应注意避开有腐蚀性气体环境。运输工程中应避免野蛮装卸。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★7.3</w:t>
      </w:r>
      <w:r>
        <w:rPr>
          <w:rFonts w:hint="eastAsia" w:ascii="宋体" w:hAnsi="宋体" w:eastAsia="宋体" w:cs="Times New Roman"/>
          <w:sz w:val="28"/>
          <w:szCs w:val="28"/>
          <w:lang w:val="en-US" w:eastAsia="zh-CN"/>
        </w:rPr>
        <w:t>中标方</w:t>
      </w:r>
      <w:r>
        <w:rPr>
          <w:rFonts w:hint="eastAsia" w:ascii="宋体" w:hAnsi="宋体" w:eastAsia="宋体" w:cs="Times New Roman"/>
          <w:sz w:val="28"/>
          <w:szCs w:val="28"/>
        </w:rPr>
        <w:t>应对所加工的产品通过招标方验收评审通过之日计起，提供一年“三包”质量保证，质保期后如发生损坏，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投标供应商</w:t>
      </w:r>
      <w:r>
        <w:rPr>
          <w:rFonts w:hint="eastAsia" w:ascii="宋体" w:hAnsi="宋体" w:eastAsia="宋体" w:cs="Times New Roman"/>
          <w:sz w:val="28"/>
          <w:szCs w:val="28"/>
        </w:rPr>
        <w:t>应及时提供维修、更换服务，并按最近的投标价提供。</w:t>
      </w:r>
    </w:p>
    <w:p>
      <w:pPr>
        <w:spacing w:line="360" w:lineRule="auto"/>
        <w:ind w:firstLine="280" w:firstLineChars="100"/>
        <w:rPr>
          <w:rFonts w:hint="eastAsia"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7.4</w:t>
      </w:r>
      <w:r>
        <w:rPr>
          <w:rFonts w:hint="eastAsia" w:ascii="宋体" w:hAnsi="宋体" w:eastAsia="宋体" w:cs="Times New Roman"/>
          <w:sz w:val="28"/>
          <w:szCs w:val="28"/>
          <w:lang w:eastAsia="zh-CN"/>
        </w:rPr>
        <w:t>投标供应商</w:t>
      </w:r>
      <w:r>
        <w:rPr>
          <w:rFonts w:hint="eastAsia" w:ascii="宋体" w:hAnsi="宋体" w:eastAsia="宋体" w:cs="Times New Roman"/>
          <w:sz w:val="28"/>
          <w:szCs w:val="28"/>
        </w:rPr>
        <w:t>应遵守本招标技术文件中各条款和工作项目的ISO9000、GB/T19000质量保证体系, 该质量保证体系已经过国家认证和正常运转。</w:t>
      </w:r>
    </w:p>
    <w:p>
      <w:pPr>
        <w:spacing w:line="360" w:lineRule="auto"/>
        <w:ind w:firstLine="280" w:firstLineChars="100"/>
        <w:rPr>
          <w:rFonts w:hint="default" w:ascii="宋体" w:hAnsi="宋体" w:eastAsia="宋体" w:cs="Times New Roman"/>
          <w:sz w:val="28"/>
          <w:szCs w:val="28"/>
          <w:lang w:val="en-US" w:eastAsia="zh-CN"/>
        </w:rPr>
      </w:pPr>
    </w:p>
    <w:p>
      <w:pPr>
        <w:pStyle w:val="2"/>
        <w:spacing w:before="0" w:after="0" w:line="360" w:lineRule="auto"/>
        <w:rPr>
          <w:rFonts w:ascii="Calibri" w:hAnsi="Calibri" w:eastAsia="宋体" w:cs="Times New Roman"/>
          <w:sz w:val="28"/>
        </w:rPr>
      </w:pPr>
      <w:bookmarkStart w:id="8" w:name="_Toc28920"/>
      <w:r>
        <w:rPr>
          <w:rFonts w:hint="eastAsia" w:ascii="Calibri" w:hAnsi="Calibri" w:eastAsia="宋体" w:cs="Times New Roman"/>
          <w:sz w:val="28"/>
        </w:rPr>
        <w:t>附件</w:t>
      </w:r>
      <w:bookmarkEnd w:id="8"/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1.差异表</w:t>
      </w:r>
    </w:p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序号招标文件投标文件条目</w:t>
      </w:r>
    </w:p>
    <w:tbl>
      <w:tblPr>
        <w:tblStyle w:val="11"/>
        <w:tblW w:w="8504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1368"/>
        <w:gridCol w:w="2412"/>
        <w:gridCol w:w="1644"/>
        <w:gridCol w:w="22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9" w:name="_Toc148970013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序号</w:t>
            </w:r>
            <w:bookmarkEnd w:id="9"/>
          </w:p>
        </w:tc>
        <w:tc>
          <w:tcPr>
            <w:tcW w:w="37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0" w:name="_Toc148970014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招标文件</w:t>
            </w:r>
            <w:bookmarkEnd w:id="10"/>
          </w:p>
        </w:tc>
        <w:tc>
          <w:tcPr>
            <w:tcW w:w="387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1" w:name="_Toc148970015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投标文件</w:t>
            </w:r>
            <w:bookmarkEnd w:id="1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jc w:val="center"/>
        </w:trPr>
        <w:tc>
          <w:tcPr>
            <w:tcW w:w="85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2" w:name="_Toc148970016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条目</w:t>
            </w:r>
            <w:bookmarkEnd w:id="12"/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bookmarkStart w:id="13" w:name="_Toc148970017"/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简要内容</w:t>
            </w:r>
            <w:bookmarkEnd w:id="13"/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满足程度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1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优于/部分满足/不满足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2</w:t>
            </w:r>
          </w:p>
        </w:tc>
        <w:tc>
          <w:tcPr>
            <w:tcW w:w="13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24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  <w:tc>
          <w:tcPr>
            <w:tcW w:w="16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优于/部分满足/不满足</w:t>
            </w:r>
          </w:p>
        </w:tc>
        <w:tc>
          <w:tcPr>
            <w:tcW w:w="22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60" w:lineRule="auto"/>
              <w:rPr>
                <w:rFonts w:asciiTheme="minorEastAsia" w:hAnsi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……</w:t>
            </w:r>
          </w:p>
        </w:tc>
      </w:tr>
    </w:tbl>
    <w:p>
      <w:pPr>
        <w:spacing w:line="360" w:lineRule="auto"/>
        <w:ind w:firstLine="280" w:firstLineChars="100"/>
        <w:rPr>
          <w:rFonts w:ascii="宋体" w:hAnsi="宋体" w:eastAsia="宋体" w:cs="Times New Roman"/>
          <w:sz w:val="28"/>
          <w:szCs w:val="28"/>
        </w:rPr>
      </w:pPr>
      <w:r>
        <w:rPr>
          <w:rFonts w:hint="eastAsia" w:ascii="宋体" w:hAnsi="宋体" w:eastAsia="宋体" w:cs="Times New Roman"/>
          <w:sz w:val="28"/>
          <w:szCs w:val="28"/>
        </w:rPr>
        <w:t>2、投标方需要说明的其它问题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22E48"/>
    <w:multiLevelType w:val="singleLevel"/>
    <w:tmpl w:val="3B522E48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2BA"/>
    <w:rsid w:val="0000347D"/>
    <w:rsid w:val="000A3B26"/>
    <w:rsid w:val="000C6D20"/>
    <w:rsid w:val="000E5E5B"/>
    <w:rsid w:val="00132F0B"/>
    <w:rsid w:val="00191DE0"/>
    <w:rsid w:val="00192F60"/>
    <w:rsid w:val="001A29E4"/>
    <w:rsid w:val="001B5C1B"/>
    <w:rsid w:val="00237B17"/>
    <w:rsid w:val="002F34D6"/>
    <w:rsid w:val="003B32BA"/>
    <w:rsid w:val="00555852"/>
    <w:rsid w:val="005649F5"/>
    <w:rsid w:val="00596F79"/>
    <w:rsid w:val="005A6480"/>
    <w:rsid w:val="005E4095"/>
    <w:rsid w:val="00660D42"/>
    <w:rsid w:val="00671434"/>
    <w:rsid w:val="006737E9"/>
    <w:rsid w:val="00674768"/>
    <w:rsid w:val="006E0B10"/>
    <w:rsid w:val="00730762"/>
    <w:rsid w:val="0085126E"/>
    <w:rsid w:val="008A1E49"/>
    <w:rsid w:val="00977501"/>
    <w:rsid w:val="009A5C63"/>
    <w:rsid w:val="00B618A5"/>
    <w:rsid w:val="00B917D5"/>
    <w:rsid w:val="00C12DD9"/>
    <w:rsid w:val="00C70FD7"/>
    <w:rsid w:val="00CD7AC5"/>
    <w:rsid w:val="00E05DC7"/>
    <w:rsid w:val="00E23D91"/>
    <w:rsid w:val="00ED7349"/>
    <w:rsid w:val="00EF68A3"/>
    <w:rsid w:val="00F524B0"/>
    <w:rsid w:val="00F82C64"/>
    <w:rsid w:val="00FD5232"/>
    <w:rsid w:val="00FF2E87"/>
    <w:rsid w:val="095F4F6E"/>
    <w:rsid w:val="09D9505B"/>
    <w:rsid w:val="0AAC2697"/>
    <w:rsid w:val="0C8711CC"/>
    <w:rsid w:val="15AD5F8B"/>
    <w:rsid w:val="194A0CC1"/>
    <w:rsid w:val="239327F0"/>
    <w:rsid w:val="267D55BB"/>
    <w:rsid w:val="2C703E76"/>
    <w:rsid w:val="3B645C09"/>
    <w:rsid w:val="3B9F4427"/>
    <w:rsid w:val="3E8308D2"/>
    <w:rsid w:val="44034BC3"/>
    <w:rsid w:val="47117D6B"/>
    <w:rsid w:val="48241BDD"/>
    <w:rsid w:val="4A6E1422"/>
    <w:rsid w:val="4CD25091"/>
    <w:rsid w:val="51820130"/>
    <w:rsid w:val="572A4459"/>
    <w:rsid w:val="5C97677F"/>
    <w:rsid w:val="63FB0FE4"/>
    <w:rsid w:val="749234CF"/>
    <w:rsid w:val="75EC3368"/>
    <w:rsid w:val="78582EF7"/>
    <w:rsid w:val="7D420F4A"/>
    <w:rsid w:val="7F016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name="toc 1"/>
    <w:lsdException w:qFormat="1" w:uiPriority="39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5"/>
    <w:next w:val="5"/>
    <w:qFormat/>
    <w:uiPriority w:val="0"/>
    <w:pPr>
      <w:spacing w:after="120"/>
    </w:pPr>
  </w:style>
  <w:style w:type="paragraph" w:styleId="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6">
    <w:name w:val="Balloon Text"/>
    <w:basedOn w:val="1"/>
    <w:link w:val="21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semiHidden/>
    <w:unhideWhenUsed/>
    <w:qFormat/>
    <w:uiPriority w:val="39"/>
  </w:style>
  <w:style w:type="paragraph" w:styleId="10">
    <w:name w:val="toc 2"/>
    <w:basedOn w:val="1"/>
    <w:next w:val="1"/>
    <w:unhideWhenUsed/>
    <w:qFormat/>
    <w:uiPriority w:val="39"/>
    <w:pPr>
      <w:ind w:left="420" w:leftChars="200"/>
    </w:pPr>
  </w:style>
  <w:style w:type="table" w:styleId="12">
    <w:name w:val="Table Grid"/>
    <w:basedOn w:val="11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styleId="14">
    <w:name w:val="Strong"/>
    <w:basedOn w:val="13"/>
    <w:qFormat/>
    <w:uiPriority w:val="22"/>
    <w:rPr>
      <w:b/>
    </w:rPr>
  </w:style>
  <w:style w:type="character" w:styleId="15">
    <w:name w:val="Hyperlink"/>
    <w:basedOn w:val="13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7">
    <w:name w:val="页脚 Char"/>
    <w:basedOn w:val="13"/>
    <w:link w:val="7"/>
    <w:qFormat/>
    <w:uiPriority w:val="99"/>
    <w:rPr>
      <w:sz w:val="18"/>
      <w:szCs w:val="18"/>
    </w:rPr>
  </w:style>
  <w:style w:type="character" w:customStyle="1" w:styleId="18">
    <w:name w:val="标题 2 Char"/>
    <w:basedOn w:val="1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9">
    <w:name w:val="标题 1 Char"/>
    <w:basedOn w:val="13"/>
    <w:link w:val="2"/>
    <w:qFormat/>
    <w:uiPriority w:val="9"/>
    <w:rPr>
      <w:b/>
      <w:bCs/>
      <w:kern w:val="44"/>
      <w:sz w:val="44"/>
      <w:szCs w:val="44"/>
    </w:rPr>
  </w:style>
  <w:style w:type="paragraph" w:customStyle="1" w:styleId="20">
    <w:name w:val="TOC 标题1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21">
    <w:name w:val="批注框文本 Char"/>
    <w:basedOn w:val="13"/>
    <w:link w:val="6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504247A-B4FE-47AC-8CD1-DA47B1BE760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2247</Words>
  <Characters>2360</Characters>
  <Lines>16</Lines>
  <Paragraphs>4</Paragraphs>
  <TotalTime>0</TotalTime>
  <ScaleCrop>false</ScaleCrop>
  <LinksUpToDate>false</LinksUpToDate>
  <CharactersWithSpaces>2390</CharactersWithSpaces>
  <Application>WPS Office_11.8.2.8696_F1E327BC-269C-435d-A152-05C5408002CA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2023-10-07T15:28:00Z</dcterms:created>
  <dc:creator>admin</dc:creator>
  <cp:lastModifiedBy>陈欣</cp:lastModifiedBy>
  <dcterms:modified xsi:type="dcterms:W3CDTF">2025-11-05T12:13:52Z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2052-11.8.2.8696</vt:lpwstr>
  </property>
  <property fmtid="{D5CDD505-2E9C-101B-9397-08002B2CF9AE}" pid="3" name="ICV">
    <vt:lpwstr>0AE2B646E423412B81E167DA9D2DFC0F_13</vt:lpwstr>
  </property>
  <property fmtid="{D5CDD505-2E9C-101B-9397-08002B2CF9AE}" pid="4" name="KSOTemplateDocerSaveRecord">
    <vt:lpwstr>eyJoZGlkIjoiZmIzMTU4YjIzZjM4MjU1NGUxNmM3MTgzZmQ0OTZmY2UiLCJ1c2VySWQiOiI2MzA4NDQxMDcifQ==</vt:lpwstr>
  </property>
</Properties>
</file>