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sz w:val="48"/>
          <w:szCs w:val="48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sz w:val="48"/>
          <w:szCs w:val="48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sz w:val="48"/>
          <w:szCs w:val="48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</w:pPr>
      <w:r>
        <w:rPr>
          <w:rFonts w:hint="eastAsia"/>
          <w:b/>
          <w:sz w:val="48"/>
          <w:szCs w:val="48"/>
        </w:rPr>
        <w:t>梧州网区2025年第二批职创项目</w:t>
      </w:r>
      <w:r>
        <w:rPr>
          <w:rFonts w:hint="eastAsia"/>
          <w:b/>
          <w:sz w:val="48"/>
          <w:szCs w:val="48"/>
          <w:lang w:eastAsia="zh-CN"/>
        </w:rPr>
        <w:t>加工</w:t>
      </w:r>
      <w:r>
        <w:rPr>
          <w:rFonts w:hint="eastAsia"/>
          <w:b/>
          <w:sz w:val="48"/>
          <w:szCs w:val="48"/>
        </w:rPr>
        <w:t>服务</w:t>
      </w:r>
      <w:r>
        <w:rPr>
          <w:rFonts w:hint="eastAsia"/>
          <w:b/>
          <w:sz w:val="48"/>
          <w:szCs w:val="48"/>
          <w:lang w:eastAsia="zh-CN"/>
        </w:rPr>
        <w:t>（</w:t>
      </w:r>
      <w:r>
        <w:rPr>
          <w:rFonts w:hint="eastAsia"/>
          <w:b/>
          <w:sz w:val="48"/>
          <w:szCs w:val="48"/>
        </w:rPr>
        <w:t>一种机构箱电缆孔封堵改造封板</w:t>
      </w:r>
      <w:r>
        <w:rPr>
          <w:rFonts w:hint="eastAsia"/>
          <w:b/>
          <w:sz w:val="48"/>
          <w:szCs w:val="48"/>
          <w:lang w:eastAsia="zh-CN"/>
        </w:rPr>
        <w:t>）</w:t>
      </w:r>
      <w:r>
        <w:rPr>
          <w:rFonts w:hint="eastAsia"/>
          <w:b/>
          <w:sz w:val="48"/>
          <w:szCs w:val="48"/>
        </w:rPr>
        <w:t>技术规范书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</w:pPr>
    </w:p>
    <w:p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</w:pPr>
    </w:p>
    <w:p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</w:pPr>
    </w:p>
    <w:p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</w:pPr>
    </w:p>
    <w:p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宋体" w:hAnsi="Times New Roman" w:eastAsia="宋体" w:cs="Times New Roman"/>
          <w:b/>
          <w:sz w:val="32"/>
          <w:szCs w:val="32"/>
        </w:rPr>
      </w:pP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广西电网有限责任公司梧州供电局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宋体" w:hAnsi="Times New Roman" w:eastAsia="宋体" w:cs="Times New Roman"/>
          <w:b/>
          <w:sz w:val="32"/>
          <w:szCs w:val="32"/>
        </w:rPr>
      </w:pPr>
      <w:r>
        <w:rPr>
          <w:rFonts w:hint="eastAsia" w:ascii="宋体" w:hAnsi="Times New Roman" w:eastAsia="宋体" w:cs="Times New Roman"/>
          <w:b/>
          <w:sz w:val="32"/>
          <w:szCs w:val="32"/>
        </w:rPr>
        <w:t>202</w:t>
      </w:r>
      <w:r>
        <w:rPr>
          <w:rFonts w:ascii="宋体" w:hAnsi="Times New Roman" w:eastAsia="宋体" w:cs="Times New Roman"/>
          <w:b/>
          <w:sz w:val="32"/>
          <w:szCs w:val="32"/>
        </w:rPr>
        <w:t>5</w:t>
      </w:r>
      <w:r>
        <w:rPr>
          <w:rFonts w:hint="eastAsia" w:ascii="宋体" w:hAnsi="Times New Roman" w:eastAsia="宋体" w:cs="Times New Roman"/>
          <w:b/>
          <w:sz w:val="32"/>
          <w:szCs w:val="32"/>
        </w:rPr>
        <w:t>年</w:t>
      </w: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10</w:t>
      </w:r>
      <w:r>
        <w:rPr>
          <w:rFonts w:hint="eastAsia" w:ascii="宋体" w:hAnsi="Times New Roman" w:eastAsia="宋体" w:cs="Times New Roman"/>
          <w:b/>
          <w:sz w:val="32"/>
          <w:szCs w:val="32"/>
        </w:rPr>
        <w:t>月</w:t>
      </w: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30</w:t>
      </w:r>
      <w:r>
        <w:rPr>
          <w:rFonts w:hint="eastAsia" w:ascii="宋体" w:hAnsi="Times New Roman" w:eastAsia="宋体" w:cs="Times New Roman"/>
          <w:b/>
          <w:sz w:val="32"/>
          <w:szCs w:val="32"/>
        </w:rPr>
        <w:t>日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rPr>
          <w:rFonts w:hint="eastAsia"/>
        </w:rPr>
        <w:br w:type="page"/>
      </w:r>
    </w:p>
    <w:p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sdt>
      <w:sdtPr>
        <w:rPr>
          <w:lang w:val="zh-CN"/>
        </w:rPr>
        <w:id w:val="-441228423"/>
        <w:docPartObj>
          <w:docPartGallery w:val="Table of Contents"/>
          <w:docPartUnique/>
        </w:docPartObj>
      </w:sdtPr>
      <w:sdtEndPr>
        <w:rPr>
          <w:sz w:val="24"/>
          <w:lang w:val="zh-CN"/>
        </w:rPr>
      </w:sdtEndPr>
      <w:sdtContent>
        <w:p>
          <w:pPr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jc w:val="center"/>
            <w:textAlignment w:val="auto"/>
          </w:pPr>
          <w:r>
            <w:rPr>
              <w:rFonts w:ascii="宋体" w:hAnsi="宋体" w:eastAsia="宋体"/>
            </w:rPr>
            <w:t>目录</w:t>
          </w:r>
        </w:p>
        <w:p>
          <w:pPr>
            <w:pStyle w:val="9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sz w:val="24"/>
            </w:rPr>
            <w:fldChar w:fldCharType="begin"/>
          </w:r>
          <w:r>
            <w:rPr>
              <w:sz w:val="24"/>
            </w:rPr>
            <w:instrText xml:space="preserve"> TOC \o "1-3" \h \z \u </w:instrText>
          </w:r>
          <w:r>
            <w:rPr>
              <w:sz w:val="24"/>
            </w:rPr>
            <w:fldChar w:fldCharType="separate"/>
          </w:r>
          <w:r>
            <w:fldChar w:fldCharType="begin"/>
          </w:r>
          <w:r>
            <w:instrText xml:space="preserve"> HYPERLINK \l "_Toc2053"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1总则</w:t>
          </w:r>
          <w:r>
            <w:tab/>
          </w:r>
          <w:r>
            <w:fldChar w:fldCharType="begin"/>
          </w:r>
          <w:r>
            <w:instrText xml:space="preserve"> PAGEREF _Toc2053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9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fldChar w:fldCharType="begin"/>
          </w:r>
          <w:r>
            <w:instrText xml:space="preserve"> HYPERLINK \l "_Toc9878"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2标准和规程</w:t>
          </w:r>
          <w:r>
            <w:tab/>
          </w:r>
          <w:r>
            <w:fldChar w:fldCharType="begin"/>
          </w:r>
          <w:r>
            <w:instrText xml:space="preserve"> PAGEREF _Toc9878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fldChar w:fldCharType="begin"/>
          </w:r>
          <w:r>
            <w:instrText xml:space="preserve"> HYPERLINK \l "_Toc436"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3 项目概述</w:t>
          </w:r>
          <w:r>
            <w:tab/>
          </w:r>
          <w:r>
            <w:fldChar w:fldCharType="begin"/>
          </w:r>
          <w:r>
            <w:instrText xml:space="preserve"> PAGEREF _Toc436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fldChar w:fldCharType="begin"/>
          </w:r>
          <w:r>
            <w:instrText xml:space="preserve"> HYPERLINK \l "_Toc27800"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4加工技术要求</w:t>
          </w:r>
          <w:r>
            <w:tab/>
          </w:r>
          <w:r>
            <w:fldChar w:fldCharType="begin"/>
          </w:r>
          <w:r>
            <w:instrText xml:space="preserve"> PAGEREF _Toc27800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9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fldChar w:fldCharType="begin"/>
          </w:r>
          <w:r>
            <w:instrText xml:space="preserve"> HYPERLINK \l "_Toc5407"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5功能要求</w:t>
          </w:r>
          <w:r>
            <w:tab/>
          </w:r>
          <w:r>
            <w:fldChar w:fldCharType="begin"/>
          </w:r>
          <w:r>
            <w:instrText xml:space="preserve"> PAGEREF _Toc5407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0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ind w:left="0" w:leftChars="0"/>
            <w:textAlignment w:val="auto"/>
          </w:pPr>
          <w:r>
            <w:fldChar w:fldCharType="begin"/>
          </w:r>
          <w:r>
            <w:instrText xml:space="preserve"> HYPERLINK \l "_Toc1567" </w:instrText>
          </w:r>
          <w:r>
            <w:fldChar w:fldCharType="separate"/>
          </w:r>
          <w:r>
            <w:rPr>
              <w:rFonts w:hint="eastAsia"/>
            </w:rPr>
            <w:t>6服务范围</w:t>
          </w:r>
          <w:r>
            <w:tab/>
          </w:r>
          <w:r>
            <w:fldChar w:fldCharType="begin"/>
          </w:r>
          <w:r>
            <w:instrText xml:space="preserve"> PAGEREF _Toc1567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10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ind w:left="0" w:leftChars="0"/>
            <w:textAlignment w:val="auto"/>
          </w:pPr>
          <w:r>
            <w:fldChar w:fldCharType="begin"/>
          </w:r>
          <w:r>
            <w:instrText xml:space="preserve"> HYPERLINK \l "_Toc16594" </w:instrText>
          </w:r>
          <w:r>
            <w:fldChar w:fldCharType="separate"/>
          </w:r>
          <w:r>
            <w:rPr>
              <w:rFonts w:hint="eastAsia" w:ascii="Calibri" w:hAnsi="宋体" w:eastAsia="宋体" w:cs="Times New Roman"/>
              <w:bCs/>
              <w:kern w:val="44"/>
              <w:szCs w:val="28"/>
            </w:rPr>
            <w:t>7包装、运输及质量保证</w:t>
          </w:r>
          <w:r>
            <w:tab/>
          </w:r>
          <w:r>
            <w:fldChar w:fldCharType="begin"/>
          </w:r>
          <w:r>
            <w:instrText xml:space="preserve"> PAGEREF _Toc16594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9"/>
            <w:pageBreakBefore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fldChar w:fldCharType="begin"/>
          </w:r>
          <w:r>
            <w:instrText xml:space="preserve"> HYPERLINK \l "_Toc28920"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附件</w:t>
          </w:r>
          <w:r>
            <w:tab/>
          </w:r>
          <w:r>
            <w:fldChar w:fldCharType="begin"/>
          </w:r>
          <w:r>
            <w:instrText xml:space="preserve"> PAGEREF _Toc28920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  <w:rPr>
              <w:sz w:val="24"/>
            </w:rPr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</w:pPr>
      <w:r>
        <w:br w:type="page"/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  <w:rPr>
          <w:rFonts w:ascii="Calibri" w:hAnsi="Calibri" w:eastAsia="宋体" w:cs="Times New Roman"/>
          <w:sz w:val="28"/>
          <w:szCs w:val="28"/>
        </w:rPr>
      </w:pPr>
      <w:bookmarkStart w:id="0" w:name="_Toc2053"/>
      <w:r>
        <w:rPr>
          <w:rFonts w:hint="eastAsia" w:ascii="Calibri" w:hAnsi="Calibri" w:eastAsia="宋体" w:cs="Times New Roman"/>
          <w:sz w:val="28"/>
          <w:szCs w:val="28"/>
        </w:rPr>
        <w:t>1总则</w:t>
      </w:r>
      <w:bookmarkEnd w:id="0"/>
    </w:p>
    <w:p>
      <w:pPr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bookmarkStart w:id="14" w:name="_GoBack"/>
      <w:bookmarkEnd w:id="14"/>
      <w:r>
        <w:rPr>
          <w:rFonts w:hint="eastAsia" w:ascii="宋体" w:hAnsi="宋体" w:eastAsia="宋体" w:cs="Times New Roman"/>
          <w:sz w:val="28"/>
          <w:szCs w:val="28"/>
        </w:rPr>
        <w:t>1.1本技术规范书适用于“一种机构箱电缆孔封堵改造封板</w:t>
      </w:r>
      <w:r>
        <w:rPr>
          <w:rFonts w:ascii="宋体" w:hAnsi="宋体" w:eastAsia="宋体" w:cs="Times New Roman"/>
          <w:sz w:val="28"/>
          <w:szCs w:val="28"/>
        </w:rPr>
        <w:t>”</w:t>
      </w:r>
      <w:r>
        <w:rPr>
          <w:rFonts w:hint="eastAsia" w:ascii="宋体" w:hAnsi="宋体" w:eastAsia="宋体" w:cs="Times New Roman"/>
          <w:sz w:val="28"/>
          <w:szCs w:val="28"/>
        </w:rPr>
        <w:t>加工服务采购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Times New Roman"/>
          <w:sz w:val="28"/>
          <w:szCs w:val="28"/>
        </w:rPr>
        <w:t>本技术规范书提出了加工该装置的技术和功能方面的要求，投标方必须认真阅读本技术条款内容，以免造成投标失败。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1.2本规范书指标要求中，凡标有下划线或加“★”的地方均被视为重要的技术指标要求或性能要求。投标方要特别加以注意，必须完全满足这些要求。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1.3本技术规范书提出的是最低限度的技术要求，并未对一切技术细节做出规定，也未充分引述有关标准和规范的条文，投标方应保证提供满足本技术规范书要求、满足有关国家质量标准要求、满足国家有关安全、环保等强制性标准和规范要求的完整服务和工作产品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1.4如投标方对本技术规范书有异议时，应以书面形式在报价截止日之前1天提出，如没有以书面形式对本规范书的条款提出异议，则意味着投标方已清楚并理解本规范书的要求。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1.5 投标方应对本次招标方采购涉及所有文件保密，不得向其他单位公布或泄漏招标项目的有关信息。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1.6本技术规范书作为招标方的采购文件，投标方应在报价文件中按要求作出应答，如有差异，还需以本技术规范书附件“差异表”的形式另外列出。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1.7双方确认成交后，本技术规范书与合同具有同等的法律约束效力，本技术规范书未尽事宜，由招标方和中标方双方协商确定。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  <w:rPr>
          <w:rFonts w:ascii="Calibri" w:hAnsi="Calibri" w:eastAsia="宋体" w:cs="Times New Roman"/>
          <w:sz w:val="28"/>
          <w:szCs w:val="28"/>
        </w:rPr>
      </w:pPr>
      <w:bookmarkStart w:id="1" w:name="_Toc9878"/>
      <w:r>
        <w:rPr>
          <w:rFonts w:hint="eastAsia" w:ascii="Calibri" w:hAnsi="Calibri" w:eastAsia="宋体" w:cs="Times New Roman"/>
          <w:sz w:val="28"/>
          <w:szCs w:val="28"/>
        </w:rPr>
        <w:t>2标准和规程</w:t>
      </w:r>
      <w:bookmarkEnd w:id="1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本规范书中涉及的所有规范、标准或材料规格均应为最新版本，即以招标方发出本定单之日作为采用最新版本的截止日期。若发现本规范书与所列标准之间有不一致之处，投标方应向招标方指明，并由招标方确定采用哪一个规范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投标方如果采用自己的标准或规范，必须向招标方提供中文复印件并经招标方同意后方可采用，但不能低于国家标准GB、行业标准JB有关规定。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下列标准所包括的条文，通过在本规定中引用而构成本规定的条文。本标准出版时所示版本均为有效。所有标准都会被修订，使用本标准的各方应探讨使用下列标准最新版本的可能性。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2.1《中华人民共和国产品质量法》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2.2《中国南方电网有限责任公司电力安全工作规程》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  <w:rPr>
          <w:rFonts w:ascii="Calibri" w:hAnsi="Calibri" w:eastAsia="宋体" w:cs="Times New Roman"/>
          <w:sz w:val="28"/>
          <w:szCs w:val="28"/>
        </w:rPr>
      </w:pPr>
      <w:bookmarkStart w:id="2" w:name="_Toc436"/>
      <w:bookmarkStart w:id="3" w:name="_Toc22903_WPSOffice_Level1"/>
      <w:r>
        <w:rPr>
          <w:rFonts w:hint="eastAsia" w:ascii="Calibri" w:hAnsi="Calibri" w:eastAsia="宋体" w:cs="Times New Roman"/>
          <w:sz w:val="28"/>
          <w:szCs w:val="28"/>
        </w:rPr>
        <w:t xml:space="preserve">3 </w:t>
      </w:r>
      <w:bookmarkEnd w:id="2"/>
      <w:bookmarkEnd w:id="3"/>
      <w:r>
        <w:rPr>
          <w:rFonts w:hint="eastAsia" w:ascii="Calibri" w:hAnsi="Calibri" w:eastAsia="宋体" w:cs="Times New Roman"/>
          <w:sz w:val="28"/>
          <w:szCs w:val="28"/>
        </w:rPr>
        <w:t>加工总体要求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本次加工所需材料清单、要求及设计图由甲方提供给乙方，乙方在收到上述资料后，根据本规范书的技术、功能要求与甲方协商落实最后完整的加工方案后，购买材料并进行加工。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  <w:rPr>
          <w:rFonts w:ascii="Calibri" w:hAnsi="Calibri" w:eastAsia="宋体" w:cs="Times New Roman"/>
          <w:sz w:val="28"/>
          <w:szCs w:val="28"/>
        </w:rPr>
      </w:pPr>
      <w:bookmarkStart w:id="4" w:name="_Toc27800"/>
      <w:r>
        <w:rPr>
          <w:rFonts w:hint="eastAsia" w:ascii="宋体" w:hAnsi="宋体" w:eastAsia="宋体" w:cs="Times New Roman"/>
          <w:sz w:val="28"/>
          <w:szCs w:val="28"/>
        </w:rPr>
        <w:t>★</w:t>
      </w:r>
      <w:r>
        <w:rPr>
          <w:rFonts w:hint="eastAsia" w:ascii="Calibri" w:hAnsi="Calibri" w:eastAsia="宋体" w:cs="Times New Roman"/>
          <w:sz w:val="28"/>
          <w:szCs w:val="28"/>
        </w:rPr>
        <w:t>4技术要求</w:t>
      </w:r>
      <w:bookmarkEnd w:id="4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4.1运行环境条件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海拔高度：4000m及以下任何海拔高度均可正常使用；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最高环境温度：+55ºC；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最低环境温度：-20ºC；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年平均气温：20ºC；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环境相对湿度：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Times New Roman"/>
          <w:sz w:val="28"/>
          <w:szCs w:val="28"/>
        </w:rPr>
        <w:t>0%。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4.2适用范围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Times New Roman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sz w:val="28"/>
          <w:szCs w:val="28"/>
          <w:lang w:eastAsia="zh-CN"/>
        </w:rPr>
        <w:t>该封板用于变电站内各种端子箱机构箱底部电缆进出口处封堵。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  <w:rPr>
          <w:rFonts w:ascii="Calibri" w:hAnsi="Calibri" w:eastAsia="宋体" w:cs="Times New Roman"/>
          <w:sz w:val="28"/>
          <w:szCs w:val="28"/>
        </w:rPr>
      </w:pPr>
      <w:bookmarkStart w:id="5" w:name="_Toc5407"/>
      <w:r>
        <w:rPr>
          <w:rFonts w:hint="eastAsia" w:ascii="Calibri" w:hAnsi="Calibri" w:eastAsia="宋体" w:cs="Times New Roman"/>
          <w:sz w:val="28"/>
          <w:szCs w:val="28"/>
        </w:rPr>
        <w:t>5</w:t>
      </w:r>
      <w:r>
        <w:rPr>
          <w:rFonts w:hint="eastAsia" w:ascii="宋体" w:hAnsi="宋体" w:eastAsia="宋体" w:cs="Times New Roman"/>
          <w:sz w:val="28"/>
          <w:szCs w:val="28"/>
        </w:rPr>
        <w:t>★</w:t>
      </w:r>
      <w:r>
        <w:rPr>
          <w:rFonts w:hint="eastAsia" w:ascii="Calibri" w:hAnsi="Calibri" w:eastAsia="宋体" w:cs="Times New Roman"/>
          <w:sz w:val="28"/>
          <w:szCs w:val="28"/>
        </w:rPr>
        <w:t>功能要求</w:t>
      </w:r>
      <w:bookmarkEnd w:id="5"/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适用机构箱底部、侧面等电缆孔，可轻微塑性调整，适应机构箱略带弧度外壳。</w:t>
      </w:r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固定部分采用不锈钢、合金铝等耐腐蚀、耐生锈、抗老化材质。</w:t>
      </w:r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密封部分胶圈胶泥等采用防老化防脱落材质，不易脱落或失去密封效果。</w:t>
      </w:r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能调整开口，契合不同形状的电缆束，适应15*15cm</w:t>
      </w:r>
      <w:r>
        <w:rPr>
          <w:rFonts w:hint="eastAsia"/>
          <w:sz w:val="28"/>
          <w:szCs w:val="28"/>
          <w:vertAlign w:val="superscript"/>
          <w:lang w:val="en-US" w:eastAsia="zh-CN"/>
        </w:rPr>
        <w:t>2</w:t>
      </w:r>
      <w:r>
        <w:rPr>
          <w:rFonts w:hint="eastAsia"/>
          <w:sz w:val="28"/>
          <w:szCs w:val="28"/>
          <w:lang w:val="en-US" w:eastAsia="zh-CN"/>
        </w:rPr>
        <w:t>以下多束电缆（可采取多种规格尺寸型号，</w:t>
      </w:r>
      <w:r>
        <w:rPr>
          <w:rFonts w:hint="eastAsia"/>
          <w:sz w:val="28"/>
          <w:szCs w:val="28"/>
          <w:lang w:eastAsia="zh-CN"/>
        </w:rPr>
        <w:t>加工多种规格尺寸封板各一套</w:t>
      </w:r>
      <w:r>
        <w:rPr>
          <w:rFonts w:hint="eastAsia"/>
          <w:sz w:val="28"/>
          <w:szCs w:val="28"/>
          <w:lang w:val="en-US" w:eastAsia="zh-CN"/>
        </w:rPr>
        <w:t>）</w:t>
      </w:r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能固定于机构箱电缆进出口处，不轻易脱落。</w:t>
      </w:r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密封性能良好，能有效阻止潮气、虫蚁小动物等进入机构箱（可配合胶圈胶泥等适用）。</w:t>
      </w:r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安装方便，可单人轻松安装，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便于运维人员能轻松安装到现有设备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机构箱须增加线缆时，可二次调整开口。</w:t>
      </w:r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安装维护时不易划伤、腐蚀、挤压损坏机构箱体及电缆。</w:t>
      </w:r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能适应-20℃-60℃温度、≤80%相对湿度环境，具备抗轻微粉尘、油污能力，适配变电站室内外场景。</w:t>
      </w:r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该封板应便于后期改接线时调整。</w:t>
      </w:r>
    </w:p>
    <w:p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  <w:rPr>
          <w:sz w:val="28"/>
          <w:szCs w:val="28"/>
        </w:rPr>
      </w:pPr>
      <w:bookmarkStart w:id="6" w:name="_Toc1567"/>
      <w:r>
        <w:rPr>
          <w:rFonts w:hint="eastAsia"/>
          <w:sz w:val="28"/>
          <w:szCs w:val="28"/>
        </w:rPr>
        <w:t>6服务范围</w:t>
      </w:r>
      <w:bookmarkEnd w:id="6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服务范围一览表</w:t>
      </w:r>
    </w:p>
    <w:tbl>
      <w:tblPr>
        <w:tblStyle w:val="12"/>
        <w:tblW w:w="87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2313"/>
        <w:gridCol w:w="817"/>
        <w:gridCol w:w="2533"/>
        <w:gridCol w:w="1100"/>
        <w:gridCol w:w="10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2313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名称</w:t>
            </w:r>
          </w:p>
        </w:tc>
        <w:tc>
          <w:tcPr>
            <w:tcW w:w="817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2533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形式、规格</w:t>
            </w:r>
          </w:p>
        </w:tc>
        <w:tc>
          <w:tcPr>
            <w:tcW w:w="1100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服务期限</w:t>
            </w:r>
          </w:p>
        </w:tc>
        <w:tc>
          <w:tcPr>
            <w:tcW w:w="1024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313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“一种机构箱电缆孔封堵改造封板”加工服务</w:t>
            </w:r>
            <w:r>
              <w:rPr>
                <w:rFonts w:hint="eastAsia"/>
                <w:sz w:val="28"/>
                <w:szCs w:val="28"/>
                <w:lang w:eastAsia="zh-CN"/>
              </w:rPr>
              <w:t>，加工多种规格尺寸封板各一套</w:t>
            </w:r>
          </w:p>
        </w:tc>
        <w:tc>
          <w:tcPr>
            <w:tcW w:w="817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</w:t>
            </w:r>
          </w:p>
        </w:tc>
        <w:tc>
          <w:tcPr>
            <w:tcW w:w="2533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满足本技术规范书要求</w:t>
            </w:r>
          </w:p>
        </w:tc>
        <w:tc>
          <w:tcPr>
            <w:tcW w:w="1100" w:type="dxa"/>
            <w:vMerge w:val="restart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自合同约定之日起90</w:t>
            </w:r>
            <w:r>
              <w:rPr>
                <w:rFonts w:hint="eastAsia" w:cs="宋体"/>
                <w:sz w:val="28"/>
                <w:szCs w:val="28"/>
                <w:lang w:eastAsia="zh-CN"/>
              </w:rPr>
              <w:t>日</w:t>
            </w:r>
            <w:r>
              <w:rPr>
                <w:rFonts w:hint="eastAsia" w:cs="宋体"/>
                <w:sz w:val="28"/>
                <w:szCs w:val="28"/>
              </w:rPr>
              <w:t>内</w:t>
            </w:r>
          </w:p>
        </w:tc>
        <w:tc>
          <w:tcPr>
            <w:tcW w:w="1024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313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第三方检测报告（CMA、CNAS）</w:t>
            </w:r>
          </w:p>
        </w:tc>
        <w:tc>
          <w:tcPr>
            <w:tcW w:w="817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eastAsia="zh-CN"/>
              </w:rPr>
              <w:t>份</w:t>
            </w:r>
          </w:p>
        </w:tc>
        <w:tc>
          <w:tcPr>
            <w:tcW w:w="2533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型式试验，对于暂无型式试验标准的，应进行含关键检测项的委托试验</w:t>
            </w:r>
          </w:p>
        </w:tc>
        <w:tc>
          <w:tcPr>
            <w:tcW w:w="1100" w:type="dxa"/>
            <w:vMerge w:val="continue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</w:p>
        </w:tc>
        <w:tc>
          <w:tcPr>
            <w:tcW w:w="1024" w:type="dxa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</w:tbl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 w:val="28"/>
          <w:szCs w:val="28"/>
        </w:rPr>
      </w:pPr>
    </w:p>
    <w:p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  <w:rPr>
          <w:rFonts w:ascii="Calibri" w:hAnsi="宋体" w:eastAsia="宋体" w:cs="Times New Roman"/>
          <w:kern w:val="44"/>
          <w:sz w:val="28"/>
          <w:szCs w:val="28"/>
        </w:rPr>
      </w:pPr>
      <w:bookmarkStart w:id="7" w:name="_Toc16594"/>
      <w:r>
        <w:rPr>
          <w:rFonts w:hint="eastAsia" w:ascii="Calibri" w:hAnsi="宋体" w:eastAsia="宋体" w:cs="Times New Roman"/>
          <w:kern w:val="44"/>
          <w:sz w:val="28"/>
          <w:szCs w:val="28"/>
        </w:rPr>
        <w:t>7包装、运输及质量保证</w:t>
      </w:r>
      <w:bookmarkEnd w:id="7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7.1产品在运输应有防护措施，以免散失损坏或丢失、变形、受潮和腐蚀，中标方应按电压等级分类供货。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7.2储存、运输中应该注意通风、防潮,同时不得与有腐蚀性的物品堆放在一起。还应注意避开有腐蚀性气体环境。运输工程中应避免野蛮装卸。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★7.3中标方应对所加工的产品通过招标方验收评审通过之日计起，提供一年“三包”质量保证，质保期后如发生损坏，中标方应及时提供维修、更换服务，并按最近的投标价提供。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7.4中标方应遵守本招标技术文件中各条款和工作项目的ISO9000、GB/T19000质量保证体系, 该质量保证体系已经过国家认证和正常运转。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Calibri" w:hAnsi="Calibri" w:eastAsia="宋体" w:cs="Times New Roman"/>
          <w:sz w:val="28"/>
          <w:szCs w:val="28"/>
        </w:rPr>
      </w:pPr>
      <w:bookmarkStart w:id="8" w:name="_Toc28920"/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  <w:rPr>
          <w:rFonts w:ascii="Calibri" w:hAnsi="Calibri" w:eastAsia="宋体" w:cs="Times New Roman"/>
          <w:sz w:val="28"/>
          <w:szCs w:val="28"/>
        </w:rPr>
      </w:pPr>
      <w:r>
        <w:rPr>
          <w:rFonts w:hint="eastAsia" w:ascii="Calibri" w:hAnsi="Calibri" w:eastAsia="宋体" w:cs="Times New Roman"/>
          <w:sz w:val="28"/>
          <w:szCs w:val="28"/>
        </w:rPr>
        <w:t>附件</w:t>
      </w:r>
      <w:bookmarkEnd w:id="8"/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1.差异表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序号招标文件投标文件条目</w:t>
      </w:r>
    </w:p>
    <w:tbl>
      <w:tblPr>
        <w:tblStyle w:val="11"/>
        <w:tblW w:w="850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368"/>
        <w:gridCol w:w="2412"/>
        <w:gridCol w:w="1644"/>
        <w:gridCol w:w="2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bookmarkStart w:id="9" w:name="_Toc148970013"/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序号</w:t>
            </w:r>
            <w:bookmarkEnd w:id="9"/>
          </w:p>
        </w:tc>
        <w:tc>
          <w:tcPr>
            <w:tcW w:w="3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bookmarkStart w:id="10" w:name="_Toc148970014"/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招标文件</w:t>
            </w:r>
            <w:bookmarkEnd w:id="10"/>
          </w:p>
        </w:tc>
        <w:tc>
          <w:tcPr>
            <w:tcW w:w="38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bookmarkStart w:id="11" w:name="_Toc148970015"/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投标文件</w:t>
            </w:r>
            <w:bookmarkEnd w:id="1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bookmarkStart w:id="12" w:name="_Toc148970016"/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条目</w:t>
            </w:r>
            <w:bookmarkEnd w:id="12"/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bookmarkStart w:id="13" w:name="_Toc148970017"/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简要内容</w:t>
            </w:r>
            <w:bookmarkEnd w:id="13"/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满足程度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1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优于/部分满足/不满足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2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优于/部分满足/不满足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……</w:t>
            </w:r>
          </w:p>
        </w:tc>
      </w:tr>
    </w:tbl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0" w:firstLineChars="100"/>
        <w:textAlignment w:val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2、投标方需要说明的其它问题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EF77502"/>
    <w:multiLevelType w:val="singleLevel"/>
    <w:tmpl w:val="CEF7750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2BA"/>
    <w:rsid w:val="0000347D"/>
    <w:rsid w:val="000A3B26"/>
    <w:rsid w:val="000C6D20"/>
    <w:rsid w:val="000E5E5B"/>
    <w:rsid w:val="00132F0B"/>
    <w:rsid w:val="00191DE0"/>
    <w:rsid w:val="00192F60"/>
    <w:rsid w:val="001A29E4"/>
    <w:rsid w:val="001B5C1B"/>
    <w:rsid w:val="00237B17"/>
    <w:rsid w:val="002F34D6"/>
    <w:rsid w:val="003B32BA"/>
    <w:rsid w:val="00555852"/>
    <w:rsid w:val="005649F5"/>
    <w:rsid w:val="00596F79"/>
    <w:rsid w:val="005A6480"/>
    <w:rsid w:val="005E4095"/>
    <w:rsid w:val="00660D42"/>
    <w:rsid w:val="00671434"/>
    <w:rsid w:val="006737E9"/>
    <w:rsid w:val="00674768"/>
    <w:rsid w:val="006E0B10"/>
    <w:rsid w:val="00730762"/>
    <w:rsid w:val="0085126E"/>
    <w:rsid w:val="008A1E49"/>
    <w:rsid w:val="00977501"/>
    <w:rsid w:val="009A5C63"/>
    <w:rsid w:val="00B618A5"/>
    <w:rsid w:val="00B917D5"/>
    <w:rsid w:val="00C12DD9"/>
    <w:rsid w:val="00C70FD7"/>
    <w:rsid w:val="00CD7AC5"/>
    <w:rsid w:val="00E05DC7"/>
    <w:rsid w:val="00E23D91"/>
    <w:rsid w:val="00ED7349"/>
    <w:rsid w:val="00EF68A3"/>
    <w:rsid w:val="00F524B0"/>
    <w:rsid w:val="00F82C64"/>
    <w:rsid w:val="00FD5232"/>
    <w:rsid w:val="00FF2E87"/>
    <w:rsid w:val="06536302"/>
    <w:rsid w:val="095F4F6E"/>
    <w:rsid w:val="09B07C3E"/>
    <w:rsid w:val="09D9505B"/>
    <w:rsid w:val="0C345261"/>
    <w:rsid w:val="0C8711CC"/>
    <w:rsid w:val="15AD5F8B"/>
    <w:rsid w:val="21C102C4"/>
    <w:rsid w:val="239327F0"/>
    <w:rsid w:val="267D55BB"/>
    <w:rsid w:val="2AE01A0C"/>
    <w:rsid w:val="324367F0"/>
    <w:rsid w:val="33964460"/>
    <w:rsid w:val="367677C7"/>
    <w:rsid w:val="3B645C09"/>
    <w:rsid w:val="3B9F4427"/>
    <w:rsid w:val="3E8308D2"/>
    <w:rsid w:val="457F036F"/>
    <w:rsid w:val="48D43BC4"/>
    <w:rsid w:val="4A6E1422"/>
    <w:rsid w:val="4C951C63"/>
    <w:rsid w:val="4CD25091"/>
    <w:rsid w:val="54CA51F7"/>
    <w:rsid w:val="572A4459"/>
    <w:rsid w:val="57B9641D"/>
    <w:rsid w:val="63FB0FE4"/>
    <w:rsid w:val="749234CF"/>
    <w:rsid w:val="75EC3368"/>
    <w:rsid w:val="7D42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5"/>
    <w:next w:val="5"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semiHidden/>
    <w:unhideWhenUsed/>
    <w:qFormat/>
    <w:uiPriority w:val="39"/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table" w:styleId="12">
    <w:name w:val="Table Grid"/>
    <w:basedOn w:val="1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4">
    <w:name w:val="Hyperlink"/>
    <w:basedOn w:val="1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页眉 Char"/>
    <w:basedOn w:val="13"/>
    <w:link w:val="8"/>
    <w:qFormat/>
    <w:uiPriority w:val="99"/>
    <w:rPr>
      <w:sz w:val="18"/>
      <w:szCs w:val="18"/>
    </w:rPr>
  </w:style>
  <w:style w:type="character" w:customStyle="1" w:styleId="16">
    <w:name w:val="页脚 Char"/>
    <w:basedOn w:val="13"/>
    <w:link w:val="7"/>
    <w:qFormat/>
    <w:uiPriority w:val="99"/>
    <w:rPr>
      <w:sz w:val="18"/>
      <w:szCs w:val="18"/>
    </w:rPr>
  </w:style>
  <w:style w:type="character" w:customStyle="1" w:styleId="17">
    <w:name w:val="标题 2 Char"/>
    <w:basedOn w:val="13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8">
    <w:name w:val="标题 1 Char"/>
    <w:basedOn w:val="13"/>
    <w:link w:val="2"/>
    <w:qFormat/>
    <w:uiPriority w:val="9"/>
    <w:rPr>
      <w:b/>
      <w:bCs/>
      <w:kern w:val="44"/>
      <w:sz w:val="44"/>
      <w:szCs w:val="44"/>
    </w:rPr>
  </w:style>
  <w:style w:type="paragraph" w:customStyle="1" w:styleId="19">
    <w:name w:val="TOC 标题1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20">
    <w:name w:val="批注框文本 Char"/>
    <w:basedOn w:val="13"/>
    <w:link w:val="6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504247A-B4FE-47AC-8CD1-DA47B1BE76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346</Words>
  <Characters>1974</Characters>
  <Lines>16</Lines>
  <Paragraphs>4</Paragraphs>
  <TotalTime>6</TotalTime>
  <ScaleCrop>false</ScaleCrop>
  <LinksUpToDate>false</LinksUpToDate>
  <CharactersWithSpaces>2316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2023-10-07T15:28:00Z</dcterms:created>
  <dc:creator>admin</dc:creator>
  <cp:lastModifiedBy>陈欣</cp:lastModifiedBy>
  <dcterms:modified xsi:type="dcterms:W3CDTF">2025-11-05T10:59:23Z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7E3579B4FA544A029E0A060C3DD09586</vt:lpwstr>
  </property>
</Properties>
</file>