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hint="eastAsia"/>
          <w:b/>
          <w:sz w:val="48"/>
          <w:szCs w:val="48"/>
          <w:lang w:eastAsia="zh-CN"/>
        </w:rPr>
        <w:t>梧州网区2025年第二批职创项目加工服务（一种可不停电切割电缆终端保护套管的工器具）</w:t>
      </w:r>
      <w:r>
        <w:rPr>
          <w:rFonts w:hint="eastAsia"/>
          <w:b/>
          <w:sz w:val="48"/>
          <w:szCs w:val="48"/>
        </w:rPr>
        <w:t>技术规范书</w:t>
      </w:r>
    </w:p>
    <w:p>
      <w:pPr>
        <w:outlineLvl w:val="9"/>
      </w:pPr>
    </w:p>
    <w:p>
      <w:pPr>
        <w:pStyle w:val="4"/>
        <w:outlineLvl w:val="9"/>
      </w:pPr>
    </w:p>
    <w:p>
      <w:pPr>
        <w:pStyle w:val="5"/>
        <w:outlineLvl w:val="9"/>
      </w:pPr>
    </w:p>
    <w:p>
      <w:pPr>
        <w:outlineLvl w:val="9"/>
      </w:pPr>
    </w:p>
    <w:p>
      <w:pPr>
        <w:pStyle w:val="4"/>
        <w:outlineLvl w:val="9"/>
      </w:pPr>
    </w:p>
    <w:p>
      <w:pPr>
        <w:pStyle w:val="5"/>
        <w:outlineLvl w:val="9"/>
      </w:pPr>
    </w:p>
    <w:p>
      <w:pPr>
        <w:outlineLvl w:val="9"/>
      </w:pPr>
    </w:p>
    <w:p>
      <w:pPr>
        <w:pStyle w:val="4"/>
        <w:outlineLvl w:val="9"/>
      </w:pPr>
    </w:p>
    <w:p>
      <w:pPr>
        <w:pStyle w:val="5"/>
        <w:outlineLvl w:val="9"/>
      </w:pPr>
    </w:p>
    <w:p>
      <w:pPr>
        <w:outlineLvl w:val="9"/>
      </w:pPr>
    </w:p>
    <w:p>
      <w:pPr>
        <w:pStyle w:val="4"/>
        <w:outlineLvl w:val="9"/>
      </w:pPr>
    </w:p>
    <w:p>
      <w:pPr>
        <w:pStyle w:val="5"/>
        <w:outlineLvl w:val="9"/>
      </w:pPr>
    </w:p>
    <w:p>
      <w:pPr>
        <w:outlineLvl w:val="9"/>
      </w:pPr>
    </w:p>
    <w:p>
      <w:pPr>
        <w:spacing w:line="360" w:lineRule="auto"/>
        <w:jc w:val="center"/>
        <w:rPr>
          <w:rFonts w:ascii="宋体" w:hAnsi="Times New Roman" w:eastAsia="宋体" w:cs="Times New Roman"/>
          <w:b/>
          <w:sz w:val="32"/>
          <w:szCs w:val="32"/>
        </w:rPr>
      </w:pPr>
      <w:r>
        <w:rPr>
          <w:rFonts w:hint="eastAsia" w:ascii="宋体" w:hAnsi="Times New Roman" w:eastAsia="宋体" w:cs="Times New Roman"/>
          <w:b/>
          <w:sz w:val="32"/>
          <w:szCs w:val="32"/>
          <w:lang w:val="en-US" w:eastAsia="zh-CN"/>
        </w:rPr>
        <w:t>广西电网有限责任公司梧州供电局</w:t>
      </w:r>
    </w:p>
    <w:p>
      <w:pPr>
        <w:spacing w:line="360" w:lineRule="auto"/>
        <w:jc w:val="center"/>
        <w:rPr>
          <w:rFonts w:ascii="宋体" w:hAnsi="Times New Roman" w:eastAsia="宋体" w:cs="Times New Roman"/>
          <w:b/>
          <w:sz w:val="32"/>
          <w:szCs w:val="32"/>
        </w:rPr>
      </w:pPr>
      <w:r>
        <w:rPr>
          <w:rFonts w:hint="eastAsia" w:ascii="宋体" w:hAnsi="Times New Roman" w:eastAsia="宋体" w:cs="Times New Roman"/>
          <w:b/>
          <w:sz w:val="32"/>
          <w:szCs w:val="32"/>
        </w:rPr>
        <w:t>202</w:t>
      </w:r>
      <w:r>
        <w:rPr>
          <w:rFonts w:ascii="宋体" w:hAnsi="Times New Roman" w:eastAsia="宋体" w:cs="Times New Roman"/>
          <w:b/>
          <w:sz w:val="32"/>
          <w:szCs w:val="32"/>
        </w:rPr>
        <w:t>5</w:t>
      </w:r>
      <w:r>
        <w:rPr>
          <w:rFonts w:hint="eastAsia" w:ascii="宋体" w:hAnsi="Times New Roman" w:eastAsia="宋体" w:cs="Times New Roman"/>
          <w:b/>
          <w:sz w:val="32"/>
          <w:szCs w:val="32"/>
        </w:rPr>
        <w:t>年</w:t>
      </w:r>
      <w:r>
        <w:rPr>
          <w:rFonts w:hint="eastAsia" w:ascii="宋体" w:hAnsi="Times New Roman" w:eastAsia="宋体" w:cs="Times New Roman"/>
          <w:b/>
          <w:sz w:val="32"/>
          <w:szCs w:val="32"/>
          <w:lang w:val="en-US" w:eastAsia="zh-CN"/>
        </w:rPr>
        <w:t>10</w:t>
      </w:r>
      <w:r>
        <w:rPr>
          <w:rFonts w:hint="eastAsia" w:ascii="宋体" w:hAnsi="Times New Roman" w:eastAsia="宋体" w:cs="Times New Roman"/>
          <w:b/>
          <w:sz w:val="32"/>
          <w:szCs w:val="32"/>
        </w:rPr>
        <w:t>月</w:t>
      </w:r>
      <w:r>
        <w:rPr>
          <w:rFonts w:hint="eastAsia" w:ascii="宋体" w:hAnsi="Times New Roman" w:eastAsia="宋体" w:cs="Times New Roman"/>
          <w:b/>
          <w:sz w:val="32"/>
          <w:szCs w:val="32"/>
          <w:lang w:val="en-US" w:eastAsia="zh-CN"/>
        </w:rPr>
        <w:t>14</w:t>
      </w:r>
      <w:r>
        <w:rPr>
          <w:rFonts w:hint="eastAsia" w:ascii="宋体" w:hAnsi="Times New Roman" w:eastAsia="宋体" w:cs="Times New Roman"/>
          <w:b/>
          <w:sz w:val="32"/>
          <w:szCs w:val="32"/>
        </w:rPr>
        <w:t>日</w:t>
      </w:r>
    </w:p>
    <w:p>
      <w:r>
        <w:rPr>
          <w:rFonts w:hint="eastAsia"/>
        </w:rPr>
        <w:br w:type="page"/>
      </w:r>
    </w:p>
    <w:p>
      <w:pPr>
        <w:pStyle w:val="4"/>
        <w:outlineLvl w:val="9"/>
      </w:pPr>
    </w:p>
    <w:p>
      <w:pPr>
        <w:spacing w:line="360" w:lineRule="auto"/>
      </w:pPr>
    </w:p>
    <w:sdt>
      <w:sdtPr>
        <w:rPr>
          <w:lang w:val="zh-CN"/>
        </w:rPr>
        <w:id w:val="-441228423"/>
        <w:docPartObj>
          <w:docPartGallery w:val="Table of Contents"/>
          <w:docPartUnique/>
        </w:docPartObj>
      </w:sdtPr>
      <w:sdtEndPr>
        <w:rPr>
          <w:sz w:val="24"/>
          <w:lang w:val="zh-CN"/>
        </w:rPr>
      </w:sdtEndPr>
      <w:sdtContent>
        <w:p>
          <w:pPr>
            <w:spacing w:line="360" w:lineRule="auto"/>
            <w:jc w:val="center"/>
          </w:pPr>
          <w:r>
            <w:rPr>
              <w:rFonts w:ascii="宋体" w:hAnsi="宋体" w:eastAsia="宋体"/>
            </w:rPr>
            <w:t>目录</w:t>
          </w:r>
        </w:p>
        <w:p>
          <w:pPr>
            <w:pStyle w:val="9"/>
            <w:tabs>
              <w:tab w:val="right" w:leader="dot" w:pos="8306"/>
            </w:tabs>
            <w:spacing w:line="360" w:lineRule="auto"/>
          </w:pPr>
          <w:r>
            <w:rPr>
              <w:sz w:val="24"/>
            </w:rPr>
            <w:fldChar w:fldCharType="begin"/>
          </w:r>
          <w:r>
            <w:rPr>
              <w:sz w:val="24"/>
            </w:rPr>
            <w:instrText xml:space="preserve"> TOC \o "1-3" \h \z \u </w:instrText>
          </w:r>
          <w:r>
            <w:rPr>
              <w:sz w:val="24"/>
            </w:rPr>
            <w:fldChar w:fldCharType="separate"/>
          </w:r>
          <w:r>
            <w:fldChar w:fldCharType="begin"/>
          </w:r>
          <w:r>
            <w:instrText xml:space="preserve"> HYPERLINK \l "_Toc2053" </w:instrText>
          </w:r>
          <w:r>
            <w:fldChar w:fldCharType="separate"/>
          </w:r>
          <w:r>
            <w:rPr>
              <w:rFonts w:hint="eastAsia" w:ascii="Calibri" w:hAnsi="Calibri" w:eastAsia="宋体" w:cs="Times New Roman"/>
            </w:rPr>
            <w:t>1总则</w:t>
          </w:r>
          <w:r>
            <w:tab/>
          </w:r>
          <w:r>
            <w:fldChar w:fldCharType="begin"/>
          </w:r>
          <w:r>
            <w:instrText xml:space="preserve"> PAGEREF _Toc2053 \h </w:instrText>
          </w:r>
          <w:r>
            <w:fldChar w:fldCharType="separate"/>
          </w:r>
          <w:r>
            <w:t>3</w:t>
          </w:r>
          <w:r>
            <w:fldChar w:fldCharType="end"/>
          </w:r>
          <w:r>
            <w:fldChar w:fldCharType="end"/>
          </w:r>
        </w:p>
        <w:p>
          <w:pPr>
            <w:pStyle w:val="9"/>
            <w:tabs>
              <w:tab w:val="right" w:leader="dot" w:pos="8306"/>
            </w:tabs>
            <w:spacing w:line="360" w:lineRule="auto"/>
          </w:pPr>
          <w:r>
            <w:fldChar w:fldCharType="begin"/>
          </w:r>
          <w:r>
            <w:instrText xml:space="preserve"> HYPERLINK \l "_Toc9878" </w:instrText>
          </w:r>
          <w:r>
            <w:fldChar w:fldCharType="separate"/>
          </w:r>
          <w:r>
            <w:rPr>
              <w:rFonts w:hint="eastAsia" w:ascii="Calibri" w:hAnsi="Calibri" w:eastAsia="宋体" w:cs="Times New Roman"/>
            </w:rPr>
            <w:t>2标准和规程</w:t>
          </w:r>
          <w:r>
            <w:tab/>
          </w:r>
          <w:r>
            <w:fldChar w:fldCharType="begin"/>
          </w:r>
          <w:r>
            <w:instrText xml:space="preserve"> PAGEREF _Toc9878 \h </w:instrText>
          </w:r>
          <w:r>
            <w:fldChar w:fldCharType="separate"/>
          </w:r>
          <w:r>
            <w:t>4</w:t>
          </w:r>
          <w:r>
            <w:fldChar w:fldCharType="end"/>
          </w:r>
          <w:r>
            <w:fldChar w:fldCharType="end"/>
          </w:r>
        </w:p>
        <w:p>
          <w:pPr>
            <w:pStyle w:val="9"/>
            <w:tabs>
              <w:tab w:val="right" w:leader="dot" w:pos="8306"/>
            </w:tabs>
            <w:spacing w:line="360" w:lineRule="auto"/>
          </w:pPr>
          <w:r>
            <w:fldChar w:fldCharType="begin"/>
          </w:r>
          <w:r>
            <w:instrText xml:space="preserve"> HYPERLINK \l "_Toc436" </w:instrText>
          </w:r>
          <w:r>
            <w:fldChar w:fldCharType="separate"/>
          </w:r>
          <w:r>
            <w:rPr>
              <w:rFonts w:hint="eastAsia" w:ascii="Calibri" w:hAnsi="Calibri" w:eastAsia="宋体" w:cs="Times New Roman"/>
            </w:rPr>
            <w:t>3 项目概述</w:t>
          </w:r>
          <w:r>
            <w:tab/>
          </w:r>
          <w:r>
            <w:fldChar w:fldCharType="begin"/>
          </w:r>
          <w:r>
            <w:instrText xml:space="preserve"> PAGEREF _Toc436 \h </w:instrText>
          </w:r>
          <w:r>
            <w:fldChar w:fldCharType="separate"/>
          </w:r>
          <w:r>
            <w:t>4</w:t>
          </w:r>
          <w:r>
            <w:fldChar w:fldCharType="end"/>
          </w:r>
          <w:r>
            <w:fldChar w:fldCharType="end"/>
          </w:r>
        </w:p>
        <w:p>
          <w:pPr>
            <w:pStyle w:val="9"/>
            <w:tabs>
              <w:tab w:val="right" w:leader="dot" w:pos="8306"/>
            </w:tabs>
            <w:spacing w:line="360" w:lineRule="auto"/>
          </w:pPr>
          <w:r>
            <w:fldChar w:fldCharType="begin"/>
          </w:r>
          <w:r>
            <w:instrText xml:space="preserve"> HYPERLINK \l "_Toc27800" </w:instrText>
          </w:r>
          <w:r>
            <w:fldChar w:fldCharType="separate"/>
          </w:r>
          <w:r>
            <w:rPr>
              <w:rFonts w:hint="eastAsia" w:ascii="Calibri" w:hAnsi="Calibri" w:eastAsia="宋体" w:cs="Times New Roman"/>
            </w:rPr>
            <w:t>4加工技术要求</w:t>
          </w:r>
          <w:r>
            <w:tab/>
          </w:r>
          <w:r>
            <w:fldChar w:fldCharType="begin"/>
          </w:r>
          <w:r>
            <w:instrText xml:space="preserve"> PAGEREF _Toc27800 \h </w:instrText>
          </w:r>
          <w:r>
            <w:fldChar w:fldCharType="separate"/>
          </w:r>
          <w:r>
            <w:t>4</w:t>
          </w:r>
          <w:r>
            <w:fldChar w:fldCharType="end"/>
          </w:r>
          <w:r>
            <w:fldChar w:fldCharType="end"/>
          </w:r>
        </w:p>
        <w:p>
          <w:pPr>
            <w:pStyle w:val="9"/>
            <w:tabs>
              <w:tab w:val="right" w:leader="dot" w:pos="8306"/>
            </w:tabs>
            <w:spacing w:line="360" w:lineRule="auto"/>
          </w:pPr>
          <w:r>
            <w:fldChar w:fldCharType="begin"/>
          </w:r>
          <w:r>
            <w:instrText xml:space="preserve"> HYPERLINK \l "_Toc5407" </w:instrText>
          </w:r>
          <w:r>
            <w:fldChar w:fldCharType="separate"/>
          </w:r>
          <w:r>
            <w:rPr>
              <w:rFonts w:hint="eastAsia" w:ascii="Calibri" w:hAnsi="Calibri" w:eastAsia="宋体" w:cs="Times New Roman"/>
            </w:rPr>
            <w:t>5功能要求</w:t>
          </w:r>
          <w:r>
            <w:tab/>
          </w:r>
          <w:r>
            <w:fldChar w:fldCharType="begin"/>
          </w:r>
          <w:r>
            <w:instrText xml:space="preserve"> PAGEREF _Toc5407 \h </w:instrText>
          </w:r>
          <w:r>
            <w:fldChar w:fldCharType="separate"/>
          </w:r>
          <w:r>
            <w:t>5</w:t>
          </w:r>
          <w:r>
            <w:fldChar w:fldCharType="end"/>
          </w:r>
          <w:r>
            <w:fldChar w:fldCharType="end"/>
          </w:r>
        </w:p>
        <w:p>
          <w:pPr>
            <w:pStyle w:val="10"/>
            <w:tabs>
              <w:tab w:val="right" w:leader="dot" w:pos="8306"/>
            </w:tabs>
            <w:spacing w:line="360" w:lineRule="auto"/>
            <w:ind w:left="0" w:leftChars="0"/>
          </w:pPr>
          <w:r>
            <w:fldChar w:fldCharType="begin"/>
          </w:r>
          <w:r>
            <w:instrText xml:space="preserve"> HYPERLINK \l "_Toc1567" </w:instrText>
          </w:r>
          <w:r>
            <w:fldChar w:fldCharType="separate"/>
          </w:r>
          <w:r>
            <w:rPr>
              <w:rFonts w:hint="eastAsia"/>
            </w:rPr>
            <w:t>6服务范围</w:t>
          </w:r>
          <w:r>
            <w:tab/>
          </w:r>
          <w:r>
            <w:fldChar w:fldCharType="begin"/>
          </w:r>
          <w:r>
            <w:instrText xml:space="preserve"> PAGEREF _Toc1567 \h </w:instrText>
          </w:r>
          <w:r>
            <w:fldChar w:fldCharType="separate"/>
          </w:r>
          <w:r>
            <w:t>5</w:t>
          </w:r>
          <w:r>
            <w:fldChar w:fldCharType="end"/>
          </w:r>
          <w:r>
            <w:fldChar w:fldCharType="end"/>
          </w:r>
        </w:p>
        <w:p>
          <w:pPr>
            <w:pStyle w:val="10"/>
            <w:tabs>
              <w:tab w:val="right" w:leader="dot" w:pos="8306"/>
            </w:tabs>
            <w:spacing w:line="360" w:lineRule="auto"/>
            <w:ind w:left="0" w:leftChars="0"/>
          </w:pPr>
          <w:r>
            <w:fldChar w:fldCharType="begin"/>
          </w:r>
          <w:r>
            <w:instrText xml:space="preserve"> HYPERLINK \l "_Toc16594" </w:instrText>
          </w:r>
          <w:r>
            <w:fldChar w:fldCharType="separate"/>
          </w:r>
          <w:r>
            <w:rPr>
              <w:rFonts w:hint="eastAsia" w:ascii="Calibri" w:hAnsi="宋体" w:eastAsia="宋体" w:cs="Times New Roman"/>
              <w:bCs/>
              <w:kern w:val="44"/>
              <w:szCs w:val="28"/>
            </w:rPr>
            <w:t>7包装、运输及质量保证</w:t>
          </w:r>
          <w:r>
            <w:tab/>
          </w:r>
          <w:r>
            <w:fldChar w:fldCharType="begin"/>
          </w:r>
          <w:r>
            <w:instrText xml:space="preserve"> PAGEREF _Toc16594 \h </w:instrText>
          </w:r>
          <w:r>
            <w:fldChar w:fldCharType="separate"/>
          </w:r>
          <w:r>
            <w:t>6</w:t>
          </w:r>
          <w:r>
            <w:fldChar w:fldCharType="end"/>
          </w:r>
          <w:r>
            <w:fldChar w:fldCharType="end"/>
          </w:r>
        </w:p>
        <w:p>
          <w:pPr>
            <w:pStyle w:val="9"/>
            <w:tabs>
              <w:tab w:val="right" w:leader="dot" w:pos="8306"/>
            </w:tabs>
            <w:spacing w:line="360" w:lineRule="auto"/>
          </w:pPr>
          <w:r>
            <w:fldChar w:fldCharType="begin"/>
          </w:r>
          <w:r>
            <w:instrText xml:space="preserve"> HYPERLINK \l "_Toc28920" </w:instrText>
          </w:r>
          <w:r>
            <w:fldChar w:fldCharType="separate"/>
          </w:r>
          <w:r>
            <w:rPr>
              <w:rFonts w:hint="eastAsia" w:ascii="Calibri" w:hAnsi="Calibri" w:eastAsia="宋体" w:cs="Times New Roman"/>
            </w:rPr>
            <w:t>附件</w:t>
          </w:r>
          <w:r>
            <w:tab/>
          </w:r>
          <w:r>
            <w:fldChar w:fldCharType="begin"/>
          </w:r>
          <w:r>
            <w:instrText xml:space="preserve"> PAGEREF _Toc28920 \h </w:instrText>
          </w:r>
          <w:r>
            <w:fldChar w:fldCharType="separate"/>
          </w:r>
          <w:r>
            <w:t>7</w:t>
          </w:r>
          <w:r>
            <w:fldChar w:fldCharType="end"/>
          </w:r>
          <w:r>
            <w:fldChar w:fldCharType="end"/>
          </w:r>
        </w:p>
        <w:p>
          <w:pPr>
            <w:spacing w:line="360" w:lineRule="auto"/>
            <w:rPr>
              <w:sz w:val="24"/>
            </w:rPr>
          </w:pPr>
          <w:r>
            <w:rPr>
              <w:bCs/>
              <w:lang w:val="zh-CN"/>
            </w:rPr>
            <w:fldChar w:fldCharType="end"/>
          </w:r>
        </w:p>
      </w:sdtContent>
    </w:sdt>
    <w:p>
      <w:pPr>
        <w:widowControl/>
        <w:jc w:val="left"/>
      </w:pPr>
      <w:r>
        <w:br w:type="page"/>
      </w:r>
    </w:p>
    <w:p>
      <w:pPr>
        <w:pStyle w:val="2"/>
        <w:spacing w:before="0" w:after="0" w:line="360" w:lineRule="auto"/>
        <w:rPr>
          <w:rFonts w:ascii="Calibri" w:hAnsi="Calibri" w:eastAsia="宋体" w:cs="Times New Roman"/>
          <w:sz w:val="28"/>
        </w:rPr>
      </w:pPr>
      <w:bookmarkStart w:id="0" w:name="_Toc2053"/>
      <w:r>
        <w:rPr>
          <w:rFonts w:hint="eastAsia" w:ascii="Calibri" w:hAnsi="Calibri" w:eastAsia="宋体" w:cs="Times New Roman"/>
          <w:sz w:val="28"/>
        </w:rPr>
        <w:t>1总则</w:t>
      </w:r>
      <w:bookmarkEnd w:id="0"/>
    </w:p>
    <w:p>
      <w:pPr>
        <w:spacing w:line="360" w:lineRule="auto"/>
        <w:ind w:firstLine="280" w:firstLineChars="100"/>
        <w:rPr>
          <w:rFonts w:ascii="宋体" w:hAnsi="宋体" w:eastAsia="宋体" w:cs="Times New Roman"/>
          <w:sz w:val="28"/>
          <w:szCs w:val="28"/>
        </w:rPr>
      </w:pPr>
      <w:r>
        <w:rPr>
          <w:rFonts w:hint="eastAsia" w:ascii="宋体" w:hAnsi="宋体" w:eastAsia="宋体" w:cs="Times New Roman"/>
          <w:sz w:val="28"/>
          <w:szCs w:val="28"/>
        </w:rPr>
        <w:t>1.1本技术规范书适用于“</w:t>
      </w:r>
      <w:r>
        <w:rPr>
          <w:rFonts w:hint="eastAsia" w:ascii="宋体" w:hAnsi="宋体" w:eastAsia="宋体" w:cs="Times New Roman"/>
          <w:sz w:val="28"/>
          <w:szCs w:val="28"/>
          <w:lang w:eastAsia="zh-CN"/>
        </w:rPr>
        <w:t>一种可不停电切割电缆终端保护套管的工器具</w:t>
      </w:r>
      <w:r>
        <w:rPr>
          <w:rFonts w:ascii="宋体" w:hAnsi="宋体" w:eastAsia="宋体" w:cs="Times New Roman"/>
          <w:sz w:val="28"/>
          <w:szCs w:val="28"/>
        </w:rPr>
        <w:t>”</w:t>
      </w:r>
      <w:r>
        <w:rPr>
          <w:rFonts w:hint="eastAsia" w:ascii="宋体" w:hAnsi="宋体" w:eastAsia="宋体" w:cs="Times New Roman"/>
          <w:sz w:val="28"/>
          <w:szCs w:val="28"/>
        </w:rPr>
        <w:t>加工服务采购，提出了加工该装置的技术和功能方面的要求，投标方必须认真阅读本技术条款内容，以免造成投标失败。</w:t>
      </w:r>
    </w:p>
    <w:p>
      <w:pPr>
        <w:spacing w:line="360" w:lineRule="auto"/>
        <w:ind w:firstLine="280" w:firstLineChars="100"/>
        <w:rPr>
          <w:rFonts w:ascii="宋体" w:hAnsi="宋体" w:eastAsia="宋体" w:cs="Times New Roman"/>
          <w:sz w:val="28"/>
          <w:szCs w:val="28"/>
        </w:rPr>
      </w:pPr>
      <w:r>
        <w:rPr>
          <w:rFonts w:hint="eastAsia" w:ascii="宋体" w:hAnsi="宋体" w:eastAsia="宋体" w:cs="Times New Roman"/>
          <w:sz w:val="28"/>
          <w:szCs w:val="28"/>
        </w:rPr>
        <w:t>1.2本规范书指标要求中，凡标有下划线或加“★”的地方均被视为重要的技术指标要求或性能要求。投标方要特别加以注意，必须完全满足这些要求。</w:t>
      </w:r>
    </w:p>
    <w:p>
      <w:pPr>
        <w:spacing w:line="360" w:lineRule="auto"/>
        <w:ind w:firstLine="280" w:firstLineChars="100"/>
        <w:rPr>
          <w:rFonts w:ascii="宋体" w:hAnsi="宋体" w:eastAsia="宋体" w:cs="Times New Roman"/>
          <w:sz w:val="28"/>
          <w:szCs w:val="28"/>
        </w:rPr>
      </w:pPr>
      <w:r>
        <w:rPr>
          <w:rFonts w:hint="eastAsia" w:ascii="宋体" w:hAnsi="宋体" w:eastAsia="宋体" w:cs="Times New Roman"/>
          <w:sz w:val="28"/>
          <w:szCs w:val="28"/>
        </w:rPr>
        <w:t>1.3本技术规范书提出的是最低限度的技术要求，并未对一切技术细节做出规定，也未充分引述有关标准和规范的条文，投标方应保证提供满足本技术规范书要求、满足有关国家质量标准要求、满足国家有关安全、环保等强制性标准和规范要求的完整服务和工作产品。</w:t>
      </w:r>
    </w:p>
    <w:p>
      <w:pPr>
        <w:spacing w:line="360" w:lineRule="auto"/>
        <w:ind w:firstLine="280" w:firstLineChars="100"/>
        <w:rPr>
          <w:rFonts w:ascii="宋体" w:hAnsi="宋体" w:eastAsia="宋体" w:cs="Times New Roman"/>
          <w:sz w:val="28"/>
          <w:szCs w:val="28"/>
        </w:rPr>
      </w:pPr>
      <w:r>
        <w:rPr>
          <w:rFonts w:hint="eastAsia" w:ascii="宋体" w:hAnsi="宋体" w:eastAsia="宋体" w:cs="Times New Roman"/>
          <w:sz w:val="28"/>
          <w:szCs w:val="28"/>
        </w:rPr>
        <w:t>1.4如投标方对本技术规范书有异议时，应以书面形式在报价截止日之前1天提出，如没有以书面形式对本规范书的条款提出异议，则意味着投标方已清楚并理解本规范书的要求。</w:t>
      </w:r>
    </w:p>
    <w:p>
      <w:pPr>
        <w:spacing w:line="360" w:lineRule="auto"/>
        <w:ind w:firstLine="280" w:firstLineChars="100"/>
        <w:rPr>
          <w:rFonts w:ascii="宋体" w:hAnsi="宋体" w:eastAsia="宋体" w:cs="Times New Roman"/>
          <w:sz w:val="28"/>
          <w:szCs w:val="28"/>
        </w:rPr>
      </w:pPr>
      <w:r>
        <w:rPr>
          <w:rFonts w:hint="eastAsia" w:ascii="宋体" w:hAnsi="宋体" w:eastAsia="宋体" w:cs="Times New Roman"/>
          <w:sz w:val="28"/>
          <w:szCs w:val="28"/>
        </w:rPr>
        <w:t>1.5 投标方应对本次招标方采购涉及所有文件保密，不得向其他单位公布或泄漏招标项目的有关信息。</w:t>
      </w:r>
    </w:p>
    <w:p>
      <w:pPr>
        <w:spacing w:line="360" w:lineRule="auto"/>
        <w:ind w:firstLine="280" w:firstLineChars="100"/>
        <w:rPr>
          <w:rFonts w:ascii="宋体" w:hAnsi="宋体" w:eastAsia="宋体" w:cs="Times New Roman"/>
          <w:sz w:val="28"/>
          <w:szCs w:val="28"/>
        </w:rPr>
      </w:pPr>
      <w:r>
        <w:rPr>
          <w:rFonts w:hint="eastAsia" w:ascii="宋体" w:hAnsi="宋体" w:eastAsia="宋体" w:cs="Times New Roman"/>
          <w:sz w:val="28"/>
          <w:szCs w:val="28"/>
        </w:rPr>
        <w:t>1.6本技术规范书作为招标方的采购文件，投标方应在报价文件中按要求作出应答，如有差异，还需以本技术规范书附件“差异表”的形式另外列出。</w:t>
      </w:r>
    </w:p>
    <w:p>
      <w:pPr>
        <w:spacing w:line="360" w:lineRule="auto"/>
        <w:ind w:firstLine="280" w:firstLineChars="100"/>
        <w:rPr>
          <w:rFonts w:ascii="宋体" w:hAnsi="宋体" w:eastAsia="宋体" w:cs="Times New Roman"/>
          <w:sz w:val="28"/>
          <w:szCs w:val="28"/>
        </w:rPr>
      </w:pPr>
      <w:r>
        <w:rPr>
          <w:rFonts w:hint="eastAsia" w:ascii="宋体" w:hAnsi="宋体" w:eastAsia="宋体" w:cs="Times New Roman"/>
          <w:sz w:val="28"/>
          <w:szCs w:val="28"/>
        </w:rPr>
        <w:t>1.7双方确认成交后，本技术规范书与合同具有同等的法律约束效力，本技术规范书未尽事宜，由招标方和中标方双方协商确定。</w:t>
      </w:r>
    </w:p>
    <w:p>
      <w:pPr>
        <w:pStyle w:val="2"/>
        <w:spacing w:before="0" w:after="0" w:line="360" w:lineRule="auto"/>
        <w:rPr>
          <w:rFonts w:ascii="Calibri" w:hAnsi="Calibri" w:eastAsia="宋体" w:cs="Times New Roman"/>
          <w:sz w:val="28"/>
        </w:rPr>
      </w:pPr>
      <w:bookmarkStart w:id="1" w:name="_Toc9878"/>
      <w:r>
        <w:rPr>
          <w:rFonts w:hint="eastAsia" w:ascii="Calibri" w:hAnsi="Calibri" w:eastAsia="宋体" w:cs="Times New Roman"/>
          <w:sz w:val="28"/>
        </w:rPr>
        <w:t>2标准和规程</w:t>
      </w:r>
      <w:bookmarkEnd w:id="1"/>
    </w:p>
    <w:p>
      <w:pPr>
        <w:spacing w:line="360" w:lineRule="auto"/>
        <w:ind w:firstLine="560" w:firstLineChars="200"/>
        <w:rPr>
          <w:rFonts w:ascii="宋体" w:hAnsi="宋体" w:eastAsia="宋体" w:cs="Times New Roman"/>
          <w:sz w:val="28"/>
          <w:szCs w:val="28"/>
        </w:rPr>
      </w:pPr>
      <w:r>
        <w:rPr>
          <w:rFonts w:hint="eastAsia" w:ascii="宋体" w:hAnsi="宋体" w:eastAsia="宋体" w:cs="Times New Roman"/>
          <w:sz w:val="28"/>
          <w:szCs w:val="28"/>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spacing w:line="360" w:lineRule="auto"/>
        <w:ind w:firstLine="560" w:firstLineChars="200"/>
        <w:rPr>
          <w:rFonts w:ascii="宋体" w:hAnsi="宋体" w:eastAsia="宋体" w:cs="Times New Roman"/>
          <w:sz w:val="28"/>
          <w:szCs w:val="28"/>
        </w:rPr>
      </w:pPr>
      <w:r>
        <w:rPr>
          <w:rFonts w:hint="eastAsia" w:ascii="宋体" w:hAnsi="宋体" w:eastAsia="宋体" w:cs="Times New Roman"/>
          <w:sz w:val="28"/>
          <w:szCs w:val="28"/>
        </w:rPr>
        <w:t>投标方如果采用自己的标准或规范，必须向招标方提供中文复印件并经招标方同意后方可采用，但不能低于国家标准GB、行业标准JB有关规定。</w:t>
      </w:r>
    </w:p>
    <w:p>
      <w:pPr>
        <w:spacing w:line="360" w:lineRule="auto"/>
        <w:ind w:firstLine="560" w:firstLineChars="200"/>
        <w:rPr>
          <w:rFonts w:ascii="宋体" w:hAnsi="宋体" w:eastAsia="宋体" w:cs="Times New Roman"/>
          <w:sz w:val="28"/>
          <w:szCs w:val="28"/>
        </w:rPr>
      </w:pPr>
      <w:r>
        <w:rPr>
          <w:rFonts w:hint="eastAsia" w:ascii="宋体" w:hAnsi="宋体" w:eastAsia="宋体" w:cs="Times New Roman"/>
          <w:sz w:val="28"/>
          <w:szCs w:val="28"/>
        </w:rPr>
        <w:t>下列标准所包括的条文，通过在本规定中引用而构成本规定的条文。本标准出版时所示版本均为有效。所有标准都会被修订，使用本标准的各方应探讨使用下列标准最新版本的可能性。</w:t>
      </w:r>
    </w:p>
    <w:p>
      <w:pPr>
        <w:spacing w:line="360" w:lineRule="auto"/>
        <w:ind w:firstLine="560" w:firstLineChars="200"/>
        <w:rPr>
          <w:rFonts w:ascii="宋体" w:hAnsi="宋体" w:eastAsia="宋体" w:cs="Times New Roman"/>
          <w:sz w:val="28"/>
          <w:szCs w:val="28"/>
        </w:rPr>
      </w:pPr>
      <w:r>
        <w:rPr>
          <w:rFonts w:hint="eastAsia" w:ascii="宋体" w:hAnsi="宋体" w:eastAsia="宋体" w:cs="Times New Roman"/>
          <w:sz w:val="28"/>
          <w:szCs w:val="28"/>
        </w:rPr>
        <w:t>2.1《中华人民共和国产品质量法》</w:t>
      </w:r>
    </w:p>
    <w:p>
      <w:pPr>
        <w:spacing w:line="360" w:lineRule="auto"/>
        <w:ind w:firstLine="560" w:firstLineChars="200"/>
        <w:rPr>
          <w:rFonts w:ascii="宋体" w:hAnsi="宋体" w:eastAsia="宋体" w:cs="Times New Roman"/>
          <w:sz w:val="28"/>
          <w:szCs w:val="28"/>
        </w:rPr>
      </w:pPr>
      <w:r>
        <w:rPr>
          <w:rFonts w:hint="eastAsia" w:ascii="宋体" w:hAnsi="宋体" w:eastAsia="宋体" w:cs="Times New Roman"/>
          <w:sz w:val="28"/>
          <w:szCs w:val="28"/>
        </w:rPr>
        <w:t>2.2《中国南方电网有限责任公司电力安全工作规程》</w:t>
      </w:r>
    </w:p>
    <w:p>
      <w:pPr>
        <w:pStyle w:val="2"/>
        <w:spacing w:before="0" w:after="0" w:line="360" w:lineRule="auto"/>
        <w:rPr>
          <w:rFonts w:ascii="Calibri" w:hAnsi="Calibri" w:eastAsia="宋体" w:cs="Times New Roman"/>
          <w:sz w:val="28"/>
        </w:rPr>
      </w:pPr>
      <w:bookmarkStart w:id="2" w:name="_Toc22903_WPSOffice_Level1"/>
      <w:bookmarkStart w:id="3" w:name="_Toc436"/>
      <w:r>
        <w:rPr>
          <w:rFonts w:hint="eastAsia" w:ascii="Calibri" w:hAnsi="Calibri" w:eastAsia="宋体" w:cs="Times New Roman"/>
          <w:sz w:val="28"/>
        </w:rPr>
        <w:t xml:space="preserve">3 </w:t>
      </w:r>
      <w:bookmarkEnd w:id="2"/>
      <w:bookmarkEnd w:id="3"/>
      <w:r>
        <w:rPr>
          <w:rFonts w:hint="eastAsia" w:ascii="Calibri" w:hAnsi="Calibri" w:eastAsia="宋体" w:cs="Times New Roman"/>
          <w:sz w:val="28"/>
        </w:rPr>
        <w:t>加工总体要求</w:t>
      </w:r>
    </w:p>
    <w:p>
      <w:pPr>
        <w:spacing w:line="360" w:lineRule="auto"/>
        <w:ind w:firstLine="560" w:firstLineChars="200"/>
        <w:rPr>
          <w:rFonts w:ascii="宋体" w:hAnsi="宋体" w:eastAsia="宋体" w:cs="Times New Roman"/>
          <w:sz w:val="28"/>
          <w:szCs w:val="28"/>
        </w:rPr>
      </w:pPr>
      <w:r>
        <w:rPr>
          <w:rFonts w:hint="eastAsia" w:ascii="宋体" w:hAnsi="宋体" w:eastAsia="宋体" w:cs="Times New Roman"/>
          <w:sz w:val="28"/>
          <w:szCs w:val="28"/>
        </w:rPr>
        <w:t>本次加工所需材料清单、要求及设计图由甲方提供给乙方，乙方在收到上述资料后，根据本规范书的技术、功能要求与甲方协商落实最后完整的加工方案后，购买材料并进行加工</w:t>
      </w:r>
      <w:bookmarkStart w:id="14" w:name="_GoBack"/>
      <w:bookmarkEnd w:id="14"/>
      <w:r>
        <w:rPr>
          <w:rFonts w:hint="eastAsia" w:ascii="宋体" w:hAnsi="宋体" w:eastAsia="宋体" w:cs="Times New Roman"/>
          <w:sz w:val="28"/>
          <w:szCs w:val="28"/>
        </w:rPr>
        <w:t>。</w:t>
      </w:r>
    </w:p>
    <w:p>
      <w:pPr>
        <w:pStyle w:val="2"/>
        <w:spacing w:before="0" w:after="0" w:line="360" w:lineRule="auto"/>
        <w:rPr>
          <w:rFonts w:ascii="Calibri" w:hAnsi="Calibri" w:eastAsia="宋体" w:cs="Times New Roman"/>
          <w:sz w:val="28"/>
        </w:rPr>
      </w:pPr>
      <w:bookmarkStart w:id="4" w:name="_Toc27800"/>
      <w:r>
        <w:rPr>
          <w:rFonts w:hint="eastAsia" w:ascii="Calibri" w:hAnsi="Calibri" w:eastAsia="宋体" w:cs="Times New Roman"/>
          <w:sz w:val="28"/>
        </w:rPr>
        <w:t>4技术要求</w:t>
      </w:r>
      <w:bookmarkEnd w:id="4"/>
    </w:p>
    <w:p>
      <w:pPr>
        <w:spacing w:line="360" w:lineRule="auto"/>
        <w:rPr>
          <w:rFonts w:ascii="宋体" w:hAnsi="宋体" w:eastAsia="宋体" w:cs="Times New Roman"/>
          <w:sz w:val="28"/>
          <w:szCs w:val="28"/>
        </w:rPr>
      </w:pPr>
      <w:r>
        <w:rPr>
          <w:rFonts w:hint="eastAsia" w:ascii="宋体" w:hAnsi="宋体" w:eastAsia="宋体" w:cs="Times New Roman"/>
          <w:sz w:val="28"/>
          <w:szCs w:val="28"/>
        </w:rPr>
        <w:t>4.1技术指标要求</w:t>
      </w:r>
    </w:p>
    <w:p>
      <w:pPr>
        <w:spacing w:line="360" w:lineRule="auto"/>
        <w:ind w:firstLine="280" w:firstLineChars="100"/>
        <w:rPr>
          <w:rFonts w:ascii="宋体" w:hAnsi="宋体" w:eastAsia="宋体" w:cs="Times New Roman"/>
          <w:sz w:val="28"/>
          <w:szCs w:val="28"/>
        </w:rPr>
      </w:pPr>
      <w:r>
        <w:rPr>
          <w:rFonts w:hint="eastAsia" w:ascii="宋体" w:hAnsi="宋体" w:eastAsia="宋体" w:cs="Times New Roman"/>
          <w:sz w:val="28"/>
          <w:szCs w:val="28"/>
        </w:rPr>
        <w:t>4.1.1运行环境条件</w:t>
      </w:r>
    </w:p>
    <w:p>
      <w:pPr>
        <w:spacing w:line="360" w:lineRule="auto"/>
        <w:rPr>
          <w:rFonts w:hint="eastAsia" w:ascii="宋体" w:hAnsi="宋体" w:eastAsia="宋体" w:cs="Times New Roman"/>
          <w:sz w:val="28"/>
          <w:szCs w:val="28"/>
        </w:rPr>
      </w:pPr>
      <w:r>
        <w:rPr>
          <w:rFonts w:hint="eastAsia" w:ascii="宋体" w:hAnsi="宋体" w:eastAsia="宋体" w:cs="Times New Roman"/>
          <w:sz w:val="28"/>
          <w:szCs w:val="28"/>
        </w:rPr>
        <w:t>海拔高度：4000m及以下任何海拔高度均可正常使用；</w:t>
      </w:r>
    </w:p>
    <w:p>
      <w:pPr>
        <w:spacing w:line="360" w:lineRule="auto"/>
        <w:rPr>
          <w:rFonts w:hint="eastAsia" w:ascii="宋体" w:hAnsi="宋体" w:eastAsia="宋体" w:cs="Times New Roman"/>
          <w:sz w:val="28"/>
          <w:szCs w:val="28"/>
        </w:rPr>
      </w:pPr>
      <w:r>
        <w:rPr>
          <w:rFonts w:hint="eastAsia" w:ascii="宋体" w:hAnsi="宋体" w:eastAsia="宋体" w:cs="Times New Roman"/>
          <w:sz w:val="28"/>
          <w:szCs w:val="28"/>
        </w:rPr>
        <w:t>最高环境温度：+55ºC；</w:t>
      </w:r>
    </w:p>
    <w:p>
      <w:pPr>
        <w:spacing w:line="360" w:lineRule="auto"/>
        <w:rPr>
          <w:rFonts w:hint="eastAsia" w:ascii="宋体" w:hAnsi="宋体" w:eastAsia="宋体" w:cs="Times New Roman"/>
          <w:sz w:val="28"/>
          <w:szCs w:val="28"/>
        </w:rPr>
      </w:pPr>
      <w:r>
        <w:rPr>
          <w:rFonts w:hint="eastAsia" w:ascii="宋体" w:hAnsi="宋体" w:eastAsia="宋体" w:cs="Times New Roman"/>
          <w:sz w:val="28"/>
          <w:szCs w:val="28"/>
        </w:rPr>
        <w:t>最低环境温度：-20ºC；</w:t>
      </w:r>
    </w:p>
    <w:p>
      <w:pPr>
        <w:spacing w:line="360" w:lineRule="auto"/>
        <w:rPr>
          <w:rFonts w:hint="eastAsia" w:ascii="宋体" w:hAnsi="宋体" w:eastAsia="宋体" w:cs="Times New Roman"/>
          <w:sz w:val="28"/>
          <w:szCs w:val="28"/>
        </w:rPr>
      </w:pPr>
      <w:r>
        <w:rPr>
          <w:rFonts w:hint="eastAsia" w:ascii="宋体" w:hAnsi="宋体" w:eastAsia="宋体" w:cs="Times New Roman"/>
          <w:sz w:val="28"/>
          <w:szCs w:val="28"/>
        </w:rPr>
        <w:t>年平均气温：20ºC；</w:t>
      </w:r>
    </w:p>
    <w:p>
      <w:pPr>
        <w:spacing w:line="360" w:lineRule="auto"/>
        <w:rPr>
          <w:rFonts w:hint="eastAsia" w:ascii="宋体" w:hAnsi="宋体" w:eastAsia="宋体" w:cs="Times New Roman"/>
          <w:sz w:val="28"/>
          <w:szCs w:val="28"/>
        </w:rPr>
      </w:pPr>
      <w:r>
        <w:rPr>
          <w:rFonts w:hint="eastAsia" w:ascii="宋体" w:hAnsi="宋体" w:eastAsia="宋体" w:cs="Times New Roman"/>
          <w:sz w:val="28"/>
          <w:szCs w:val="28"/>
        </w:rPr>
        <w:t>环境相对湿度：80%。</w:t>
      </w:r>
    </w:p>
    <w:p>
      <w:pPr>
        <w:spacing w:line="360" w:lineRule="auto"/>
        <w:ind w:firstLine="280" w:firstLineChars="100"/>
        <w:rPr>
          <w:rFonts w:ascii="宋体" w:hAnsi="宋体" w:eastAsia="宋体" w:cs="Times New Roman"/>
          <w:sz w:val="28"/>
          <w:szCs w:val="28"/>
        </w:rPr>
      </w:pPr>
      <w:r>
        <w:rPr>
          <w:rFonts w:hint="eastAsia" w:ascii="宋体" w:hAnsi="宋体" w:eastAsia="宋体" w:cs="Times New Roman"/>
          <w:sz w:val="28"/>
          <w:szCs w:val="28"/>
        </w:rPr>
        <w:t>4.1.2适用范围</w:t>
      </w:r>
    </w:p>
    <w:p>
      <w:pPr>
        <w:spacing w:line="360" w:lineRule="auto"/>
        <w:rPr>
          <w:rFonts w:ascii="宋体" w:hAnsi="宋体" w:eastAsia="宋体" w:cs="Times New Roman"/>
          <w:sz w:val="28"/>
          <w:szCs w:val="28"/>
        </w:rPr>
      </w:pPr>
      <w:r>
        <w:rPr>
          <w:rFonts w:hint="eastAsia" w:ascii="宋体" w:hAnsi="宋体" w:eastAsia="宋体" w:cs="Times New Roman"/>
          <w:sz w:val="28"/>
          <w:szCs w:val="28"/>
        </w:rPr>
        <w:t>本装置适用于不停电</w:t>
      </w:r>
      <w:r>
        <w:rPr>
          <w:rFonts w:hint="eastAsia" w:ascii="宋体" w:hAnsi="宋体" w:eastAsia="宋体" w:cs="Times New Roman"/>
          <w:sz w:val="28"/>
          <w:szCs w:val="28"/>
          <w:lang w:eastAsia="zh-CN"/>
        </w:rPr>
        <w:t>更换</w:t>
      </w:r>
      <w:r>
        <w:rPr>
          <w:rFonts w:hint="eastAsia" w:ascii="宋体" w:hAnsi="宋体" w:eastAsia="宋体" w:cs="Times New Roman"/>
          <w:sz w:val="28"/>
          <w:szCs w:val="28"/>
        </w:rPr>
        <w:t>电缆终端保护套管作业。</w:t>
      </w:r>
    </w:p>
    <w:p>
      <w:pPr>
        <w:spacing w:line="360" w:lineRule="auto"/>
        <w:rPr>
          <w:rFonts w:ascii="宋体" w:hAnsi="宋体" w:eastAsia="宋体" w:cs="Times New Roman"/>
          <w:sz w:val="28"/>
          <w:szCs w:val="28"/>
        </w:rPr>
      </w:pPr>
      <w:r>
        <w:rPr>
          <w:rFonts w:hint="eastAsia" w:ascii="宋体" w:hAnsi="宋体" w:eastAsia="宋体" w:cs="Times New Roman"/>
          <w:sz w:val="28"/>
          <w:szCs w:val="28"/>
        </w:rPr>
        <w:t>★4.2技术参数</w:t>
      </w:r>
    </w:p>
    <w:tbl>
      <w:tblPr>
        <w:tblStyle w:val="11"/>
        <w:tblW w:w="85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05"/>
        <w:gridCol w:w="2667"/>
        <w:gridCol w:w="2815"/>
        <w:gridCol w:w="21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60" w:hRule="atLeast"/>
        </w:trPr>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bookmarkStart w:id="5" w:name="_Toc5407"/>
            <w:r>
              <w:rPr>
                <w:rFonts w:hint="eastAsia" w:ascii="宋体" w:hAnsi="宋体" w:eastAsia="宋体" w:cs="宋体"/>
                <w:b/>
                <w:bCs/>
                <w:i w:val="0"/>
                <w:iCs w:val="0"/>
                <w:color w:val="000000"/>
                <w:kern w:val="0"/>
                <w:sz w:val="22"/>
                <w:szCs w:val="22"/>
                <w:u w:val="none"/>
                <w:lang w:val="en-US" w:eastAsia="zh-CN" w:bidi="ar"/>
              </w:rPr>
              <w:t>序号</w:t>
            </w:r>
          </w:p>
        </w:tc>
        <w:tc>
          <w:tcPr>
            <w:tcW w:w="2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名称</w:t>
            </w:r>
          </w:p>
        </w:tc>
        <w:tc>
          <w:tcPr>
            <w:tcW w:w="2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技术参数要求</w:t>
            </w:r>
          </w:p>
        </w:tc>
        <w:tc>
          <w:tcPr>
            <w:tcW w:w="2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8" w:hRule="atLeast"/>
        </w:trPr>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适用35kV、110kV电缆终端保护套管</w:t>
            </w:r>
          </w:p>
        </w:tc>
        <w:tc>
          <w:tcPr>
            <w:tcW w:w="2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可通过卡夹电缆套管外内径纵向范围形成往复切割</w:t>
            </w:r>
          </w:p>
        </w:tc>
        <w:tc>
          <w:tcPr>
            <w:tcW w:w="2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8" w:hRule="atLeast"/>
        </w:trPr>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电机额定功率</w:t>
            </w:r>
          </w:p>
        </w:tc>
        <w:tc>
          <w:tcPr>
            <w:tcW w:w="2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w:t>
            </w:r>
          </w:p>
        </w:tc>
        <w:tc>
          <w:tcPr>
            <w:tcW w:w="2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保证充足，满足切割硬塑硬质套管作业需求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90" w:hRule="atLeast"/>
        </w:trPr>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 xml:space="preserve">额定电压 </w:t>
            </w:r>
          </w:p>
        </w:tc>
        <w:tc>
          <w:tcPr>
            <w:tcW w:w="2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DC 24V（锂电池供电）</w:t>
            </w:r>
          </w:p>
        </w:tc>
        <w:tc>
          <w:tcPr>
            <w:tcW w:w="2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采用安全低压供电方式，提升作业安全性。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9" w:hRule="atLeast"/>
        </w:trPr>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纵向往复切割方式</w:t>
            </w:r>
          </w:p>
        </w:tc>
        <w:tc>
          <w:tcPr>
            <w:tcW w:w="2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实现卡夹套管内外径快速纵向上下往复切割，并可沿套管径向旋转移动位置；操作简便快捷。</w:t>
            </w:r>
          </w:p>
        </w:tc>
        <w:tc>
          <w:tcPr>
            <w:tcW w:w="2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eastAsia="zh-CN"/>
              </w:rPr>
              <w:t>暂针对常规</w:t>
            </w:r>
            <w:r>
              <w:rPr>
                <w:rFonts w:hint="eastAsia" w:ascii="宋体" w:hAnsi="宋体" w:eastAsia="宋体" w:cs="宋体"/>
                <w:i w:val="0"/>
                <w:iCs w:val="0"/>
                <w:color w:val="000000"/>
                <w:sz w:val="22"/>
                <w:szCs w:val="22"/>
                <w:u w:val="none"/>
                <w:lang w:val="en-US" w:eastAsia="zh-CN"/>
              </w:rPr>
              <w:t>φ200-φ250MM管径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79" w:hRule="atLeast"/>
        </w:trPr>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驱动控制方式</w:t>
            </w:r>
          </w:p>
        </w:tc>
        <w:tc>
          <w:tcPr>
            <w:tcW w:w="2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可手持及线控操控模块，具备启停等控制功能</w:t>
            </w:r>
          </w:p>
        </w:tc>
        <w:tc>
          <w:tcPr>
            <w:tcW w:w="2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人体工学设计，单人双手即可完成操作。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99" w:hRule="atLeast"/>
        </w:trPr>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装置重量</w:t>
            </w:r>
          </w:p>
        </w:tc>
        <w:tc>
          <w:tcPr>
            <w:tcW w:w="2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≤4kg</w:t>
            </w:r>
          </w:p>
        </w:tc>
        <w:tc>
          <w:tcPr>
            <w:tcW w:w="2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趋轻量化设计，便于携带与高空作业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77" w:hRule="atLeast"/>
        </w:trPr>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运行噪声</w:t>
            </w:r>
          </w:p>
        </w:tc>
        <w:tc>
          <w:tcPr>
            <w:tcW w:w="2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≤60dB</w:t>
            </w:r>
          </w:p>
        </w:tc>
        <w:tc>
          <w:tcPr>
            <w:tcW w:w="2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保证低噪音运行，适合现场连续使用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45" w:hRule="atLeast"/>
        </w:trPr>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电池续航时间</w:t>
            </w:r>
          </w:p>
        </w:tc>
        <w:tc>
          <w:tcPr>
            <w:tcW w:w="2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≥3小时连续工作</w:t>
            </w:r>
          </w:p>
        </w:tc>
        <w:tc>
          <w:tcPr>
            <w:tcW w:w="2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满足常规单回电缆两端六相作业时长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2" w:hRule="atLeast"/>
        </w:trPr>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外壳材料</w:t>
            </w:r>
          </w:p>
        </w:tc>
        <w:tc>
          <w:tcPr>
            <w:tcW w:w="2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高强度铝合金、工程塑料</w:t>
            </w:r>
          </w:p>
        </w:tc>
        <w:tc>
          <w:tcPr>
            <w:tcW w:w="2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具备防腐蚀、防滑和抗冲击性能等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2" w:hRule="atLeast"/>
        </w:trPr>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w:t>
            </w:r>
          </w:p>
        </w:tc>
        <w:tc>
          <w:tcPr>
            <w:tcW w:w="2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启停响应时间</w:t>
            </w:r>
          </w:p>
        </w:tc>
        <w:tc>
          <w:tcPr>
            <w:tcW w:w="2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≤0.5S</w:t>
            </w:r>
          </w:p>
        </w:tc>
        <w:tc>
          <w:tcPr>
            <w:tcW w:w="2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操作灵敏</w:t>
            </w:r>
          </w:p>
        </w:tc>
      </w:tr>
    </w:tbl>
    <w:p>
      <w:pPr>
        <w:pStyle w:val="2"/>
        <w:spacing w:before="0" w:after="0" w:line="360" w:lineRule="auto"/>
        <w:rPr>
          <w:rFonts w:ascii="Calibri" w:hAnsi="Calibri" w:eastAsia="宋体" w:cs="Times New Roman"/>
          <w:sz w:val="28"/>
        </w:rPr>
      </w:pPr>
      <w:r>
        <w:rPr>
          <w:rFonts w:hint="eastAsia" w:ascii="Calibri" w:hAnsi="Calibri" w:eastAsia="宋体" w:cs="Times New Roman"/>
          <w:sz w:val="28"/>
        </w:rPr>
        <w:t>5功能要求</w:t>
      </w:r>
      <w:bookmarkEnd w:id="5"/>
    </w:p>
    <w:p>
      <w:pPr>
        <w:spacing w:line="360" w:lineRule="auto"/>
        <w:ind w:firstLine="560" w:firstLineChars="200"/>
        <w:rPr>
          <w:rFonts w:hint="eastAsia" w:ascii="宋体" w:hAnsi="宋体" w:eastAsia="宋体" w:cs="Times New Roman"/>
          <w:sz w:val="28"/>
          <w:szCs w:val="28"/>
        </w:rPr>
      </w:pPr>
      <w:r>
        <w:rPr>
          <w:rFonts w:hint="eastAsia" w:ascii="宋体" w:hAnsi="宋体" w:eastAsia="宋体" w:cs="Times New Roman"/>
          <w:sz w:val="28"/>
          <w:szCs w:val="28"/>
        </w:rPr>
        <w:t>目</w:t>
      </w:r>
      <w:r>
        <w:rPr>
          <w:rFonts w:hint="eastAsia" w:ascii="宋体" w:hAnsi="宋体" w:eastAsia="宋体" w:cs="Times New Roman"/>
          <w:sz w:val="28"/>
          <w:szCs w:val="28"/>
          <w:lang w:eastAsia="zh-CN"/>
        </w:rPr>
        <w:t>前</w:t>
      </w:r>
      <w:r>
        <w:rPr>
          <w:rFonts w:hint="eastAsia" w:ascii="宋体" w:hAnsi="宋体" w:eastAsia="宋体" w:cs="Times New Roman"/>
          <w:sz w:val="28"/>
          <w:szCs w:val="28"/>
          <w:lang w:val="en-US" w:eastAsia="zh-CN"/>
        </w:rPr>
        <w:t>35kV-110kV的在运电缆终端头侧的保护套管随着运行风雨考验，特别是部分运行超过15-20年以上的终端设备；据观察部分已出现不同程度的破损和局部弱化，为营造良好的运维效果和保护好在运设备的安全，我们设想制造一种不需要停电就可以更换有破损或缺陷的套管的破拆专用工具。目的通过利用精细的切割，达到拆除就旧套管更换成新型套管。令在运电缆线路的工作达到高效和安全状态。</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1. 电动</w:t>
      </w:r>
      <w:r>
        <w:rPr>
          <w:rFonts w:hint="eastAsia" w:ascii="宋体" w:hAnsi="宋体" w:eastAsia="宋体" w:cs="Times New Roman"/>
          <w:sz w:val="28"/>
          <w:szCs w:val="28"/>
          <w:lang w:eastAsia="zh-CN"/>
        </w:rPr>
        <w:t>切割</w:t>
      </w:r>
      <w:r>
        <w:rPr>
          <w:rFonts w:hint="eastAsia" w:ascii="宋体" w:hAnsi="宋体" w:eastAsia="宋体" w:cs="Times New Roman"/>
          <w:sz w:val="28"/>
          <w:szCs w:val="28"/>
        </w:rPr>
        <w:t>功能</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装置通过电机驱动与啮合传动机构实现</w:t>
      </w:r>
      <w:r>
        <w:rPr>
          <w:rFonts w:hint="eastAsia" w:ascii="宋体" w:hAnsi="宋体" w:eastAsia="宋体" w:cs="Times New Roman"/>
          <w:sz w:val="28"/>
          <w:szCs w:val="28"/>
          <w:lang w:eastAsia="zh-CN"/>
        </w:rPr>
        <w:t>对套管垂直上下往复切割，达到纵向切割套管管体的功能。</w:t>
      </w:r>
    </w:p>
    <w:p>
      <w:pPr>
        <w:spacing w:line="360" w:lineRule="auto"/>
        <w:ind w:firstLine="280" w:firstLineChars="100"/>
        <w:rPr>
          <w:rFonts w:hint="eastAsia" w:ascii="宋体" w:hAnsi="宋体" w:eastAsia="宋体" w:cs="Times New Roman"/>
          <w:sz w:val="28"/>
          <w:szCs w:val="28"/>
          <w:lang w:eastAsia="zh-CN"/>
        </w:rPr>
      </w:pPr>
      <w:r>
        <w:rPr>
          <w:rFonts w:hint="eastAsia" w:ascii="宋体" w:hAnsi="宋体" w:eastAsia="宋体" w:cs="Times New Roman"/>
          <w:sz w:val="28"/>
          <w:szCs w:val="28"/>
          <w:lang w:val="en-US" w:eastAsia="zh-CN"/>
        </w:rPr>
        <w:t>2</w:t>
      </w:r>
      <w:r>
        <w:rPr>
          <w:rFonts w:hint="eastAsia" w:ascii="宋体" w:hAnsi="宋体" w:eastAsia="宋体" w:cs="Times New Roman"/>
          <w:sz w:val="28"/>
          <w:szCs w:val="28"/>
        </w:rPr>
        <w:t>. 快速装夹与安全锁紧</w:t>
      </w:r>
      <w:r>
        <w:rPr>
          <w:rFonts w:hint="eastAsia" w:ascii="宋体" w:hAnsi="宋体" w:eastAsia="宋体" w:cs="Times New Roman"/>
          <w:sz w:val="28"/>
          <w:szCs w:val="28"/>
          <w:lang w:eastAsia="zh-CN"/>
        </w:rPr>
        <w:t>、降噪降热</w:t>
      </w:r>
      <w:r>
        <w:rPr>
          <w:rFonts w:hint="eastAsia" w:ascii="宋体" w:hAnsi="宋体" w:eastAsia="宋体" w:cs="Times New Roman"/>
          <w:sz w:val="28"/>
          <w:szCs w:val="28"/>
        </w:rPr>
        <w:t>功能</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rPr>
        <w:t>通过</w:t>
      </w:r>
      <w:r>
        <w:rPr>
          <w:rFonts w:hint="eastAsia" w:ascii="宋体" w:hAnsi="宋体" w:eastAsia="宋体" w:cs="Times New Roman"/>
          <w:sz w:val="28"/>
          <w:szCs w:val="28"/>
          <w:lang w:eastAsia="zh-CN"/>
        </w:rPr>
        <w:t>带</w:t>
      </w:r>
      <w:r>
        <w:rPr>
          <w:rFonts w:hint="eastAsia" w:ascii="宋体" w:hAnsi="宋体" w:eastAsia="宋体" w:cs="Times New Roman"/>
          <w:sz w:val="28"/>
          <w:szCs w:val="28"/>
        </w:rPr>
        <w:t>弧形</w:t>
      </w:r>
      <w:r>
        <w:rPr>
          <w:rFonts w:hint="eastAsia" w:ascii="宋体" w:hAnsi="宋体" w:eastAsia="宋体" w:cs="Times New Roman"/>
          <w:sz w:val="28"/>
          <w:szCs w:val="28"/>
          <w:lang w:eastAsia="zh-CN"/>
        </w:rPr>
        <w:t>左右</w:t>
      </w:r>
      <w:r>
        <w:rPr>
          <w:rFonts w:hint="eastAsia" w:ascii="宋体" w:hAnsi="宋体" w:eastAsia="宋体" w:cs="Times New Roman"/>
          <w:sz w:val="28"/>
          <w:szCs w:val="28"/>
        </w:rPr>
        <w:t>卡体</w:t>
      </w:r>
      <w:r>
        <w:rPr>
          <w:rFonts w:hint="eastAsia" w:ascii="宋体" w:hAnsi="宋体" w:eastAsia="宋体" w:cs="Times New Roman"/>
          <w:sz w:val="28"/>
          <w:szCs w:val="28"/>
          <w:lang w:eastAsia="zh-CN"/>
        </w:rPr>
        <w:t>的及带锁紧的整体</w:t>
      </w:r>
      <w:r>
        <w:rPr>
          <w:rFonts w:hint="eastAsia" w:ascii="宋体" w:hAnsi="宋体" w:eastAsia="宋体" w:cs="Times New Roman"/>
          <w:sz w:val="28"/>
          <w:szCs w:val="28"/>
        </w:rPr>
        <w:t>连接结构，实现快速装夹与稳定锁紧</w:t>
      </w:r>
      <w:r>
        <w:rPr>
          <w:rFonts w:hint="eastAsia" w:ascii="宋体" w:hAnsi="宋体" w:eastAsia="宋体" w:cs="Times New Roman"/>
          <w:sz w:val="28"/>
          <w:szCs w:val="28"/>
          <w:lang w:eastAsia="zh-CN"/>
        </w:rPr>
        <w:t>状态</w:t>
      </w:r>
      <w:r>
        <w:rPr>
          <w:rFonts w:hint="eastAsia" w:ascii="宋体" w:hAnsi="宋体" w:eastAsia="宋体" w:cs="Times New Roman"/>
          <w:sz w:val="28"/>
          <w:szCs w:val="28"/>
        </w:rPr>
        <w:t>，并利用</w:t>
      </w:r>
      <w:r>
        <w:rPr>
          <w:rFonts w:hint="eastAsia" w:ascii="宋体" w:hAnsi="宋体" w:eastAsia="宋体" w:cs="Times New Roman"/>
          <w:sz w:val="28"/>
          <w:szCs w:val="28"/>
          <w:lang w:eastAsia="zh-CN"/>
        </w:rPr>
        <w:t>材料和设计达到降低装置切割产生的噪音和发热</w:t>
      </w:r>
      <w:r>
        <w:rPr>
          <w:rFonts w:hint="eastAsia" w:ascii="宋体" w:hAnsi="宋体" w:eastAsia="宋体" w:cs="Times New Roman"/>
          <w:sz w:val="28"/>
          <w:szCs w:val="28"/>
        </w:rPr>
        <w:t>。</w:t>
      </w:r>
    </w:p>
    <w:p>
      <w:pPr>
        <w:spacing w:line="360" w:lineRule="auto"/>
        <w:ind w:firstLine="280" w:firstLineChars="100"/>
        <w:rPr>
          <w:rFonts w:hint="eastAsia" w:ascii="宋体" w:hAnsi="宋体" w:eastAsia="宋体" w:cs="Times New Roman"/>
          <w:sz w:val="28"/>
          <w:szCs w:val="28"/>
        </w:rPr>
      </w:pPr>
      <w:r>
        <w:rPr>
          <w:rFonts w:hint="eastAsia" w:ascii="宋体" w:hAnsi="宋体" w:eastAsia="宋体" w:cs="Times New Roman"/>
          <w:sz w:val="28"/>
          <w:szCs w:val="28"/>
          <w:lang w:val="en-US" w:eastAsia="zh-CN"/>
        </w:rPr>
        <w:t>3</w:t>
      </w:r>
      <w:r>
        <w:rPr>
          <w:rFonts w:hint="eastAsia" w:ascii="宋体" w:hAnsi="宋体" w:eastAsia="宋体" w:cs="Times New Roman"/>
          <w:sz w:val="28"/>
          <w:szCs w:val="28"/>
        </w:rPr>
        <w:t xml:space="preserve">. </w:t>
      </w:r>
      <w:r>
        <w:rPr>
          <w:rFonts w:hint="eastAsia" w:ascii="宋体" w:hAnsi="宋体" w:eastAsia="宋体" w:cs="Times New Roman"/>
          <w:sz w:val="28"/>
          <w:szCs w:val="28"/>
          <w:lang w:eastAsia="zh-CN"/>
        </w:rPr>
        <w:t>手动或线控</w:t>
      </w:r>
      <w:r>
        <w:rPr>
          <w:rFonts w:hint="eastAsia" w:ascii="宋体" w:hAnsi="宋体" w:eastAsia="宋体" w:cs="Times New Roman"/>
          <w:sz w:val="28"/>
          <w:szCs w:val="28"/>
        </w:rPr>
        <w:t>与安全防护功能</w:t>
      </w:r>
    </w:p>
    <w:p>
      <w:pPr>
        <w:spacing w:line="360" w:lineRule="auto"/>
        <w:ind w:firstLine="280" w:firstLineChars="100"/>
        <w:rPr>
          <w:rFonts w:ascii="宋体" w:hAnsi="宋体" w:eastAsia="宋体" w:cs="Times New Roman"/>
          <w:sz w:val="28"/>
          <w:szCs w:val="28"/>
        </w:rPr>
      </w:pPr>
      <w:r>
        <w:rPr>
          <w:rFonts w:hint="eastAsia" w:ascii="宋体" w:hAnsi="宋体" w:eastAsia="宋体" w:cs="Times New Roman"/>
          <w:sz w:val="28"/>
          <w:szCs w:val="28"/>
        </w:rPr>
        <w:t>装置内置电控系统，可实现启停控制、转速调节与运行状态</w:t>
      </w:r>
      <w:r>
        <w:rPr>
          <w:rFonts w:hint="eastAsia" w:ascii="宋体" w:hAnsi="宋体" w:eastAsia="宋体" w:cs="Times New Roman"/>
          <w:sz w:val="28"/>
          <w:szCs w:val="28"/>
          <w:lang w:val="en-US" w:eastAsia="zh-CN"/>
        </w:rPr>
        <w:t>等控制</w:t>
      </w:r>
      <w:r>
        <w:rPr>
          <w:rFonts w:hint="eastAsia" w:ascii="宋体" w:hAnsi="宋体" w:eastAsia="宋体" w:cs="Times New Roman"/>
          <w:sz w:val="28"/>
          <w:szCs w:val="28"/>
        </w:rPr>
        <w:t>，具备过载、过温</w:t>
      </w:r>
      <w:r>
        <w:rPr>
          <w:rFonts w:hint="eastAsia" w:ascii="宋体" w:hAnsi="宋体" w:eastAsia="宋体" w:cs="Times New Roman"/>
          <w:sz w:val="28"/>
          <w:szCs w:val="28"/>
          <w:lang w:val="en-US" w:eastAsia="zh-CN"/>
        </w:rPr>
        <w:t>等</w:t>
      </w:r>
      <w:r>
        <w:rPr>
          <w:rFonts w:hint="eastAsia" w:ascii="宋体" w:hAnsi="宋体" w:eastAsia="宋体" w:cs="Times New Roman"/>
          <w:sz w:val="28"/>
          <w:szCs w:val="28"/>
        </w:rPr>
        <w:t>保护功能，确保设备运行安全可靠。</w:t>
      </w:r>
    </w:p>
    <w:p>
      <w:pPr>
        <w:pStyle w:val="3"/>
      </w:pPr>
      <w:bookmarkStart w:id="6" w:name="_Toc1567"/>
      <w:r>
        <w:rPr>
          <w:rFonts w:hint="eastAsia"/>
        </w:rPr>
        <w:t>6服务范围</w:t>
      </w:r>
      <w:bookmarkEnd w:id="6"/>
    </w:p>
    <w:p>
      <w:pPr>
        <w:jc w:val="center"/>
        <w:rPr>
          <w:sz w:val="28"/>
          <w:szCs w:val="28"/>
        </w:rPr>
      </w:pPr>
      <w:r>
        <w:rPr>
          <w:rFonts w:hint="eastAsia"/>
          <w:sz w:val="28"/>
          <w:szCs w:val="28"/>
        </w:rPr>
        <w:t>服务范围一览表</w:t>
      </w:r>
    </w:p>
    <w:tbl>
      <w:tblPr>
        <w:tblStyle w:val="12"/>
        <w:tblW w:w="87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2531"/>
        <w:gridCol w:w="750"/>
        <w:gridCol w:w="1420"/>
        <w:gridCol w:w="1666"/>
        <w:gridCol w:w="1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79" w:type="dxa"/>
            <w:vAlign w:val="center"/>
          </w:tcPr>
          <w:p>
            <w:pPr>
              <w:jc w:val="center"/>
              <w:rPr>
                <w:sz w:val="28"/>
                <w:szCs w:val="28"/>
              </w:rPr>
            </w:pPr>
            <w:r>
              <w:rPr>
                <w:rFonts w:hint="eastAsia"/>
                <w:sz w:val="28"/>
                <w:szCs w:val="28"/>
              </w:rPr>
              <w:t>序号</w:t>
            </w:r>
          </w:p>
        </w:tc>
        <w:tc>
          <w:tcPr>
            <w:tcW w:w="2531" w:type="dxa"/>
            <w:vAlign w:val="center"/>
          </w:tcPr>
          <w:p>
            <w:pPr>
              <w:jc w:val="center"/>
              <w:rPr>
                <w:sz w:val="28"/>
                <w:szCs w:val="28"/>
              </w:rPr>
            </w:pPr>
            <w:r>
              <w:rPr>
                <w:rFonts w:hint="eastAsia"/>
                <w:sz w:val="28"/>
                <w:szCs w:val="28"/>
              </w:rPr>
              <w:t>名称</w:t>
            </w:r>
          </w:p>
        </w:tc>
        <w:tc>
          <w:tcPr>
            <w:tcW w:w="750" w:type="dxa"/>
            <w:vAlign w:val="center"/>
          </w:tcPr>
          <w:p>
            <w:pPr>
              <w:jc w:val="center"/>
              <w:rPr>
                <w:sz w:val="28"/>
                <w:szCs w:val="28"/>
              </w:rPr>
            </w:pPr>
            <w:r>
              <w:rPr>
                <w:rFonts w:hint="eastAsia"/>
                <w:sz w:val="28"/>
                <w:szCs w:val="28"/>
              </w:rPr>
              <w:t>单位</w:t>
            </w:r>
          </w:p>
        </w:tc>
        <w:tc>
          <w:tcPr>
            <w:tcW w:w="1420" w:type="dxa"/>
            <w:vAlign w:val="center"/>
          </w:tcPr>
          <w:p>
            <w:pPr>
              <w:jc w:val="center"/>
              <w:rPr>
                <w:sz w:val="28"/>
                <w:szCs w:val="28"/>
              </w:rPr>
            </w:pPr>
            <w:r>
              <w:rPr>
                <w:rFonts w:hint="eastAsia"/>
                <w:sz w:val="28"/>
                <w:szCs w:val="28"/>
              </w:rPr>
              <w:t>形式、规格</w:t>
            </w:r>
          </w:p>
        </w:tc>
        <w:tc>
          <w:tcPr>
            <w:tcW w:w="1666" w:type="dxa"/>
            <w:vAlign w:val="center"/>
          </w:tcPr>
          <w:p>
            <w:pPr>
              <w:jc w:val="center"/>
            </w:pPr>
            <w:r>
              <w:rPr>
                <w:rFonts w:hint="eastAsia"/>
                <w:sz w:val="28"/>
                <w:szCs w:val="28"/>
              </w:rPr>
              <w:t>服务期限</w:t>
            </w:r>
          </w:p>
        </w:tc>
        <w:tc>
          <w:tcPr>
            <w:tcW w:w="1420" w:type="dxa"/>
            <w:vAlign w:val="center"/>
          </w:tcPr>
          <w:p>
            <w:pPr>
              <w:jc w:val="center"/>
              <w:rPr>
                <w:sz w:val="28"/>
                <w:szCs w:val="28"/>
              </w:rPr>
            </w:pPr>
            <w:r>
              <w:rPr>
                <w:rFonts w:hint="eastAsia"/>
                <w:sz w:val="28"/>
                <w:szCs w:val="28"/>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79" w:type="dxa"/>
            <w:vAlign w:val="center"/>
          </w:tcPr>
          <w:p>
            <w:pPr>
              <w:jc w:val="center"/>
              <w:rPr>
                <w:sz w:val="28"/>
                <w:szCs w:val="28"/>
              </w:rPr>
            </w:pPr>
            <w:r>
              <w:rPr>
                <w:rFonts w:hint="eastAsia"/>
                <w:sz w:val="28"/>
                <w:szCs w:val="28"/>
              </w:rPr>
              <w:t>1</w:t>
            </w:r>
          </w:p>
        </w:tc>
        <w:tc>
          <w:tcPr>
            <w:tcW w:w="2531" w:type="dxa"/>
            <w:vAlign w:val="center"/>
          </w:tcPr>
          <w:p>
            <w:pPr>
              <w:jc w:val="center"/>
              <w:rPr>
                <w:sz w:val="28"/>
                <w:szCs w:val="28"/>
              </w:rPr>
            </w:pPr>
            <w:r>
              <w:rPr>
                <w:rFonts w:hint="eastAsia"/>
                <w:sz w:val="28"/>
                <w:szCs w:val="28"/>
                <w:lang w:eastAsia="zh-CN"/>
              </w:rPr>
              <w:t>一种可不停电切割电缆终端保护套管的工器具</w:t>
            </w:r>
            <w:r>
              <w:rPr>
                <w:rFonts w:hint="eastAsia"/>
                <w:sz w:val="28"/>
                <w:szCs w:val="28"/>
              </w:rPr>
              <w:t>加工服务</w:t>
            </w:r>
          </w:p>
        </w:tc>
        <w:tc>
          <w:tcPr>
            <w:tcW w:w="750" w:type="dxa"/>
            <w:vAlign w:val="center"/>
          </w:tcPr>
          <w:p>
            <w:pPr>
              <w:jc w:val="center"/>
              <w:rPr>
                <w:sz w:val="28"/>
                <w:szCs w:val="28"/>
              </w:rPr>
            </w:pPr>
            <w:r>
              <w:rPr>
                <w:rFonts w:hint="eastAsia"/>
                <w:sz w:val="28"/>
                <w:szCs w:val="28"/>
              </w:rPr>
              <w:t>项</w:t>
            </w:r>
          </w:p>
        </w:tc>
        <w:tc>
          <w:tcPr>
            <w:tcW w:w="1420" w:type="dxa"/>
            <w:vAlign w:val="center"/>
          </w:tcPr>
          <w:p>
            <w:pPr>
              <w:jc w:val="center"/>
              <w:rPr>
                <w:sz w:val="28"/>
                <w:szCs w:val="28"/>
              </w:rPr>
            </w:pPr>
            <w:r>
              <w:rPr>
                <w:rFonts w:hint="eastAsia"/>
                <w:sz w:val="28"/>
                <w:szCs w:val="28"/>
              </w:rPr>
              <w:t>满足本技术规范书要求</w:t>
            </w:r>
          </w:p>
        </w:tc>
        <w:tc>
          <w:tcPr>
            <w:tcW w:w="1666" w:type="dxa"/>
            <w:vMerge w:val="restart"/>
            <w:vAlign w:val="center"/>
          </w:tcPr>
          <w:p>
            <w:pPr>
              <w:jc w:val="center"/>
            </w:pPr>
            <w:r>
              <w:rPr>
                <w:rFonts w:hint="eastAsia"/>
                <w:sz w:val="28"/>
                <w:szCs w:val="28"/>
              </w:rPr>
              <w:t>自合同</w:t>
            </w:r>
            <w:r>
              <w:rPr>
                <w:rFonts w:hint="eastAsia"/>
                <w:sz w:val="28"/>
                <w:szCs w:val="28"/>
                <w:lang w:eastAsia="zh-CN"/>
              </w:rPr>
              <w:t>约定之日</w:t>
            </w:r>
            <w:r>
              <w:rPr>
                <w:rFonts w:hint="eastAsia"/>
                <w:sz w:val="28"/>
                <w:szCs w:val="28"/>
              </w:rPr>
              <w:t>起</w:t>
            </w:r>
            <w:r>
              <w:rPr>
                <w:rFonts w:hint="eastAsia"/>
                <w:sz w:val="28"/>
                <w:szCs w:val="28"/>
                <w:lang w:val="en-US" w:eastAsia="zh-CN"/>
              </w:rPr>
              <w:t>90</w:t>
            </w:r>
            <w:r>
              <w:rPr>
                <w:rFonts w:hint="eastAsia"/>
                <w:sz w:val="28"/>
                <w:szCs w:val="28"/>
              </w:rPr>
              <w:t>日</w:t>
            </w:r>
          </w:p>
        </w:tc>
        <w:tc>
          <w:tcPr>
            <w:tcW w:w="1420" w:type="dxa"/>
            <w:vAlign w:val="center"/>
          </w:tcPr>
          <w:p>
            <w:pPr>
              <w:jc w:val="center"/>
              <w:rPr>
                <w:rFonts w:hint="default" w:eastAsiaTheme="minorEastAsia"/>
                <w:sz w:val="28"/>
                <w:szCs w:val="28"/>
                <w:lang w:val="en-US" w:eastAsia="zh-CN"/>
              </w:rPr>
            </w:pPr>
            <w:r>
              <w:rPr>
                <w:rFonts w:hint="eastAsia"/>
                <w:sz w:val="28"/>
                <w:szCs w:val="28"/>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79" w:type="dxa"/>
            <w:vAlign w:val="center"/>
          </w:tcPr>
          <w:p>
            <w:pPr>
              <w:jc w:val="center"/>
              <w:rPr>
                <w:sz w:val="28"/>
                <w:szCs w:val="28"/>
              </w:rPr>
            </w:pPr>
            <w:r>
              <w:rPr>
                <w:rFonts w:hint="eastAsia"/>
                <w:sz w:val="28"/>
                <w:szCs w:val="28"/>
              </w:rPr>
              <w:t>2</w:t>
            </w:r>
          </w:p>
        </w:tc>
        <w:tc>
          <w:tcPr>
            <w:tcW w:w="2531" w:type="dxa"/>
            <w:vAlign w:val="center"/>
          </w:tcPr>
          <w:p>
            <w:pPr>
              <w:jc w:val="center"/>
              <w:rPr>
                <w:rFonts w:hint="default" w:eastAsiaTheme="minorEastAsia"/>
                <w:color w:val="FF0000"/>
                <w:sz w:val="28"/>
                <w:szCs w:val="28"/>
                <w:lang w:val="en-US" w:eastAsia="zh-CN"/>
              </w:rPr>
            </w:pPr>
            <w:r>
              <w:rPr>
                <w:rFonts w:hint="eastAsia"/>
                <w:color w:val="auto"/>
                <w:sz w:val="28"/>
                <w:szCs w:val="28"/>
                <w:lang w:val="en-US" w:eastAsia="zh-CN"/>
              </w:rPr>
              <w:t>第三方检测报告（CMA、CNAS）</w:t>
            </w:r>
          </w:p>
        </w:tc>
        <w:tc>
          <w:tcPr>
            <w:tcW w:w="750" w:type="dxa"/>
            <w:vAlign w:val="center"/>
          </w:tcPr>
          <w:p>
            <w:pPr>
              <w:jc w:val="center"/>
              <w:rPr>
                <w:color w:val="FF0000"/>
                <w:sz w:val="28"/>
                <w:szCs w:val="28"/>
              </w:rPr>
            </w:pPr>
            <w:r>
              <w:rPr>
                <w:rFonts w:hint="eastAsia"/>
                <w:color w:val="auto"/>
                <w:sz w:val="28"/>
                <w:szCs w:val="28"/>
                <w:lang w:eastAsia="zh-CN"/>
              </w:rPr>
              <w:t>份</w:t>
            </w:r>
          </w:p>
        </w:tc>
        <w:tc>
          <w:tcPr>
            <w:tcW w:w="1420" w:type="dxa"/>
            <w:vAlign w:val="center"/>
          </w:tcPr>
          <w:p>
            <w:pPr>
              <w:jc w:val="center"/>
              <w:rPr>
                <w:rFonts w:hint="eastAsia" w:eastAsiaTheme="minorEastAsia"/>
                <w:color w:val="FF0000"/>
                <w:sz w:val="28"/>
                <w:szCs w:val="28"/>
                <w:lang w:val="en-US" w:eastAsia="zh-CN"/>
              </w:rPr>
            </w:pPr>
            <w:r>
              <w:rPr>
                <w:rFonts w:hint="eastAsia"/>
                <w:color w:val="auto"/>
                <w:sz w:val="28"/>
                <w:szCs w:val="28"/>
                <w:lang w:val="en-US" w:eastAsia="zh-CN"/>
              </w:rPr>
              <w:t>型式试验，对于暂无型式试验标准的，应进行含关键检测项的委托试验</w:t>
            </w:r>
          </w:p>
        </w:tc>
        <w:tc>
          <w:tcPr>
            <w:tcW w:w="1666" w:type="dxa"/>
            <w:vMerge w:val="continue"/>
            <w:vAlign w:val="center"/>
          </w:tcPr>
          <w:p>
            <w:pPr>
              <w:jc w:val="center"/>
              <w:rPr>
                <w:sz w:val="28"/>
                <w:szCs w:val="28"/>
              </w:rPr>
            </w:pPr>
          </w:p>
        </w:tc>
        <w:tc>
          <w:tcPr>
            <w:tcW w:w="1420" w:type="dxa"/>
            <w:vAlign w:val="center"/>
          </w:tcPr>
          <w:p>
            <w:pPr>
              <w:jc w:val="center"/>
              <w:rPr>
                <w:sz w:val="28"/>
                <w:szCs w:val="28"/>
              </w:rPr>
            </w:pPr>
            <w:r>
              <w:rPr>
                <w:rFonts w:hint="eastAsia"/>
                <w:sz w:val="28"/>
                <w:szCs w:val="28"/>
              </w:rPr>
              <w:t>1</w:t>
            </w:r>
          </w:p>
        </w:tc>
      </w:tr>
    </w:tbl>
    <w:p/>
    <w:p>
      <w:pPr>
        <w:pStyle w:val="3"/>
        <w:rPr>
          <w:rFonts w:ascii="Calibri" w:hAnsi="宋体" w:eastAsia="宋体" w:cs="Times New Roman"/>
          <w:kern w:val="44"/>
          <w:sz w:val="28"/>
          <w:szCs w:val="28"/>
        </w:rPr>
      </w:pPr>
      <w:bookmarkStart w:id="7" w:name="_Toc16594"/>
      <w:r>
        <w:rPr>
          <w:rFonts w:hint="eastAsia" w:ascii="Calibri" w:hAnsi="宋体" w:eastAsia="宋体" w:cs="Times New Roman"/>
          <w:kern w:val="44"/>
          <w:sz w:val="28"/>
          <w:szCs w:val="28"/>
        </w:rPr>
        <w:t>7包装、运输及质量保证</w:t>
      </w:r>
      <w:bookmarkEnd w:id="7"/>
    </w:p>
    <w:p>
      <w:pPr>
        <w:spacing w:line="360" w:lineRule="auto"/>
        <w:ind w:firstLine="280" w:firstLineChars="100"/>
        <w:rPr>
          <w:rFonts w:ascii="宋体" w:hAnsi="宋体" w:eastAsia="宋体" w:cs="Times New Roman"/>
          <w:sz w:val="28"/>
          <w:szCs w:val="28"/>
        </w:rPr>
      </w:pPr>
      <w:r>
        <w:rPr>
          <w:rFonts w:hint="eastAsia" w:ascii="宋体" w:hAnsi="宋体" w:eastAsia="宋体" w:cs="Times New Roman"/>
          <w:sz w:val="28"/>
          <w:szCs w:val="28"/>
        </w:rPr>
        <w:t>7.1产品在运输应有防护措施，以免散失损坏或丢失、变形、受潮和腐蚀，中标方应按电压等级分类供货。</w:t>
      </w:r>
    </w:p>
    <w:p>
      <w:pPr>
        <w:spacing w:line="360" w:lineRule="auto"/>
        <w:ind w:firstLine="280" w:firstLineChars="100"/>
        <w:rPr>
          <w:rFonts w:ascii="宋体" w:hAnsi="宋体" w:eastAsia="宋体" w:cs="Times New Roman"/>
          <w:sz w:val="28"/>
          <w:szCs w:val="28"/>
        </w:rPr>
      </w:pPr>
      <w:r>
        <w:rPr>
          <w:rFonts w:hint="eastAsia" w:ascii="宋体" w:hAnsi="宋体" w:eastAsia="宋体" w:cs="Times New Roman"/>
          <w:sz w:val="28"/>
          <w:szCs w:val="28"/>
        </w:rPr>
        <w:t>7.2储存、运输中应该注意通风、防潮,同时不得与有腐蚀性的物品堆放在一起。还应注意避开有腐蚀性气体环境。运输工程中应避免野蛮装卸。</w:t>
      </w:r>
    </w:p>
    <w:p>
      <w:pPr>
        <w:spacing w:line="360" w:lineRule="auto"/>
        <w:ind w:firstLine="280" w:firstLineChars="100"/>
        <w:rPr>
          <w:rFonts w:ascii="宋体" w:hAnsi="宋体" w:eastAsia="宋体" w:cs="Times New Roman"/>
          <w:sz w:val="28"/>
          <w:szCs w:val="28"/>
        </w:rPr>
      </w:pPr>
      <w:r>
        <w:rPr>
          <w:rFonts w:hint="eastAsia" w:ascii="宋体" w:hAnsi="宋体" w:eastAsia="宋体" w:cs="Times New Roman"/>
          <w:sz w:val="28"/>
          <w:szCs w:val="28"/>
        </w:rPr>
        <w:t>★7.3中标方应对所加工的产品通过招标方验收评审通过之日计起，提供一年“三包”质量保证，质保期后如发生损坏，中标方应及时提供维修、更换服务，并按最近的投标价提供。</w:t>
      </w:r>
    </w:p>
    <w:p>
      <w:pPr>
        <w:spacing w:line="360" w:lineRule="auto"/>
        <w:ind w:firstLine="280" w:firstLineChars="100"/>
        <w:rPr>
          <w:rFonts w:ascii="Calibri" w:hAnsi="Calibri" w:eastAsia="宋体" w:cs="Times New Roman"/>
          <w:sz w:val="28"/>
        </w:rPr>
      </w:pPr>
      <w:r>
        <w:rPr>
          <w:rFonts w:hint="eastAsia" w:ascii="宋体" w:hAnsi="宋体" w:eastAsia="宋体" w:cs="Times New Roman"/>
          <w:sz w:val="28"/>
          <w:szCs w:val="28"/>
        </w:rPr>
        <w:t>7.4中标方应遵守本招标技术文件中各条款和工作项目的ISO9000、GB/T19000质量保证体系, 该质量保证体系已经过国家认证和正常运转。</w:t>
      </w:r>
      <w:bookmarkStart w:id="8" w:name="_Toc28920"/>
      <w:r>
        <w:rPr>
          <w:rFonts w:hint="eastAsia" w:ascii="Calibri" w:hAnsi="Calibri" w:eastAsia="宋体" w:cs="Times New Roman"/>
          <w:sz w:val="28"/>
        </w:rPr>
        <w:br w:type="page"/>
      </w:r>
      <w:r>
        <w:rPr>
          <w:rFonts w:hint="eastAsia" w:ascii="Calibri" w:hAnsi="Calibri" w:eastAsia="宋体" w:cs="Times New Roman"/>
          <w:sz w:val="28"/>
        </w:rPr>
        <w:t>附件</w:t>
      </w:r>
      <w:bookmarkEnd w:id="8"/>
    </w:p>
    <w:p>
      <w:pPr>
        <w:spacing w:line="360" w:lineRule="auto"/>
        <w:ind w:firstLine="280" w:firstLineChars="100"/>
        <w:rPr>
          <w:rFonts w:ascii="宋体" w:hAnsi="宋体" w:eastAsia="宋体" w:cs="Times New Roman"/>
          <w:sz w:val="28"/>
          <w:szCs w:val="28"/>
        </w:rPr>
      </w:pPr>
      <w:r>
        <w:rPr>
          <w:rFonts w:hint="eastAsia" w:ascii="宋体" w:hAnsi="宋体" w:eastAsia="宋体" w:cs="Times New Roman"/>
          <w:sz w:val="28"/>
          <w:szCs w:val="28"/>
        </w:rPr>
        <w:t>1.差异表</w:t>
      </w:r>
    </w:p>
    <w:p>
      <w:pPr>
        <w:spacing w:line="360" w:lineRule="auto"/>
        <w:ind w:firstLine="280" w:firstLineChars="100"/>
        <w:rPr>
          <w:rFonts w:ascii="宋体" w:hAnsi="宋体" w:eastAsia="宋体" w:cs="Times New Roman"/>
          <w:sz w:val="28"/>
          <w:szCs w:val="28"/>
        </w:rPr>
      </w:pPr>
      <w:r>
        <w:rPr>
          <w:rFonts w:hint="eastAsia" w:ascii="宋体" w:hAnsi="宋体" w:eastAsia="宋体" w:cs="Times New Roman"/>
          <w:sz w:val="28"/>
          <w:szCs w:val="28"/>
        </w:rPr>
        <w:t>序号招标文件投标文件条目</w:t>
      </w:r>
    </w:p>
    <w:tbl>
      <w:tblPr>
        <w:tblStyle w:val="11"/>
        <w:tblW w:w="850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368"/>
        <w:gridCol w:w="2412"/>
        <w:gridCol w:w="1644"/>
        <w:gridCol w:w="2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50"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cstheme="minorEastAsia"/>
                <w:sz w:val="24"/>
                <w:szCs w:val="24"/>
              </w:rPr>
            </w:pPr>
            <w:bookmarkStart w:id="9" w:name="_Toc148970013"/>
            <w:r>
              <w:rPr>
                <w:rFonts w:hint="eastAsia" w:asciiTheme="minorEastAsia" w:hAnsiTheme="minorEastAsia" w:cstheme="minorEastAsia"/>
                <w:sz w:val="24"/>
                <w:szCs w:val="24"/>
              </w:rPr>
              <w:t>序号</w:t>
            </w:r>
            <w:bookmarkEnd w:id="9"/>
          </w:p>
        </w:tc>
        <w:tc>
          <w:tcPr>
            <w:tcW w:w="378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cstheme="minorEastAsia"/>
                <w:sz w:val="24"/>
                <w:szCs w:val="24"/>
              </w:rPr>
            </w:pPr>
            <w:bookmarkStart w:id="10" w:name="_Toc148970014"/>
            <w:r>
              <w:rPr>
                <w:rFonts w:hint="eastAsia" w:asciiTheme="minorEastAsia" w:hAnsiTheme="minorEastAsia" w:cstheme="minorEastAsia"/>
                <w:sz w:val="24"/>
                <w:szCs w:val="24"/>
              </w:rPr>
              <w:t>招标文件</w:t>
            </w:r>
            <w:bookmarkEnd w:id="10"/>
          </w:p>
        </w:tc>
        <w:tc>
          <w:tcPr>
            <w:tcW w:w="387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cstheme="minorEastAsia"/>
                <w:sz w:val="24"/>
                <w:szCs w:val="24"/>
              </w:rPr>
            </w:pPr>
            <w:bookmarkStart w:id="11" w:name="_Toc148970015"/>
            <w:r>
              <w:rPr>
                <w:rFonts w:hint="eastAsia" w:asciiTheme="minorEastAsia" w:hAnsiTheme="minorEastAsia" w:cstheme="minorEastAsia"/>
                <w:sz w:val="24"/>
                <w:szCs w:val="24"/>
              </w:rPr>
              <w:t>投标文件</w:t>
            </w:r>
            <w:bookmarkEnd w:id="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50"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cstheme="minorEastAsia"/>
                <w:sz w:val="24"/>
                <w:szCs w:val="24"/>
              </w:rPr>
            </w:pPr>
          </w:p>
        </w:tc>
        <w:tc>
          <w:tcPr>
            <w:tcW w:w="1368"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cstheme="minorEastAsia"/>
                <w:sz w:val="24"/>
                <w:szCs w:val="24"/>
              </w:rPr>
            </w:pPr>
            <w:bookmarkStart w:id="12" w:name="_Toc148970016"/>
            <w:r>
              <w:rPr>
                <w:rFonts w:hint="eastAsia" w:asciiTheme="minorEastAsia" w:hAnsiTheme="minorEastAsia" w:cstheme="minorEastAsia"/>
                <w:sz w:val="24"/>
                <w:szCs w:val="24"/>
              </w:rPr>
              <w:t>条目</w:t>
            </w:r>
            <w:bookmarkEnd w:id="12"/>
          </w:p>
        </w:tc>
        <w:tc>
          <w:tcPr>
            <w:tcW w:w="2412"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cstheme="minorEastAsia"/>
                <w:sz w:val="24"/>
                <w:szCs w:val="24"/>
              </w:rPr>
            </w:pPr>
            <w:bookmarkStart w:id="13" w:name="_Toc148970017"/>
            <w:r>
              <w:rPr>
                <w:rFonts w:hint="eastAsia" w:asciiTheme="minorEastAsia" w:hAnsiTheme="minorEastAsia" w:cstheme="minorEastAsia"/>
                <w:sz w:val="24"/>
                <w:szCs w:val="24"/>
              </w:rPr>
              <w:t>简要内容</w:t>
            </w:r>
            <w:bookmarkEnd w:id="13"/>
          </w:p>
        </w:tc>
        <w:tc>
          <w:tcPr>
            <w:tcW w:w="164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满足程度</w:t>
            </w:r>
          </w:p>
        </w:tc>
        <w:tc>
          <w:tcPr>
            <w:tcW w:w="223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1</w:t>
            </w:r>
          </w:p>
        </w:tc>
        <w:tc>
          <w:tcPr>
            <w:tcW w:w="1368"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w:t>
            </w:r>
          </w:p>
        </w:tc>
        <w:tc>
          <w:tcPr>
            <w:tcW w:w="2412"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w:t>
            </w:r>
          </w:p>
        </w:tc>
        <w:tc>
          <w:tcPr>
            <w:tcW w:w="164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优于/部分满足/不满足</w:t>
            </w:r>
          </w:p>
        </w:tc>
        <w:tc>
          <w:tcPr>
            <w:tcW w:w="223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5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2</w:t>
            </w:r>
          </w:p>
        </w:tc>
        <w:tc>
          <w:tcPr>
            <w:tcW w:w="1368"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w:t>
            </w:r>
          </w:p>
        </w:tc>
        <w:tc>
          <w:tcPr>
            <w:tcW w:w="2412"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w:t>
            </w:r>
          </w:p>
        </w:tc>
        <w:tc>
          <w:tcPr>
            <w:tcW w:w="164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优于/部分满足/不满足</w:t>
            </w:r>
          </w:p>
        </w:tc>
        <w:tc>
          <w:tcPr>
            <w:tcW w:w="223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w:t>
            </w:r>
          </w:p>
        </w:tc>
      </w:tr>
    </w:tbl>
    <w:p>
      <w:pPr>
        <w:spacing w:line="360" w:lineRule="auto"/>
        <w:ind w:firstLine="280" w:firstLineChars="100"/>
        <w:rPr>
          <w:rFonts w:ascii="宋体" w:hAnsi="宋体" w:eastAsia="宋体" w:cs="Times New Roman"/>
          <w:sz w:val="28"/>
          <w:szCs w:val="28"/>
        </w:rPr>
      </w:pPr>
    </w:p>
    <w:p>
      <w:pPr>
        <w:spacing w:line="360" w:lineRule="auto"/>
        <w:ind w:firstLine="280" w:firstLineChars="100"/>
        <w:rPr>
          <w:rFonts w:ascii="宋体" w:hAnsi="宋体" w:eastAsia="宋体" w:cs="Times New Roman"/>
          <w:sz w:val="28"/>
          <w:szCs w:val="28"/>
        </w:rPr>
      </w:pPr>
      <w:r>
        <w:rPr>
          <w:rFonts w:hint="eastAsia" w:ascii="宋体" w:hAnsi="宋体" w:eastAsia="宋体" w:cs="Times New Roman"/>
          <w:sz w:val="28"/>
          <w:szCs w:val="28"/>
        </w:rPr>
        <w:t>2、投标方需要说明的其它问题</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2BA"/>
    <w:rsid w:val="0000347D"/>
    <w:rsid w:val="000A3B26"/>
    <w:rsid w:val="000C6D20"/>
    <w:rsid w:val="000E5E5B"/>
    <w:rsid w:val="00132F0B"/>
    <w:rsid w:val="00191DE0"/>
    <w:rsid w:val="00192F60"/>
    <w:rsid w:val="001A29E4"/>
    <w:rsid w:val="001B5C1B"/>
    <w:rsid w:val="00237B17"/>
    <w:rsid w:val="002F34D6"/>
    <w:rsid w:val="003B32BA"/>
    <w:rsid w:val="00555852"/>
    <w:rsid w:val="005649F5"/>
    <w:rsid w:val="00596F79"/>
    <w:rsid w:val="005A6480"/>
    <w:rsid w:val="005E4095"/>
    <w:rsid w:val="00660D42"/>
    <w:rsid w:val="00671434"/>
    <w:rsid w:val="006737E9"/>
    <w:rsid w:val="00674768"/>
    <w:rsid w:val="006E0B10"/>
    <w:rsid w:val="00730762"/>
    <w:rsid w:val="0085126E"/>
    <w:rsid w:val="008A1E49"/>
    <w:rsid w:val="00977501"/>
    <w:rsid w:val="009A5C63"/>
    <w:rsid w:val="00B618A5"/>
    <w:rsid w:val="00B917D5"/>
    <w:rsid w:val="00C12DD9"/>
    <w:rsid w:val="00C70FD7"/>
    <w:rsid w:val="00CD7AC5"/>
    <w:rsid w:val="00E05DC7"/>
    <w:rsid w:val="00E23D91"/>
    <w:rsid w:val="00ED7349"/>
    <w:rsid w:val="00EF68A3"/>
    <w:rsid w:val="00F524B0"/>
    <w:rsid w:val="00F82C64"/>
    <w:rsid w:val="00FD5232"/>
    <w:rsid w:val="00FF2E87"/>
    <w:rsid w:val="062D7C32"/>
    <w:rsid w:val="095F4F6E"/>
    <w:rsid w:val="09D9505B"/>
    <w:rsid w:val="0C8711CC"/>
    <w:rsid w:val="0E5F4F87"/>
    <w:rsid w:val="106F4084"/>
    <w:rsid w:val="12BF1ED6"/>
    <w:rsid w:val="145B157C"/>
    <w:rsid w:val="15AD5F8B"/>
    <w:rsid w:val="1B8720F4"/>
    <w:rsid w:val="1C0B727F"/>
    <w:rsid w:val="1D533820"/>
    <w:rsid w:val="23272B22"/>
    <w:rsid w:val="239327F0"/>
    <w:rsid w:val="267D55BB"/>
    <w:rsid w:val="296D074E"/>
    <w:rsid w:val="2FA57009"/>
    <w:rsid w:val="33020BF3"/>
    <w:rsid w:val="35492728"/>
    <w:rsid w:val="3AE05E24"/>
    <w:rsid w:val="3B645C09"/>
    <w:rsid w:val="3B9F4427"/>
    <w:rsid w:val="3BAE7776"/>
    <w:rsid w:val="3E133F77"/>
    <w:rsid w:val="3E8308D2"/>
    <w:rsid w:val="4A6E1422"/>
    <w:rsid w:val="4CD25091"/>
    <w:rsid w:val="50A07754"/>
    <w:rsid w:val="511D0F3D"/>
    <w:rsid w:val="572A4459"/>
    <w:rsid w:val="59693A57"/>
    <w:rsid w:val="5BE80ED6"/>
    <w:rsid w:val="5D791171"/>
    <w:rsid w:val="63FB0FE4"/>
    <w:rsid w:val="67E25CFE"/>
    <w:rsid w:val="6B263798"/>
    <w:rsid w:val="6F97267D"/>
    <w:rsid w:val="70E90C3F"/>
    <w:rsid w:val="749234CF"/>
    <w:rsid w:val="75EC3368"/>
    <w:rsid w:val="77D13608"/>
    <w:rsid w:val="7D420F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Layout w:type="fixed"/>
      <w:tblCellMar>
        <w:top w:w="0" w:type="dxa"/>
        <w:left w:w="108" w:type="dxa"/>
        <w:bottom w:w="0" w:type="dxa"/>
        <w:right w:w="108" w:type="dxa"/>
      </w:tblCellMar>
    </w:tblPr>
  </w:style>
  <w:style w:type="paragraph" w:styleId="4">
    <w:name w:val="Body Text"/>
    <w:basedOn w:val="5"/>
    <w:next w:val="5"/>
    <w:qFormat/>
    <w:uiPriority w:val="0"/>
    <w:pPr>
      <w:spacing w:after="120"/>
    </w:pPr>
  </w:style>
  <w:style w:type="paragraph" w:styleId="5">
    <w:name w:val="Title"/>
    <w:basedOn w:val="1"/>
    <w:next w:val="1"/>
    <w:qFormat/>
    <w:uiPriority w:val="0"/>
    <w:pPr>
      <w:spacing w:before="240" w:after="60"/>
      <w:jc w:val="center"/>
      <w:outlineLvl w:val="0"/>
    </w:pPr>
    <w:rPr>
      <w:rFonts w:ascii="Arial" w:hAnsi="Arial" w:cs="Arial"/>
      <w:b/>
      <w:bCs/>
      <w:sz w:val="32"/>
      <w:szCs w:val="32"/>
    </w:rPr>
  </w:style>
  <w:style w:type="paragraph" w:styleId="6">
    <w:name w:val="Balloon Text"/>
    <w:basedOn w:val="1"/>
    <w:link w:val="20"/>
    <w:semiHidden/>
    <w:unhideWhenUsed/>
    <w:qFormat/>
    <w:uiPriority w:val="99"/>
    <w:rPr>
      <w:sz w:val="18"/>
      <w:szCs w:val="18"/>
    </w:rPr>
  </w:style>
  <w:style w:type="paragraph" w:styleId="7">
    <w:name w:val="footer"/>
    <w:basedOn w:val="1"/>
    <w:link w:val="16"/>
    <w:unhideWhenUsed/>
    <w:qFormat/>
    <w:uiPriority w:val="99"/>
    <w:pPr>
      <w:tabs>
        <w:tab w:val="center" w:pos="4153"/>
        <w:tab w:val="right" w:pos="8306"/>
      </w:tabs>
      <w:snapToGrid w:val="0"/>
      <w:jc w:val="left"/>
    </w:pPr>
    <w:rPr>
      <w:sz w:val="18"/>
      <w:szCs w:val="18"/>
    </w:rPr>
  </w:style>
  <w:style w:type="paragraph" w:styleId="8">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semiHidden/>
    <w:unhideWhenUsed/>
    <w:qFormat/>
    <w:uiPriority w:val="39"/>
  </w:style>
  <w:style w:type="paragraph" w:styleId="10">
    <w:name w:val="toc 2"/>
    <w:basedOn w:val="1"/>
    <w:next w:val="1"/>
    <w:unhideWhenUsed/>
    <w:qFormat/>
    <w:uiPriority w:val="39"/>
    <w:pPr>
      <w:ind w:left="420" w:leftChars="200"/>
    </w:p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4">
    <w:name w:val="Hyperlink"/>
    <w:basedOn w:val="13"/>
    <w:unhideWhenUsed/>
    <w:qFormat/>
    <w:uiPriority w:val="99"/>
    <w:rPr>
      <w:color w:val="0000FF" w:themeColor="hyperlink"/>
      <w:u w:val="single"/>
      <w14:textFill>
        <w14:solidFill>
          <w14:schemeClr w14:val="hlink"/>
        </w14:solidFill>
      </w14:textFill>
    </w:rPr>
  </w:style>
  <w:style w:type="character" w:customStyle="1" w:styleId="15">
    <w:name w:val="页眉 Char"/>
    <w:basedOn w:val="13"/>
    <w:link w:val="8"/>
    <w:qFormat/>
    <w:uiPriority w:val="99"/>
    <w:rPr>
      <w:sz w:val="18"/>
      <w:szCs w:val="18"/>
    </w:rPr>
  </w:style>
  <w:style w:type="character" w:customStyle="1" w:styleId="16">
    <w:name w:val="页脚 Char"/>
    <w:basedOn w:val="13"/>
    <w:link w:val="7"/>
    <w:qFormat/>
    <w:uiPriority w:val="99"/>
    <w:rPr>
      <w:sz w:val="18"/>
      <w:szCs w:val="18"/>
    </w:rPr>
  </w:style>
  <w:style w:type="character" w:customStyle="1" w:styleId="17">
    <w:name w:val="标题 2 Char"/>
    <w:basedOn w:val="13"/>
    <w:link w:val="3"/>
    <w:qFormat/>
    <w:uiPriority w:val="9"/>
    <w:rPr>
      <w:rFonts w:asciiTheme="majorHAnsi" w:hAnsiTheme="majorHAnsi" w:eastAsiaTheme="majorEastAsia" w:cstheme="majorBidi"/>
      <w:b/>
      <w:bCs/>
      <w:sz w:val="32"/>
      <w:szCs w:val="32"/>
    </w:rPr>
  </w:style>
  <w:style w:type="character" w:customStyle="1" w:styleId="18">
    <w:name w:val="标题 1 Char"/>
    <w:basedOn w:val="13"/>
    <w:link w:val="2"/>
    <w:qFormat/>
    <w:uiPriority w:val="9"/>
    <w:rPr>
      <w:b/>
      <w:bCs/>
      <w:kern w:val="44"/>
      <w:sz w:val="44"/>
      <w:szCs w:val="44"/>
    </w:rPr>
  </w:style>
  <w:style w:type="paragraph" w:customStyle="1" w:styleId="19">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20">
    <w:name w:val="批注框文本 Char"/>
    <w:basedOn w:val="13"/>
    <w:link w:val="6"/>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04247A-B4FE-47AC-8CD1-DA47B1BE7605}">
  <ds:schemaRefs/>
</ds:datastoreItem>
</file>

<file path=docProps/app.xml><?xml version="1.0" encoding="utf-8"?>
<Properties xmlns="http://schemas.openxmlformats.org/officeDocument/2006/extended-properties" xmlns:vt="http://schemas.openxmlformats.org/officeDocument/2006/docPropsVTypes">
  <Template>Normal.dotm</Template>
  <Pages>8</Pages>
  <Words>1624</Words>
  <Characters>1734</Characters>
  <Lines>16</Lines>
  <Paragraphs>4</Paragraphs>
  <TotalTime>4</TotalTime>
  <ScaleCrop>false</ScaleCrop>
  <LinksUpToDate>false</LinksUpToDate>
  <CharactersWithSpaces>1762</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2023-10-07T15:28:00Z</dcterms:created>
  <dc:creator>admin</dc:creator>
  <cp:lastModifiedBy>陈欣</cp:lastModifiedBy>
  <dcterms:modified xsi:type="dcterms:W3CDTF">2025-11-05T11:09:39Z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D8B846D013D443679CA4E6AFF6004D50_13</vt:lpwstr>
  </property>
  <property fmtid="{D5CDD505-2E9C-101B-9397-08002B2CF9AE}" pid="4" name="KSOTemplateDocerSaveRecord">
    <vt:lpwstr>eyJoZGlkIjoiNmUwZThlNzcwZDVlN2I0ZTMzZDU3N2Y5OWY4OWFmZDkiLCJ1c2VySWQiOiIxMjA0ODk3OTI2In0=</vt:lpwstr>
  </property>
</Properties>
</file>