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BD526BB">
      <w:pPr>
        <w:pStyle w:val="4"/>
        <w:shd w:val="clear"/>
        <w:spacing w:line="360" w:lineRule="auto"/>
        <w:ind w:left="-64" w:leftChars="-50" w:right="-176" w:rightChars="-84" w:hanging="41" w:hangingChars="17"/>
        <w:jc w:val="left"/>
        <w:rPr>
          <w:rFonts w:ascii="Times New Roman" w:hAnsi="Times New Roman" w:cs="Times New Roman"/>
          <w:b/>
          <w:sz w:val="24"/>
          <w:highlight w:val="none"/>
        </w:rPr>
      </w:pPr>
    </w:p>
    <w:p w14:paraId="5CC9FC00">
      <w:pPr>
        <w:shd w:val="clear"/>
        <w:spacing w:before="312" w:beforeLines="100" w:after="312" w:afterLines="100" w:line="360" w:lineRule="auto"/>
        <w:jc w:val="center"/>
        <w:rPr>
          <w:rFonts w:eastAsia="仿宋_GB2312"/>
          <w:b/>
          <w:color w:val="auto"/>
          <w:sz w:val="44"/>
          <w:szCs w:val="44"/>
          <w:highlight w:val="none"/>
        </w:rPr>
      </w:pPr>
    </w:p>
    <w:p w14:paraId="01E95ED0">
      <w:pPr>
        <w:shd w:val="clear"/>
        <w:spacing w:before="312" w:beforeLines="100" w:after="312" w:afterLines="100" w:line="360" w:lineRule="auto"/>
        <w:jc w:val="center"/>
        <w:rPr>
          <w:rFonts w:eastAsia="仿宋_GB2312"/>
          <w:b/>
          <w:color w:val="auto"/>
          <w:sz w:val="44"/>
          <w:szCs w:val="44"/>
          <w:highlight w:val="none"/>
        </w:rPr>
      </w:pPr>
    </w:p>
    <w:p w14:paraId="0D020BBE">
      <w:pPr>
        <w:shd w:val="clear"/>
        <w:spacing w:before="312" w:beforeLines="100" w:after="312" w:afterLines="100" w:line="360" w:lineRule="auto"/>
        <w:jc w:val="center"/>
        <w:rPr>
          <w:rFonts w:eastAsia="黑体"/>
          <w:b/>
          <w:color w:val="auto"/>
          <w:sz w:val="56"/>
          <w:szCs w:val="56"/>
          <w:highlight w:val="none"/>
        </w:rPr>
      </w:pPr>
      <w:r>
        <w:rPr>
          <w:rFonts w:eastAsia="黑体"/>
          <w:b/>
          <w:color w:val="auto"/>
          <w:sz w:val="56"/>
          <w:szCs w:val="56"/>
          <w:highlight w:val="none"/>
        </w:rPr>
        <w:t>南方电网电动汽车服务有限公司</w:t>
      </w:r>
    </w:p>
    <w:p w14:paraId="2AF45920">
      <w:pPr>
        <w:shd w:val="clear"/>
        <w:spacing w:before="312" w:beforeLines="100" w:after="312" w:afterLines="100" w:line="360" w:lineRule="auto"/>
        <w:jc w:val="center"/>
        <w:rPr>
          <w:rFonts w:eastAsia="黑体"/>
          <w:b/>
          <w:color w:val="auto"/>
          <w:sz w:val="56"/>
          <w:szCs w:val="56"/>
          <w:highlight w:val="none"/>
        </w:rPr>
      </w:pPr>
      <w:r>
        <w:rPr>
          <w:rFonts w:eastAsia="黑体"/>
          <w:b/>
          <w:color w:val="auto"/>
          <w:sz w:val="56"/>
          <w:szCs w:val="56"/>
          <w:highlight w:val="none"/>
        </w:rPr>
        <w:t>技术规范书</w:t>
      </w:r>
      <w:r>
        <w:rPr>
          <w:rFonts w:eastAsia="黑体"/>
          <w:b/>
          <w:color w:val="auto"/>
          <w:sz w:val="56"/>
          <w:szCs w:val="56"/>
          <w:highlight w:val="none"/>
        </w:rPr>
        <w:br w:type="textWrapping"/>
      </w:r>
    </w:p>
    <w:p w14:paraId="1543F85A">
      <w:pPr>
        <w:shd w:val="clear"/>
        <w:spacing w:before="312" w:beforeLines="100" w:after="312" w:afterLines="100" w:line="360" w:lineRule="auto"/>
        <w:jc w:val="center"/>
        <w:rPr>
          <w:rFonts w:eastAsia="仿宋_GB2312"/>
          <w:b/>
          <w:color w:val="auto"/>
          <w:sz w:val="44"/>
          <w:szCs w:val="44"/>
          <w:highlight w:val="none"/>
        </w:rPr>
      </w:pPr>
    </w:p>
    <w:p w14:paraId="67EB37FD">
      <w:pPr>
        <w:shd w:val="clear"/>
        <w:spacing w:before="312" w:beforeLines="100" w:after="312" w:afterLines="100" w:line="360" w:lineRule="auto"/>
        <w:jc w:val="center"/>
        <w:rPr>
          <w:rFonts w:eastAsia="仿宋_GB2312"/>
          <w:b/>
          <w:color w:val="auto"/>
          <w:sz w:val="44"/>
          <w:szCs w:val="44"/>
          <w:highlight w:val="none"/>
        </w:rPr>
      </w:pPr>
    </w:p>
    <w:p w14:paraId="43425411">
      <w:pPr>
        <w:shd w:val="clear"/>
        <w:spacing w:before="312" w:beforeLines="100" w:after="312" w:afterLines="100" w:line="360" w:lineRule="auto"/>
        <w:jc w:val="center"/>
        <w:rPr>
          <w:rFonts w:eastAsia="仿宋_GB2312"/>
          <w:b/>
          <w:color w:val="auto"/>
          <w:sz w:val="44"/>
          <w:szCs w:val="44"/>
          <w:highlight w:val="none"/>
        </w:rPr>
      </w:pPr>
    </w:p>
    <w:p w14:paraId="743E33CB">
      <w:pPr>
        <w:shd w:val="clear"/>
        <w:spacing w:before="312" w:beforeLines="100" w:after="312" w:afterLines="100" w:line="360" w:lineRule="auto"/>
        <w:jc w:val="center"/>
        <w:rPr>
          <w:rFonts w:eastAsia="仿宋_GB2312"/>
          <w:b/>
          <w:color w:val="auto"/>
          <w:sz w:val="44"/>
          <w:szCs w:val="44"/>
          <w:highlight w:val="none"/>
        </w:rPr>
      </w:pPr>
    </w:p>
    <w:p w14:paraId="2C7F76D0">
      <w:pPr>
        <w:shd w:val="clear"/>
        <w:spacing w:before="312" w:beforeLines="100" w:after="312" w:afterLines="100" w:line="360" w:lineRule="auto"/>
        <w:jc w:val="center"/>
        <w:rPr>
          <w:rFonts w:eastAsia="仿宋_GB2312"/>
          <w:b/>
          <w:color w:val="auto"/>
          <w:sz w:val="44"/>
          <w:szCs w:val="44"/>
          <w:highlight w:val="none"/>
        </w:rPr>
      </w:pPr>
    </w:p>
    <w:p w14:paraId="2A20E690">
      <w:pPr>
        <w:shd w:val="clear"/>
        <w:spacing w:before="312" w:beforeLines="100" w:after="312" w:afterLines="100" w:line="360" w:lineRule="auto"/>
        <w:jc w:val="center"/>
        <w:rPr>
          <w:rFonts w:eastAsia="仿宋_GB2312"/>
          <w:b/>
          <w:color w:val="auto"/>
          <w:sz w:val="44"/>
          <w:szCs w:val="44"/>
          <w:highlight w:val="none"/>
        </w:rPr>
      </w:pPr>
    </w:p>
    <w:p w14:paraId="6405E2F8">
      <w:pPr>
        <w:shd w:val="clear"/>
        <w:spacing w:before="312" w:beforeLines="100" w:after="312" w:afterLines="100" w:line="360" w:lineRule="auto"/>
        <w:jc w:val="center"/>
        <w:rPr>
          <w:rFonts w:eastAsia="仿宋_GB2312"/>
          <w:b/>
          <w:color w:val="auto"/>
          <w:sz w:val="44"/>
          <w:szCs w:val="44"/>
          <w:highlight w:val="none"/>
        </w:rPr>
      </w:pPr>
    </w:p>
    <w:p w14:paraId="74A2CB9B">
      <w:pPr>
        <w:shd w:val="clear"/>
        <w:spacing w:line="360" w:lineRule="auto"/>
        <w:jc w:val="center"/>
        <w:rPr>
          <w:rFonts w:eastAsia="黑体"/>
          <w:b/>
          <w:color w:val="auto"/>
          <w:sz w:val="36"/>
          <w:szCs w:val="36"/>
          <w:highlight w:val="none"/>
        </w:rPr>
      </w:pPr>
      <w:r>
        <w:rPr>
          <w:rFonts w:eastAsia="黑体"/>
          <w:b/>
          <w:color w:val="auto"/>
          <w:sz w:val="36"/>
          <w:szCs w:val="36"/>
          <w:highlight w:val="none"/>
        </w:rPr>
        <w:t>202</w:t>
      </w:r>
      <w:r>
        <w:rPr>
          <w:rFonts w:hint="eastAsia" w:eastAsia="黑体"/>
          <w:b/>
          <w:color w:val="auto"/>
          <w:sz w:val="36"/>
          <w:szCs w:val="36"/>
          <w:highlight w:val="none"/>
          <w:lang w:val="en-US" w:eastAsia="zh-CN"/>
        </w:rPr>
        <w:t>5</w:t>
      </w:r>
      <w:r>
        <w:rPr>
          <w:rFonts w:eastAsia="黑体"/>
          <w:b/>
          <w:color w:val="auto"/>
          <w:sz w:val="36"/>
          <w:szCs w:val="36"/>
          <w:highlight w:val="none"/>
        </w:rPr>
        <w:t>年</w:t>
      </w:r>
      <w:r>
        <w:rPr>
          <w:rFonts w:hint="eastAsia" w:eastAsia="黑体"/>
          <w:b/>
          <w:color w:val="auto"/>
          <w:sz w:val="36"/>
          <w:szCs w:val="36"/>
          <w:highlight w:val="none"/>
          <w:lang w:val="en-US" w:eastAsia="zh-CN"/>
        </w:rPr>
        <w:t>10</w:t>
      </w:r>
      <w:r>
        <w:rPr>
          <w:rFonts w:eastAsia="黑体"/>
          <w:b/>
          <w:color w:val="auto"/>
          <w:sz w:val="36"/>
          <w:szCs w:val="36"/>
          <w:highlight w:val="none"/>
        </w:rPr>
        <w:t>月</w:t>
      </w:r>
    </w:p>
    <w:p w14:paraId="5D62AFBF">
      <w:pPr>
        <w:pStyle w:val="4"/>
        <w:shd w:val="clear"/>
        <w:spacing w:line="360" w:lineRule="auto"/>
        <w:ind w:leftChars="-67" w:hanging="141" w:hangingChars="32"/>
        <w:jc w:val="center"/>
        <w:rPr>
          <w:rFonts w:ascii="Times New Roman" w:hAnsi="Times New Roman" w:cs="Times New Roman"/>
          <w:b/>
          <w:color w:val="auto"/>
          <w:spacing w:val="40"/>
          <w:sz w:val="36"/>
          <w:highlight w:val="none"/>
        </w:rPr>
        <w:sectPr>
          <w:footerReference r:id="rId3" w:type="default"/>
          <w:footerReference r:id="rId4" w:type="even"/>
          <w:pgSz w:w="11906" w:h="16838"/>
          <w:pgMar w:top="1440" w:right="1588" w:bottom="1440" w:left="1588" w:header="851" w:footer="992" w:gutter="0"/>
          <w:pgNumType w:start="1"/>
          <w:cols w:space="720" w:num="1"/>
          <w:titlePg/>
          <w:docGrid w:type="lines" w:linePitch="312" w:charSpace="0"/>
        </w:sectPr>
      </w:pPr>
    </w:p>
    <w:p w14:paraId="03A335C9">
      <w:pPr>
        <w:keepNext w:val="0"/>
        <w:keepLines w:val="0"/>
        <w:pageBreakBefore w:val="0"/>
        <w:widowControl w:val="0"/>
        <w:shd w:val="clear"/>
        <w:kinsoku/>
        <w:wordWrap/>
        <w:overflowPunct/>
        <w:topLinePunct w:val="0"/>
        <w:bidi w:val="0"/>
        <w:adjustRightInd w:val="0"/>
        <w:snapToGrid w:val="0"/>
        <w:spacing w:line="560" w:lineRule="exact"/>
        <w:jc w:val="center"/>
        <w:textAlignment w:val="auto"/>
        <w:outlineLvl w:val="1"/>
        <w:rPr>
          <w:b/>
          <w:color w:val="auto"/>
          <w:sz w:val="32"/>
          <w:szCs w:val="24"/>
          <w:highlight w:val="none"/>
        </w:rPr>
      </w:pPr>
      <w:bookmarkStart w:id="0" w:name="_Toc526272364"/>
      <w:bookmarkStart w:id="1" w:name="_Toc499107257"/>
      <w:bookmarkStart w:id="2" w:name="_Toc44215917"/>
      <w:bookmarkStart w:id="3" w:name="_Toc255808351"/>
      <w:bookmarkStart w:id="4" w:name="_Toc140044893"/>
      <w:bookmarkStart w:id="5" w:name="_Toc526272772"/>
      <w:bookmarkStart w:id="6" w:name="_Toc174546109"/>
      <w:bookmarkStart w:id="7" w:name="_Toc44215756"/>
      <w:bookmarkStart w:id="8" w:name="_Toc114881469"/>
      <w:r>
        <w:rPr>
          <w:b/>
          <w:color w:val="auto"/>
          <w:sz w:val="32"/>
          <w:szCs w:val="24"/>
          <w:highlight w:val="none"/>
        </w:rPr>
        <w:t>第一章总体要求</w:t>
      </w:r>
      <w:bookmarkEnd w:id="0"/>
      <w:bookmarkEnd w:id="1"/>
      <w:bookmarkEnd w:id="2"/>
      <w:bookmarkEnd w:id="3"/>
      <w:bookmarkEnd w:id="4"/>
      <w:bookmarkEnd w:id="5"/>
      <w:bookmarkEnd w:id="6"/>
      <w:bookmarkEnd w:id="7"/>
      <w:bookmarkStart w:id="9" w:name="_Toc44215766"/>
      <w:bookmarkStart w:id="10" w:name="_Toc526272374"/>
      <w:bookmarkStart w:id="11" w:name="_Toc44215927"/>
      <w:bookmarkStart w:id="12" w:name="_Toc526272782"/>
      <w:bookmarkStart w:id="13" w:name="_Toc140044899"/>
    </w:p>
    <w:p w14:paraId="2BD5C403">
      <w:pPr>
        <w:keepNext w:val="0"/>
        <w:keepLines w:val="0"/>
        <w:pageBreakBefore w:val="0"/>
        <w:widowControl w:val="0"/>
        <w:shd w:val="clear"/>
        <w:kinsoku/>
        <w:wordWrap/>
        <w:overflowPunct/>
        <w:topLinePunct w:val="0"/>
        <w:bidi w:val="0"/>
        <w:spacing w:line="560" w:lineRule="exact"/>
        <w:ind w:firstLine="426"/>
        <w:textAlignment w:val="auto"/>
        <w:rPr>
          <w:b/>
          <w:color w:val="auto"/>
          <w:highlight w:val="none"/>
        </w:rPr>
      </w:pPr>
      <w:r>
        <w:rPr>
          <w:b/>
          <w:color w:val="auto"/>
          <w:highlight w:val="none"/>
        </w:rPr>
        <w:t>1、项目名称及概况</w:t>
      </w:r>
    </w:p>
    <w:p w14:paraId="335E2316">
      <w:pPr>
        <w:keepNext w:val="0"/>
        <w:keepLines w:val="0"/>
        <w:pageBreakBefore w:val="0"/>
        <w:widowControl w:val="0"/>
        <w:shd w:val="clear" w:color="000000"/>
        <w:kinsoku/>
        <w:wordWrap/>
        <w:overflowPunct/>
        <w:topLinePunct w:val="0"/>
        <w:bidi w:val="0"/>
        <w:spacing w:line="560" w:lineRule="exact"/>
        <w:ind w:firstLine="440" w:firstLineChars="200"/>
        <w:textAlignment w:val="auto"/>
        <w:rPr>
          <w:color w:val="auto"/>
          <w:kern w:val="0"/>
          <w:sz w:val="22"/>
          <w:highlight w:val="none"/>
        </w:rPr>
      </w:pPr>
      <w:r>
        <w:rPr>
          <w:color w:val="auto"/>
          <w:kern w:val="0"/>
          <w:sz w:val="22"/>
          <w:highlight w:val="none"/>
        </w:rPr>
        <w:t>项目名称：</w:t>
      </w:r>
      <w:r>
        <w:rPr>
          <w:rFonts w:hint="eastAsia"/>
          <w:color w:val="auto"/>
          <w:kern w:val="0"/>
          <w:sz w:val="22"/>
          <w:highlight w:val="none"/>
        </w:rPr>
        <w:t>市场化业务经营风险管控机制优化项目</w:t>
      </w:r>
      <w:r>
        <w:rPr>
          <w:color w:val="auto"/>
          <w:kern w:val="0"/>
          <w:sz w:val="22"/>
          <w:highlight w:val="none"/>
        </w:rPr>
        <w:t>。</w:t>
      </w:r>
    </w:p>
    <w:p w14:paraId="66EC5C54">
      <w:pPr>
        <w:keepNext w:val="0"/>
        <w:keepLines w:val="0"/>
        <w:pageBreakBefore w:val="0"/>
        <w:widowControl w:val="0"/>
        <w:shd w:val="clear" w:color="000000"/>
        <w:kinsoku/>
        <w:wordWrap/>
        <w:overflowPunct/>
        <w:topLinePunct w:val="0"/>
        <w:bidi w:val="0"/>
        <w:spacing w:line="560" w:lineRule="exact"/>
        <w:ind w:firstLine="440" w:firstLineChars="200"/>
        <w:textAlignment w:val="auto"/>
        <w:rPr>
          <w:rFonts w:hint="eastAsia"/>
          <w:color w:val="auto"/>
          <w:kern w:val="0"/>
          <w:sz w:val="22"/>
          <w:highlight w:val="none"/>
        </w:rPr>
      </w:pPr>
      <w:r>
        <w:rPr>
          <w:color w:val="auto"/>
          <w:kern w:val="0"/>
          <w:sz w:val="22"/>
          <w:highlight w:val="none"/>
        </w:rPr>
        <w:t>概况：</w:t>
      </w:r>
      <w:r>
        <w:rPr>
          <w:rFonts w:hint="eastAsia"/>
          <w:color w:val="auto"/>
          <w:kern w:val="0"/>
          <w:sz w:val="22"/>
          <w:highlight w:val="none"/>
        </w:rPr>
        <w:t>作为充换电新能源行业的央企，</w:t>
      </w:r>
      <w:r>
        <w:rPr>
          <w:rFonts w:hint="eastAsia"/>
          <w:color w:val="auto"/>
          <w:kern w:val="0"/>
          <w:sz w:val="22"/>
          <w:highlight w:val="none"/>
          <w:lang w:val="en-US" w:eastAsia="zh-CN"/>
        </w:rPr>
        <w:t>采购人</w:t>
      </w:r>
      <w:r>
        <w:rPr>
          <w:rFonts w:hint="eastAsia"/>
          <w:color w:val="auto"/>
          <w:kern w:val="0"/>
          <w:sz w:val="22"/>
          <w:highlight w:val="none"/>
        </w:rPr>
        <w:t>正深度参与新型电力系统建设与能源结构转型，市场化业务已涵盖充换电站建设运营、储能集成服务、</w:t>
      </w:r>
      <w:r>
        <w:rPr>
          <w:rFonts w:hint="eastAsia"/>
          <w:color w:val="auto"/>
          <w:kern w:val="0"/>
          <w:sz w:val="22"/>
          <w:highlight w:val="none"/>
          <w:lang w:val="en-US" w:eastAsia="zh-CN"/>
        </w:rPr>
        <w:t>充电服务平台</w:t>
      </w:r>
      <w:r>
        <w:rPr>
          <w:rFonts w:hint="eastAsia"/>
          <w:color w:val="auto"/>
          <w:kern w:val="0"/>
          <w:sz w:val="22"/>
          <w:highlight w:val="none"/>
        </w:rPr>
        <w:t>互联互通等多个领域。随着业务快速扩张，与设备供应商、场地合作方、终端用户的合作场景日趋复杂，叠加行业技术迭代快、标准体系尚不完善、政策调整频繁等特性，合同履约争议（如充电设备质量、运维服务标准）、</w:t>
      </w:r>
      <w:r>
        <w:rPr>
          <w:rFonts w:hint="eastAsia"/>
          <w:color w:val="auto"/>
          <w:kern w:val="0"/>
          <w:sz w:val="22"/>
          <w:highlight w:val="none"/>
          <w:lang w:val="en-US" w:eastAsia="zh-CN"/>
        </w:rPr>
        <w:t>商业</w:t>
      </w:r>
      <w:r>
        <w:rPr>
          <w:rFonts w:hint="eastAsia"/>
          <w:color w:val="auto"/>
          <w:kern w:val="0"/>
          <w:sz w:val="22"/>
          <w:highlight w:val="none"/>
        </w:rPr>
        <w:t>纠纷（如换电技术专利）、运营责任认定（如充电安全事故）、补贴政策衔接</w:t>
      </w:r>
      <w:r>
        <w:rPr>
          <w:rFonts w:hint="eastAsia"/>
          <w:color w:val="auto"/>
          <w:kern w:val="0"/>
          <w:sz w:val="22"/>
          <w:highlight w:val="none"/>
          <w:lang w:eastAsia="zh-CN"/>
        </w:rPr>
        <w:t>、</w:t>
      </w:r>
      <w:r>
        <w:rPr>
          <w:rFonts w:hint="eastAsia"/>
          <w:color w:val="auto"/>
          <w:kern w:val="0"/>
          <w:sz w:val="22"/>
          <w:highlight w:val="none"/>
          <w:lang w:val="en-US" w:eastAsia="zh-CN"/>
        </w:rPr>
        <w:t>商业模式创新</w:t>
      </w:r>
      <w:r>
        <w:rPr>
          <w:rFonts w:hint="eastAsia"/>
          <w:color w:val="auto"/>
          <w:kern w:val="0"/>
          <w:sz w:val="22"/>
          <w:highlight w:val="none"/>
        </w:rPr>
        <w:t>等</w:t>
      </w:r>
      <w:r>
        <w:rPr>
          <w:rFonts w:hint="eastAsia"/>
          <w:color w:val="auto"/>
          <w:kern w:val="0"/>
          <w:sz w:val="22"/>
          <w:highlight w:val="none"/>
          <w:lang w:val="en-US" w:eastAsia="zh-CN"/>
        </w:rPr>
        <w:t>经营</w:t>
      </w:r>
      <w:r>
        <w:rPr>
          <w:rFonts w:hint="eastAsia"/>
          <w:color w:val="auto"/>
          <w:kern w:val="0"/>
          <w:sz w:val="22"/>
          <w:highlight w:val="none"/>
        </w:rPr>
        <w:t>风险显著上升。​</w:t>
      </w:r>
    </w:p>
    <w:p w14:paraId="4CD3DFA3">
      <w:pPr>
        <w:keepNext w:val="0"/>
        <w:keepLines w:val="0"/>
        <w:pageBreakBefore w:val="0"/>
        <w:widowControl w:val="0"/>
        <w:shd w:val="clear" w:color="000000"/>
        <w:kinsoku/>
        <w:wordWrap/>
        <w:overflowPunct/>
        <w:topLinePunct w:val="0"/>
        <w:bidi w:val="0"/>
        <w:spacing w:line="560" w:lineRule="exact"/>
        <w:ind w:firstLine="440" w:firstLineChars="200"/>
        <w:textAlignment w:val="auto"/>
        <w:rPr>
          <w:rFonts w:hint="eastAsia" w:eastAsia="宋体"/>
          <w:color w:val="auto"/>
          <w:kern w:val="0"/>
          <w:sz w:val="22"/>
          <w:highlight w:val="none"/>
          <w:lang w:eastAsia="zh-CN"/>
        </w:rPr>
      </w:pPr>
      <w:r>
        <w:rPr>
          <w:rFonts w:hint="eastAsia"/>
          <w:color w:val="auto"/>
          <w:kern w:val="0"/>
          <w:sz w:val="22"/>
          <w:highlight w:val="none"/>
        </w:rPr>
        <w:t>为落实国企改革深化提升行动中关于“强化合规管理、健全风险防控体系”的部署，进一步规范充换电新能源领域市场化业务经营风险管控流程，防范化解</w:t>
      </w:r>
      <w:r>
        <w:rPr>
          <w:rFonts w:hint="eastAsia"/>
          <w:color w:val="auto"/>
          <w:kern w:val="0"/>
          <w:sz w:val="22"/>
          <w:highlight w:val="none"/>
          <w:lang w:val="en-US" w:eastAsia="zh-CN"/>
        </w:rPr>
        <w:t>充换电</w:t>
      </w:r>
      <w:r>
        <w:rPr>
          <w:rFonts w:hint="eastAsia"/>
          <w:color w:val="auto"/>
          <w:kern w:val="0"/>
          <w:sz w:val="22"/>
          <w:highlight w:val="none"/>
        </w:rPr>
        <w:t>行业法律风险与经营风险，提升</w:t>
      </w:r>
      <w:r>
        <w:rPr>
          <w:rFonts w:hint="eastAsia"/>
          <w:color w:val="auto"/>
          <w:kern w:val="0"/>
          <w:sz w:val="22"/>
          <w:highlight w:val="none"/>
          <w:lang w:val="en-US" w:eastAsia="zh-CN"/>
        </w:rPr>
        <w:t>经营风险防控</w:t>
      </w:r>
      <w:r>
        <w:rPr>
          <w:rFonts w:hint="eastAsia"/>
          <w:color w:val="auto"/>
          <w:kern w:val="0"/>
          <w:sz w:val="22"/>
          <w:highlight w:val="none"/>
        </w:rPr>
        <w:t>的专业化、规范化、高效化水平，保障公司市场化业务持续健康发展，拟采购第三方专业服务，开展</w:t>
      </w:r>
      <w:r>
        <w:rPr>
          <w:rFonts w:hint="eastAsia"/>
          <w:color w:val="auto"/>
          <w:kern w:val="0"/>
          <w:sz w:val="22"/>
          <w:highlight w:val="none"/>
          <w:lang w:val="en-US" w:eastAsia="zh-CN"/>
        </w:rPr>
        <w:t>充换电领域</w:t>
      </w:r>
      <w:r>
        <w:rPr>
          <w:rFonts w:hint="eastAsia"/>
          <w:color w:val="auto"/>
          <w:kern w:val="0"/>
          <w:sz w:val="22"/>
          <w:highlight w:val="none"/>
        </w:rPr>
        <w:t>市场化业务经营风险管控机制</w:t>
      </w:r>
      <w:r>
        <w:rPr>
          <w:rFonts w:hint="eastAsia"/>
          <w:color w:val="auto"/>
          <w:kern w:val="0"/>
          <w:sz w:val="22"/>
          <w:highlight w:val="none"/>
          <w:lang w:val="en-US" w:eastAsia="zh-CN"/>
        </w:rPr>
        <w:t>优化</w:t>
      </w:r>
      <w:r>
        <w:rPr>
          <w:rFonts w:hint="eastAsia"/>
          <w:color w:val="auto"/>
          <w:kern w:val="0"/>
          <w:sz w:val="22"/>
          <w:highlight w:val="none"/>
        </w:rPr>
        <w:t>项目。</w:t>
      </w:r>
    </w:p>
    <w:p w14:paraId="30798228">
      <w:pPr>
        <w:keepNext w:val="0"/>
        <w:keepLines w:val="0"/>
        <w:pageBreakBefore w:val="0"/>
        <w:widowControl w:val="0"/>
        <w:shd w:val="clear"/>
        <w:kinsoku/>
        <w:wordWrap/>
        <w:overflowPunct/>
        <w:topLinePunct w:val="0"/>
        <w:bidi w:val="0"/>
        <w:adjustRightInd w:val="0"/>
        <w:snapToGrid w:val="0"/>
        <w:spacing w:line="560" w:lineRule="exact"/>
        <w:ind w:firstLine="422" w:firstLineChars="200"/>
        <w:textAlignment w:val="auto"/>
        <w:outlineLvl w:val="1"/>
        <w:rPr>
          <w:b/>
          <w:color w:val="auto"/>
          <w:szCs w:val="21"/>
          <w:highlight w:val="none"/>
        </w:rPr>
      </w:pPr>
      <w:r>
        <w:rPr>
          <w:b/>
          <w:color w:val="auto"/>
          <w:szCs w:val="21"/>
          <w:highlight w:val="none"/>
        </w:rPr>
        <w:t>2、项目内容</w:t>
      </w:r>
    </w:p>
    <w:p w14:paraId="169F1D21">
      <w:pPr>
        <w:keepNext w:val="0"/>
        <w:keepLines w:val="0"/>
        <w:pageBreakBefore w:val="0"/>
        <w:widowControl w:val="0"/>
        <w:shd w:val="clear"/>
        <w:kinsoku/>
        <w:wordWrap/>
        <w:overflowPunct/>
        <w:topLinePunct w:val="0"/>
        <w:bidi w:val="0"/>
        <w:adjustRightInd w:val="0"/>
        <w:snapToGrid w:val="0"/>
        <w:spacing w:line="560" w:lineRule="exact"/>
        <w:ind w:firstLine="440" w:firstLineChars="200"/>
        <w:textAlignment w:val="auto"/>
        <w:outlineLvl w:val="1"/>
        <w:rPr>
          <w:rFonts w:hint="eastAsia"/>
          <w:color w:val="auto"/>
          <w:kern w:val="0"/>
          <w:sz w:val="22"/>
          <w:highlight w:val="none"/>
        </w:rPr>
      </w:pPr>
      <w:bookmarkStart w:id="14" w:name="_Toc499107262"/>
      <w:r>
        <w:rPr>
          <w:rFonts w:hint="eastAsia"/>
          <w:color w:val="auto"/>
          <w:kern w:val="0"/>
          <w:sz w:val="22"/>
          <w:highlight w:val="none"/>
        </w:rPr>
        <w:t>本项目旨在采购一家具备丰富经验和专业能力的第三方咨询服务机构，为</w:t>
      </w:r>
      <w:r>
        <w:rPr>
          <w:rFonts w:hint="eastAsia"/>
          <w:color w:val="auto"/>
          <w:kern w:val="0"/>
          <w:sz w:val="22"/>
          <w:highlight w:val="none"/>
          <w:lang w:val="en-US" w:eastAsia="zh-CN"/>
        </w:rPr>
        <w:t>采购人</w:t>
      </w:r>
      <w:r>
        <w:rPr>
          <w:rFonts w:hint="eastAsia"/>
          <w:color w:val="auto"/>
          <w:kern w:val="0"/>
          <w:sz w:val="22"/>
          <w:highlight w:val="none"/>
        </w:rPr>
        <w:t>提供市场化业务经营风险管控机制优化的专业咨询服务。服务方需基于对充换电新能源行业及采购人业务特点的深入理解，</w:t>
      </w:r>
      <w:r>
        <w:rPr>
          <w:rFonts w:hint="eastAsia"/>
          <w:color w:val="auto"/>
          <w:kern w:val="0"/>
          <w:sz w:val="22"/>
          <w:highlight w:val="none"/>
          <w:lang w:val="en-US" w:eastAsia="zh-CN"/>
        </w:rPr>
        <w:t>对采购人业务合同订立、履约，项目开拓、执行等经营过程，开展风险提示，并结合法律法规提出</w:t>
      </w:r>
      <w:r>
        <w:rPr>
          <w:rFonts w:hint="eastAsia"/>
          <w:color w:val="auto"/>
          <w:kern w:val="0"/>
          <w:sz w:val="22"/>
          <w:highlight w:val="none"/>
        </w:rPr>
        <w:t>具有前瞻性、针对性、可操作性的风险管控优化方案</w:t>
      </w:r>
      <w:r>
        <w:rPr>
          <w:rFonts w:hint="eastAsia"/>
          <w:color w:val="auto"/>
          <w:kern w:val="0"/>
          <w:sz w:val="22"/>
          <w:highlight w:val="none"/>
          <w:lang w:val="en-US" w:eastAsia="zh-CN"/>
        </w:rPr>
        <w:t>或建议</w:t>
      </w:r>
      <w:r>
        <w:rPr>
          <w:rFonts w:hint="eastAsia"/>
          <w:color w:val="auto"/>
          <w:kern w:val="0"/>
          <w:sz w:val="22"/>
          <w:highlight w:val="none"/>
        </w:rPr>
        <w:t>。</w:t>
      </w:r>
    </w:p>
    <w:p w14:paraId="3CC0098F">
      <w:pPr>
        <w:keepNext w:val="0"/>
        <w:keepLines w:val="0"/>
        <w:pageBreakBefore w:val="0"/>
        <w:widowControl w:val="0"/>
        <w:shd w:val="clear"/>
        <w:kinsoku/>
        <w:wordWrap/>
        <w:overflowPunct/>
        <w:topLinePunct w:val="0"/>
        <w:bidi w:val="0"/>
        <w:adjustRightInd w:val="0"/>
        <w:snapToGrid w:val="0"/>
        <w:spacing w:line="560" w:lineRule="exact"/>
        <w:ind w:firstLine="422" w:firstLineChars="200"/>
        <w:textAlignment w:val="auto"/>
        <w:outlineLvl w:val="1"/>
        <w:rPr>
          <w:b/>
          <w:color w:val="auto"/>
          <w:szCs w:val="21"/>
          <w:highlight w:val="none"/>
        </w:rPr>
      </w:pPr>
      <w:r>
        <w:rPr>
          <w:b/>
          <w:color w:val="auto"/>
          <w:szCs w:val="21"/>
          <w:highlight w:val="none"/>
        </w:rPr>
        <w:t>3、服务地点</w:t>
      </w:r>
      <w:bookmarkEnd w:id="14"/>
    </w:p>
    <w:p w14:paraId="2D863A18">
      <w:pPr>
        <w:keepNext w:val="0"/>
        <w:keepLines w:val="0"/>
        <w:pageBreakBefore w:val="0"/>
        <w:widowControl w:val="0"/>
        <w:shd w:val="clear"/>
        <w:kinsoku/>
        <w:wordWrap/>
        <w:overflowPunct/>
        <w:topLinePunct w:val="0"/>
        <w:autoSpaceDE w:val="0"/>
        <w:autoSpaceDN w:val="0"/>
        <w:bidi w:val="0"/>
        <w:adjustRightInd w:val="0"/>
        <w:spacing w:line="560" w:lineRule="exact"/>
        <w:ind w:firstLine="420" w:firstLineChars="200"/>
        <w:textAlignment w:val="auto"/>
        <w:rPr>
          <w:rFonts w:hint="eastAsia"/>
          <w:color w:val="auto"/>
          <w:szCs w:val="21"/>
          <w:highlight w:val="none"/>
        </w:rPr>
      </w:pPr>
      <w:r>
        <w:rPr>
          <w:color w:val="auto"/>
          <w:szCs w:val="21"/>
          <w:highlight w:val="none"/>
        </w:rPr>
        <w:t>深圳。</w:t>
      </w:r>
      <w:bookmarkStart w:id="15" w:name="_Toc499107263"/>
    </w:p>
    <w:p w14:paraId="5346BE28">
      <w:pPr>
        <w:keepNext w:val="0"/>
        <w:keepLines w:val="0"/>
        <w:pageBreakBefore w:val="0"/>
        <w:widowControl w:val="0"/>
        <w:shd w:val="clear"/>
        <w:kinsoku/>
        <w:wordWrap/>
        <w:overflowPunct/>
        <w:topLinePunct w:val="0"/>
        <w:bidi w:val="0"/>
        <w:adjustRightInd w:val="0"/>
        <w:snapToGrid w:val="0"/>
        <w:spacing w:line="560" w:lineRule="exact"/>
        <w:ind w:firstLine="422" w:firstLineChars="200"/>
        <w:textAlignment w:val="auto"/>
        <w:outlineLvl w:val="1"/>
        <w:rPr>
          <w:b/>
          <w:color w:val="auto"/>
          <w:szCs w:val="21"/>
          <w:highlight w:val="none"/>
        </w:rPr>
      </w:pPr>
      <w:r>
        <w:rPr>
          <w:b/>
          <w:color w:val="auto"/>
          <w:szCs w:val="21"/>
          <w:highlight w:val="none"/>
        </w:rPr>
        <w:t>4、服务期限</w:t>
      </w:r>
      <w:bookmarkEnd w:id="15"/>
    </w:p>
    <w:p w14:paraId="64918F87">
      <w:pPr>
        <w:keepNext w:val="0"/>
        <w:keepLines w:val="0"/>
        <w:pageBreakBefore w:val="0"/>
        <w:widowControl w:val="0"/>
        <w:shd w:val="clear"/>
        <w:kinsoku/>
        <w:wordWrap/>
        <w:overflowPunct/>
        <w:topLinePunct w:val="0"/>
        <w:bidi w:val="0"/>
        <w:spacing w:line="560" w:lineRule="exact"/>
        <w:ind w:firstLine="426"/>
        <w:textAlignment w:val="auto"/>
        <w:rPr>
          <w:color w:val="auto"/>
          <w:highlight w:val="none"/>
        </w:rPr>
      </w:pPr>
      <w:r>
        <w:rPr>
          <w:color w:val="auto"/>
          <w:highlight w:val="none"/>
        </w:rPr>
        <w:t>自合同签订之日起</w:t>
      </w:r>
      <w:r>
        <w:rPr>
          <w:rFonts w:hint="eastAsia"/>
          <w:color w:val="auto"/>
          <w:highlight w:val="none"/>
          <w:lang w:val="en-US" w:eastAsia="zh-CN"/>
        </w:rPr>
        <w:t>至2026年9月30日</w:t>
      </w:r>
      <w:r>
        <w:rPr>
          <w:color w:val="auto"/>
          <w:highlight w:val="none"/>
        </w:rPr>
        <w:t>。</w:t>
      </w:r>
    </w:p>
    <w:p w14:paraId="37CE70BA">
      <w:pPr>
        <w:shd w:val="clear"/>
        <w:spacing w:line="360" w:lineRule="auto"/>
        <w:ind w:firstLine="426"/>
        <w:rPr>
          <w:color w:val="auto"/>
          <w:highlight w:val="none"/>
        </w:rPr>
      </w:pPr>
    </w:p>
    <w:bookmarkEnd w:id="8"/>
    <w:bookmarkEnd w:id="9"/>
    <w:bookmarkEnd w:id="10"/>
    <w:bookmarkEnd w:id="11"/>
    <w:bookmarkEnd w:id="12"/>
    <w:bookmarkEnd w:id="13"/>
    <w:p w14:paraId="46F9FABB">
      <w:pPr>
        <w:keepNext w:val="0"/>
        <w:keepLines w:val="0"/>
        <w:pageBreakBefore w:val="0"/>
        <w:widowControl w:val="0"/>
        <w:shd w:val="clear"/>
        <w:kinsoku/>
        <w:wordWrap/>
        <w:overflowPunct/>
        <w:topLinePunct w:val="0"/>
        <w:autoSpaceDE/>
        <w:autoSpaceDN/>
        <w:bidi w:val="0"/>
        <w:adjustRightInd w:val="0"/>
        <w:snapToGrid w:val="0"/>
        <w:spacing w:line="560" w:lineRule="exact"/>
        <w:jc w:val="center"/>
        <w:textAlignment w:val="auto"/>
        <w:outlineLvl w:val="1"/>
        <w:rPr>
          <w:b/>
          <w:color w:val="auto"/>
          <w:sz w:val="32"/>
          <w:szCs w:val="24"/>
          <w:highlight w:val="none"/>
        </w:rPr>
      </w:pPr>
      <w:r>
        <w:rPr>
          <w:color w:val="auto"/>
          <w:highlight w:val="none"/>
        </w:rPr>
        <w:br w:type="page"/>
      </w:r>
      <w:bookmarkStart w:id="16" w:name="_Toc353996672"/>
      <w:bookmarkEnd w:id="16"/>
      <w:bookmarkStart w:id="17" w:name="_Toc353996671"/>
      <w:bookmarkEnd w:id="17"/>
      <w:bookmarkStart w:id="18" w:name="_Toc353996227"/>
      <w:bookmarkEnd w:id="18"/>
      <w:bookmarkStart w:id="19" w:name="_Toc150770807"/>
      <w:bookmarkEnd w:id="19"/>
      <w:bookmarkStart w:id="20" w:name="_Toc151113628"/>
      <w:bookmarkEnd w:id="20"/>
      <w:bookmarkStart w:id="21" w:name="_Toc151113710"/>
      <w:bookmarkEnd w:id="21"/>
      <w:bookmarkStart w:id="22" w:name="_Toc353996229"/>
      <w:bookmarkEnd w:id="22"/>
      <w:bookmarkStart w:id="23" w:name="_Toc353996450"/>
      <w:bookmarkEnd w:id="23"/>
      <w:bookmarkStart w:id="24" w:name="_Toc151112836"/>
      <w:bookmarkEnd w:id="24"/>
      <w:bookmarkStart w:id="25" w:name="_Toc151113792"/>
      <w:bookmarkEnd w:id="25"/>
      <w:bookmarkStart w:id="26" w:name="_Toc150770806"/>
      <w:bookmarkEnd w:id="26"/>
      <w:bookmarkStart w:id="27" w:name="_Toc353996670"/>
      <w:bookmarkEnd w:id="27"/>
      <w:bookmarkStart w:id="28" w:name="_Toc353996449"/>
      <w:bookmarkEnd w:id="28"/>
      <w:bookmarkStart w:id="29" w:name="_Toc353995520"/>
      <w:bookmarkEnd w:id="29"/>
      <w:bookmarkStart w:id="30" w:name="_Toc353995518"/>
      <w:bookmarkEnd w:id="30"/>
      <w:bookmarkStart w:id="31" w:name="_Toc151112835"/>
      <w:bookmarkEnd w:id="31"/>
      <w:bookmarkStart w:id="32" w:name="_Toc151113485"/>
      <w:bookmarkEnd w:id="32"/>
      <w:bookmarkStart w:id="33" w:name="_Toc353995519"/>
      <w:bookmarkEnd w:id="33"/>
      <w:bookmarkStart w:id="34" w:name="_Toc353996669"/>
      <w:bookmarkEnd w:id="34"/>
      <w:bookmarkStart w:id="35" w:name="_Toc353996226"/>
      <w:bookmarkEnd w:id="35"/>
      <w:bookmarkStart w:id="36" w:name="_Toc353996448"/>
      <w:bookmarkEnd w:id="36"/>
      <w:bookmarkStart w:id="37" w:name="_Toc353996447"/>
      <w:bookmarkEnd w:id="37"/>
      <w:bookmarkStart w:id="38" w:name="_Toc353995521"/>
      <w:bookmarkEnd w:id="38"/>
      <w:bookmarkStart w:id="39" w:name="_Toc353996228"/>
      <w:bookmarkEnd w:id="39"/>
      <w:bookmarkStart w:id="40" w:name="_Toc499107264"/>
      <w:bookmarkStart w:id="41" w:name="_Toc140044923"/>
      <w:r>
        <w:rPr>
          <w:b/>
          <w:color w:val="auto"/>
          <w:sz w:val="32"/>
          <w:szCs w:val="24"/>
          <w:highlight w:val="none"/>
        </w:rPr>
        <w:t>第二章服务</w:t>
      </w:r>
      <w:bookmarkEnd w:id="40"/>
      <w:r>
        <w:rPr>
          <w:b/>
          <w:color w:val="auto"/>
          <w:sz w:val="32"/>
          <w:szCs w:val="24"/>
          <w:highlight w:val="none"/>
        </w:rPr>
        <w:t>要求</w:t>
      </w:r>
    </w:p>
    <w:p w14:paraId="60424C24">
      <w:pPr>
        <w:keepNext w:val="0"/>
        <w:keepLines w:val="0"/>
        <w:pageBreakBefore w:val="0"/>
        <w:widowControl w:val="0"/>
        <w:shd w:val="clear"/>
        <w:kinsoku/>
        <w:wordWrap/>
        <w:overflowPunct/>
        <w:topLinePunct w:val="0"/>
        <w:autoSpaceDE/>
        <w:autoSpaceDN/>
        <w:bidi w:val="0"/>
        <w:adjustRightInd w:val="0"/>
        <w:snapToGrid w:val="0"/>
        <w:spacing w:line="560" w:lineRule="exact"/>
        <w:textAlignment w:val="auto"/>
        <w:outlineLvl w:val="1"/>
        <w:rPr>
          <w:b/>
          <w:color w:val="auto"/>
          <w:szCs w:val="24"/>
          <w:highlight w:val="none"/>
        </w:rPr>
      </w:pPr>
      <w:bookmarkStart w:id="42" w:name="_Toc499107265"/>
      <w:bookmarkStart w:id="43" w:name="_Toc375679424"/>
      <w:bookmarkStart w:id="44" w:name="_Toc375574930"/>
      <w:bookmarkStart w:id="45" w:name="_Toc174546180"/>
      <w:r>
        <w:rPr>
          <w:b/>
          <w:color w:val="auto"/>
          <w:szCs w:val="24"/>
          <w:highlight w:val="none"/>
        </w:rPr>
        <w:t>1、服务目标</w:t>
      </w:r>
      <w:bookmarkEnd w:id="42"/>
    </w:p>
    <w:p w14:paraId="1F9A3869">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rPr>
      </w:pPr>
      <w:r>
        <w:rPr>
          <w:rFonts w:hint="eastAsia"/>
          <w:color w:val="auto"/>
          <w:kern w:val="0"/>
          <w:sz w:val="22"/>
          <w:highlight w:val="none"/>
        </w:rPr>
        <w:t>1.</w:t>
      </w:r>
      <w:r>
        <w:rPr>
          <w:rFonts w:hint="eastAsia"/>
          <w:color w:val="auto"/>
          <w:kern w:val="0"/>
          <w:sz w:val="22"/>
          <w:highlight w:val="none"/>
          <w:lang w:val="en-US" w:eastAsia="zh-CN"/>
        </w:rPr>
        <w:t>2</w:t>
      </w:r>
      <w:r>
        <w:rPr>
          <w:rFonts w:hint="eastAsia"/>
          <w:color w:val="auto"/>
          <w:kern w:val="0"/>
          <w:sz w:val="22"/>
          <w:highlight w:val="none"/>
        </w:rPr>
        <w:t>全面风险识别：系统梳理并精准识别公司在充换电设施建设、运营、维护、数据管理、用户服务、对外合作、投融资等市场化业务环节中面临的各类法律、合规、运营及战略风险。</w:t>
      </w:r>
    </w:p>
    <w:p w14:paraId="3272D37B">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rPr>
      </w:pPr>
      <w:r>
        <w:rPr>
          <w:rFonts w:hint="eastAsia"/>
          <w:color w:val="auto"/>
          <w:kern w:val="0"/>
          <w:sz w:val="22"/>
          <w:highlight w:val="none"/>
          <w:lang w:val="en-US" w:eastAsia="zh-CN"/>
        </w:rPr>
        <w:t>1.2</w:t>
      </w:r>
      <w:r>
        <w:rPr>
          <w:rFonts w:hint="eastAsia"/>
          <w:color w:val="auto"/>
          <w:kern w:val="0"/>
          <w:sz w:val="22"/>
          <w:highlight w:val="none"/>
        </w:rPr>
        <w:t>体系优化设计：针对识别出的风险点，对标行业最佳实践和监管要求，优化或重构公司市场化业务的风险管理组织架构、职责分工、制度流程、控制措施和应急预案，提升风险管理体系的系统性与有效性。</w:t>
      </w:r>
    </w:p>
    <w:p w14:paraId="71D4398F">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rPr>
      </w:pPr>
      <w:r>
        <w:rPr>
          <w:rFonts w:hint="eastAsia"/>
          <w:color w:val="auto"/>
          <w:kern w:val="0"/>
          <w:sz w:val="22"/>
          <w:highlight w:val="none"/>
          <w:lang w:val="en-US" w:eastAsia="zh-CN"/>
        </w:rPr>
        <w:t>1.</w:t>
      </w:r>
      <w:r>
        <w:rPr>
          <w:rFonts w:hint="eastAsia"/>
          <w:color w:val="auto"/>
          <w:kern w:val="0"/>
          <w:sz w:val="22"/>
          <w:highlight w:val="none"/>
        </w:rPr>
        <w:t>3合规能力提升：为公司提供关键业务领域的深度合规解读与</w:t>
      </w:r>
      <w:r>
        <w:rPr>
          <w:rFonts w:hint="eastAsia"/>
          <w:color w:val="auto"/>
          <w:kern w:val="0"/>
          <w:sz w:val="22"/>
          <w:highlight w:val="none"/>
          <w:lang w:val="en-US" w:eastAsia="zh-CN"/>
        </w:rPr>
        <w:t>合规风险指导</w:t>
      </w:r>
      <w:r>
        <w:rPr>
          <w:rFonts w:hint="eastAsia"/>
          <w:color w:val="auto"/>
          <w:kern w:val="0"/>
          <w:sz w:val="22"/>
          <w:highlight w:val="none"/>
        </w:rPr>
        <w:t>，增强</w:t>
      </w:r>
      <w:r>
        <w:rPr>
          <w:rFonts w:hint="eastAsia"/>
          <w:color w:val="auto"/>
          <w:kern w:val="0"/>
          <w:sz w:val="22"/>
          <w:highlight w:val="none"/>
          <w:lang w:val="en-US" w:eastAsia="zh-CN"/>
        </w:rPr>
        <w:t>公司整体的</w:t>
      </w:r>
      <w:r>
        <w:rPr>
          <w:rFonts w:hint="eastAsia"/>
          <w:color w:val="auto"/>
          <w:kern w:val="0"/>
          <w:sz w:val="22"/>
          <w:highlight w:val="none"/>
        </w:rPr>
        <w:t>风险防范能力，确保业务创新在合规框架内进行。</w:t>
      </w:r>
    </w:p>
    <w:p w14:paraId="7785673F">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rPr>
      </w:pPr>
      <w:r>
        <w:rPr>
          <w:rFonts w:hint="eastAsia" w:cs="Times New Roman"/>
          <w:color w:val="auto"/>
          <w:kern w:val="0"/>
          <w:sz w:val="22"/>
          <w:highlight w:val="none"/>
          <w:lang w:val="en-US" w:eastAsia="zh-CN" w:bidi="ar-SA"/>
        </w:rPr>
        <w:t>1.</w:t>
      </w:r>
      <w:r>
        <w:rPr>
          <w:rFonts w:hint="eastAsia"/>
          <w:color w:val="auto"/>
          <w:kern w:val="0"/>
          <w:sz w:val="22"/>
          <w:highlight w:val="none"/>
        </w:rPr>
        <w:t>4.高效应对机制：建立或完善风险监测、预警、报告和快速响应机制，提升对突发风险事件的处理效率和效果，最大限度减少风险损失。</w:t>
      </w:r>
    </w:p>
    <w:p w14:paraId="484DD7EE">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s="Times New Roman"/>
          <w:color w:val="auto"/>
          <w:kern w:val="0"/>
          <w:sz w:val="22"/>
          <w:highlight w:val="none"/>
          <w:lang w:val="en-US" w:eastAsia="zh-CN" w:bidi="ar-SA"/>
        </w:rPr>
        <w:t>1.5</w:t>
      </w:r>
      <w:r>
        <w:rPr>
          <w:rFonts w:hint="eastAsia"/>
          <w:color w:val="auto"/>
          <w:kern w:val="0"/>
          <w:sz w:val="22"/>
          <w:highlight w:val="none"/>
        </w:rPr>
        <w:t>成果落地应用：确保咨询成果（制度、流程、指南等）贴合公司实际</w:t>
      </w:r>
      <w:r>
        <w:rPr>
          <w:rFonts w:hint="eastAsia"/>
          <w:color w:val="auto"/>
          <w:kern w:val="0"/>
          <w:sz w:val="22"/>
          <w:highlight w:val="none"/>
          <w:lang w:val="en-US" w:eastAsia="zh-CN"/>
        </w:rPr>
        <w:t>及市场需求</w:t>
      </w:r>
    </w:p>
    <w:p w14:paraId="3F6C4609">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rPr>
      </w:pPr>
      <w:r>
        <w:rPr>
          <w:rFonts w:hint="eastAsia"/>
          <w:color w:val="auto"/>
          <w:kern w:val="0"/>
          <w:sz w:val="22"/>
          <w:highlight w:val="none"/>
        </w:rPr>
        <w:t>，具备高度的可操作性，并能有效融入现有管理体系，为公司市场化业务的稳健发展提供长效保障。</w:t>
      </w:r>
    </w:p>
    <w:p w14:paraId="7635ED16">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eastAsia="宋体"/>
          <w:color w:val="auto"/>
          <w:kern w:val="0"/>
          <w:sz w:val="22"/>
          <w:highlight w:val="none"/>
          <w:lang w:eastAsia="zh-CN"/>
        </w:rPr>
      </w:pPr>
      <w:r>
        <w:rPr>
          <w:rFonts w:hint="eastAsia"/>
          <w:color w:val="auto"/>
          <w:kern w:val="0"/>
          <w:sz w:val="22"/>
          <w:highlight w:val="none"/>
          <w:lang w:val="en-US" w:eastAsia="zh-CN"/>
        </w:rPr>
        <w:t>2、</w:t>
      </w:r>
      <w:r>
        <w:rPr>
          <w:b/>
          <w:color w:val="auto"/>
          <w:highlight w:val="none"/>
        </w:rPr>
        <w:t>服务内容</w:t>
      </w:r>
      <w:r>
        <w:rPr>
          <w:rFonts w:hint="eastAsia"/>
          <w:color w:val="auto"/>
          <w:kern w:val="0"/>
          <w:sz w:val="22"/>
          <w:highlight w:val="none"/>
        </w:rPr>
        <w:tab/>
      </w:r>
    </w:p>
    <w:p w14:paraId="5BBE8547">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2.1针对公司实际已经发生的诉讼和非诉纠纷，出具《市场化业务风险诊断与评估报告》。</w:t>
      </w:r>
    </w:p>
    <w:p w14:paraId="2515C66E">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rPr>
      </w:pPr>
      <w:r>
        <w:rPr>
          <w:rFonts w:hint="eastAsia"/>
          <w:color w:val="auto"/>
          <w:kern w:val="0"/>
          <w:sz w:val="22"/>
          <w:highlight w:val="none"/>
          <w:lang w:val="en-US" w:eastAsia="zh-CN"/>
        </w:rPr>
        <w:t>2.2针对重点领域（如：投资并购、项目建设、运营安全、数据合规与网络安全、用户隐私保护、广告宣传、消费者权益、合同管理、招投标、知识产权、关联交易等），提供日常经营风险咨询与答疑，结合法律法规对识别到的各类风险提出</w:t>
      </w:r>
      <w:r>
        <w:rPr>
          <w:rFonts w:hint="eastAsia"/>
          <w:color w:val="auto"/>
          <w:kern w:val="0"/>
          <w:sz w:val="22"/>
          <w:highlight w:val="none"/>
        </w:rPr>
        <w:t>具有前瞻性、针对性、可操作性的风险管控优化方案或建议。</w:t>
      </w:r>
    </w:p>
    <w:p w14:paraId="2656B446">
      <w:pPr>
        <w:keepNext w:val="0"/>
        <w:keepLines w:val="0"/>
        <w:pageBreakBefore w:val="0"/>
        <w:widowControl w:val="0"/>
        <w:numPr>
          <w:ilvl w:val="-1"/>
          <w:numId w:val="0"/>
        </w:numPr>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2.3针对高频、高风险业务场景，协助起草相关合规风险应对方案或合规操作指引。</w:t>
      </w:r>
    </w:p>
    <w:p w14:paraId="2503D449">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2.4)提供不少于1次定制化的风险管控与合规培训，提升全员风控意识与技能。</w:t>
      </w:r>
    </w:p>
    <w:p w14:paraId="51801BC0">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2.5协助设计重大经营风险应急响应流程和预案。</w:t>
      </w:r>
    </w:p>
    <w:p w14:paraId="23004A81">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2.6根据采购人业务需要，提供业务开展风险辅导与支持，协助解决业务开拓、执行等经营过程中遇到的问题。</w:t>
      </w:r>
    </w:p>
    <w:p w14:paraId="31585C72">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2.7应采购人要求，对采购人拟开展的特定新业务、新项目提供风险论证咨询。</w:t>
      </w:r>
    </w:p>
    <w:p w14:paraId="21790F41">
      <w:pPr>
        <w:keepNext w:val="0"/>
        <w:keepLines w:val="0"/>
        <w:pageBreakBefore w:val="0"/>
        <w:widowControl w:val="0"/>
        <w:numPr>
          <w:ilvl w:val="0"/>
          <w:numId w:val="0"/>
        </w:numPr>
        <w:shd w:val="clear"/>
        <w:kinsoku/>
        <w:wordWrap/>
        <w:overflowPunct/>
        <w:topLinePunct w:val="0"/>
        <w:autoSpaceDE/>
        <w:autoSpaceDN/>
        <w:bidi w:val="0"/>
        <w:spacing w:line="560" w:lineRule="exact"/>
        <w:textAlignment w:val="auto"/>
        <w:rPr>
          <w:b/>
          <w:color w:val="auto"/>
          <w:highlight w:val="none"/>
        </w:rPr>
      </w:pPr>
      <w:r>
        <w:rPr>
          <w:rFonts w:hint="eastAsia"/>
          <w:color w:val="auto"/>
          <w:kern w:val="0"/>
          <w:sz w:val="22"/>
          <w:highlight w:val="none"/>
          <w:lang w:val="en-US" w:eastAsia="zh-CN"/>
        </w:rPr>
        <w:t>3、</w:t>
      </w:r>
      <w:r>
        <w:rPr>
          <w:b/>
          <w:color w:val="auto"/>
          <w:highlight w:val="none"/>
        </w:rPr>
        <w:t>服务要求</w:t>
      </w:r>
    </w:p>
    <w:bookmarkEnd w:id="43"/>
    <w:bookmarkEnd w:id="44"/>
    <w:bookmarkEnd w:id="45"/>
    <w:p w14:paraId="2BC7F769">
      <w:pPr>
        <w:keepNext w:val="0"/>
        <w:keepLines w:val="0"/>
        <w:pageBreakBefore w:val="0"/>
        <w:widowControl w:val="0"/>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bookmarkStart w:id="46" w:name="_Toc353996464"/>
      <w:bookmarkEnd w:id="46"/>
      <w:bookmarkStart w:id="47" w:name="_Toc353996898"/>
      <w:bookmarkEnd w:id="47"/>
      <w:bookmarkStart w:id="48" w:name="_Toc353996461"/>
      <w:bookmarkEnd w:id="48"/>
      <w:bookmarkStart w:id="49" w:name="_Toc353996693"/>
      <w:bookmarkEnd w:id="49"/>
      <w:bookmarkStart w:id="50" w:name="_Toc353996679"/>
      <w:bookmarkEnd w:id="50"/>
      <w:bookmarkStart w:id="51" w:name="_Toc353996472"/>
      <w:bookmarkEnd w:id="51"/>
      <w:bookmarkStart w:id="52" w:name="_Toc353996246"/>
      <w:bookmarkEnd w:id="52"/>
      <w:bookmarkStart w:id="53" w:name="_Toc353996250"/>
      <w:bookmarkEnd w:id="53"/>
      <w:bookmarkStart w:id="54" w:name="_Toc353996241"/>
      <w:bookmarkEnd w:id="54"/>
      <w:bookmarkStart w:id="55" w:name="_Toc353995531"/>
      <w:bookmarkEnd w:id="55"/>
      <w:bookmarkStart w:id="56" w:name="_Toc353996234"/>
      <w:bookmarkEnd w:id="56"/>
      <w:bookmarkStart w:id="57" w:name="_Toc353995530"/>
      <w:bookmarkEnd w:id="57"/>
      <w:bookmarkStart w:id="58" w:name="_Toc353995542"/>
      <w:bookmarkEnd w:id="58"/>
      <w:bookmarkStart w:id="59" w:name="_Toc353997126"/>
      <w:bookmarkEnd w:id="59"/>
      <w:bookmarkStart w:id="60" w:name="_Toc353997120"/>
      <w:bookmarkEnd w:id="60"/>
      <w:bookmarkStart w:id="61" w:name="_Toc353996455"/>
      <w:bookmarkEnd w:id="61"/>
      <w:bookmarkStart w:id="62" w:name="_Toc353996470"/>
      <w:bookmarkEnd w:id="62"/>
      <w:bookmarkStart w:id="63" w:name="_Toc353996683"/>
      <w:bookmarkEnd w:id="63"/>
      <w:bookmarkStart w:id="64" w:name="_Toc353997128"/>
      <w:bookmarkEnd w:id="64"/>
      <w:bookmarkStart w:id="65" w:name="_Toc353996251"/>
      <w:bookmarkEnd w:id="65"/>
      <w:bookmarkStart w:id="66" w:name="_Toc353995526"/>
      <w:bookmarkEnd w:id="66"/>
      <w:bookmarkStart w:id="67" w:name="_Toc353995536"/>
      <w:bookmarkEnd w:id="67"/>
      <w:bookmarkStart w:id="68" w:name="_Toc353996897"/>
      <w:bookmarkEnd w:id="68"/>
      <w:bookmarkStart w:id="69" w:name="_Toc353995532"/>
      <w:bookmarkEnd w:id="69"/>
      <w:bookmarkStart w:id="70" w:name="_Toc353996467"/>
      <w:bookmarkEnd w:id="70"/>
      <w:bookmarkStart w:id="71" w:name="_Toc353996248"/>
      <w:bookmarkEnd w:id="71"/>
      <w:bookmarkStart w:id="72" w:name="_Toc353996903"/>
      <w:bookmarkEnd w:id="72"/>
      <w:bookmarkStart w:id="73" w:name="_Toc353996460"/>
      <w:bookmarkEnd w:id="73"/>
      <w:bookmarkStart w:id="74" w:name="_Toc353995540"/>
      <w:bookmarkEnd w:id="74"/>
      <w:bookmarkStart w:id="75" w:name="_Toc353996896"/>
      <w:bookmarkEnd w:id="75"/>
      <w:bookmarkStart w:id="76" w:name="_Toc353996902"/>
      <w:bookmarkEnd w:id="76"/>
      <w:bookmarkStart w:id="77" w:name="_Toc353996457"/>
      <w:bookmarkEnd w:id="77"/>
      <w:bookmarkStart w:id="78" w:name="_Toc353997123"/>
      <w:bookmarkEnd w:id="78"/>
      <w:bookmarkStart w:id="79" w:name="_Toc353997115"/>
      <w:bookmarkEnd w:id="79"/>
      <w:bookmarkStart w:id="80" w:name="_Toc353997110"/>
      <w:bookmarkEnd w:id="80"/>
      <w:bookmarkStart w:id="81" w:name="_Toc353996895"/>
      <w:bookmarkEnd w:id="81"/>
      <w:bookmarkStart w:id="82" w:name="_Toc353995533"/>
      <w:bookmarkEnd w:id="82"/>
      <w:bookmarkStart w:id="83" w:name="_Toc353996468"/>
      <w:bookmarkEnd w:id="83"/>
      <w:bookmarkStart w:id="84" w:name="_Toc353996907"/>
      <w:bookmarkEnd w:id="84"/>
      <w:bookmarkStart w:id="85" w:name="_Toc353996906"/>
      <w:bookmarkEnd w:id="85"/>
      <w:bookmarkStart w:id="86" w:name="_Toc353996908"/>
      <w:bookmarkEnd w:id="86"/>
      <w:bookmarkStart w:id="87" w:name="_Toc353996687"/>
      <w:bookmarkEnd w:id="87"/>
      <w:bookmarkStart w:id="88" w:name="_Toc353996459"/>
      <w:bookmarkEnd w:id="88"/>
      <w:bookmarkStart w:id="89" w:name="_Toc353996684"/>
      <w:bookmarkEnd w:id="89"/>
      <w:bookmarkStart w:id="90" w:name="_Toc353996905"/>
      <w:bookmarkEnd w:id="90"/>
      <w:bookmarkStart w:id="91" w:name="_Toc353996689"/>
      <w:bookmarkEnd w:id="91"/>
      <w:bookmarkStart w:id="92" w:name="_Toc353996469"/>
      <w:bookmarkEnd w:id="92"/>
      <w:bookmarkStart w:id="93" w:name="_Toc353995534"/>
      <w:bookmarkEnd w:id="93"/>
      <w:bookmarkStart w:id="94" w:name="_Toc353996466"/>
      <w:bookmarkEnd w:id="94"/>
      <w:bookmarkStart w:id="95" w:name="_Toc353997117"/>
      <w:bookmarkEnd w:id="95"/>
      <w:bookmarkStart w:id="96" w:name="_Toc353995528"/>
      <w:bookmarkEnd w:id="96"/>
      <w:bookmarkStart w:id="97" w:name="_Toc353997113"/>
      <w:bookmarkEnd w:id="97"/>
      <w:bookmarkStart w:id="98" w:name="_Toc353996463"/>
      <w:bookmarkEnd w:id="98"/>
      <w:bookmarkStart w:id="99" w:name="_Toc353995543"/>
      <w:bookmarkEnd w:id="99"/>
      <w:bookmarkStart w:id="100" w:name="_Toc353996473"/>
      <w:bookmarkEnd w:id="100"/>
      <w:bookmarkStart w:id="101" w:name="_Toc353996680"/>
      <w:bookmarkEnd w:id="101"/>
      <w:bookmarkStart w:id="102" w:name="_Toc353996240"/>
      <w:bookmarkEnd w:id="102"/>
      <w:bookmarkStart w:id="103" w:name="_Toc353996677"/>
      <w:bookmarkEnd w:id="103"/>
      <w:bookmarkStart w:id="104" w:name="_Toc353995544"/>
      <w:bookmarkEnd w:id="104"/>
      <w:bookmarkStart w:id="105" w:name="_Toc353995527"/>
      <w:bookmarkEnd w:id="105"/>
      <w:bookmarkStart w:id="106" w:name="_Toc353996911"/>
      <w:bookmarkEnd w:id="106"/>
      <w:bookmarkStart w:id="107" w:name="_Toc353996685"/>
      <w:bookmarkEnd w:id="107"/>
      <w:bookmarkStart w:id="108" w:name="_Toc353996238"/>
      <w:bookmarkEnd w:id="108"/>
      <w:bookmarkStart w:id="109" w:name="_Toc353996691"/>
      <w:bookmarkEnd w:id="109"/>
      <w:bookmarkStart w:id="110" w:name="_Toc353997114"/>
      <w:bookmarkEnd w:id="110"/>
      <w:bookmarkStart w:id="111" w:name="_Toc353996894"/>
      <w:bookmarkEnd w:id="111"/>
      <w:bookmarkStart w:id="112" w:name="_Toc353996244"/>
      <w:bookmarkEnd w:id="112"/>
      <w:bookmarkStart w:id="113" w:name="_Toc353995535"/>
      <w:bookmarkEnd w:id="113"/>
      <w:bookmarkStart w:id="114" w:name="_Toc353996247"/>
      <w:bookmarkEnd w:id="114"/>
      <w:bookmarkStart w:id="115" w:name="_Toc353996692"/>
      <w:bookmarkEnd w:id="115"/>
      <w:bookmarkStart w:id="116" w:name="_Toc353996239"/>
      <w:bookmarkEnd w:id="116"/>
      <w:bookmarkStart w:id="117" w:name="_Toc353996456"/>
      <w:bookmarkEnd w:id="117"/>
      <w:bookmarkStart w:id="118" w:name="_Toc353996695"/>
      <w:bookmarkEnd w:id="118"/>
      <w:bookmarkStart w:id="119" w:name="_Toc353996242"/>
      <w:bookmarkEnd w:id="119"/>
      <w:bookmarkStart w:id="120" w:name="_Toc353997111"/>
      <w:bookmarkEnd w:id="120"/>
      <w:bookmarkStart w:id="121" w:name="_Toc353997127"/>
      <w:bookmarkEnd w:id="121"/>
      <w:bookmarkStart w:id="122" w:name="_Toc353995539"/>
      <w:bookmarkEnd w:id="122"/>
      <w:bookmarkStart w:id="123" w:name="_Toc353996682"/>
      <w:bookmarkEnd w:id="123"/>
      <w:bookmarkStart w:id="124" w:name="_Toc353996237"/>
      <w:bookmarkEnd w:id="124"/>
      <w:bookmarkStart w:id="125" w:name="_Toc353996243"/>
      <w:bookmarkEnd w:id="125"/>
      <w:bookmarkStart w:id="126" w:name="_Toc353997119"/>
      <w:bookmarkEnd w:id="126"/>
      <w:bookmarkStart w:id="127" w:name="_Toc353996681"/>
      <w:bookmarkEnd w:id="127"/>
      <w:bookmarkStart w:id="128" w:name="_Toc353997112"/>
      <w:bookmarkEnd w:id="128"/>
      <w:bookmarkStart w:id="129" w:name="_Toc353996688"/>
      <w:bookmarkEnd w:id="129"/>
      <w:bookmarkStart w:id="130" w:name="_Toc353996235"/>
      <w:bookmarkEnd w:id="130"/>
      <w:bookmarkStart w:id="131" w:name="_Toc353997122"/>
      <w:bookmarkEnd w:id="131"/>
      <w:bookmarkStart w:id="132" w:name="_Toc353995538"/>
      <w:bookmarkEnd w:id="132"/>
      <w:bookmarkStart w:id="133" w:name="_Toc353996901"/>
      <w:bookmarkEnd w:id="133"/>
      <w:bookmarkStart w:id="134" w:name="_Toc353995537"/>
      <w:bookmarkEnd w:id="134"/>
      <w:bookmarkStart w:id="135" w:name="_Toc353995541"/>
      <w:bookmarkEnd w:id="135"/>
      <w:bookmarkStart w:id="136" w:name="_Toc353996465"/>
      <w:bookmarkEnd w:id="136"/>
      <w:bookmarkStart w:id="137" w:name="_Toc353995529"/>
      <w:bookmarkEnd w:id="137"/>
      <w:bookmarkStart w:id="138" w:name="_Toc353996686"/>
      <w:bookmarkEnd w:id="138"/>
      <w:bookmarkStart w:id="139" w:name="_Toc353997121"/>
      <w:bookmarkEnd w:id="139"/>
      <w:bookmarkStart w:id="140" w:name="_Toc353997125"/>
      <w:bookmarkEnd w:id="140"/>
      <w:bookmarkStart w:id="141" w:name="_Toc353996249"/>
      <w:bookmarkEnd w:id="141"/>
      <w:bookmarkStart w:id="142" w:name="_Toc353996694"/>
      <w:bookmarkEnd w:id="142"/>
      <w:bookmarkStart w:id="143" w:name="_Toc353996893"/>
      <w:bookmarkEnd w:id="143"/>
      <w:bookmarkStart w:id="144" w:name="_Toc353996471"/>
      <w:bookmarkEnd w:id="144"/>
      <w:bookmarkStart w:id="145" w:name="_Toc353996458"/>
      <w:bookmarkEnd w:id="145"/>
      <w:bookmarkStart w:id="146" w:name="_Toc353997116"/>
      <w:bookmarkEnd w:id="146"/>
      <w:bookmarkStart w:id="147" w:name="_Toc353996462"/>
      <w:bookmarkEnd w:id="147"/>
      <w:bookmarkStart w:id="148" w:name="_Toc353996909"/>
      <w:bookmarkEnd w:id="148"/>
      <w:bookmarkStart w:id="149" w:name="_Toc353996910"/>
      <w:bookmarkEnd w:id="149"/>
      <w:bookmarkStart w:id="150" w:name="_Toc353997124"/>
      <w:bookmarkEnd w:id="150"/>
      <w:bookmarkStart w:id="151" w:name="_Toc353996236"/>
      <w:bookmarkEnd w:id="151"/>
      <w:bookmarkStart w:id="152" w:name="_Toc353996245"/>
      <w:bookmarkEnd w:id="152"/>
      <w:bookmarkStart w:id="153" w:name="_Toc353996899"/>
      <w:bookmarkEnd w:id="153"/>
      <w:bookmarkStart w:id="154" w:name="_Toc353996678"/>
      <w:bookmarkEnd w:id="154"/>
      <w:bookmarkStart w:id="155" w:name="_Toc353996252"/>
      <w:bookmarkEnd w:id="155"/>
      <w:bookmarkStart w:id="156" w:name="_Toc353996900"/>
      <w:bookmarkEnd w:id="156"/>
      <w:bookmarkStart w:id="157" w:name="_Toc353996904"/>
      <w:bookmarkEnd w:id="157"/>
      <w:bookmarkStart w:id="158" w:name="_Toc353996690"/>
      <w:bookmarkEnd w:id="158"/>
      <w:bookmarkStart w:id="159" w:name="_Toc353997118"/>
      <w:bookmarkEnd w:id="159"/>
      <w:bookmarkStart w:id="160" w:name="_Toc499107269"/>
      <w:bookmarkStart w:id="161" w:name="OLE_LINK1"/>
      <w:bookmarkStart w:id="162" w:name="_Toc134946755"/>
      <w:bookmarkStart w:id="163" w:name="OLE_LINK2"/>
      <w:bookmarkStart w:id="164" w:name="_Toc300927580"/>
      <w:bookmarkStart w:id="165" w:name="_Toc255808403"/>
      <w:bookmarkStart w:id="166" w:name="_Toc174546185"/>
      <w:r>
        <w:rPr>
          <w:rFonts w:hint="eastAsia"/>
          <w:color w:val="auto"/>
          <w:kern w:val="0"/>
          <w:sz w:val="22"/>
          <w:highlight w:val="none"/>
          <w:lang w:val="en-US" w:eastAsia="zh-CN"/>
        </w:rPr>
        <w:t>3.1服务方资质要求​</w:t>
      </w:r>
    </w:p>
    <w:p w14:paraId="27FBC6AB">
      <w:pPr>
        <w:keepNext w:val="0"/>
        <w:keepLines w:val="0"/>
        <w:pageBreakBefore w:val="0"/>
        <w:widowControl w:val="0"/>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bookmarkStart w:id="172" w:name="_GoBack"/>
      <w:r>
        <w:rPr>
          <w:rFonts w:hint="eastAsia"/>
          <w:color w:val="auto"/>
          <w:kern w:val="0"/>
          <w:sz w:val="22"/>
          <w:highlight w:val="none"/>
          <w:lang w:val="en-US" w:eastAsia="zh-CN"/>
        </w:rPr>
        <w:t>（1）项目负责人需具备5年以上企业法律服务、风险管理相关工作经验，具备法律职业资格证书或相关专业中级及以上职称。​</w:t>
      </w:r>
    </w:p>
    <w:p w14:paraId="04455746">
      <w:pPr>
        <w:keepNext w:val="0"/>
        <w:keepLines w:val="0"/>
        <w:pageBreakBefore w:val="0"/>
        <w:widowControl w:val="0"/>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（2）近3年内无重大违法违规记录、无行业不良信用记录，未被列入失信被执行人名单。</w:t>
      </w:r>
    </w:p>
    <w:bookmarkEnd w:id="172"/>
    <w:p w14:paraId="456B0BC6">
      <w:pPr>
        <w:keepNext w:val="0"/>
        <w:keepLines w:val="0"/>
        <w:pageBreakBefore w:val="0"/>
        <w:widowControl w:val="0"/>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3.2服务质量要求​</w:t>
      </w:r>
    </w:p>
    <w:p w14:paraId="4932E136">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（1）严格按照项目内容及时间计划开展服务，调研诊断需全面深入，确保数据与信息真实准确，诊断结论客观公正。​</w:t>
      </w:r>
    </w:p>
    <w:p w14:paraId="273B8D2F">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（2）提供的方案、指引、建议等需紧密结合采购人实际，且需符合法律法规及行业监管要求，具备较强的针对性、可操作性和前瞻性。​</w:t>
      </w:r>
    </w:p>
    <w:p w14:paraId="7E96018A">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（3）交付的成果文件需结构清晰、内容完整、逻辑严谨，语言规范，能够有效指导采购人经营风险防范与风险应对处置。</w:t>
      </w:r>
    </w:p>
    <w:p w14:paraId="4ED075CD">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（4）培训内容需贴合采购人业务需求，案例选择具有代表性，培训效果需达到预期目标；专项咨询响应及时，建议专业可行。​</w:t>
      </w:r>
    </w:p>
    <w:p w14:paraId="4E1897A7">
      <w:pPr>
        <w:keepNext w:val="0"/>
        <w:keepLines w:val="0"/>
        <w:pageBreakBefore w:val="0"/>
        <w:widowControl w:val="0"/>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3.3服务时限要求​</w:t>
      </w:r>
    </w:p>
    <w:p w14:paraId="31AF262E">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（1）项目整体服务周期不超过9个月，服务方需在合同签订后5个工作日内提交详细的项目实施计划，明确各阶段工作内容、时间节点、责任人员及交付成果。​</w:t>
      </w:r>
    </w:p>
    <w:p w14:paraId="059EB9D7">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（2）对于采购人提出的专项咨询需求，需在1个工作日内予以响应，复杂问题需在3个工作日内提供书面咨询建议。​</w:t>
      </w:r>
    </w:p>
    <w:p w14:paraId="12A9EBC1">
      <w:pPr>
        <w:keepNext w:val="0"/>
        <w:keepLines w:val="0"/>
        <w:pageBreakBefore w:val="0"/>
        <w:widowControl w:val="0"/>
        <w:shd w:val="clear"/>
        <w:kinsoku/>
        <w:wordWrap/>
        <w:overflowPunct/>
        <w:topLinePunct w:val="0"/>
        <w:autoSpaceDE/>
        <w:autoSpaceDN/>
        <w:bidi w:val="0"/>
        <w:spacing w:line="560" w:lineRule="exact"/>
        <w:textAlignment w:val="auto"/>
        <w:rPr>
          <w:rFonts w:hint="eastAsia"/>
          <w:color w:val="auto"/>
          <w:kern w:val="0"/>
          <w:sz w:val="22"/>
          <w:highlight w:val="none"/>
          <w:lang w:val="en-US" w:eastAsia="zh-CN"/>
        </w:rPr>
      </w:pPr>
      <w:r>
        <w:rPr>
          <w:rFonts w:hint="eastAsia"/>
          <w:color w:val="auto"/>
          <w:kern w:val="0"/>
          <w:sz w:val="22"/>
          <w:highlight w:val="none"/>
          <w:lang w:val="en-US" w:eastAsia="zh-CN"/>
        </w:rPr>
        <w:t>3.4沟通与协作要求​</w:t>
      </w:r>
    </w:p>
    <w:p w14:paraId="64299B45">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（1）建立常态化沟通机制，指定1名项目负责人，负责与采购人对接项目进展、需求沟通、问题协调等事宜。​</w:t>
      </w:r>
    </w:p>
    <w:p w14:paraId="70ABB461">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（2）积极配合采购人开展资料收集、人员访谈、商业谈判、项目讨论等工作，确保服务工作顺畅推进。​</w:t>
      </w:r>
    </w:p>
    <w:p w14:paraId="2D59982D">
      <w:pPr>
        <w:keepNext w:val="0"/>
        <w:keepLines w:val="0"/>
        <w:pageBreakBefore w:val="0"/>
        <w:widowControl w:val="0"/>
        <w:shd w:val="clear"/>
        <w:kinsoku/>
        <w:wordWrap/>
        <w:overflowPunct/>
        <w:topLinePunct w:val="0"/>
        <w:autoSpaceDE/>
        <w:autoSpaceDN/>
        <w:bidi w:val="0"/>
        <w:adjustRightInd/>
        <w:snapToGrid/>
        <w:spacing w:line="560" w:lineRule="exact"/>
        <w:ind w:firstLine="0"/>
        <w:textAlignment w:val="auto"/>
        <w:rPr>
          <w:rFonts w:hint="eastAsia"/>
          <w:color w:val="auto"/>
          <w:kern w:val="0"/>
          <w:sz w:val="22"/>
          <w:highlight w:val="none"/>
          <w:lang w:val="en-US" w:eastAsia="zh-CN"/>
        </w:rPr>
      </w:pPr>
      <w:r>
        <w:rPr>
          <w:rFonts w:hint="eastAsia"/>
          <w:color w:val="auto"/>
          <w:kern w:val="0"/>
          <w:sz w:val="22"/>
          <w:highlight w:val="none"/>
          <w:lang w:val="en-US" w:eastAsia="zh-CN"/>
        </w:rPr>
        <w:t>（3）项目实施过程中，如遇需求调整或其他特殊情况，需及时提出书面申请，经与采购人沟通协商同意后共同制定解决方案，不得擅自变更服务内容或降低服务标准。​</w:t>
      </w:r>
    </w:p>
    <w:p w14:paraId="6E47DE96">
      <w:pPr>
        <w:keepNext w:val="0"/>
        <w:keepLines w:val="0"/>
        <w:pageBreakBefore w:val="0"/>
        <w:widowControl w:val="0"/>
        <w:shd w:val="clear"/>
        <w:kinsoku/>
        <w:wordWrap/>
        <w:overflowPunct/>
        <w:topLinePunct w:val="0"/>
        <w:autoSpaceDE/>
        <w:autoSpaceDN/>
        <w:bidi w:val="0"/>
        <w:spacing w:line="560" w:lineRule="exact"/>
        <w:textAlignment w:val="auto"/>
        <w:rPr>
          <w:color w:val="auto"/>
          <w:kern w:val="0"/>
          <w:sz w:val="22"/>
          <w:highlight w:val="none"/>
        </w:rPr>
      </w:pPr>
      <w:r>
        <w:rPr>
          <w:rFonts w:hint="eastAsia"/>
          <w:color w:val="auto"/>
          <w:kern w:val="0"/>
          <w:sz w:val="22"/>
          <w:highlight w:val="none"/>
          <w:lang w:val="en-US" w:eastAsia="zh-CN"/>
        </w:rPr>
        <w:t>3.5采购人其他与项目相关的服务需求</w:t>
      </w:r>
      <w:r>
        <w:rPr>
          <w:rFonts w:hint="eastAsia"/>
          <w:color w:val="auto"/>
          <w:kern w:val="0"/>
          <w:sz w:val="22"/>
          <w:highlight w:val="none"/>
        </w:rPr>
        <w:t>。</w:t>
      </w:r>
    </w:p>
    <w:p w14:paraId="6C68856D">
      <w:pPr>
        <w:keepNext w:val="0"/>
        <w:keepLines w:val="0"/>
        <w:pageBreakBefore w:val="0"/>
        <w:widowControl w:val="0"/>
        <w:numPr>
          <w:ilvl w:val="0"/>
          <w:numId w:val="1"/>
        </w:numPr>
        <w:shd w:val="clear"/>
        <w:kinsoku/>
        <w:wordWrap/>
        <w:overflowPunct/>
        <w:topLinePunct w:val="0"/>
        <w:autoSpaceDE/>
        <w:autoSpaceDN/>
        <w:bidi w:val="0"/>
        <w:adjustRightInd w:val="0"/>
        <w:snapToGrid w:val="0"/>
        <w:spacing w:line="560" w:lineRule="exact"/>
        <w:textAlignment w:val="auto"/>
        <w:outlineLvl w:val="1"/>
        <w:rPr>
          <w:b/>
          <w:color w:val="auto"/>
          <w:szCs w:val="24"/>
          <w:highlight w:val="none"/>
        </w:rPr>
      </w:pPr>
      <w:r>
        <w:rPr>
          <w:b/>
          <w:color w:val="auto"/>
          <w:szCs w:val="24"/>
          <w:highlight w:val="none"/>
        </w:rPr>
        <w:t>服务团队要求</w:t>
      </w:r>
      <w:bookmarkEnd w:id="160"/>
    </w:p>
    <w:p w14:paraId="2E589EF7">
      <w:pPr>
        <w:keepNext w:val="0"/>
        <w:keepLines w:val="0"/>
        <w:pageBreakBefore w:val="0"/>
        <w:widowControl w:val="0"/>
        <w:shd w:val="clear"/>
        <w:kinsoku/>
        <w:wordWrap/>
        <w:overflowPunct/>
        <w:topLinePunct w:val="0"/>
        <w:autoSpaceDE/>
        <w:autoSpaceDN/>
        <w:bidi w:val="0"/>
        <w:adjustRightInd w:val="0"/>
        <w:snapToGrid w:val="0"/>
        <w:spacing w:line="560" w:lineRule="exact"/>
        <w:textAlignment w:val="auto"/>
        <w:outlineLvl w:val="1"/>
        <w:rPr>
          <w:b/>
          <w:color w:val="auto"/>
          <w:szCs w:val="21"/>
          <w:highlight w:val="none"/>
        </w:rPr>
      </w:pPr>
      <w:bookmarkStart w:id="167" w:name="_Toc499107271"/>
      <w:r>
        <w:rPr>
          <w:b/>
          <w:color w:val="auto"/>
          <w:szCs w:val="21"/>
          <w:highlight w:val="none"/>
        </w:rPr>
        <w:t>4.1服务承诺书</w:t>
      </w:r>
      <w:bookmarkEnd w:id="167"/>
    </w:p>
    <w:p w14:paraId="6A2DC05A">
      <w:pPr>
        <w:keepNext w:val="0"/>
        <w:keepLines w:val="0"/>
        <w:pageBreakBefore w:val="0"/>
        <w:widowControl w:val="0"/>
        <w:shd w:val="clear"/>
        <w:kinsoku/>
        <w:wordWrap/>
        <w:overflowPunct/>
        <w:topLinePunct w:val="0"/>
        <w:autoSpaceDE/>
        <w:autoSpaceDN/>
        <w:bidi w:val="0"/>
        <w:spacing w:line="560" w:lineRule="exact"/>
        <w:ind w:firstLine="426"/>
        <w:textAlignment w:val="auto"/>
        <w:rPr>
          <w:color w:val="auto"/>
          <w:szCs w:val="21"/>
          <w:highlight w:val="none"/>
        </w:rPr>
      </w:pPr>
      <w:r>
        <w:rPr>
          <w:color w:val="auto"/>
          <w:szCs w:val="21"/>
          <w:highlight w:val="none"/>
        </w:rPr>
        <w:t>供应商应提供服务承诺书，内容包括但不限于：</w:t>
      </w:r>
    </w:p>
    <w:p w14:paraId="02D90A81">
      <w:pPr>
        <w:keepNext w:val="0"/>
        <w:keepLines w:val="0"/>
        <w:pageBreakBefore w:val="0"/>
        <w:widowControl w:val="0"/>
        <w:numPr>
          <w:ilvl w:val="0"/>
          <w:numId w:val="0"/>
        </w:numPr>
        <w:shd w:val="clear"/>
        <w:kinsoku/>
        <w:wordWrap/>
        <w:overflowPunct/>
        <w:topLinePunct w:val="0"/>
        <w:autoSpaceDE/>
        <w:autoSpaceDN/>
        <w:bidi w:val="0"/>
        <w:spacing w:line="560" w:lineRule="exact"/>
        <w:ind w:leftChars="0" w:firstLine="420" w:firstLineChars="200"/>
        <w:textAlignment w:val="auto"/>
        <w:rPr>
          <w:color w:val="auto"/>
          <w:szCs w:val="21"/>
          <w:highlight w:val="none"/>
        </w:rPr>
      </w:pPr>
      <w:r>
        <w:rPr>
          <w:rFonts w:hint="eastAsia"/>
          <w:color w:val="auto"/>
          <w:szCs w:val="21"/>
          <w:highlight w:val="none"/>
          <w:lang w:val="en-US" w:eastAsia="zh-CN"/>
        </w:rPr>
        <w:t>1）</w:t>
      </w:r>
      <w:r>
        <w:rPr>
          <w:color w:val="auto"/>
          <w:szCs w:val="21"/>
          <w:highlight w:val="none"/>
        </w:rPr>
        <w:t>项目团队说明；</w:t>
      </w:r>
    </w:p>
    <w:p w14:paraId="0DE0C0F3">
      <w:pPr>
        <w:keepNext w:val="0"/>
        <w:keepLines w:val="0"/>
        <w:pageBreakBefore w:val="0"/>
        <w:widowControl w:val="0"/>
        <w:numPr>
          <w:ilvl w:val="0"/>
          <w:numId w:val="0"/>
        </w:numPr>
        <w:shd w:val="clear"/>
        <w:kinsoku/>
        <w:wordWrap/>
        <w:overflowPunct/>
        <w:topLinePunct w:val="0"/>
        <w:autoSpaceDE/>
        <w:autoSpaceDN/>
        <w:bidi w:val="0"/>
        <w:spacing w:line="560" w:lineRule="exact"/>
        <w:ind w:leftChars="0" w:firstLine="420" w:firstLineChars="200"/>
        <w:textAlignment w:val="auto"/>
        <w:rPr>
          <w:color w:val="auto"/>
          <w:szCs w:val="21"/>
          <w:highlight w:val="none"/>
        </w:rPr>
      </w:pPr>
      <w:r>
        <w:rPr>
          <w:rFonts w:hint="eastAsia"/>
          <w:color w:val="auto"/>
          <w:szCs w:val="21"/>
          <w:highlight w:val="none"/>
          <w:lang w:val="en-US" w:eastAsia="zh-CN"/>
        </w:rPr>
        <w:t>2）</w:t>
      </w:r>
      <w:r>
        <w:rPr>
          <w:color w:val="auto"/>
          <w:szCs w:val="21"/>
          <w:highlight w:val="none"/>
        </w:rPr>
        <w:t>人员能力说明及相关证明；</w:t>
      </w:r>
    </w:p>
    <w:p w14:paraId="06A675A2">
      <w:pPr>
        <w:keepNext w:val="0"/>
        <w:keepLines w:val="0"/>
        <w:pageBreakBefore w:val="0"/>
        <w:widowControl w:val="0"/>
        <w:numPr>
          <w:ilvl w:val="0"/>
          <w:numId w:val="0"/>
        </w:numPr>
        <w:shd w:val="clear"/>
        <w:kinsoku/>
        <w:wordWrap/>
        <w:overflowPunct/>
        <w:topLinePunct w:val="0"/>
        <w:autoSpaceDE/>
        <w:autoSpaceDN/>
        <w:bidi w:val="0"/>
        <w:spacing w:line="560" w:lineRule="exact"/>
        <w:ind w:leftChars="0" w:firstLine="420" w:firstLineChars="200"/>
        <w:textAlignment w:val="auto"/>
        <w:rPr>
          <w:color w:val="auto"/>
          <w:szCs w:val="21"/>
          <w:highlight w:val="none"/>
        </w:rPr>
      </w:pPr>
      <w:r>
        <w:rPr>
          <w:rFonts w:hint="eastAsia"/>
          <w:color w:val="auto"/>
          <w:szCs w:val="21"/>
          <w:highlight w:val="none"/>
          <w:lang w:val="en-US" w:eastAsia="zh-CN"/>
        </w:rPr>
        <w:t>3）</w:t>
      </w:r>
      <w:r>
        <w:rPr>
          <w:color w:val="auto"/>
          <w:szCs w:val="21"/>
          <w:highlight w:val="none"/>
        </w:rPr>
        <w:t>管理能力说明，如进度管理、质量管理、沟通管理等。</w:t>
      </w:r>
    </w:p>
    <w:p w14:paraId="205A6670">
      <w:pPr>
        <w:keepNext w:val="0"/>
        <w:keepLines w:val="0"/>
        <w:pageBreakBefore w:val="0"/>
        <w:widowControl w:val="0"/>
        <w:shd w:val="clear"/>
        <w:kinsoku/>
        <w:wordWrap/>
        <w:overflowPunct/>
        <w:topLinePunct w:val="0"/>
        <w:autoSpaceDE/>
        <w:autoSpaceDN/>
        <w:bidi w:val="0"/>
        <w:adjustRightInd w:val="0"/>
        <w:snapToGrid w:val="0"/>
        <w:spacing w:line="560" w:lineRule="exact"/>
        <w:textAlignment w:val="auto"/>
        <w:outlineLvl w:val="1"/>
        <w:rPr>
          <w:b/>
          <w:color w:val="auto"/>
          <w:szCs w:val="21"/>
          <w:highlight w:val="none"/>
        </w:rPr>
      </w:pPr>
      <w:bookmarkStart w:id="168" w:name="_Toc499107272"/>
      <w:r>
        <w:rPr>
          <w:b/>
          <w:color w:val="auto"/>
          <w:szCs w:val="21"/>
          <w:highlight w:val="none"/>
        </w:rPr>
        <w:t>4.2服务响应要求</w:t>
      </w:r>
      <w:bookmarkEnd w:id="168"/>
    </w:p>
    <w:p w14:paraId="28D5238F">
      <w:pPr>
        <w:keepNext w:val="0"/>
        <w:keepLines w:val="0"/>
        <w:pageBreakBefore w:val="0"/>
        <w:widowControl w:val="0"/>
        <w:numPr>
          <w:ilvl w:val="0"/>
          <w:numId w:val="2"/>
        </w:numPr>
        <w:shd w:val="clear"/>
        <w:kinsoku/>
        <w:wordWrap/>
        <w:overflowPunct/>
        <w:topLinePunct w:val="0"/>
        <w:autoSpaceDE/>
        <w:autoSpaceDN/>
        <w:bidi w:val="0"/>
        <w:spacing w:line="560" w:lineRule="exact"/>
        <w:ind w:leftChars="0" w:firstLine="420" w:firstLineChars="200"/>
        <w:textAlignment w:val="auto"/>
        <w:rPr>
          <w:color w:val="auto"/>
          <w:highlight w:val="none"/>
        </w:rPr>
      </w:pPr>
      <w:r>
        <w:rPr>
          <w:color w:val="auto"/>
          <w:highlight w:val="none"/>
        </w:rPr>
        <w:t>管理及相关细则：</w:t>
      </w:r>
      <w:r>
        <w:rPr>
          <w:rFonts w:hint="eastAsia"/>
          <w:color w:val="auto"/>
          <w:highlight w:val="none"/>
          <w:lang w:val="en-US" w:eastAsia="zh-CN"/>
        </w:rPr>
        <w:t>采购人提出服务需求后</w:t>
      </w:r>
      <w:r>
        <w:rPr>
          <w:color w:val="auto"/>
          <w:highlight w:val="none"/>
        </w:rPr>
        <w:t>，</w:t>
      </w:r>
      <w:r>
        <w:rPr>
          <w:rFonts w:hint="eastAsia"/>
          <w:color w:val="auto"/>
          <w:highlight w:val="none"/>
          <w:lang w:val="en-US" w:eastAsia="zh-CN"/>
        </w:rPr>
        <w:t>采购人响应时间不超过24小时</w:t>
      </w:r>
      <w:r>
        <w:rPr>
          <w:color w:val="auto"/>
          <w:highlight w:val="none"/>
        </w:rPr>
        <w:t>。</w:t>
      </w:r>
    </w:p>
    <w:p w14:paraId="515A860E">
      <w:pPr>
        <w:keepNext w:val="0"/>
        <w:keepLines w:val="0"/>
        <w:pageBreakBefore w:val="0"/>
        <w:widowControl w:val="0"/>
        <w:numPr>
          <w:ilvl w:val="0"/>
          <w:numId w:val="2"/>
        </w:numPr>
        <w:shd w:val="clear"/>
        <w:kinsoku/>
        <w:wordWrap/>
        <w:overflowPunct/>
        <w:topLinePunct w:val="0"/>
        <w:autoSpaceDE/>
        <w:autoSpaceDN/>
        <w:bidi w:val="0"/>
        <w:spacing w:line="560" w:lineRule="exact"/>
        <w:ind w:leftChars="0" w:firstLine="420" w:firstLineChars="200"/>
        <w:textAlignment w:val="auto"/>
        <w:rPr>
          <w:color w:val="auto"/>
          <w:highlight w:val="none"/>
        </w:rPr>
      </w:pPr>
      <w:r>
        <w:rPr>
          <w:color w:val="auto"/>
          <w:highlight w:val="none"/>
        </w:rPr>
        <w:t>项目推进：项目实施过程中，</w:t>
      </w:r>
      <w:r>
        <w:rPr>
          <w:rFonts w:hint="eastAsia"/>
          <w:color w:val="auto"/>
          <w:highlight w:val="none"/>
          <w:lang w:val="en-US" w:eastAsia="zh-CN"/>
        </w:rPr>
        <w:t>按照服务承诺书及采购人的进度管理要求，定期向采购人汇报项目推进情况</w:t>
      </w:r>
      <w:r>
        <w:rPr>
          <w:color w:val="auto"/>
          <w:highlight w:val="none"/>
        </w:rPr>
        <w:t>，</w:t>
      </w:r>
      <w:r>
        <w:rPr>
          <w:rFonts w:hint="eastAsia"/>
          <w:color w:val="auto"/>
          <w:highlight w:val="none"/>
          <w:lang w:val="en-US" w:eastAsia="zh-CN"/>
        </w:rPr>
        <w:t>及时反馈需协调解决问题，确保项目进度可控</w:t>
      </w:r>
      <w:r>
        <w:rPr>
          <w:color w:val="auto"/>
          <w:highlight w:val="none"/>
        </w:rPr>
        <w:t>。</w:t>
      </w:r>
    </w:p>
    <w:p w14:paraId="1F9D9573">
      <w:pPr>
        <w:keepNext w:val="0"/>
        <w:keepLines w:val="0"/>
        <w:pageBreakBefore w:val="0"/>
        <w:widowControl w:val="0"/>
        <w:numPr>
          <w:ilvl w:val="0"/>
          <w:numId w:val="2"/>
        </w:numPr>
        <w:shd w:val="clear"/>
        <w:kinsoku/>
        <w:wordWrap/>
        <w:overflowPunct/>
        <w:topLinePunct w:val="0"/>
        <w:autoSpaceDE/>
        <w:autoSpaceDN/>
        <w:bidi w:val="0"/>
        <w:spacing w:line="560" w:lineRule="exact"/>
        <w:ind w:leftChars="0" w:firstLine="420" w:firstLineChars="200"/>
        <w:textAlignment w:val="auto"/>
        <w:rPr>
          <w:color w:val="auto"/>
          <w:highlight w:val="none"/>
        </w:rPr>
      </w:pPr>
      <w:r>
        <w:rPr>
          <w:color w:val="auto"/>
          <w:highlight w:val="none"/>
        </w:rPr>
        <w:t>应</w:t>
      </w:r>
      <w:r>
        <w:rPr>
          <w:rFonts w:hint="eastAsia"/>
          <w:color w:val="auto"/>
          <w:highlight w:val="none"/>
          <w:lang w:val="en-US" w:eastAsia="zh-CN"/>
        </w:rPr>
        <w:t>采购人实际</w:t>
      </w:r>
      <w:r>
        <w:rPr>
          <w:color w:val="auto"/>
          <w:highlight w:val="none"/>
        </w:rPr>
        <w:t>需要，</w:t>
      </w:r>
      <w:r>
        <w:rPr>
          <w:rFonts w:hint="eastAsia"/>
          <w:color w:val="auto"/>
          <w:highlight w:val="none"/>
          <w:lang w:val="en-US" w:eastAsia="zh-CN"/>
        </w:rPr>
        <w:t>供应商</w:t>
      </w:r>
      <w:r>
        <w:rPr>
          <w:color w:val="auto"/>
          <w:highlight w:val="none"/>
        </w:rPr>
        <w:t>项目实施团队应提供上门咨询服务和指导。</w:t>
      </w:r>
    </w:p>
    <w:p w14:paraId="06B4003A">
      <w:pPr>
        <w:keepNext w:val="0"/>
        <w:keepLines w:val="0"/>
        <w:pageBreakBefore w:val="0"/>
        <w:widowControl w:val="0"/>
        <w:shd w:val="clear"/>
        <w:kinsoku/>
        <w:wordWrap/>
        <w:overflowPunct/>
        <w:topLinePunct w:val="0"/>
        <w:autoSpaceDE/>
        <w:autoSpaceDN/>
        <w:bidi w:val="0"/>
        <w:adjustRightInd w:val="0"/>
        <w:snapToGrid w:val="0"/>
        <w:spacing w:line="560" w:lineRule="exact"/>
        <w:textAlignment w:val="auto"/>
        <w:outlineLvl w:val="1"/>
        <w:rPr>
          <w:b/>
          <w:szCs w:val="21"/>
          <w:highlight w:val="none"/>
        </w:rPr>
      </w:pPr>
      <w:bookmarkStart w:id="169" w:name="_Toc499107275"/>
      <w:r>
        <w:rPr>
          <w:b/>
          <w:szCs w:val="21"/>
          <w:highlight w:val="none"/>
        </w:rPr>
        <w:t>4.3保密要求</w:t>
      </w:r>
      <w:bookmarkEnd w:id="169"/>
    </w:p>
    <w:p w14:paraId="17AB2EF9">
      <w:pPr>
        <w:keepNext w:val="0"/>
        <w:keepLines w:val="0"/>
        <w:pageBreakBefore w:val="0"/>
        <w:widowControl w:val="0"/>
        <w:shd w:val="clear"/>
        <w:kinsoku/>
        <w:wordWrap/>
        <w:overflowPunct/>
        <w:topLinePunct w:val="0"/>
        <w:autoSpaceDE/>
        <w:autoSpaceDN/>
        <w:bidi w:val="0"/>
        <w:spacing w:line="560" w:lineRule="exact"/>
        <w:ind w:firstLine="426"/>
        <w:textAlignment w:val="auto"/>
        <w:rPr>
          <w:color w:val="000000"/>
          <w:szCs w:val="21"/>
          <w:highlight w:val="none"/>
        </w:rPr>
      </w:pPr>
      <w:r>
        <w:rPr>
          <w:color w:val="000000"/>
          <w:szCs w:val="21"/>
          <w:highlight w:val="none"/>
        </w:rPr>
        <w:t>供应商及其项目参与人员对服务过程中所接触到的采购人的技术信息、经营信息、商业秘密等尚未公开的有关信息、资料及研究所涉成果负有保密义务。未经采购人书面同意，供应商不得将上述信息、资料及研究所涉成果披露给任何第三方或用于本合同以外的其他目的。</w:t>
      </w:r>
    </w:p>
    <w:p w14:paraId="5615C161">
      <w:pPr>
        <w:keepNext w:val="0"/>
        <w:keepLines w:val="0"/>
        <w:pageBreakBefore w:val="0"/>
        <w:widowControl w:val="0"/>
        <w:shd w:val="clear"/>
        <w:kinsoku/>
        <w:wordWrap/>
        <w:overflowPunct/>
        <w:topLinePunct w:val="0"/>
        <w:autoSpaceDE/>
        <w:autoSpaceDN/>
        <w:bidi w:val="0"/>
        <w:spacing w:line="560" w:lineRule="exact"/>
        <w:ind w:firstLine="426"/>
        <w:textAlignment w:val="auto"/>
        <w:rPr>
          <w:color w:val="000000"/>
          <w:szCs w:val="21"/>
          <w:highlight w:val="none"/>
        </w:rPr>
      </w:pPr>
      <w:r>
        <w:rPr>
          <w:color w:val="000000"/>
          <w:szCs w:val="21"/>
          <w:highlight w:val="none"/>
        </w:rPr>
        <w:t>本条约定在合同终止后仍然继续有效，且不受合同解除、终止或无效的影响。</w:t>
      </w:r>
    </w:p>
    <w:p w14:paraId="69DB06EA">
      <w:pPr>
        <w:keepNext w:val="0"/>
        <w:keepLines w:val="0"/>
        <w:pageBreakBefore w:val="0"/>
        <w:widowControl w:val="0"/>
        <w:shd w:val="clear"/>
        <w:kinsoku/>
        <w:wordWrap/>
        <w:overflowPunct/>
        <w:topLinePunct w:val="0"/>
        <w:autoSpaceDE/>
        <w:autoSpaceDN/>
        <w:bidi w:val="0"/>
        <w:adjustRightInd w:val="0"/>
        <w:snapToGrid w:val="0"/>
        <w:spacing w:line="560" w:lineRule="exact"/>
        <w:textAlignment w:val="auto"/>
        <w:outlineLvl w:val="1"/>
        <w:rPr>
          <w:b/>
          <w:szCs w:val="21"/>
          <w:highlight w:val="none"/>
        </w:rPr>
      </w:pPr>
      <w:bookmarkStart w:id="170" w:name="_Toc499107276"/>
      <w:bookmarkStart w:id="171" w:name="_Toc251883994"/>
      <w:r>
        <w:rPr>
          <w:b/>
          <w:szCs w:val="21"/>
          <w:highlight w:val="none"/>
        </w:rPr>
        <w:t>5、违约责任</w:t>
      </w:r>
      <w:bookmarkEnd w:id="170"/>
      <w:bookmarkEnd w:id="171"/>
    </w:p>
    <w:p w14:paraId="63B722CD">
      <w:pPr>
        <w:keepNext w:val="0"/>
        <w:keepLines w:val="0"/>
        <w:pageBreakBefore w:val="0"/>
        <w:widowControl w:val="0"/>
        <w:shd w:val="clear"/>
        <w:kinsoku/>
        <w:wordWrap/>
        <w:overflowPunct/>
        <w:topLinePunct w:val="0"/>
        <w:autoSpaceDE/>
        <w:autoSpaceDN/>
        <w:bidi w:val="0"/>
        <w:spacing w:line="560" w:lineRule="exact"/>
        <w:ind w:firstLine="426"/>
        <w:textAlignment w:val="auto"/>
        <w:rPr>
          <w:b/>
          <w:sz w:val="32"/>
          <w:szCs w:val="24"/>
          <w:highlight w:val="none"/>
        </w:rPr>
      </w:pPr>
      <w:r>
        <w:rPr>
          <w:color w:val="000000"/>
          <w:szCs w:val="21"/>
          <w:highlight w:val="none"/>
        </w:rPr>
        <w:t>供应商违反4.3保密要求规定，</w:t>
      </w:r>
      <w:r>
        <w:rPr>
          <w:rFonts w:hint="eastAsia"/>
          <w:color w:val="000000"/>
          <w:szCs w:val="21"/>
          <w:highlight w:val="none"/>
          <w:lang w:val="en-US" w:eastAsia="zh-CN"/>
        </w:rPr>
        <w:t>采购人</w:t>
      </w:r>
      <w:r>
        <w:rPr>
          <w:color w:val="000000"/>
          <w:szCs w:val="21"/>
          <w:highlight w:val="none"/>
        </w:rPr>
        <w:t>有权解除合同并拒绝支付服务费；已经支付的，</w:t>
      </w:r>
      <w:r>
        <w:rPr>
          <w:rFonts w:hint="eastAsia"/>
          <w:color w:val="000000"/>
          <w:szCs w:val="21"/>
          <w:highlight w:val="none"/>
          <w:lang w:val="en-US" w:eastAsia="zh-CN"/>
        </w:rPr>
        <w:t>采购人</w:t>
      </w:r>
      <w:r>
        <w:rPr>
          <w:color w:val="000000"/>
          <w:szCs w:val="21"/>
          <w:highlight w:val="none"/>
        </w:rPr>
        <w:t>有权要求全部退还；给</w:t>
      </w:r>
      <w:r>
        <w:rPr>
          <w:rFonts w:hint="eastAsia"/>
          <w:color w:val="000000"/>
          <w:szCs w:val="21"/>
          <w:highlight w:val="none"/>
          <w:lang w:val="en-US" w:eastAsia="zh-CN"/>
        </w:rPr>
        <w:t>采购人</w:t>
      </w:r>
      <w:r>
        <w:rPr>
          <w:color w:val="000000"/>
          <w:szCs w:val="21"/>
          <w:highlight w:val="none"/>
        </w:rPr>
        <w:t>造成损害或损失的，供应商应予以赔偿。</w:t>
      </w:r>
      <w:bookmarkEnd w:id="41"/>
      <w:bookmarkEnd w:id="161"/>
      <w:bookmarkEnd w:id="162"/>
      <w:bookmarkEnd w:id="163"/>
      <w:bookmarkEnd w:id="164"/>
      <w:bookmarkEnd w:id="165"/>
      <w:bookmarkEnd w:id="166"/>
    </w:p>
    <w:sectPr>
      <w:footerReference r:id="rId5" w:type="default"/>
      <w:pgSz w:w="11906" w:h="16838"/>
      <w:pgMar w:top="1440" w:right="1800" w:bottom="1440" w:left="1800" w:header="851" w:footer="992" w:gutter="0"/>
      <w:pgNumType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EU-F1">
    <w:altName w:val="微软雅黑"/>
    <w:panose1 w:val="00000000000000000000"/>
    <w:charset w:val="86"/>
    <w:family w:val="auto"/>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仿宋_GBK">
    <w:altName w:val="微软雅黑"/>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3741A4">
    <w:pPr>
      <w:pStyle w:val="6"/>
      <w:jc w:val="center"/>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C539D">
    <w:pPr>
      <w:pStyle w:val="6"/>
      <w:framePr w:wrap="around" w:vAnchor="text" w:hAnchor="margin" w:xAlign="center" w:y="1"/>
      <w:rPr>
        <w:rStyle w:val="12"/>
      </w:rPr>
    </w:pPr>
    <w:r>
      <w:fldChar w:fldCharType="begin"/>
    </w:r>
    <w:r>
      <w:rPr>
        <w:rStyle w:val="12"/>
      </w:rPr>
      <w:instrText xml:space="preserve">PAGE  </w:instrText>
    </w:r>
    <w:r>
      <w:fldChar w:fldCharType="end"/>
    </w:r>
  </w:p>
  <w:p w14:paraId="0370ACC3">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14C445">
    <w:pPr>
      <w:pStyle w:val="6"/>
      <w:jc w:val="center"/>
    </w:pPr>
    <w:r>
      <w:fldChar w:fldCharType="begin"/>
    </w:r>
    <w:r>
      <w:instrText xml:space="preserve">PAGE   \* MERGEFORMAT</w:instrText>
    </w:r>
    <w:r>
      <w:fldChar w:fldCharType="separate"/>
    </w:r>
    <w:r>
      <w:rPr>
        <w:lang w:val="zh-CN"/>
      </w:rPr>
      <w:t>10</w:t>
    </w:r>
    <w:r>
      <w:rPr>
        <w:lang w:val="zh-CN"/>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93C38A"/>
    <w:multiLevelType w:val="singleLevel"/>
    <w:tmpl w:val="B593C38A"/>
    <w:lvl w:ilvl="0" w:tentative="0">
      <w:start w:val="1"/>
      <w:numFmt w:val="decimal"/>
      <w:suff w:val="nothing"/>
      <w:lvlText w:val="%1）"/>
      <w:lvlJc w:val="left"/>
    </w:lvl>
  </w:abstractNum>
  <w:abstractNum w:abstractNumId="1">
    <w:nsid w:val="5E58CD34"/>
    <w:multiLevelType w:val="singleLevel"/>
    <w:tmpl w:val="5E58CD34"/>
    <w:lvl w:ilvl="0" w:tentative="0">
      <w:start w:val="4"/>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WRhMWUxYTRiZTBhYzU4ZmY3NDdiMzhlODU5ZGM5MDcifQ=="/>
  </w:docVars>
  <w:rsids>
    <w:rsidRoot w:val="00941460"/>
    <w:rsid w:val="00002089"/>
    <w:rsid w:val="00004EE3"/>
    <w:rsid w:val="00005AC4"/>
    <w:rsid w:val="00021BFB"/>
    <w:rsid w:val="00026AE5"/>
    <w:rsid w:val="00051835"/>
    <w:rsid w:val="000549F5"/>
    <w:rsid w:val="00065E6A"/>
    <w:rsid w:val="00070968"/>
    <w:rsid w:val="00083B02"/>
    <w:rsid w:val="00093C5E"/>
    <w:rsid w:val="000B2D50"/>
    <w:rsid w:val="001018FD"/>
    <w:rsid w:val="00101960"/>
    <w:rsid w:val="001261A1"/>
    <w:rsid w:val="001552E0"/>
    <w:rsid w:val="001B0A7B"/>
    <w:rsid w:val="001B12D5"/>
    <w:rsid w:val="001B6E80"/>
    <w:rsid w:val="001C536F"/>
    <w:rsid w:val="001C6627"/>
    <w:rsid w:val="001F2661"/>
    <w:rsid w:val="0021688D"/>
    <w:rsid w:val="002540D1"/>
    <w:rsid w:val="00270AFD"/>
    <w:rsid w:val="00282E27"/>
    <w:rsid w:val="0029425A"/>
    <w:rsid w:val="002954D1"/>
    <w:rsid w:val="002A1769"/>
    <w:rsid w:val="002C0233"/>
    <w:rsid w:val="002E0D93"/>
    <w:rsid w:val="003032EC"/>
    <w:rsid w:val="003059ED"/>
    <w:rsid w:val="0031252F"/>
    <w:rsid w:val="003437EA"/>
    <w:rsid w:val="00367645"/>
    <w:rsid w:val="00370B86"/>
    <w:rsid w:val="00372AAB"/>
    <w:rsid w:val="00394F1B"/>
    <w:rsid w:val="003A0DED"/>
    <w:rsid w:val="003A5785"/>
    <w:rsid w:val="003B6706"/>
    <w:rsid w:val="003D72FE"/>
    <w:rsid w:val="003E1D7D"/>
    <w:rsid w:val="003E20D6"/>
    <w:rsid w:val="003E65F3"/>
    <w:rsid w:val="003F0D7D"/>
    <w:rsid w:val="003F0F56"/>
    <w:rsid w:val="003F6CF2"/>
    <w:rsid w:val="00400965"/>
    <w:rsid w:val="00405022"/>
    <w:rsid w:val="0042253E"/>
    <w:rsid w:val="00442C43"/>
    <w:rsid w:val="00444609"/>
    <w:rsid w:val="004452F8"/>
    <w:rsid w:val="00447449"/>
    <w:rsid w:val="004542EE"/>
    <w:rsid w:val="0045501F"/>
    <w:rsid w:val="0048657D"/>
    <w:rsid w:val="00490E5B"/>
    <w:rsid w:val="00494C49"/>
    <w:rsid w:val="004B1C9D"/>
    <w:rsid w:val="004D0024"/>
    <w:rsid w:val="004D331C"/>
    <w:rsid w:val="004E7CC9"/>
    <w:rsid w:val="004F495D"/>
    <w:rsid w:val="0051570C"/>
    <w:rsid w:val="00545CDC"/>
    <w:rsid w:val="00552C69"/>
    <w:rsid w:val="00570997"/>
    <w:rsid w:val="00585388"/>
    <w:rsid w:val="00594946"/>
    <w:rsid w:val="005A6C03"/>
    <w:rsid w:val="005D50FC"/>
    <w:rsid w:val="005E12A8"/>
    <w:rsid w:val="00602488"/>
    <w:rsid w:val="0061099C"/>
    <w:rsid w:val="00614D87"/>
    <w:rsid w:val="00641D42"/>
    <w:rsid w:val="00660F5B"/>
    <w:rsid w:val="0067088D"/>
    <w:rsid w:val="0067167C"/>
    <w:rsid w:val="006774C2"/>
    <w:rsid w:val="006B5823"/>
    <w:rsid w:val="006E1512"/>
    <w:rsid w:val="006E5ED5"/>
    <w:rsid w:val="006F1019"/>
    <w:rsid w:val="006F187A"/>
    <w:rsid w:val="00701CB4"/>
    <w:rsid w:val="0071021E"/>
    <w:rsid w:val="0072579E"/>
    <w:rsid w:val="0072608F"/>
    <w:rsid w:val="007301CA"/>
    <w:rsid w:val="00740739"/>
    <w:rsid w:val="00743A24"/>
    <w:rsid w:val="007442B3"/>
    <w:rsid w:val="00745BD8"/>
    <w:rsid w:val="00745DCB"/>
    <w:rsid w:val="007467DB"/>
    <w:rsid w:val="007525AA"/>
    <w:rsid w:val="007537E9"/>
    <w:rsid w:val="00766C5B"/>
    <w:rsid w:val="0078217D"/>
    <w:rsid w:val="0078541A"/>
    <w:rsid w:val="00786AD4"/>
    <w:rsid w:val="00786F94"/>
    <w:rsid w:val="007936BC"/>
    <w:rsid w:val="007A1D45"/>
    <w:rsid w:val="007E574E"/>
    <w:rsid w:val="008015C4"/>
    <w:rsid w:val="008078D6"/>
    <w:rsid w:val="0081158B"/>
    <w:rsid w:val="00811FD5"/>
    <w:rsid w:val="00813E72"/>
    <w:rsid w:val="00831DC9"/>
    <w:rsid w:val="00867A43"/>
    <w:rsid w:val="00872A3C"/>
    <w:rsid w:val="00880C86"/>
    <w:rsid w:val="008871D6"/>
    <w:rsid w:val="008A0ACC"/>
    <w:rsid w:val="008B6770"/>
    <w:rsid w:val="008B685A"/>
    <w:rsid w:val="008C0F66"/>
    <w:rsid w:val="008C2731"/>
    <w:rsid w:val="009326AC"/>
    <w:rsid w:val="00941460"/>
    <w:rsid w:val="0098408F"/>
    <w:rsid w:val="009C60D7"/>
    <w:rsid w:val="00A10E11"/>
    <w:rsid w:val="00A116A5"/>
    <w:rsid w:val="00A12866"/>
    <w:rsid w:val="00A207A5"/>
    <w:rsid w:val="00A23180"/>
    <w:rsid w:val="00A24A38"/>
    <w:rsid w:val="00A276B5"/>
    <w:rsid w:val="00A32E2E"/>
    <w:rsid w:val="00A42C1F"/>
    <w:rsid w:val="00A555C0"/>
    <w:rsid w:val="00A56532"/>
    <w:rsid w:val="00A620F7"/>
    <w:rsid w:val="00A75FD0"/>
    <w:rsid w:val="00A8106D"/>
    <w:rsid w:val="00A967C6"/>
    <w:rsid w:val="00AA4E26"/>
    <w:rsid w:val="00AC40B3"/>
    <w:rsid w:val="00AC46E1"/>
    <w:rsid w:val="00AF2107"/>
    <w:rsid w:val="00B17376"/>
    <w:rsid w:val="00B41A7E"/>
    <w:rsid w:val="00B949A6"/>
    <w:rsid w:val="00B969CD"/>
    <w:rsid w:val="00BA2222"/>
    <w:rsid w:val="00BC12D0"/>
    <w:rsid w:val="00BD1D7E"/>
    <w:rsid w:val="00BF359C"/>
    <w:rsid w:val="00C07EAF"/>
    <w:rsid w:val="00C1746E"/>
    <w:rsid w:val="00C17551"/>
    <w:rsid w:val="00C532DB"/>
    <w:rsid w:val="00C55413"/>
    <w:rsid w:val="00C614FC"/>
    <w:rsid w:val="00C64B8A"/>
    <w:rsid w:val="00C64E98"/>
    <w:rsid w:val="00C6516C"/>
    <w:rsid w:val="00C87732"/>
    <w:rsid w:val="00C9491C"/>
    <w:rsid w:val="00C9786B"/>
    <w:rsid w:val="00CA2E03"/>
    <w:rsid w:val="00CA4B35"/>
    <w:rsid w:val="00CB710A"/>
    <w:rsid w:val="00CB7AB5"/>
    <w:rsid w:val="00CB7E71"/>
    <w:rsid w:val="00CC0A00"/>
    <w:rsid w:val="00CC785B"/>
    <w:rsid w:val="00CD2F1A"/>
    <w:rsid w:val="00CE3405"/>
    <w:rsid w:val="00D22CA0"/>
    <w:rsid w:val="00D43400"/>
    <w:rsid w:val="00D52715"/>
    <w:rsid w:val="00D83F4B"/>
    <w:rsid w:val="00DB2EED"/>
    <w:rsid w:val="00DB6173"/>
    <w:rsid w:val="00DD0107"/>
    <w:rsid w:val="00DD7F23"/>
    <w:rsid w:val="00DE2B47"/>
    <w:rsid w:val="00DF1303"/>
    <w:rsid w:val="00DF397C"/>
    <w:rsid w:val="00DF62FE"/>
    <w:rsid w:val="00E017CF"/>
    <w:rsid w:val="00E13B37"/>
    <w:rsid w:val="00E20340"/>
    <w:rsid w:val="00E23C09"/>
    <w:rsid w:val="00E2646E"/>
    <w:rsid w:val="00E65113"/>
    <w:rsid w:val="00E843E7"/>
    <w:rsid w:val="00E858A2"/>
    <w:rsid w:val="00E921CF"/>
    <w:rsid w:val="00E9685E"/>
    <w:rsid w:val="00EB63CF"/>
    <w:rsid w:val="00ED0C1E"/>
    <w:rsid w:val="00EF248E"/>
    <w:rsid w:val="00F137A3"/>
    <w:rsid w:val="00F55E4E"/>
    <w:rsid w:val="00F6039F"/>
    <w:rsid w:val="00F671B6"/>
    <w:rsid w:val="00F92002"/>
    <w:rsid w:val="00FC321D"/>
    <w:rsid w:val="00FC41F1"/>
    <w:rsid w:val="00FD5DBB"/>
    <w:rsid w:val="00FD69BF"/>
    <w:rsid w:val="00FE5611"/>
    <w:rsid w:val="018B39FD"/>
    <w:rsid w:val="03F27703"/>
    <w:rsid w:val="058E1157"/>
    <w:rsid w:val="05F96FAC"/>
    <w:rsid w:val="06602F11"/>
    <w:rsid w:val="06E84DD5"/>
    <w:rsid w:val="070B536A"/>
    <w:rsid w:val="07CF5E2B"/>
    <w:rsid w:val="0895720E"/>
    <w:rsid w:val="08D24D0C"/>
    <w:rsid w:val="09EC2010"/>
    <w:rsid w:val="0B492299"/>
    <w:rsid w:val="0C594182"/>
    <w:rsid w:val="0C9C2625"/>
    <w:rsid w:val="0CD47893"/>
    <w:rsid w:val="0D5D1410"/>
    <w:rsid w:val="0D6609BC"/>
    <w:rsid w:val="0D662E08"/>
    <w:rsid w:val="0DA73F42"/>
    <w:rsid w:val="0EE92F84"/>
    <w:rsid w:val="0F31347F"/>
    <w:rsid w:val="0F3859AF"/>
    <w:rsid w:val="0F533DD2"/>
    <w:rsid w:val="0FA02CA1"/>
    <w:rsid w:val="0FF17B58"/>
    <w:rsid w:val="10330071"/>
    <w:rsid w:val="108474E9"/>
    <w:rsid w:val="11C5542D"/>
    <w:rsid w:val="12415F38"/>
    <w:rsid w:val="1279363A"/>
    <w:rsid w:val="15AD2CDF"/>
    <w:rsid w:val="16622680"/>
    <w:rsid w:val="16A0594D"/>
    <w:rsid w:val="171C242C"/>
    <w:rsid w:val="178E2807"/>
    <w:rsid w:val="178F7E29"/>
    <w:rsid w:val="17BA5B67"/>
    <w:rsid w:val="17F879AA"/>
    <w:rsid w:val="19492229"/>
    <w:rsid w:val="199E05CD"/>
    <w:rsid w:val="19A91893"/>
    <w:rsid w:val="1B9E0733"/>
    <w:rsid w:val="1BD33D81"/>
    <w:rsid w:val="1BDC4F27"/>
    <w:rsid w:val="1C5D5C50"/>
    <w:rsid w:val="1E6B6A03"/>
    <w:rsid w:val="1F2A45F8"/>
    <w:rsid w:val="1F750085"/>
    <w:rsid w:val="1FA5796B"/>
    <w:rsid w:val="20886574"/>
    <w:rsid w:val="220F05CA"/>
    <w:rsid w:val="2294355A"/>
    <w:rsid w:val="22D86631"/>
    <w:rsid w:val="232354DD"/>
    <w:rsid w:val="251227E2"/>
    <w:rsid w:val="256360EC"/>
    <w:rsid w:val="25CE386A"/>
    <w:rsid w:val="29237477"/>
    <w:rsid w:val="2AFB6893"/>
    <w:rsid w:val="2BEA26BA"/>
    <w:rsid w:val="2C923BF3"/>
    <w:rsid w:val="2D441EC0"/>
    <w:rsid w:val="2DFD0CE1"/>
    <w:rsid w:val="2E4B1E06"/>
    <w:rsid w:val="2EB44EF2"/>
    <w:rsid w:val="2F4A1FE8"/>
    <w:rsid w:val="31C724C7"/>
    <w:rsid w:val="32B55A55"/>
    <w:rsid w:val="32F47E92"/>
    <w:rsid w:val="38B15B68"/>
    <w:rsid w:val="38BC4CF5"/>
    <w:rsid w:val="393069C1"/>
    <w:rsid w:val="3AD214D4"/>
    <w:rsid w:val="3B0A21C9"/>
    <w:rsid w:val="3B5B546F"/>
    <w:rsid w:val="3E144929"/>
    <w:rsid w:val="3E2045BE"/>
    <w:rsid w:val="3E7755E5"/>
    <w:rsid w:val="3F2E4985"/>
    <w:rsid w:val="3F7F5527"/>
    <w:rsid w:val="411D44E5"/>
    <w:rsid w:val="41742F6F"/>
    <w:rsid w:val="41780E0D"/>
    <w:rsid w:val="41E43D75"/>
    <w:rsid w:val="42FC19C2"/>
    <w:rsid w:val="4383225D"/>
    <w:rsid w:val="45CB2068"/>
    <w:rsid w:val="468E01EB"/>
    <w:rsid w:val="47C5739C"/>
    <w:rsid w:val="481B7475"/>
    <w:rsid w:val="49D05CE3"/>
    <w:rsid w:val="4C050AF6"/>
    <w:rsid w:val="4CD92D09"/>
    <w:rsid w:val="4CF300C0"/>
    <w:rsid w:val="4D8B2EB9"/>
    <w:rsid w:val="4DF84C99"/>
    <w:rsid w:val="4E4A3B79"/>
    <w:rsid w:val="4EE91FC0"/>
    <w:rsid w:val="504F0131"/>
    <w:rsid w:val="50BA5814"/>
    <w:rsid w:val="5377623F"/>
    <w:rsid w:val="53BC79BC"/>
    <w:rsid w:val="54AE0BDF"/>
    <w:rsid w:val="552965FE"/>
    <w:rsid w:val="57D16F7C"/>
    <w:rsid w:val="57F761B6"/>
    <w:rsid w:val="58DA495C"/>
    <w:rsid w:val="58E80D40"/>
    <w:rsid w:val="5CE41170"/>
    <w:rsid w:val="5F14526B"/>
    <w:rsid w:val="5F6566F2"/>
    <w:rsid w:val="5F6B1111"/>
    <w:rsid w:val="5FE011FA"/>
    <w:rsid w:val="5FEA19AA"/>
    <w:rsid w:val="603D18EC"/>
    <w:rsid w:val="617A698B"/>
    <w:rsid w:val="62AF05F7"/>
    <w:rsid w:val="64DF7A06"/>
    <w:rsid w:val="65DF5DD8"/>
    <w:rsid w:val="66C97CB0"/>
    <w:rsid w:val="694117F2"/>
    <w:rsid w:val="69462708"/>
    <w:rsid w:val="696D4F90"/>
    <w:rsid w:val="6BD91F43"/>
    <w:rsid w:val="6D7516F9"/>
    <w:rsid w:val="6DC4094F"/>
    <w:rsid w:val="6F1337F1"/>
    <w:rsid w:val="70017F72"/>
    <w:rsid w:val="74387C88"/>
    <w:rsid w:val="74EB1333"/>
    <w:rsid w:val="75277DCB"/>
    <w:rsid w:val="764913CC"/>
    <w:rsid w:val="79781BFA"/>
    <w:rsid w:val="79EC471E"/>
    <w:rsid w:val="7A206457"/>
    <w:rsid w:val="7A9B3BCC"/>
    <w:rsid w:val="7AEB50FD"/>
    <w:rsid w:val="7B164BB4"/>
    <w:rsid w:val="7BE57027"/>
    <w:rsid w:val="7C87019A"/>
    <w:rsid w:val="7D3F0B83"/>
    <w:rsid w:val="7F43453E"/>
    <w:rsid w:val="7FAE51CC"/>
    <w:rsid w:val="7FDD5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19"/>
    <w:unhideWhenUsed/>
    <w:qFormat/>
    <w:uiPriority w:val="99"/>
    <w:rPr>
      <w:rFonts w:ascii="宋体"/>
      <w:sz w:val="18"/>
      <w:szCs w:val="18"/>
    </w:rPr>
  </w:style>
  <w:style w:type="paragraph" w:styleId="3">
    <w:name w:val="annotation text"/>
    <w:basedOn w:val="1"/>
    <w:semiHidden/>
    <w:unhideWhenUsed/>
    <w:qFormat/>
    <w:uiPriority w:val="99"/>
    <w:pPr>
      <w:jc w:val="left"/>
    </w:pPr>
  </w:style>
  <w:style w:type="paragraph" w:styleId="4">
    <w:name w:val="Plain Text"/>
    <w:basedOn w:val="1"/>
    <w:link w:val="16"/>
    <w:qFormat/>
    <w:uiPriority w:val="0"/>
    <w:rPr>
      <w:rFonts w:ascii="宋体" w:hAnsi="Courier New" w:eastAsiaTheme="minorEastAsia" w:cstheme="minorBidi"/>
      <w:szCs w:val="22"/>
    </w:rPr>
  </w:style>
  <w:style w:type="paragraph" w:styleId="5">
    <w:name w:val="Balloon Text"/>
    <w:basedOn w:val="1"/>
    <w:link w:val="18"/>
    <w:unhideWhenUsed/>
    <w:qFormat/>
    <w:uiPriority w:val="99"/>
    <w:rPr>
      <w:sz w:val="18"/>
      <w:szCs w:val="18"/>
    </w:rPr>
  </w:style>
  <w:style w:type="paragraph" w:styleId="6">
    <w:name w:val="footer"/>
    <w:basedOn w:val="1"/>
    <w:link w:val="15"/>
    <w:unhideWhenUsed/>
    <w:qFormat/>
    <w:uiPriority w:val="0"/>
    <w:pPr>
      <w:tabs>
        <w:tab w:val="center" w:pos="4153"/>
        <w:tab w:val="right" w:pos="8306"/>
      </w:tabs>
      <w:snapToGrid w:val="0"/>
      <w:jc w:val="left"/>
    </w:pPr>
    <w:rPr>
      <w:sz w:val="18"/>
      <w:szCs w:val="18"/>
    </w:rPr>
  </w:style>
  <w:style w:type="paragraph" w:styleId="7">
    <w:name w:val="header"/>
    <w:basedOn w:val="1"/>
    <w:link w:val="14"/>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toc 2"/>
    <w:basedOn w:val="1"/>
    <w:next w:val="1"/>
    <w:qFormat/>
    <w:uiPriority w:val="39"/>
    <w:pPr>
      <w:ind w:left="210"/>
      <w:jc w:val="left"/>
    </w:pPr>
    <w:rPr>
      <w:smallCaps/>
    </w:rPr>
  </w:style>
  <w:style w:type="table" w:styleId="10">
    <w:name w:val="Table Grid"/>
    <w:basedOn w:val="9"/>
    <w:unhideWhenUsed/>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page number"/>
    <w:basedOn w:val="11"/>
    <w:qFormat/>
    <w:uiPriority w:val="0"/>
  </w:style>
  <w:style w:type="character" w:styleId="13">
    <w:name w:val="Hyperlink"/>
    <w:qFormat/>
    <w:uiPriority w:val="99"/>
    <w:rPr>
      <w:color w:val="0000FF"/>
      <w:u w:val="single"/>
    </w:rPr>
  </w:style>
  <w:style w:type="character" w:customStyle="1" w:styleId="14">
    <w:name w:val="页眉 字符"/>
    <w:basedOn w:val="11"/>
    <w:link w:val="7"/>
    <w:qFormat/>
    <w:uiPriority w:val="0"/>
    <w:rPr>
      <w:sz w:val="18"/>
      <w:szCs w:val="18"/>
    </w:rPr>
  </w:style>
  <w:style w:type="character" w:customStyle="1" w:styleId="15">
    <w:name w:val="页脚 字符"/>
    <w:basedOn w:val="11"/>
    <w:link w:val="6"/>
    <w:qFormat/>
    <w:uiPriority w:val="0"/>
    <w:rPr>
      <w:sz w:val="18"/>
      <w:szCs w:val="18"/>
    </w:rPr>
  </w:style>
  <w:style w:type="character" w:customStyle="1" w:styleId="16">
    <w:name w:val="纯文本 字符"/>
    <w:link w:val="4"/>
    <w:qFormat/>
    <w:uiPriority w:val="0"/>
    <w:rPr>
      <w:rFonts w:ascii="宋体" w:hAnsi="Courier New"/>
    </w:rPr>
  </w:style>
  <w:style w:type="character" w:customStyle="1" w:styleId="17">
    <w:name w:val="纯文本 Char1"/>
    <w:basedOn w:val="11"/>
    <w:semiHidden/>
    <w:qFormat/>
    <w:uiPriority w:val="99"/>
    <w:rPr>
      <w:rFonts w:ascii="宋体" w:hAnsi="Courier New" w:eastAsia="宋体" w:cs="Courier New"/>
      <w:szCs w:val="21"/>
    </w:rPr>
  </w:style>
  <w:style w:type="character" w:customStyle="1" w:styleId="18">
    <w:name w:val="批注框文本 字符"/>
    <w:basedOn w:val="11"/>
    <w:link w:val="5"/>
    <w:semiHidden/>
    <w:qFormat/>
    <w:uiPriority w:val="99"/>
    <w:rPr>
      <w:rFonts w:ascii="Times New Roman" w:hAnsi="Times New Roman" w:eastAsia="宋体" w:cs="Times New Roman"/>
      <w:sz w:val="18"/>
      <w:szCs w:val="18"/>
    </w:rPr>
  </w:style>
  <w:style w:type="character" w:customStyle="1" w:styleId="19">
    <w:name w:val="文档结构图 字符"/>
    <w:basedOn w:val="11"/>
    <w:link w:val="2"/>
    <w:semiHidden/>
    <w:qFormat/>
    <w:uiPriority w:val="99"/>
    <w:rPr>
      <w:rFonts w:ascii="宋体" w:hAnsi="Times New Roman" w:eastAsia="宋体" w:cs="Times New Roman"/>
      <w:sz w:val="18"/>
      <w:szCs w:val="18"/>
    </w:rPr>
  </w:style>
  <w:style w:type="paragraph" w:customStyle="1" w:styleId="20">
    <w:name w:val="p0"/>
    <w:basedOn w:val="1"/>
    <w:qFormat/>
    <w:uiPriority w:val="0"/>
    <w:pPr>
      <w:widowControl/>
    </w:pPr>
    <w:rPr>
      <w:rFonts w:ascii="Calibri" w:hAnsi="Calibri" w:cs="宋体"/>
      <w:kern w:val="0"/>
      <w:szCs w:val="21"/>
    </w:rPr>
  </w:style>
  <w:style w:type="paragraph" w:customStyle="1" w:styleId="21">
    <w:name w:val="列出段落1"/>
    <w:basedOn w:val="1"/>
    <w:qFormat/>
    <w:uiPriority w:val="0"/>
    <w:pPr>
      <w:widowControl/>
      <w:spacing w:after="200" w:line="276" w:lineRule="auto"/>
      <w:ind w:firstLine="420" w:firstLineChars="200"/>
    </w:pPr>
    <w:rPr>
      <w:rFonts w:ascii="Calibri" w:hAnsi="Calibri"/>
      <w:kern w:val="0"/>
      <w:sz w:val="22"/>
    </w:rPr>
  </w:style>
  <w:style w:type="paragraph" w:customStyle="1" w:styleId="22">
    <w:name w:val="列出段落11"/>
    <w:basedOn w:val="1"/>
    <w:qFormat/>
    <w:uiPriority w:val="34"/>
    <w:pPr>
      <w:ind w:firstLine="420" w:firstLineChars="200"/>
    </w:pPr>
    <w:rPr>
      <w:rFonts w:ascii="Calibri" w:hAnsi="Calibri"/>
      <w:szCs w:val="22"/>
    </w:rPr>
  </w:style>
  <w:style w:type="character" w:customStyle="1" w:styleId="23">
    <w:name w:val="表头 Char Char"/>
    <w:link w:val="24"/>
    <w:qFormat/>
    <w:uiPriority w:val="0"/>
    <w:rPr>
      <w:rFonts w:ascii="EU-F1" w:eastAsia="黑体"/>
    </w:rPr>
  </w:style>
  <w:style w:type="paragraph" w:customStyle="1" w:styleId="24">
    <w:name w:val="表头"/>
    <w:basedOn w:val="1"/>
    <w:link w:val="23"/>
    <w:qFormat/>
    <w:uiPriority w:val="0"/>
    <w:pPr>
      <w:topLinePunct/>
      <w:adjustRightInd w:val="0"/>
      <w:spacing w:before="160" w:after="60" w:line="312" w:lineRule="exact"/>
      <w:jc w:val="center"/>
      <w:textAlignment w:val="baseline"/>
    </w:pPr>
    <w:rPr>
      <w:rFonts w:ascii="EU-F1" w:eastAsia="黑体" w:hAnsiTheme="minorHAnsi" w:cstheme="minorBidi"/>
      <w:szCs w:val="22"/>
    </w:rPr>
  </w:style>
  <w:style w:type="character" w:customStyle="1" w:styleId="25">
    <w:name w:val="自编正文 字符"/>
    <w:link w:val="26"/>
    <w:qFormat/>
    <w:uiPriority w:val="0"/>
    <w:rPr>
      <w:rFonts w:eastAsia="方正仿宋_GBK"/>
      <w:sz w:val="32"/>
    </w:rPr>
  </w:style>
  <w:style w:type="paragraph" w:customStyle="1" w:styleId="26">
    <w:name w:val="自编正文"/>
    <w:basedOn w:val="1"/>
    <w:link w:val="25"/>
    <w:qFormat/>
    <w:uiPriority w:val="0"/>
    <w:pPr>
      <w:spacing w:line="560" w:lineRule="exact"/>
      <w:ind w:firstLine="200" w:firstLineChars="200"/>
    </w:pPr>
    <w:rPr>
      <w:rFonts w:ascii="Calibri" w:hAnsi="Calibri" w:eastAsia="方正仿宋_GBK" w:cs="Calibri"/>
      <w:kern w:val="0"/>
      <w:sz w:val="32"/>
    </w:rPr>
  </w:style>
  <w:style w:type="paragraph" w:customStyle="1" w:styleId="27">
    <w:name w:val="列出段落2"/>
    <w:basedOn w:val="1"/>
    <w:qFormat/>
    <w:uiPriority w:val="34"/>
    <w:pPr>
      <w:ind w:firstLine="420" w:firstLineChars="200"/>
    </w:pPr>
    <w:rPr>
      <w:rFonts w:ascii="等线" w:hAnsi="等线" w:eastAsia="等线"/>
      <w:szCs w:val="22"/>
    </w:rPr>
  </w:style>
  <w:style w:type="character" w:customStyle="1" w:styleId="28">
    <w:name w:val="正文文字 Char"/>
    <w:link w:val="29"/>
    <w:qFormat/>
    <w:uiPriority w:val="0"/>
    <w:rPr>
      <w:szCs w:val="21"/>
    </w:rPr>
  </w:style>
  <w:style w:type="paragraph" w:customStyle="1" w:styleId="29">
    <w:name w:val="正文文字"/>
    <w:basedOn w:val="1"/>
    <w:link w:val="28"/>
    <w:qFormat/>
    <w:uiPriority w:val="0"/>
    <w:pPr>
      <w:spacing w:before="60" w:after="60" w:line="360" w:lineRule="auto"/>
      <w:ind w:firstLine="420" w:firstLineChars="200"/>
    </w:pPr>
    <w:rPr>
      <w:rFonts w:ascii="Calibri" w:hAnsi="Calibri" w:cs="Calibri"/>
      <w:kern w:val="0"/>
      <w:sz w:val="20"/>
      <w:szCs w:val="21"/>
    </w:rPr>
  </w:style>
  <w:style w:type="paragraph" w:styleId="30">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6</Pages>
  <Words>2540</Words>
  <Characters>2593</Characters>
  <Lines>12</Lines>
  <Paragraphs>3</Paragraphs>
  <TotalTime>74</TotalTime>
  <ScaleCrop>false</ScaleCrop>
  <LinksUpToDate>false</LinksUpToDate>
  <CharactersWithSpaces>2594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2020-03-17T02:03:00Z</dcterms:created>
  <dc:creator>Admin</dc:creator>
  <cp:lastModifiedBy>余梓琪</cp:lastModifiedBy>
  <cp:lastPrinted>2019-12-09T01:36:00Z</cp:lastPrinted>
  <dcterms:modified xsi:type="dcterms:W3CDTF">2025-11-11T06:41:44Z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40CC967100BB4CF0A3D5ECF00A573F5B_13</vt:lpwstr>
  </property>
  <property fmtid="{D5CDD505-2E9C-101B-9397-08002B2CF9AE}" pid="4" name="KSOTemplateDocerSaveRecord">
    <vt:lpwstr>eyJoZGlkIjoiYWRhMWUxYTRiZTBhYzU4ZmY3NDdiMzhlODU5ZGM5MDciLCJ1c2VySWQiOiIyNDg3MDA5MzIifQ==</vt:lpwstr>
  </property>
</Properties>
</file>