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-305435</wp:posOffset>
                </wp:positionH>
                <wp:positionV relativeFrom="paragraph">
                  <wp:posOffset>636905</wp:posOffset>
                </wp:positionV>
                <wp:extent cx="6156325" cy="236029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156325" cy="236029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广西电网公司防城港供电局2025年职工创新项目加工服务（避雷器阻性电流测试安全辅助接线装置研制）零星采购项目</w:t>
                            </w:r>
                          </w:p>
                        </w:txbxContent>
                      </wps:txbx>
                      <wps:bodyPr upright="1">
                        <a:noAutofit/>
                      </wps:bodyPr>
                    </wps:wsp>
                  </a:graphicData>
                </a:graphic>
              </wp:anchor>
            </w:drawing>
          </mc:Choice>
          <mc:Fallback>
            <w:pict>
              <v:shape id="_x0000_s1026" o:spid="_x0000_s1026" o:spt="202" type="#_x0000_t202" style="position:absolute;left:0pt;margin-left:-24.05pt;margin-top:50.15pt;height:185.85pt;width:484.75pt;z-index:251660288;mso-width-relative:page;mso-height-relative:page;" filled="f" stroked="f" coordsize="21600,21600" o:gfxdata="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qABTL2AAAAAsBAAAPAAAAAAAAAAEAIAAAACIAAABkcnMvZG93bnJldi54bWxQSwEC&#10;FAAUAAAACACHTuJAA9Sys7sBAABpAwAADgAAAAAAAAABACAAAAAnAQAAZHJzL2Uyb0RvYy54bWxQ&#10;SwUGAAAAAAYABgBZAQAAVAU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广西电网公司防城港供电局2025年职工创新项目加工服务（避雷器阻性电流测试安全辅助接线装置研制）零星采购项目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1115060</wp:posOffset>
                </wp:positionH>
                <wp:positionV relativeFrom="paragraph">
                  <wp:posOffset>810260</wp:posOffset>
                </wp:positionV>
                <wp:extent cx="331279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312795"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87.8pt;margin-top:63.8pt;height:37.2pt;width:260.85pt;z-index:251661312;mso-width-relative:page;mso-height-relative:page;" filled="f" stroked="f" coordsize="21600,21600" o:gfxdata="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oybmLX&#10;AAAACwEAAA8AAAAAAAAAAQAgAAAAIgAAAGRycy9kb3ducmV2LnhtbFBLAQIUABQAAAAIAIdO4kDT&#10;Ba6yrwEAAE4DAAAOAAAAAAAAAAEAIAAAACY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1"/>
        <w:tabs>
          <w:tab w:val="right" w:leader="dot" w:pos="8306"/>
        </w:tabs>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rPr>
          <w:rFonts w:eastAsia="仿宋_GB2312"/>
          <w:color w:val="000000"/>
        </w:rPr>
        <w:fldChar w:fldCharType="begin"/>
      </w:r>
      <w:r>
        <w:rPr>
          <w:rFonts w:eastAsia="仿宋_GB2312"/>
        </w:rPr>
        <w:instrText xml:space="preserve"> HYPERLINK \l _Toc18121 </w:instrText>
      </w:r>
      <w:r>
        <w:rPr>
          <w:rFonts w:eastAsia="仿宋_GB2312"/>
        </w:rPr>
        <w:fldChar w:fldCharType="separate"/>
      </w:r>
      <w:r>
        <w:rPr>
          <w:rFonts w:hint="eastAsia"/>
        </w:rPr>
        <w:t>一、总则</w:t>
      </w:r>
      <w:r>
        <w:tab/>
      </w:r>
      <w:r>
        <w:fldChar w:fldCharType="begin"/>
      </w:r>
      <w:r>
        <w:instrText xml:space="preserve"> PAGEREF _Toc18121 \h </w:instrText>
      </w:r>
      <w:r>
        <w:fldChar w:fldCharType="separate"/>
      </w:r>
      <w:r>
        <w:t>1</w:t>
      </w:r>
      <w:r>
        <w:fldChar w:fldCharType="end"/>
      </w:r>
      <w:r>
        <w:rPr>
          <w:rFonts w:eastAsia="仿宋_GB2312"/>
          <w:color w:val="000000"/>
        </w:rPr>
        <w:fldChar w:fldCharType="end"/>
      </w:r>
    </w:p>
    <w:p>
      <w:pPr>
        <w:pStyle w:val="12"/>
        <w:tabs>
          <w:tab w:val="right" w:leader="dot" w:pos="8306"/>
        </w:tabs>
      </w:pPr>
      <w:r>
        <w:fldChar w:fldCharType="begin"/>
      </w:r>
      <w:r>
        <w:instrText xml:space="preserve"> HYPERLINK \l _Toc6979 </w:instrText>
      </w:r>
      <w:r>
        <w:fldChar w:fldCharType="separate"/>
      </w:r>
      <w:r>
        <w:rPr>
          <w:rFonts w:hint="eastAsia"/>
        </w:rPr>
        <w:t>1.1</w:t>
      </w:r>
      <w:r>
        <w:t xml:space="preserve"> </w:t>
      </w:r>
      <w:r>
        <w:rPr>
          <w:rFonts w:hint="eastAsia"/>
        </w:rPr>
        <w:t>一般要求</w:t>
      </w:r>
      <w:r>
        <w:tab/>
      </w:r>
      <w:r>
        <w:fldChar w:fldCharType="begin"/>
      </w:r>
      <w:r>
        <w:instrText xml:space="preserve"> PAGEREF _Toc6979 \h </w:instrText>
      </w:r>
      <w:r>
        <w:fldChar w:fldCharType="separate"/>
      </w:r>
      <w:r>
        <w:t>1</w:t>
      </w:r>
      <w:r>
        <w:fldChar w:fldCharType="end"/>
      </w:r>
      <w:r>
        <w:fldChar w:fldCharType="end"/>
      </w:r>
    </w:p>
    <w:p>
      <w:pPr>
        <w:pStyle w:val="12"/>
        <w:tabs>
          <w:tab w:val="right" w:leader="dot" w:pos="8306"/>
        </w:tabs>
      </w:pPr>
      <w:r>
        <w:fldChar w:fldCharType="begin"/>
      </w:r>
      <w:r>
        <w:instrText xml:space="preserve"> HYPERLINK \l _Toc21511 </w:instrText>
      </w:r>
      <w:r>
        <w:fldChar w:fldCharType="separate"/>
      </w:r>
      <w:r>
        <w:rPr>
          <w:rFonts w:hint="eastAsia"/>
        </w:rPr>
        <w:t>1.2</w:t>
      </w:r>
      <w:r>
        <w:t>标准和规范</w:t>
      </w:r>
      <w:r>
        <w:tab/>
      </w:r>
      <w:r>
        <w:fldChar w:fldCharType="begin"/>
      </w:r>
      <w:r>
        <w:instrText xml:space="preserve"> PAGEREF _Toc21511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_Toc6871 </w:instrText>
      </w:r>
      <w:r>
        <w:fldChar w:fldCharType="separate"/>
      </w:r>
      <w:r>
        <w:rPr>
          <w:rFonts w:hint="eastAsia"/>
        </w:rPr>
        <w:t>二、技术要求</w:t>
      </w:r>
      <w:r>
        <w:tab/>
      </w:r>
      <w:r>
        <w:fldChar w:fldCharType="begin"/>
      </w:r>
      <w:r>
        <w:instrText xml:space="preserve"> PAGEREF _Toc6871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_Toc30722 </w:instrText>
      </w:r>
      <w: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_Toc30722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_Toc31968 </w:instrText>
      </w:r>
      <w:r>
        <w:fldChar w:fldCharType="separate"/>
      </w:r>
      <w:r>
        <w:rPr>
          <w:rFonts w:hint="eastAsia" w:ascii="宋体" w:hAnsi="宋体" w:cs="宋体"/>
          <w:szCs w:val="24"/>
          <w:lang w:val="en-US" w:eastAsia="zh-CN"/>
        </w:rPr>
        <w:t>2</w:t>
      </w:r>
      <w:r>
        <w:rPr>
          <w:rFonts w:hint="eastAsia" w:ascii="宋体" w:hAnsi="宋体" w:cs="宋体"/>
          <w:szCs w:val="24"/>
        </w:rPr>
        <w:t>.2</w:t>
      </w:r>
      <w:r>
        <w:rPr>
          <w:rFonts w:hint="eastAsia" w:ascii="宋体" w:hAnsi="宋体" w:cs="宋体"/>
          <w:szCs w:val="24"/>
          <w:lang w:val="en-US" w:eastAsia="zh-CN"/>
        </w:rPr>
        <w:t xml:space="preserve"> </w:t>
      </w:r>
      <w:r>
        <w:rPr>
          <w:rFonts w:hint="eastAsia" w:ascii="宋体" w:hAnsi="宋体" w:cs="宋体"/>
          <w:szCs w:val="24"/>
        </w:rPr>
        <w:t>项目研究内容</w:t>
      </w:r>
      <w:r>
        <w:tab/>
      </w:r>
      <w:r>
        <w:fldChar w:fldCharType="begin"/>
      </w:r>
      <w:r>
        <w:instrText xml:space="preserve"> PAGEREF _Toc31968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_Toc17813 </w:instrText>
      </w:r>
      <w:r>
        <w:fldChar w:fldCharType="separate"/>
      </w:r>
      <w:r>
        <w:rPr>
          <w:rFonts w:hint="eastAsia" w:ascii="宋体" w:hAnsi="宋体" w:cs="宋体"/>
          <w:szCs w:val="24"/>
          <w:lang w:val="en-US" w:eastAsia="zh-CN"/>
        </w:rPr>
        <w:t>2</w:t>
      </w:r>
      <w:r>
        <w:rPr>
          <w:rFonts w:hint="eastAsia" w:ascii="宋体" w:hAnsi="宋体" w:cs="宋体"/>
          <w:szCs w:val="24"/>
        </w:rPr>
        <w:t>.3</w:t>
      </w:r>
      <w:r>
        <w:rPr>
          <w:rFonts w:hint="eastAsia" w:ascii="宋体" w:hAnsi="宋体" w:cs="宋体"/>
          <w:szCs w:val="24"/>
          <w:lang w:val="en-US" w:eastAsia="zh-CN"/>
        </w:rPr>
        <w:t xml:space="preserve"> </w:t>
      </w:r>
      <w:r>
        <w:rPr>
          <w:rFonts w:hint="eastAsia" w:ascii="宋体" w:hAnsi="宋体" w:cs="宋体"/>
          <w:szCs w:val="24"/>
        </w:rPr>
        <w:t>技术指标要求</w:t>
      </w:r>
      <w:r>
        <w:tab/>
      </w:r>
      <w:r>
        <w:fldChar w:fldCharType="begin"/>
      </w:r>
      <w:r>
        <w:instrText xml:space="preserve"> PAGEREF _Toc17813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_Toc8248 </w:instrText>
      </w:r>
      <w:r>
        <w:fldChar w:fldCharType="separate"/>
      </w:r>
      <w:r>
        <w:rPr>
          <w:rFonts w:hint="eastAsia" w:ascii="宋体" w:hAnsi="宋体" w:cs="宋体"/>
          <w:szCs w:val="24"/>
          <w:lang w:val="en-US" w:eastAsia="zh-CN"/>
        </w:rPr>
        <w:t>2</w:t>
      </w:r>
      <w:r>
        <w:rPr>
          <w:rFonts w:hint="eastAsia" w:ascii="宋体" w:hAnsi="宋体" w:cs="宋体"/>
          <w:szCs w:val="24"/>
        </w:rPr>
        <w:t>.4</w:t>
      </w:r>
      <w:r>
        <w:rPr>
          <w:rFonts w:hint="eastAsia" w:ascii="宋体" w:hAnsi="宋体" w:cs="宋体"/>
          <w:szCs w:val="24"/>
          <w:lang w:val="en-US" w:eastAsia="zh-CN"/>
        </w:rPr>
        <w:t xml:space="preserve"> </w:t>
      </w:r>
      <w:r>
        <w:rPr>
          <w:rFonts w:hint="eastAsia" w:ascii="宋体" w:hAnsi="宋体" w:cs="宋体"/>
          <w:szCs w:val="24"/>
        </w:rPr>
        <w:t>设备研究所需材料</w:t>
      </w:r>
      <w:r>
        <w:tab/>
      </w:r>
      <w:r>
        <w:fldChar w:fldCharType="begin"/>
      </w:r>
      <w:r>
        <w:instrText xml:space="preserve"> PAGEREF _Toc8248 \h </w:instrText>
      </w:r>
      <w:r>
        <w:fldChar w:fldCharType="separate"/>
      </w:r>
      <w:r>
        <w:t>5</w:t>
      </w:r>
      <w:r>
        <w:fldChar w:fldCharType="end"/>
      </w:r>
      <w:r>
        <w:fldChar w:fldCharType="end"/>
      </w:r>
    </w:p>
    <w:p>
      <w:pPr>
        <w:pStyle w:val="12"/>
        <w:tabs>
          <w:tab w:val="right" w:leader="dot" w:pos="8306"/>
        </w:tabs>
      </w:pPr>
      <w:r>
        <w:fldChar w:fldCharType="begin"/>
      </w:r>
      <w:r>
        <w:instrText xml:space="preserve"> HYPERLINK \l _Toc502 </w:instrText>
      </w:r>
      <w:r>
        <w:fldChar w:fldCharType="separate"/>
      </w:r>
      <w:r>
        <w:rPr>
          <w:rFonts w:hint="eastAsia" w:ascii="宋体" w:hAnsi="宋体" w:cs="宋体"/>
          <w:szCs w:val="24"/>
          <w:lang w:val="en-US" w:eastAsia="zh-CN"/>
        </w:rPr>
        <w:t>2</w:t>
      </w:r>
      <w:r>
        <w:rPr>
          <w:rFonts w:hint="eastAsia" w:ascii="宋体" w:hAnsi="宋体" w:cs="宋体"/>
          <w:szCs w:val="24"/>
        </w:rPr>
        <w:t>.5</w:t>
      </w:r>
      <w:r>
        <w:rPr>
          <w:rFonts w:hint="eastAsia" w:ascii="宋体" w:hAnsi="宋体" w:cs="宋体"/>
          <w:szCs w:val="24"/>
          <w:lang w:val="en-US" w:eastAsia="zh-CN"/>
        </w:rPr>
        <w:t xml:space="preserve"> </w:t>
      </w:r>
      <w:r>
        <w:rPr>
          <w:rFonts w:hint="eastAsia" w:ascii="宋体" w:hAnsi="宋体" w:cs="宋体"/>
          <w:szCs w:val="24"/>
        </w:rPr>
        <w:t>加工服务地点和期限</w:t>
      </w:r>
      <w:r>
        <w:tab/>
      </w:r>
      <w:r>
        <w:fldChar w:fldCharType="begin"/>
      </w:r>
      <w:r>
        <w:instrText xml:space="preserve"> PAGEREF _Toc502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_Toc6137 </w:instrText>
      </w:r>
      <w:r>
        <w:fldChar w:fldCharType="separate"/>
      </w:r>
      <w:r>
        <w:rPr>
          <w:rFonts w:hint="eastAsia"/>
        </w:rPr>
        <w:t>三、研究开发成果交付物</w:t>
      </w:r>
      <w:r>
        <w:tab/>
      </w:r>
      <w:r>
        <w:fldChar w:fldCharType="begin"/>
      </w:r>
      <w:r>
        <w:instrText xml:space="preserve"> PAGEREF _Toc6137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_Toc13225 </w:instrText>
      </w:r>
      <w:r>
        <w:fldChar w:fldCharType="separate"/>
      </w:r>
      <w:r>
        <w:rPr>
          <w:rFonts w:hint="eastAsia"/>
        </w:rPr>
        <w:t>四、开发人员</w:t>
      </w:r>
      <w:r>
        <w:tab/>
      </w:r>
      <w:r>
        <w:fldChar w:fldCharType="begin"/>
      </w:r>
      <w:r>
        <w:instrText xml:space="preserve"> PAGEREF _Toc13225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_Toc22815 </w:instrText>
      </w:r>
      <w:r>
        <w:fldChar w:fldCharType="separate"/>
      </w:r>
      <w:r>
        <w:rPr>
          <w:rFonts w:hint="eastAsia"/>
        </w:rPr>
        <w:t>五、投标技术文件编制要求</w:t>
      </w:r>
      <w:r>
        <w:tab/>
      </w:r>
      <w:r>
        <w:fldChar w:fldCharType="begin"/>
      </w:r>
      <w:r>
        <w:instrText xml:space="preserve"> PAGEREF _Toc22815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_Toc2588 </w:instrText>
      </w:r>
      <w:r>
        <w:fldChar w:fldCharType="separate"/>
      </w:r>
      <w:r>
        <w:rPr>
          <w:rFonts w:hint="eastAsia"/>
        </w:rPr>
        <w:t>5.1</w:t>
      </w:r>
      <w:r>
        <w:t xml:space="preserve"> </w:t>
      </w:r>
      <w:r>
        <w:rPr>
          <w:rFonts w:hint="eastAsia"/>
        </w:rPr>
        <w:t>研究内容</w:t>
      </w:r>
      <w:r>
        <w:tab/>
      </w:r>
      <w:r>
        <w:fldChar w:fldCharType="begin"/>
      </w:r>
      <w:r>
        <w:instrText xml:space="preserve"> PAGEREF _Toc2588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_Toc12859 </w:instrText>
      </w:r>
      <w:r>
        <w:fldChar w:fldCharType="separate"/>
      </w:r>
      <w:r>
        <w:rPr>
          <w:rFonts w:hint="eastAsia"/>
        </w:rPr>
        <w:t>5.</w:t>
      </w:r>
      <w:r>
        <w:t xml:space="preserve">2 </w:t>
      </w:r>
      <w:r>
        <w:rPr>
          <w:rFonts w:hint="eastAsia"/>
        </w:rPr>
        <w:t>研究思路与技术路线</w:t>
      </w:r>
      <w:r>
        <w:tab/>
      </w:r>
      <w:r>
        <w:fldChar w:fldCharType="begin"/>
      </w:r>
      <w:r>
        <w:instrText xml:space="preserve"> PAGEREF _Toc12859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_Toc27403 </w:instrText>
      </w:r>
      <w:r>
        <w:fldChar w:fldCharType="separate"/>
      </w:r>
      <w:r>
        <w:rPr>
          <w:rFonts w:hint="eastAsia"/>
        </w:rPr>
        <w:t>5.</w:t>
      </w:r>
      <w:r>
        <w:t xml:space="preserve">3 </w:t>
      </w:r>
      <w:r>
        <w:rPr>
          <w:rFonts w:hint="eastAsia"/>
        </w:rPr>
        <w:t>研究进度目标及指标</w:t>
      </w:r>
      <w:r>
        <w:tab/>
      </w:r>
      <w:r>
        <w:fldChar w:fldCharType="begin"/>
      </w:r>
      <w:r>
        <w:instrText xml:space="preserve"> PAGEREF _Toc27403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_Toc17858 </w:instrText>
      </w:r>
      <w:r>
        <w:fldChar w:fldCharType="separate"/>
      </w:r>
      <w:r>
        <w:rPr>
          <w:rFonts w:hint="eastAsia"/>
        </w:rPr>
        <w:t>5.</w:t>
      </w:r>
      <w:r>
        <w:t xml:space="preserve">4 </w:t>
      </w:r>
      <w:r>
        <w:rPr>
          <w:rFonts w:hint="eastAsia"/>
        </w:rPr>
        <w:t>项目实施的组织、管理</w:t>
      </w:r>
      <w:r>
        <w:tab/>
      </w:r>
      <w:r>
        <w:fldChar w:fldCharType="begin"/>
      </w:r>
      <w:r>
        <w:instrText xml:space="preserve"> PAGEREF _Toc17858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_Toc7198 </w:instrText>
      </w:r>
      <w:r>
        <w:fldChar w:fldCharType="separate"/>
      </w:r>
      <w:r>
        <w:rPr>
          <w:rFonts w:hint="eastAsia"/>
        </w:rPr>
        <w:t>5.</w:t>
      </w:r>
      <w:r>
        <w:t xml:space="preserve">5 </w:t>
      </w:r>
      <w:r>
        <w:rPr>
          <w:rFonts w:hint="eastAsia"/>
        </w:rPr>
        <w:t>承担能力说明</w:t>
      </w:r>
      <w:r>
        <w:tab/>
      </w:r>
      <w:r>
        <w:fldChar w:fldCharType="begin"/>
      </w:r>
      <w:r>
        <w:instrText xml:space="preserve"> PAGEREF _Toc7198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_Toc17332 </w:instrText>
      </w:r>
      <w:r>
        <w:fldChar w:fldCharType="separate"/>
      </w:r>
      <w:r>
        <w:rPr>
          <w:rFonts w:hint="eastAsia"/>
        </w:rPr>
        <w:t>5.6</w:t>
      </w:r>
      <w:r>
        <w:t xml:space="preserve"> </w:t>
      </w:r>
      <w:r>
        <w:rPr>
          <w:rFonts w:hint="eastAsia"/>
        </w:rPr>
        <w:t>成果产生的数量、形式</w:t>
      </w:r>
      <w:r>
        <w:tab/>
      </w:r>
      <w:r>
        <w:fldChar w:fldCharType="begin"/>
      </w:r>
      <w:r>
        <w:instrText xml:space="preserve"> PAGEREF _Toc17332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_Toc29281 </w:instrText>
      </w:r>
      <w:r>
        <w:fldChar w:fldCharType="separate"/>
      </w:r>
      <w:r>
        <w:rPr>
          <w:rFonts w:hint="eastAsia"/>
        </w:rPr>
        <w:t>5.7</w:t>
      </w:r>
      <w:r>
        <w:rPr>
          <w:rFonts w:hint="eastAsia"/>
          <w:lang w:val="en-US" w:eastAsia="zh-CN"/>
        </w:rPr>
        <w:t xml:space="preserve"> </w:t>
      </w:r>
      <w:r>
        <w:rPr>
          <w:rFonts w:hint="eastAsia"/>
        </w:rPr>
        <w:t>技术方案中涉及技术秘密的申明</w:t>
      </w:r>
      <w:r>
        <w:tab/>
      </w:r>
      <w:r>
        <w:fldChar w:fldCharType="begin"/>
      </w:r>
      <w:r>
        <w:instrText xml:space="preserve"> PAGEREF _Toc29281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_Toc17850 </w:instrText>
      </w:r>
      <w:r>
        <w:fldChar w:fldCharType="separate"/>
      </w:r>
      <w:r>
        <w:rPr>
          <w:rFonts w:hint="eastAsia"/>
          <w:lang w:val="en-US" w:eastAsia="zh-CN"/>
        </w:rPr>
        <w:t>5.8 售后服务承诺</w:t>
      </w:r>
      <w:r>
        <w:tab/>
      </w:r>
      <w:r>
        <w:fldChar w:fldCharType="begin"/>
      </w:r>
      <w:r>
        <w:instrText xml:space="preserve"> PAGEREF _Toc17850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_Toc32386 </w:instrText>
      </w:r>
      <w:r>
        <w:fldChar w:fldCharType="separate"/>
      </w:r>
      <w:r>
        <w:rPr>
          <w:rFonts w:hint="eastAsia"/>
          <w:bCs/>
        </w:rPr>
        <w:t>六、技术资料和文件</w:t>
      </w:r>
      <w:r>
        <w:tab/>
      </w:r>
      <w:r>
        <w:fldChar w:fldCharType="begin"/>
      </w:r>
      <w:r>
        <w:instrText xml:space="preserve"> PAGEREF _Toc32386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_Toc2277 </w:instrText>
      </w:r>
      <w:r>
        <w:fldChar w:fldCharType="separate"/>
      </w:r>
      <w:r>
        <w:rPr>
          <w:rFonts w:hint="eastAsia"/>
        </w:rPr>
        <w:t>七、项目联络</w:t>
      </w:r>
      <w:r>
        <w:tab/>
      </w:r>
      <w:r>
        <w:fldChar w:fldCharType="begin"/>
      </w:r>
      <w:r>
        <w:instrText xml:space="preserve"> PAGEREF _Toc2277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_Toc9208 </w:instrText>
      </w:r>
      <w:r>
        <w:fldChar w:fldCharType="separate"/>
      </w:r>
      <w:r>
        <w:rPr>
          <w:rFonts w:hint="eastAsia"/>
        </w:rPr>
        <w:t>八、评审与验收</w:t>
      </w:r>
      <w:r>
        <w:tab/>
      </w:r>
      <w:r>
        <w:fldChar w:fldCharType="begin"/>
      </w:r>
      <w:r>
        <w:instrText xml:space="preserve"> PAGEREF _Toc9208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_Toc23222 </w:instrText>
      </w:r>
      <w:r>
        <w:fldChar w:fldCharType="separate"/>
      </w:r>
      <w:r>
        <w:rPr>
          <w:rFonts w:hint="eastAsia"/>
        </w:rPr>
        <w:t>九、售后服务</w:t>
      </w:r>
      <w:r>
        <w:tab/>
      </w:r>
      <w:r>
        <w:fldChar w:fldCharType="begin"/>
      </w:r>
      <w:r>
        <w:instrText xml:space="preserve"> PAGEREF _Toc23222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_Toc14985 </w:instrText>
      </w:r>
      <w:r>
        <w:fldChar w:fldCharType="separate"/>
      </w:r>
      <w:r>
        <w:rPr>
          <w:rFonts w:hint="eastAsia"/>
        </w:rPr>
        <w:t>十、其他相关要求</w:t>
      </w:r>
      <w:r>
        <w:tab/>
      </w:r>
      <w:r>
        <w:fldChar w:fldCharType="begin"/>
      </w:r>
      <w:r>
        <w:instrText xml:space="preserve"> PAGEREF _Toc14985 \h </w:instrText>
      </w:r>
      <w:r>
        <w:fldChar w:fldCharType="separate"/>
      </w:r>
      <w:r>
        <w:t>12</w:t>
      </w:r>
      <w:r>
        <w:fldChar w:fldCharType="end"/>
      </w:r>
      <w:r>
        <w:fldChar w:fldCharType="end"/>
      </w:r>
    </w:p>
    <w:p>
      <w:pPr>
        <w:pStyle w:val="11"/>
        <w:tabs>
          <w:tab w:val="right" w:leader="dot" w:pos="8306"/>
        </w:tabs>
      </w:pPr>
      <w:r>
        <w:fldChar w:fldCharType="begin"/>
      </w:r>
      <w:r>
        <w:instrText xml:space="preserve"> HYPERLINK \l _Toc31513 </w:instrText>
      </w:r>
      <w:r>
        <w:fldChar w:fldCharType="separate"/>
      </w:r>
      <w:r>
        <w:rPr>
          <w:bCs/>
        </w:rPr>
        <w:t>1</w:t>
      </w:r>
      <w:r>
        <w:rPr>
          <w:rFonts w:hint="eastAsia"/>
          <w:bCs/>
        </w:rPr>
        <w:t>0</w:t>
      </w:r>
      <w:r>
        <w:rPr>
          <w:bCs/>
        </w:rPr>
        <w:t>.1</w:t>
      </w:r>
      <w:r>
        <w:rPr>
          <w:rFonts w:hint="eastAsia"/>
          <w:bCs/>
          <w:lang w:val="en-US" w:eastAsia="zh-CN"/>
        </w:rPr>
        <w:t xml:space="preserve"> </w:t>
      </w:r>
      <w:r>
        <w:rPr>
          <w:rFonts w:hint="eastAsia"/>
          <w:bCs/>
        </w:rPr>
        <w:t>技术配合</w:t>
      </w:r>
      <w:r>
        <w:tab/>
      </w:r>
      <w:r>
        <w:fldChar w:fldCharType="begin"/>
      </w:r>
      <w:r>
        <w:instrText xml:space="preserve"> PAGEREF _Toc31513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_Toc5313 </w:instrText>
      </w:r>
      <w:r>
        <w:fldChar w:fldCharType="separate"/>
      </w:r>
      <w:r>
        <w:t>1</w:t>
      </w:r>
      <w:r>
        <w:rPr>
          <w:rFonts w:hint="eastAsia"/>
        </w:rPr>
        <w:t>0</w:t>
      </w:r>
      <w:r>
        <w:t>.2</w:t>
      </w:r>
      <w:r>
        <w:rPr>
          <w:rFonts w:hint="eastAsia"/>
          <w:lang w:val="en-US" w:eastAsia="zh-CN"/>
        </w:rPr>
        <w:t xml:space="preserve"> </w:t>
      </w:r>
      <w:r>
        <w:rPr>
          <w:rFonts w:hint="eastAsia"/>
        </w:rPr>
        <w:t>现场服务</w:t>
      </w:r>
      <w:r>
        <w:tab/>
      </w:r>
      <w:r>
        <w:fldChar w:fldCharType="begin"/>
      </w:r>
      <w:r>
        <w:instrText xml:space="preserve"> PAGEREF _Toc5313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_Toc881 </w:instrText>
      </w:r>
      <w:r>
        <w:fldChar w:fldCharType="separate"/>
      </w:r>
      <w:r>
        <w:t>1</w:t>
      </w:r>
      <w:r>
        <w:rPr>
          <w:rFonts w:hint="eastAsia"/>
        </w:rPr>
        <w:t>0</w:t>
      </w:r>
      <w:r>
        <w:t>.3</w:t>
      </w:r>
      <w:r>
        <w:rPr>
          <w:rFonts w:hint="eastAsia"/>
          <w:lang w:val="en-US" w:eastAsia="zh-CN"/>
        </w:rPr>
        <w:t xml:space="preserve"> </w:t>
      </w:r>
      <w:r>
        <w:rPr>
          <w:rFonts w:hint="eastAsia"/>
        </w:rPr>
        <w:t>培训</w:t>
      </w:r>
      <w:r>
        <w:tab/>
      </w:r>
      <w:r>
        <w:fldChar w:fldCharType="begin"/>
      </w:r>
      <w:r>
        <w:instrText xml:space="preserve"> PAGEREF _Toc881 \h </w:instrText>
      </w:r>
      <w:r>
        <w:fldChar w:fldCharType="separate"/>
      </w:r>
      <w:r>
        <w:t>13</w:t>
      </w:r>
      <w:r>
        <w:fldChar w:fldCharType="end"/>
      </w:r>
      <w:r>
        <w:fldChar w:fldCharType="end"/>
      </w:r>
    </w:p>
    <w:p>
      <w:pPr>
        <w:pStyle w:val="12"/>
        <w:tabs>
          <w:tab w:val="right" w:leader="dot" w:pos="8306"/>
        </w:tabs>
      </w:pPr>
      <w:r>
        <w:fldChar w:fldCharType="begin"/>
      </w:r>
      <w:r>
        <w:instrText xml:space="preserve"> HYPERLINK \l _Toc23383 </w:instrText>
      </w:r>
      <w:r>
        <w:fldChar w:fldCharType="separate"/>
      </w:r>
      <w:r>
        <w:rPr>
          <w:rFonts w:hint="eastAsia"/>
        </w:rPr>
        <w:t>1</w:t>
      </w:r>
      <w:r>
        <w:rPr>
          <w:rFonts w:hint="eastAsia"/>
          <w:lang w:val="en-US" w:eastAsia="zh-CN"/>
        </w:rPr>
        <w:t>0</w:t>
      </w:r>
      <w:r>
        <w:rPr>
          <w:rFonts w:hint="eastAsia"/>
        </w:rPr>
        <w:t>.4 知识产权约定</w:t>
      </w:r>
      <w:r>
        <w:tab/>
      </w:r>
      <w:r>
        <w:fldChar w:fldCharType="begin"/>
      </w:r>
      <w:r>
        <w:instrText xml:space="preserve"> PAGEREF _Toc23383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_Toc8949 </w:instrText>
      </w:r>
      <w:r>
        <w:fldChar w:fldCharType="separate"/>
      </w:r>
      <w:r>
        <w:rPr>
          <w:rFonts w:hint="eastAsia"/>
        </w:rPr>
        <w:t>附件</w:t>
      </w:r>
      <w:r>
        <w:tab/>
      </w:r>
      <w:r>
        <w:fldChar w:fldCharType="begin"/>
      </w:r>
      <w:r>
        <w:instrText xml:space="preserve"> PAGEREF _Toc8949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_Toc27802 </w:instrText>
      </w:r>
      <w:r>
        <w:fldChar w:fldCharType="separate"/>
      </w:r>
      <w:r>
        <w:rPr>
          <w:rFonts w:hint="eastAsia"/>
        </w:rPr>
        <w:t>1、差异表</w:t>
      </w:r>
      <w:r>
        <w:tab/>
      </w:r>
      <w:r>
        <w:fldChar w:fldCharType="begin"/>
      </w:r>
      <w:r>
        <w:instrText xml:space="preserve"> PAGEREF _Toc27802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_Toc17121 </w:instrText>
      </w:r>
      <w:r>
        <w:fldChar w:fldCharType="separate"/>
      </w:r>
      <w:r>
        <w:rPr>
          <w:rFonts w:hint="eastAsia"/>
        </w:rPr>
        <w:t>2、投标方需要说明的其它问题</w:t>
      </w:r>
      <w:r>
        <w:tab/>
      </w:r>
      <w:r>
        <w:fldChar w:fldCharType="begin"/>
      </w:r>
      <w:r>
        <w:instrText xml:space="preserve"> PAGEREF _Toc17121 \h </w:instrText>
      </w:r>
      <w:r>
        <w:fldChar w:fldCharType="separate"/>
      </w:r>
      <w:r>
        <w:t>14</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cols w:space="720" w:num="1"/>
          <w:docGrid w:type="lines" w:linePitch="312" w:charSpace="0"/>
        </w:sectPr>
      </w:pPr>
      <w:r>
        <w:fldChar w:fldCharType="end"/>
      </w:r>
      <w:bookmarkStart w:id="0" w:name="_Toc353939550"/>
      <w:bookmarkStart w:id="1" w:name="_Toc299606277"/>
      <w:bookmarkStart w:id="2" w:name="_Toc444945507"/>
      <w:bookmarkStart w:id="3" w:name="_Toc353940788"/>
    </w:p>
    <w:p>
      <w:pPr>
        <w:pStyle w:val="4"/>
        <w:numPr>
          <w:ilvl w:val="0"/>
          <w:numId w:val="0"/>
        </w:numPr>
        <w:bidi w:val="0"/>
        <w:ind w:left="432" w:leftChars="0"/>
      </w:pPr>
      <w:bookmarkStart w:id="4" w:name="_Toc18121"/>
      <w:r>
        <w:rPr>
          <w:rFonts w:hint="eastAsia"/>
        </w:rPr>
        <w:t>一、总则</w:t>
      </w:r>
      <w:bookmarkEnd w:id="0"/>
      <w:bookmarkEnd w:id="1"/>
      <w:bookmarkEnd w:id="2"/>
      <w:bookmarkEnd w:id="3"/>
      <w:bookmarkEnd w:id="4"/>
    </w:p>
    <w:p>
      <w:pPr>
        <w:pStyle w:val="5"/>
      </w:pPr>
      <w:bookmarkStart w:id="5" w:name="_Toc6979"/>
      <w:bookmarkStart w:id="6" w:name="_Toc318799924"/>
      <w:bookmarkStart w:id="7" w:name="_Toc444945508"/>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353940791"/>
      <w:bookmarkStart w:id="9" w:name="_Toc353939553"/>
      <w:bookmarkStart w:id="10" w:name="_Toc444945511"/>
      <w:bookmarkStart w:id="11" w:name="_Toc299606280"/>
      <w:r>
        <w:rPr>
          <w:rFonts w:hint="eastAsia" w:ascii="宋体" w:hAnsi="宋体"/>
        </w:rPr>
        <w:t>1.1.1 本技术条款主要描述广西电网有限责任公司</w:t>
      </w:r>
      <w:r>
        <w:rPr>
          <w:rFonts w:hint="eastAsia" w:ascii="宋体" w:hAnsi="宋体"/>
          <w:lang w:eastAsia="zh-CN"/>
        </w:rPr>
        <w:t>防城港</w:t>
      </w:r>
      <w:r>
        <w:rPr>
          <w:rFonts w:hint="eastAsia" w:ascii="宋体" w:hAnsi="宋体"/>
        </w:rPr>
        <w:t>供电</w:t>
      </w:r>
      <w:r>
        <w:rPr>
          <w:rFonts w:hint="eastAsia" w:ascii="宋体" w:hAnsi="宋体"/>
          <w:lang w:eastAsia="zh-CN"/>
        </w:rPr>
        <w:t>局避雷器阻性电流测试安全辅助接线装置研制项目研究内容有关事项。投标方必须</w:t>
      </w:r>
      <w:r>
        <w:rPr>
          <w:rFonts w:hint="eastAsia" w:ascii="宋体" w:hAnsi="宋体"/>
        </w:rPr>
        <w:t>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本技术规范书提出的是最低限度的技术要求,并未对一切技术细节作出规定，也未充分引述有关标准和规范的条文。投标</w:t>
      </w:r>
      <w:bookmarkStart w:id="67" w:name="_GoBack"/>
      <w:bookmarkEnd w:id="67"/>
      <w:r>
        <w:rPr>
          <w:rFonts w:hint="eastAsia" w:ascii="宋体" w:hAnsi="宋体"/>
        </w:rPr>
        <w:t>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252486971"/>
      <w:bookmarkStart w:id="13" w:name="_Toc261810243"/>
      <w:bookmarkStart w:id="14" w:name="_Toc255894290"/>
      <w:bookmarkStart w:id="15" w:name="_Toc252485428"/>
      <w:bookmarkStart w:id="16" w:name="_Toc21511"/>
      <w:bookmarkStart w:id="17" w:name="_Toc293665071"/>
      <w:bookmarkStart w:id="18" w:name="_Toc445194080"/>
      <w:bookmarkStart w:id="19" w:name="_Toc582"/>
      <w:bookmarkStart w:id="20" w:name="_Toc222711875"/>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ascii="Times New Roman" w:hAnsi="Times New Roman" w:cs="Times New Roman"/>
          <w:color w:val="000000"/>
          <w:szCs w:val="21"/>
          <w:lang w:val="zh-CN"/>
        </w:rPr>
        <w:t>下列标准所包括的条文，通过在本规定中引用而构成本规定的条文。本标准出版时</w:t>
      </w:r>
      <w:r>
        <w:rPr>
          <w:rFonts w:ascii="Times New Roman" w:hAnsi="Times New Roman" w:cs="Times New Roman"/>
          <w:color w:val="000000" w:themeColor="text1"/>
          <w:szCs w:val="21"/>
          <w:lang w:val="zh-CN"/>
          <w14:textFill>
            <w14:solidFill>
              <w14:schemeClr w14:val="tx1"/>
            </w14:solidFill>
          </w14:textFill>
        </w:rPr>
        <w:t>，所示版本均为有效。所有标准都会被修订，使用本标准的各方应探讨使用下列标准最新版本的可能性。</w:t>
      </w:r>
    </w:p>
    <w:p>
      <w:pPr>
        <w:autoSpaceDE w:val="0"/>
        <w:autoSpaceDN w:val="0"/>
        <w:adjustRightInd w:val="0"/>
        <w:ind w:left="0" w:leftChars="0" w:firstLine="0" w:firstLineChars="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311.1-2012《绝缘配合》</w:t>
      </w:r>
    </w:p>
    <w:p>
      <w:pPr>
        <w:autoSpaceDE w:val="0"/>
        <w:autoSpaceDN w:val="0"/>
        <w:adjustRightInd w:val="0"/>
        <w:ind w:left="0" w:leftChars="0" w:firstLine="0" w:firstLineChars="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 596-2021《电力设备预防性试验规程》</w:t>
      </w:r>
    </w:p>
    <w:p>
      <w:pPr>
        <w:autoSpaceDE w:val="0"/>
        <w:autoSpaceDN w:val="0"/>
        <w:adjustRightInd w:val="0"/>
        <w:ind w:left="0" w:leftChars="0" w:firstLine="0" w:firstLineChars="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16927.1-2011《高电压试验技术》</w:t>
      </w:r>
    </w:p>
    <w:p>
      <w:pPr>
        <w:autoSpaceDE w:val="0"/>
        <w:autoSpaceDN w:val="0"/>
        <w:adjustRightInd w:val="0"/>
        <w:ind w:left="0" w:leftChars="0" w:firstLine="0" w:firstLineChars="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2317.4-2008《电力金具试验方法》</w:t>
      </w:r>
    </w:p>
    <w:p>
      <w:pPr>
        <w:autoSpaceDE w:val="0"/>
        <w:autoSpaceDN w:val="0"/>
        <w:adjustRightInd w:val="0"/>
        <w:ind w:left="0" w:leftChars="0" w:firstLine="0" w:firstLineChars="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JJG 315-2015《直流数字电压表检定规程》</w:t>
      </w:r>
    </w:p>
    <w:p>
      <w:pPr>
        <w:pStyle w:val="2"/>
        <w:jc w:val="left"/>
        <w:rPr>
          <w:rFonts w:hint="eastAsia" w:ascii="Times New Roman" w:hAnsi="Times New Roman" w:eastAsia="宋体" w:cs="Times New Roman"/>
          <w:b w:val="0"/>
          <w:bCs w:val="0"/>
          <w:color w:val="000000" w:themeColor="text1"/>
          <w:kern w:val="2"/>
          <w:sz w:val="24"/>
          <w:szCs w:val="21"/>
          <w:lang w:val="zh-CN"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1"/>
          <w:lang w:val="zh-CN" w:eastAsia="zh-CN" w:bidi="ar-SA"/>
          <w14:textFill>
            <w14:solidFill>
              <w14:schemeClr w14:val="tx1"/>
            </w14:solidFill>
          </w14:textFill>
        </w:rPr>
        <w:t>DL/T 1312-2013《避雷器带电测试规范》</w:t>
      </w:r>
    </w:p>
    <w:p>
      <w:pPr>
        <w:pStyle w:val="3"/>
        <w:jc w:val="left"/>
        <w:rPr>
          <w:lang w:val="zh-CN"/>
        </w:rPr>
      </w:pPr>
      <w:r>
        <w:rPr>
          <w:rFonts w:hint="eastAsia" w:ascii="Times New Roman" w:hAnsi="Times New Roman" w:eastAsia="宋体" w:cs="Times New Roman"/>
          <w:b w:val="0"/>
          <w:bCs w:val="0"/>
          <w:color w:val="000000" w:themeColor="text1"/>
          <w:kern w:val="2"/>
          <w:sz w:val="24"/>
          <w:szCs w:val="21"/>
          <w:lang w:val="zh-CN" w:eastAsia="zh-CN" w:bidi="ar-SA"/>
          <w14:textFill>
            <w14:solidFill>
              <w14:schemeClr w14:val="tx1"/>
            </w14:solidFill>
          </w14:textFill>
        </w:rPr>
        <w:t>GB/T 10193-2015《压敏电阻器》</w:t>
      </w:r>
    </w:p>
    <w:bookmarkEnd w:id="8"/>
    <w:bookmarkEnd w:id="9"/>
    <w:bookmarkEnd w:id="10"/>
    <w:bookmarkEnd w:id="11"/>
    <w:p>
      <w:pPr>
        <w:pStyle w:val="4"/>
        <w:numPr>
          <w:ilvl w:val="0"/>
          <w:numId w:val="0"/>
        </w:numPr>
        <w:tabs>
          <w:tab w:val="clear" w:pos="432"/>
        </w:tabs>
        <w:ind w:left="432"/>
        <w:rPr>
          <w:rFonts w:hint="eastAsia"/>
        </w:rPr>
      </w:pPr>
      <w:bookmarkStart w:id="21" w:name="_Toc444945516"/>
      <w:bookmarkStart w:id="22" w:name="_Toc6871"/>
      <w:r>
        <w:rPr>
          <w:rFonts w:hint="eastAsia"/>
        </w:rPr>
        <w:t>二、技术要求</w:t>
      </w:r>
      <w:bookmarkEnd w:id="21"/>
      <w:bookmarkEnd w:id="22"/>
    </w:p>
    <w:p>
      <w:pPr>
        <w:pStyle w:val="5"/>
        <w:tabs>
          <w:tab w:val="left" w:pos="0"/>
        </w:tabs>
        <w:spacing w:before="0" w:after="0" w:line="360" w:lineRule="auto"/>
        <w:rPr>
          <w:rFonts w:ascii="宋体" w:hAnsi="宋体" w:cs="宋体"/>
          <w:color w:val="auto"/>
          <w:sz w:val="28"/>
          <w:szCs w:val="24"/>
        </w:rPr>
      </w:pPr>
      <w:bookmarkStart w:id="23" w:name="_Toc444945517"/>
      <w:bookmarkStart w:id="24" w:name="_Toc437603900"/>
      <w:bookmarkStart w:id="25" w:name="_Toc30722"/>
      <w:r>
        <w:rPr>
          <w:rFonts w:hint="eastAsia" w:ascii="宋体" w:hAnsi="宋体" w:cs="宋体"/>
          <w:color w:val="auto"/>
          <w:sz w:val="28"/>
          <w:szCs w:val="24"/>
          <w:lang w:val="en-US" w:eastAsia="zh-CN"/>
        </w:rPr>
        <w:t>2</w:t>
      </w:r>
      <w:r>
        <w:rPr>
          <w:rFonts w:hint="eastAsia" w:ascii="宋体" w:hAnsi="宋体" w:cs="宋体"/>
          <w:color w:val="auto"/>
          <w:sz w:val="28"/>
          <w:szCs w:val="24"/>
        </w:rPr>
        <w:t>.1 项目</w:t>
      </w:r>
      <w:bookmarkEnd w:id="23"/>
      <w:bookmarkEnd w:id="24"/>
      <w:r>
        <w:rPr>
          <w:rFonts w:hint="eastAsia" w:ascii="宋体" w:hAnsi="宋体" w:cs="宋体"/>
          <w:color w:val="auto"/>
          <w:sz w:val="28"/>
          <w:szCs w:val="24"/>
        </w:rPr>
        <w:t>研究对象</w:t>
      </w:r>
      <w:bookmarkEnd w:id="25"/>
    </w:p>
    <w:p>
      <w:pPr>
        <w:ind w:firstLine="480"/>
        <w:rPr>
          <w:rFonts w:hint="eastAsia" w:ascii="宋体" w:hAnsi="宋体"/>
          <w:color w:val="auto"/>
          <w:lang w:eastAsia="zh-CN"/>
        </w:rPr>
      </w:pPr>
      <w:bookmarkStart w:id="26" w:name="_Toc444945518"/>
      <w:bookmarkStart w:id="27" w:name="_Toc437603901"/>
      <w:r>
        <w:rPr>
          <w:rFonts w:hint="eastAsia"/>
          <w:lang w:val="en-US" w:eastAsia="zh-CN"/>
        </w:rPr>
        <w:t>根据公司设备风险预警通知单2025-02《变电站临近带电体作业风险预警通知单》的要求，在开展</w:t>
      </w:r>
      <w:r>
        <w:t>避雷器阻性电流试验</w:t>
      </w:r>
      <w:r>
        <w:rPr>
          <w:rFonts w:hint="eastAsia"/>
          <w:lang w:val="en-US" w:eastAsia="zh-CN"/>
        </w:rPr>
        <w:t>时</w:t>
      </w:r>
      <w:r>
        <w:rPr>
          <w:spacing w:val="7"/>
        </w:rPr>
        <w:t>，必须将避雷器计数器上端(非接地端)</w:t>
      </w:r>
      <w:r>
        <w:t xml:space="preserve"> </w:t>
      </w:r>
      <w:r>
        <w:rPr>
          <w:spacing w:val="1"/>
        </w:rPr>
        <w:t>视为带电部位，在进行试验接线前需使用绝缘杆送万用</w:t>
      </w:r>
      <w:r>
        <w:t>表笔测量计数器上端电压，在确定安全后，戴绝缘手套先将计数器上端接地，再接入仪器测试线。测试结束后</w:t>
      </w:r>
      <w:r>
        <w:rPr>
          <w:spacing w:val="3"/>
        </w:rPr>
        <w:t>应将计数器上端重新接地后才能拆出测试线。</w:t>
      </w:r>
      <w:r>
        <w:rPr>
          <w:rFonts w:hint="eastAsia"/>
          <w:spacing w:val="3"/>
          <w:lang w:val="en-US" w:eastAsia="zh-CN"/>
        </w:rPr>
        <w:t>需要接地-测电压-接地-接电流线-接地-拆线-拆接地共7个步骤，费时费力，效率低下，频繁的采用绝缘杆接地存在与带电设备距离不足的安全隐患。因此有必要研制一种避雷器阻性电流测试接线辅助装置，按照公司文件的测试步骤要求，一次接线即可把7个步骤全部完成，无需频繁的进行换线操作。</w:t>
      </w:r>
    </w:p>
    <w:p>
      <w:pPr>
        <w:pStyle w:val="5"/>
        <w:tabs>
          <w:tab w:val="left" w:pos="0"/>
        </w:tabs>
        <w:spacing w:before="0" w:after="0" w:line="360" w:lineRule="auto"/>
        <w:rPr>
          <w:rFonts w:ascii="宋体" w:hAnsi="宋体" w:cs="宋体"/>
          <w:color w:val="auto"/>
          <w:sz w:val="28"/>
          <w:szCs w:val="24"/>
          <w:highlight w:val="yellow"/>
        </w:rPr>
      </w:pPr>
      <w:bookmarkStart w:id="28" w:name="_Toc31968"/>
      <w:r>
        <w:rPr>
          <w:rFonts w:hint="eastAsia" w:ascii="宋体" w:hAnsi="宋体" w:cs="宋体"/>
          <w:color w:val="auto"/>
          <w:sz w:val="28"/>
          <w:szCs w:val="24"/>
          <w:lang w:val="en-US" w:eastAsia="zh-CN"/>
        </w:rPr>
        <w:t>2</w:t>
      </w:r>
      <w:r>
        <w:rPr>
          <w:rFonts w:hint="eastAsia" w:ascii="宋体" w:hAnsi="宋体" w:cs="宋体"/>
          <w:color w:val="auto"/>
          <w:sz w:val="28"/>
          <w:szCs w:val="24"/>
        </w:rPr>
        <w:t>.2</w:t>
      </w:r>
      <w:r>
        <w:rPr>
          <w:rFonts w:hint="eastAsia" w:ascii="宋体" w:hAnsi="宋体" w:cs="宋体"/>
          <w:color w:val="auto"/>
          <w:sz w:val="28"/>
          <w:szCs w:val="24"/>
          <w:lang w:val="en-US" w:eastAsia="zh-CN"/>
        </w:rPr>
        <w:t xml:space="preserve"> </w:t>
      </w:r>
      <w:r>
        <w:rPr>
          <w:rFonts w:hint="eastAsia" w:ascii="宋体" w:hAnsi="宋体" w:cs="宋体"/>
          <w:color w:val="auto"/>
          <w:sz w:val="28"/>
          <w:szCs w:val="24"/>
        </w:rPr>
        <w:t>项目研究内容</w:t>
      </w:r>
      <w:bookmarkEnd w:id="26"/>
      <w:bookmarkEnd w:id="27"/>
      <w:bookmarkEnd w:id="28"/>
    </w:p>
    <w:p>
      <w:pPr>
        <w:ind w:firstLine="480"/>
        <w:rPr>
          <w:rFonts w:hint="default" w:ascii="宋体" w:hAnsi="宋体"/>
          <w:color w:val="auto"/>
        </w:rPr>
      </w:pPr>
      <w:r>
        <w:rPr>
          <w:rFonts w:hint="eastAsia" w:ascii="宋体" w:hAnsi="宋体"/>
          <w:color w:val="auto"/>
          <w:lang w:val="en-US" w:eastAsia="zh-CN"/>
        </w:rPr>
        <w:t>2</w:t>
      </w:r>
      <w:r>
        <w:rPr>
          <w:rFonts w:hint="eastAsia" w:ascii="宋体" w:hAnsi="宋体"/>
          <w:color w:val="auto"/>
        </w:rPr>
        <w:t>.2.1</w:t>
      </w:r>
      <w:r>
        <w:rPr>
          <w:rFonts w:hint="eastAsia" w:ascii="宋体" w:hAnsi="宋体"/>
          <w:color w:val="auto"/>
          <w:lang w:val="en-US" w:eastAsia="zh-CN"/>
        </w:rPr>
        <w:t xml:space="preserve"> </w:t>
      </w:r>
      <w:r>
        <w:rPr>
          <w:rFonts w:hint="eastAsia" w:ascii="宋体" w:hAnsi="宋体"/>
          <w:color w:val="auto"/>
        </w:rPr>
        <w:t>现有作业问题分析</w:t>
      </w:r>
    </w:p>
    <w:p>
      <w:pPr>
        <w:ind w:firstLine="480"/>
        <w:rPr>
          <w:rFonts w:hint="eastAsia" w:ascii="宋体" w:hAnsi="宋体"/>
          <w:color w:val="auto"/>
          <w:lang w:val="en-US" w:eastAsia="zh-CN"/>
        </w:rPr>
      </w:pPr>
      <w:r>
        <w:rPr>
          <w:rFonts w:hint="eastAsia" w:ascii="宋体" w:hAnsi="宋体"/>
          <w:color w:val="auto"/>
          <w:lang w:val="en-US" w:eastAsia="zh-CN"/>
        </w:rPr>
        <w:t>操作步骤繁琐：开展避雷器阻性电流试验时，需经历接地 - 测电压 - 接地 - 接电流线 - 接地 - 拆线 - 拆接地共7个步骤，费时费力，效率低下。</w:t>
      </w:r>
    </w:p>
    <w:p>
      <w:pPr>
        <w:ind w:firstLine="480"/>
        <w:rPr>
          <w:rFonts w:hint="eastAsia" w:ascii="宋体" w:hAnsi="宋体"/>
          <w:color w:val="auto"/>
          <w:lang w:eastAsia="zh-CN"/>
        </w:rPr>
      </w:pPr>
      <w:r>
        <w:rPr>
          <w:rFonts w:hint="eastAsia" w:ascii="宋体" w:hAnsi="宋体"/>
          <w:color w:val="auto"/>
          <w:lang w:val="en-US" w:eastAsia="zh-CN"/>
        </w:rPr>
        <w:t>存在安全隐患：频繁采用绝缘杆接地，存在与带电设备距离不足的安全隐患。2</w:t>
      </w:r>
      <w:r>
        <w:rPr>
          <w:rFonts w:hint="eastAsia" w:ascii="宋体" w:hAnsi="宋体"/>
          <w:color w:val="auto"/>
        </w:rPr>
        <w:t>.2.2</w:t>
      </w:r>
      <w:r>
        <w:rPr>
          <w:rFonts w:hint="eastAsia" w:ascii="宋体" w:hAnsi="宋体"/>
          <w:color w:val="auto"/>
          <w:lang w:val="en-US" w:eastAsia="zh-CN"/>
        </w:rPr>
        <w:t xml:space="preserve"> </w:t>
      </w:r>
      <w:r>
        <w:rPr>
          <w:rFonts w:hint="eastAsia" w:ascii="宋体" w:hAnsi="宋体"/>
          <w:color w:val="auto"/>
          <w:lang w:eastAsia="zh-CN"/>
        </w:rPr>
        <w:t>设计思路</w:t>
      </w:r>
    </w:p>
    <w:p>
      <w:pPr>
        <w:rPr>
          <w:rFonts w:hint="eastAsia" w:ascii="宋体" w:hAnsi="宋体"/>
          <w:color w:val="auto"/>
        </w:rPr>
      </w:pPr>
      <w:r>
        <w:rPr>
          <w:rFonts w:hint="eastAsia" w:ascii="宋体" w:hAnsi="宋体"/>
          <w:color w:val="auto"/>
        </w:rPr>
        <w:t>结合安全规范与效率提升需求，从功能定位、结构设计、安全防护、操作流程四个方面展开：</w:t>
      </w:r>
    </w:p>
    <w:p>
      <w:pPr>
        <w:rPr>
          <w:rFonts w:hint="eastAsia" w:ascii="宋体" w:hAnsi="宋体"/>
          <w:color w:val="auto"/>
        </w:rPr>
      </w:pPr>
      <w:r>
        <w:rPr>
          <w:rFonts w:hint="eastAsia" w:ascii="宋体" w:hAnsi="宋体"/>
          <w:color w:val="auto"/>
          <w:lang w:val="en-US" w:eastAsia="zh-CN"/>
        </w:rPr>
        <w:t>2.2.2.1</w:t>
      </w:r>
      <w:r>
        <w:rPr>
          <w:rFonts w:hint="eastAsia" w:ascii="宋体" w:hAnsi="宋体"/>
          <w:color w:val="auto"/>
        </w:rPr>
        <w:t>功能定位</w:t>
      </w:r>
    </w:p>
    <w:p>
      <w:pPr>
        <w:rPr>
          <w:rFonts w:hint="eastAsia" w:ascii="宋体" w:hAnsi="宋体"/>
          <w:color w:val="auto"/>
        </w:rPr>
      </w:pPr>
      <w:r>
        <w:rPr>
          <w:rFonts w:hint="eastAsia" w:ascii="宋体" w:hAnsi="宋体"/>
          <w:color w:val="auto"/>
        </w:rPr>
        <w:t>核心目标</w:t>
      </w:r>
      <w:r>
        <w:rPr>
          <w:rFonts w:hint="eastAsia" w:ascii="宋体" w:hAnsi="宋体"/>
          <w:color w:val="auto"/>
          <w:lang w:eastAsia="zh-CN"/>
        </w:rPr>
        <w:t>：</w:t>
      </w:r>
      <w:r>
        <w:rPr>
          <w:rFonts w:hint="eastAsia" w:ascii="宋体" w:hAnsi="宋体"/>
          <w:color w:val="auto"/>
        </w:rPr>
        <w:t>实现“一次接线完成7个步骤”，消除频繁换线操作。确保全流程符合《变电站临近带电体作业风险预警通知单》的安全要求</w:t>
      </w:r>
      <w:r>
        <w:rPr>
          <w:rFonts w:hint="eastAsia" w:ascii="宋体" w:hAnsi="宋体"/>
          <w:color w:val="auto"/>
          <w:lang w:eastAsia="zh-CN"/>
        </w:rPr>
        <w:t>，</w:t>
      </w:r>
      <w:r>
        <w:rPr>
          <w:rFonts w:hint="eastAsia" w:ascii="宋体" w:hAnsi="宋体"/>
          <w:color w:val="auto"/>
        </w:rPr>
        <w:t>提升作业效率，降低人员操作风险。</w:t>
      </w:r>
    </w:p>
    <w:p>
      <w:pPr>
        <w:rPr>
          <w:rFonts w:hint="eastAsia" w:ascii="宋体" w:hAnsi="宋体"/>
          <w:color w:val="auto"/>
        </w:rPr>
      </w:pPr>
      <w:r>
        <w:rPr>
          <w:rFonts w:hint="eastAsia" w:ascii="宋体" w:hAnsi="宋体"/>
          <w:color w:val="auto"/>
          <w:lang w:val="en-US" w:eastAsia="zh-CN"/>
        </w:rPr>
        <w:t>2.2.2.2</w:t>
      </w:r>
      <w:r>
        <w:rPr>
          <w:rFonts w:hint="eastAsia" w:ascii="宋体" w:hAnsi="宋体"/>
          <w:color w:val="auto"/>
        </w:rPr>
        <w:t>关键功能需求</w:t>
      </w:r>
    </w:p>
    <w:p>
      <w:pPr>
        <w:rPr>
          <w:rFonts w:hint="eastAsia" w:ascii="宋体" w:hAnsi="宋体"/>
          <w:color w:val="auto"/>
        </w:rPr>
      </w:pPr>
      <w:r>
        <w:rPr>
          <w:rFonts w:hint="eastAsia" w:ascii="宋体" w:hAnsi="宋体"/>
          <w:color w:val="auto"/>
        </w:rPr>
        <w:t>集成化操作：整合电压测量、临时接地、电流测试线接入功能。</w:t>
      </w:r>
    </w:p>
    <w:p>
      <w:pPr>
        <w:rPr>
          <w:rFonts w:hint="eastAsia" w:ascii="宋体" w:hAnsi="宋体"/>
          <w:color w:val="auto"/>
        </w:rPr>
      </w:pPr>
      <w:r>
        <w:rPr>
          <w:rFonts w:hint="eastAsia" w:ascii="宋体" w:hAnsi="宋体"/>
          <w:color w:val="auto"/>
        </w:rPr>
        <w:t>安全隔离：防止操作人员直接接触带电部位，确保与带电体安全距离。</w:t>
      </w:r>
    </w:p>
    <w:p>
      <w:pPr>
        <w:rPr>
          <w:rFonts w:hint="eastAsia" w:ascii="宋体" w:hAnsi="宋体"/>
          <w:color w:val="auto"/>
        </w:rPr>
      </w:pPr>
      <w:r>
        <w:rPr>
          <w:rFonts w:hint="eastAsia" w:ascii="宋体" w:hAnsi="宋体"/>
          <w:color w:val="auto"/>
        </w:rPr>
        <w:t>快速切换：支持测试前接地、测试中隔离、测试后恢复接地的无缝切换。</w:t>
      </w:r>
    </w:p>
    <w:p>
      <w:pPr>
        <w:rPr>
          <w:rFonts w:hint="default" w:ascii="宋体" w:hAnsi="宋体"/>
          <w:color w:val="auto"/>
          <w:lang w:val="en-US" w:eastAsia="zh-CN"/>
        </w:rPr>
      </w:pPr>
      <w:r>
        <w:rPr>
          <w:rFonts w:hint="eastAsia" w:ascii="宋体" w:hAnsi="宋体"/>
          <w:color w:val="auto"/>
        </w:rPr>
        <w:t>状态指示：通过机械或电子方式明确显示当前操作状态（如接地/隔离）。</w:t>
      </w:r>
      <w:r>
        <w:rPr>
          <w:rFonts w:hint="eastAsia" w:ascii="宋体" w:hAnsi="宋体"/>
          <w:color w:val="auto"/>
          <w:lang w:val="en-US" w:eastAsia="zh-CN"/>
        </w:rPr>
        <w:t xml:space="preserve">2.2.3 </w:t>
      </w:r>
      <w:r>
        <w:rPr>
          <w:rFonts w:hint="default" w:ascii="宋体" w:hAnsi="宋体"/>
          <w:color w:val="auto"/>
          <w:lang w:val="en-US" w:eastAsia="zh-CN"/>
        </w:rPr>
        <w:t>工作原理</w:t>
      </w:r>
    </w:p>
    <w:p>
      <w:pPr>
        <w:ind w:firstLine="480"/>
        <w:rPr>
          <w:rFonts w:hint="eastAsia" w:ascii="宋体" w:hAnsi="宋体"/>
          <w:color w:val="auto"/>
          <w:lang w:val="en-US" w:eastAsia="zh-CN"/>
        </w:rPr>
      </w:pPr>
      <w:r>
        <w:rPr>
          <w:rFonts w:hint="eastAsia" w:ascii="宋体" w:hAnsi="宋体"/>
          <w:color w:val="auto"/>
          <w:lang w:val="en-US" w:eastAsia="zh-CN"/>
        </w:rPr>
        <w:t>2.2.3.1 整体功能定位</w:t>
      </w:r>
    </w:p>
    <w:p>
      <w:pPr>
        <w:ind w:firstLine="480"/>
        <w:rPr>
          <w:rFonts w:hint="eastAsia" w:ascii="宋体" w:hAnsi="宋体"/>
          <w:color w:val="auto"/>
          <w:lang w:val="en-US" w:eastAsia="zh-CN"/>
        </w:rPr>
      </w:pPr>
      <w:r>
        <w:rPr>
          <w:rFonts w:hint="eastAsia" w:ascii="宋体" w:hAnsi="宋体"/>
          <w:color w:val="auto"/>
          <w:lang w:val="en-US" w:eastAsia="zh-CN"/>
        </w:rPr>
        <w:t>该装置通过标准化接线流程和集成化安全设计，解决传统避雷器阻性电流测试中“接线复杂、安全风险高、数据误差大”的问题，实现“单人操作、一次接线完成全流程测试”的目标。</w:t>
      </w:r>
    </w:p>
    <w:p>
      <w:pPr>
        <w:ind w:firstLine="480"/>
        <w:rPr>
          <w:rFonts w:hint="eastAsia" w:ascii="宋体" w:hAnsi="宋体"/>
          <w:color w:val="auto"/>
          <w:lang w:val="en-US" w:eastAsia="zh-CN"/>
        </w:rPr>
      </w:pPr>
      <w:r>
        <w:rPr>
          <w:rFonts w:hint="eastAsia" w:ascii="宋体" w:hAnsi="宋体"/>
          <w:color w:val="auto"/>
          <w:lang w:val="en-US" w:eastAsia="zh-CN"/>
        </w:rPr>
        <w:t>2.2.3.2 核心工作原理分步解析</w:t>
      </w:r>
    </w:p>
    <w:p>
      <w:pPr>
        <w:ind w:firstLine="480"/>
        <w:rPr>
          <w:rFonts w:hint="eastAsia" w:ascii="宋体" w:hAnsi="宋体"/>
          <w:color w:val="auto"/>
          <w:lang w:val="en-US" w:eastAsia="zh-CN"/>
        </w:rPr>
      </w:pPr>
      <w:r>
        <w:rPr>
          <w:rFonts w:hint="eastAsia" w:ascii="宋体" w:hAnsi="宋体"/>
          <w:color w:val="auto"/>
          <w:lang w:val="en-US" w:eastAsia="zh-CN"/>
        </w:rPr>
        <w:t>（1）绝缘支撑与安全隔离</w:t>
      </w:r>
    </w:p>
    <w:p>
      <w:pPr>
        <w:ind w:firstLine="480"/>
        <w:rPr>
          <w:rFonts w:hint="eastAsia" w:ascii="宋体" w:hAnsi="宋体"/>
          <w:color w:val="auto"/>
          <w:lang w:val="en-US" w:eastAsia="zh-CN"/>
        </w:rPr>
      </w:pPr>
      <w:r>
        <w:rPr>
          <w:rFonts w:hint="eastAsia" w:ascii="宋体" w:hAnsi="宋体"/>
          <w:color w:val="auto"/>
          <w:lang w:val="en-US" w:eastAsia="zh-CN"/>
        </w:rPr>
        <w:t>绝缘杆机械支撑：</w:t>
      </w:r>
    </w:p>
    <w:p>
      <w:pPr>
        <w:ind w:firstLine="480"/>
        <w:rPr>
          <w:rFonts w:hint="eastAsia" w:ascii="宋体" w:hAnsi="宋体"/>
          <w:color w:val="auto"/>
          <w:lang w:val="en-US" w:eastAsia="zh-CN"/>
        </w:rPr>
      </w:pPr>
      <w:r>
        <w:rPr>
          <w:rFonts w:hint="eastAsia" w:ascii="宋体" w:hAnsi="宋体"/>
          <w:color w:val="auto"/>
          <w:lang w:val="en-US" w:eastAsia="zh-CN"/>
        </w:rPr>
        <w:t>采用环氧树脂玻璃纤维绝缘杆，通过分节设计（如2m/节）调整长度，确保操作端与带电体保持安全距离。</w:t>
      </w:r>
    </w:p>
    <w:p>
      <w:pPr>
        <w:ind w:firstLine="480"/>
        <w:rPr>
          <w:rFonts w:hint="eastAsia" w:ascii="宋体" w:hAnsi="宋体"/>
          <w:color w:val="auto"/>
          <w:lang w:val="en-US" w:eastAsia="zh-CN"/>
        </w:rPr>
      </w:pPr>
      <w:r>
        <w:rPr>
          <w:rFonts w:hint="eastAsia" w:ascii="宋体" w:hAnsi="宋体"/>
          <w:color w:val="auto"/>
          <w:lang w:val="en-US" w:eastAsia="zh-CN"/>
        </w:rPr>
        <w:t>原理依据：利用高强度绝缘材料阻断电流通路，防止操作人员触电。</w:t>
      </w:r>
    </w:p>
    <w:p>
      <w:pPr>
        <w:ind w:firstLine="480"/>
        <w:rPr>
          <w:rFonts w:hint="eastAsia" w:ascii="宋体" w:hAnsi="宋体"/>
          <w:color w:val="auto"/>
          <w:lang w:val="en-US" w:eastAsia="zh-CN"/>
        </w:rPr>
      </w:pPr>
      <w:r>
        <w:rPr>
          <w:rFonts w:hint="eastAsia" w:ascii="宋体" w:hAnsi="宋体"/>
          <w:color w:val="auto"/>
          <w:lang w:val="en-US" w:eastAsia="zh-CN"/>
        </w:rPr>
        <w:t>关键参数：绝缘电阻≥1000MΩ，耐压强度42kV/1min（工频）。</w:t>
      </w:r>
    </w:p>
    <w:p>
      <w:pPr>
        <w:ind w:firstLine="480"/>
        <w:rPr>
          <w:rFonts w:hint="eastAsia" w:ascii="宋体" w:hAnsi="宋体"/>
          <w:color w:val="auto"/>
          <w:lang w:val="en-US" w:eastAsia="zh-CN"/>
        </w:rPr>
      </w:pPr>
      <w:r>
        <w:rPr>
          <w:rFonts w:hint="eastAsia" w:ascii="宋体" w:hAnsi="宋体"/>
          <w:color w:val="auto"/>
          <w:lang w:val="en-US" w:eastAsia="zh-CN"/>
        </w:rPr>
        <w:t>物理隔离设计：</w:t>
      </w:r>
    </w:p>
    <w:p>
      <w:pPr>
        <w:ind w:firstLine="480"/>
        <w:rPr>
          <w:rFonts w:hint="eastAsia" w:ascii="宋体" w:hAnsi="宋体"/>
          <w:color w:val="auto"/>
          <w:lang w:val="en-US" w:eastAsia="zh-CN"/>
        </w:rPr>
      </w:pPr>
      <w:r>
        <w:rPr>
          <w:rFonts w:hint="eastAsia" w:ascii="宋体" w:hAnsi="宋体"/>
          <w:color w:val="auto"/>
          <w:lang w:val="en-US" w:eastAsia="zh-CN"/>
        </w:rPr>
        <w:t>电流接口与电压接口通过孔径大小、颜色标识物理隔离，避免误插导致短路。</w:t>
      </w:r>
    </w:p>
    <w:p>
      <w:pPr>
        <w:ind w:firstLine="480"/>
        <w:rPr>
          <w:rFonts w:hint="eastAsia" w:ascii="宋体" w:hAnsi="宋体"/>
          <w:color w:val="auto"/>
          <w:lang w:val="en-US" w:eastAsia="zh-CN"/>
        </w:rPr>
      </w:pPr>
      <w:r>
        <w:rPr>
          <w:rFonts w:hint="eastAsia" w:ascii="宋体" w:hAnsi="宋体"/>
          <w:color w:val="auto"/>
          <w:lang w:val="en-US" w:eastAsia="zh-CN"/>
        </w:rPr>
        <w:t>原理依据：通过结构限制防止操作错误，符合《电力安全工作规程》中“防误操作”要求。</w:t>
      </w:r>
    </w:p>
    <w:p>
      <w:pPr>
        <w:ind w:firstLine="480"/>
        <w:rPr>
          <w:rFonts w:hint="eastAsia" w:ascii="宋体" w:hAnsi="宋体"/>
          <w:color w:val="auto"/>
          <w:lang w:val="en-US" w:eastAsia="zh-CN"/>
        </w:rPr>
      </w:pPr>
      <w:r>
        <w:rPr>
          <w:rFonts w:hint="eastAsia" w:ascii="宋体" w:hAnsi="宋体"/>
          <w:color w:val="auto"/>
          <w:lang w:val="en-US" w:eastAsia="zh-CN"/>
        </w:rPr>
        <w:t>（2）快速接地与电流导通</w:t>
      </w:r>
    </w:p>
    <w:p>
      <w:pPr>
        <w:ind w:firstLine="480"/>
        <w:rPr>
          <w:rFonts w:hint="eastAsia" w:ascii="宋体" w:hAnsi="宋体"/>
          <w:color w:val="auto"/>
          <w:lang w:val="en-US" w:eastAsia="zh-CN"/>
        </w:rPr>
      </w:pPr>
      <w:r>
        <w:rPr>
          <w:rFonts w:hint="eastAsia" w:ascii="宋体" w:hAnsi="宋体"/>
          <w:color w:val="auto"/>
          <w:lang w:val="en-US" w:eastAsia="zh-CN"/>
        </w:rPr>
        <w:t>自锁式接地夹：</w:t>
      </w:r>
    </w:p>
    <w:p>
      <w:pPr>
        <w:ind w:firstLine="480"/>
        <w:rPr>
          <w:rFonts w:hint="eastAsia" w:ascii="宋体" w:hAnsi="宋体"/>
          <w:color w:val="auto"/>
          <w:lang w:val="en-US" w:eastAsia="zh-CN"/>
        </w:rPr>
      </w:pPr>
      <w:r>
        <w:rPr>
          <w:rFonts w:hint="eastAsia" w:ascii="宋体" w:hAnsi="宋体"/>
          <w:color w:val="auto"/>
          <w:lang w:val="en-US" w:eastAsia="zh-CN"/>
        </w:rPr>
        <w:t>接地夹采用弹簧压力自锁机构，夹紧避雷器放电计数器上端引线后自动锁定，确保接触电阻≤50μΩ（100A电流下）。</w:t>
      </w:r>
    </w:p>
    <w:p>
      <w:pPr>
        <w:ind w:firstLine="480"/>
        <w:rPr>
          <w:rFonts w:hint="eastAsia" w:ascii="宋体" w:hAnsi="宋体"/>
          <w:color w:val="auto"/>
          <w:lang w:val="en-US" w:eastAsia="zh-CN"/>
        </w:rPr>
      </w:pPr>
      <w:r>
        <w:rPr>
          <w:rFonts w:hint="eastAsia" w:ascii="宋体" w:hAnsi="宋体"/>
          <w:color w:val="auto"/>
          <w:lang w:val="en-US" w:eastAsia="zh-CN"/>
        </w:rPr>
        <w:t>原理依据：通过机械结构保证导电稳定性，减少因松动导致的测量误差。</w:t>
      </w:r>
    </w:p>
    <w:p>
      <w:pPr>
        <w:ind w:firstLine="480"/>
        <w:rPr>
          <w:rFonts w:hint="eastAsia" w:ascii="宋体" w:hAnsi="宋体"/>
          <w:color w:val="auto"/>
          <w:lang w:val="en-US" w:eastAsia="zh-CN"/>
        </w:rPr>
      </w:pPr>
      <w:r>
        <w:rPr>
          <w:rFonts w:hint="eastAsia" w:ascii="宋体" w:hAnsi="宋体"/>
          <w:color w:val="auto"/>
          <w:lang w:val="en-US" w:eastAsia="zh-CN"/>
        </w:rPr>
        <w:t>安全功能：接地状态通过声光报警反馈（红灯闪烁+蜂鸣器鸣响），未夹紧时禁止测试。</w:t>
      </w:r>
    </w:p>
    <w:p>
      <w:pPr>
        <w:ind w:firstLine="480"/>
        <w:rPr>
          <w:rFonts w:hint="eastAsia" w:ascii="宋体" w:hAnsi="宋体"/>
          <w:color w:val="auto"/>
          <w:lang w:val="en-US" w:eastAsia="zh-CN"/>
        </w:rPr>
      </w:pPr>
      <w:r>
        <w:rPr>
          <w:rFonts w:hint="eastAsia" w:ascii="宋体" w:hAnsi="宋体"/>
          <w:color w:val="auto"/>
          <w:lang w:val="en-US" w:eastAsia="zh-CN"/>
        </w:rPr>
        <w:t>电流传输路径：</w:t>
      </w:r>
    </w:p>
    <w:p>
      <w:pPr>
        <w:ind w:firstLine="480"/>
        <w:rPr>
          <w:rFonts w:hint="eastAsia" w:ascii="宋体" w:hAnsi="宋体"/>
          <w:color w:val="auto"/>
          <w:lang w:val="en-US" w:eastAsia="zh-CN"/>
        </w:rPr>
      </w:pPr>
      <w:r>
        <w:rPr>
          <w:rFonts w:hint="eastAsia" w:ascii="宋体" w:hAnsi="宋体"/>
          <w:color w:val="auto"/>
          <w:lang w:val="en-US" w:eastAsia="zh-CN"/>
        </w:rPr>
        <w:t>阻性电流通过接地夹→绝缘杆内置导线→测试仪接口，形成低阻抗通路。</w:t>
      </w:r>
    </w:p>
    <w:p>
      <w:pPr>
        <w:ind w:firstLine="480"/>
        <w:rPr>
          <w:rFonts w:hint="eastAsia" w:ascii="宋体" w:hAnsi="宋体"/>
          <w:color w:val="auto"/>
          <w:lang w:val="en-US" w:eastAsia="zh-CN"/>
        </w:rPr>
      </w:pPr>
      <w:r>
        <w:rPr>
          <w:rFonts w:hint="eastAsia" w:ascii="宋体" w:hAnsi="宋体"/>
          <w:color w:val="auto"/>
          <w:lang w:val="en-US" w:eastAsia="zh-CN"/>
        </w:rPr>
        <w:t>原理依据：欧姆定律（I=U/R），低接触电阻减少电压降，提高电流测量精度。</w:t>
      </w:r>
    </w:p>
    <w:p>
      <w:pPr>
        <w:ind w:firstLine="480"/>
        <w:rPr>
          <w:rFonts w:hint="eastAsia" w:ascii="宋体" w:hAnsi="宋体"/>
          <w:color w:val="auto"/>
          <w:lang w:val="en-US" w:eastAsia="zh-CN"/>
        </w:rPr>
      </w:pPr>
      <w:r>
        <w:rPr>
          <w:rFonts w:hint="eastAsia" w:ascii="宋体" w:hAnsi="宋体"/>
          <w:color w:val="auto"/>
          <w:lang w:val="en-US" w:eastAsia="zh-CN"/>
        </w:rPr>
        <w:t>（3）电压同步采集与抗干扰</w:t>
      </w:r>
    </w:p>
    <w:p>
      <w:pPr>
        <w:ind w:firstLine="480"/>
        <w:rPr>
          <w:rFonts w:hint="default" w:ascii="宋体" w:hAnsi="宋体"/>
          <w:color w:val="auto"/>
          <w:lang w:val="en-US" w:eastAsia="zh-CN"/>
        </w:rPr>
      </w:pPr>
      <w:r>
        <w:rPr>
          <w:rFonts w:hint="eastAsia" w:ascii="宋体" w:hAnsi="宋体"/>
          <w:color w:val="auto"/>
          <w:lang w:val="en-US" w:eastAsia="zh-CN"/>
        </w:rPr>
        <w:t>将避雷器放电计数器两端电压按比例衰减至测试仪量程（如0~1000V），超出安全电压时自动报警并语音提示。</w:t>
      </w:r>
    </w:p>
    <w:p>
      <w:pPr>
        <w:ind w:firstLine="480"/>
        <w:rPr>
          <w:rFonts w:hint="eastAsia" w:ascii="宋体" w:hAnsi="宋体"/>
          <w:color w:val="auto"/>
          <w:lang w:val="en-US" w:eastAsia="zh-CN"/>
        </w:rPr>
      </w:pPr>
      <w:r>
        <w:rPr>
          <w:rFonts w:hint="eastAsia" w:ascii="宋体" w:hAnsi="宋体"/>
          <w:color w:val="auto"/>
          <w:lang w:val="en-US" w:eastAsia="zh-CN"/>
        </w:rPr>
        <w:t>抗干扰设计：采用屏蔽双绞线传输信号，抑制电磁干扰（EMC满足IEC 61000-4-5标准）。</w:t>
      </w:r>
    </w:p>
    <w:p>
      <w:pPr>
        <w:ind w:firstLine="480"/>
        <w:rPr>
          <w:rFonts w:hint="eastAsia" w:ascii="宋体" w:hAnsi="宋体"/>
          <w:color w:val="auto"/>
          <w:lang w:val="en-US" w:eastAsia="zh-CN"/>
        </w:rPr>
      </w:pPr>
      <w:r>
        <w:rPr>
          <w:rFonts w:hint="eastAsia" w:ascii="宋体" w:hAnsi="宋体"/>
          <w:color w:val="auto"/>
          <w:lang w:val="en-US" w:eastAsia="zh-CN"/>
        </w:rPr>
        <w:t>（4）阻性电流接通</w:t>
      </w:r>
    </w:p>
    <w:p>
      <w:pPr>
        <w:ind w:firstLine="480"/>
        <w:rPr>
          <w:rFonts w:hint="default" w:ascii="宋体" w:hAnsi="宋体"/>
          <w:color w:val="auto"/>
          <w:lang w:val="en-US" w:eastAsia="zh-CN"/>
        </w:rPr>
      </w:pPr>
      <w:r>
        <w:rPr>
          <w:rFonts w:hint="eastAsia" w:ascii="宋体" w:hAnsi="宋体"/>
          <w:color w:val="auto"/>
          <w:lang w:val="en-US" w:eastAsia="zh-CN"/>
        </w:rPr>
        <w:t>通过切换装置，自动将电流回路接通，用于阻性电流测量。</w:t>
      </w:r>
    </w:p>
    <w:p>
      <w:pPr>
        <w:ind w:firstLine="480"/>
        <w:rPr>
          <w:rFonts w:hint="eastAsia" w:ascii="宋体" w:hAnsi="宋体"/>
          <w:color w:val="auto"/>
          <w:lang w:val="en-US" w:eastAsia="zh-CN"/>
        </w:rPr>
      </w:pPr>
      <w:r>
        <w:rPr>
          <w:rFonts w:hint="eastAsia" w:ascii="宋体" w:hAnsi="宋体"/>
          <w:color w:val="auto"/>
          <w:lang w:val="en-US" w:eastAsia="zh-CN"/>
        </w:rPr>
        <w:t>（5）过压保护与应急断电</w:t>
      </w:r>
    </w:p>
    <w:p>
      <w:pPr>
        <w:ind w:firstLine="480"/>
        <w:rPr>
          <w:rFonts w:hint="eastAsia" w:ascii="宋体" w:hAnsi="宋体"/>
          <w:color w:val="auto"/>
          <w:lang w:val="en-US" w:eastAsia="zh-CN"/>
        </w:rPr>
      </w:pPr>
      <w:r>
        <w:rPr>
          <w:rFonts w:hint="eastAsia" w:ascii="宋体" w:hAnsi="宋体"/>
          <w:color w:val="auto"/>
          <w:lang w:val="en-US" w:eastAsia="zh-CN"/>
        </w:rPr>
        <w:t>压敏电阻保护：</w:t>
      </w:r>
    </w:p>
    <w:p>
      <w:pPr>
        <w:ind w:firstLine="480"/>
        <w:rPr>
          <w:rFonts w:hint="eastAsia" w:ascii="宋体" w:hAnsi="宋体"/>
          <w:color w:val="auto"/>
          <w:lang w:val="en-US" w:eastAsia="zh-CN"/>
        </w:rPr>
      </w:pPr>
      <w:r>
        <w:rPr>
          <w:rFonts w:hint="eastAsia" w:ascii="宋体" w:hAnsi="宋体"/>
          <w:color w:val="auto"/>
          <w:lang w:val="en-US" w:eastAsia="zh-CN"/>
        </w:rPr>
        <w:t>在电压接口并联压敏电阻（动作电压1.2倍额定值），瞬态过压时导通泄放能量。</w:t>
      </w:r>
    </w:p>
    <w:p>
      <w:pPr>
        <w:ind w:firstLine="480"/>
        <w:rPr>
          <w:rFonts w:hint="eastAsia" w:ascii="宋体" w:hAnsi="宋体"/>
          <w:color w:val="auto"/>
          <w:lang w:val="en-US" w:eastAsia="zh-CN"/>
        </w:rPr>
      </w:pPr>
      <w:r>
        <w:rPr>
          <w:rFonts w:hint="eastAsia" w:ascii="宋体" w:hAnsi="宋体"/>
          <w:color w:val="auto"/>
          <w:lang w:val="en-US" w:eastAsia="zh-CN"/>
        </w:rPr>
        <w:t>原理依据：压敏电阻伏安特性（V=kI^α），快速响应浪涌冲击。</w:t>
      </w:r>
    </w:p>
    <w:p>
      <w:pPr>
        <w:ind w:firstLine="480"/>
        <w:rPr>
          <w:rFonts w:hint="eastAsia" w:ascii="宋体" w:hAnsi="宋体"/>
          <w:color w:val="auto"/>
          <w:lang w:val="en-US" w:eastAsia="zh-CN"/>
        </w:rPr>
      </w:pPr>
      <w:r>
        <w:rPr>
          <w:rFonts w:hint="eastAsia" w:ascii="宋体" w:hAnsi="宋体"/>
          <w:color w:val="auto"/>
          <w:lang w:val="en-US" w:eastAsia="zh-CN"/>
        </w:rPr>
        <w:t>关键参数：雷电冲击耐压185kV（峰值）。</w:t>
      </w:r>
    </w:p>
    <w:p>
      <w:pPr>
        <w:ind w:firstLine="480"/>
        <w:rPr>
          <w:rFonts w:hint="eastAsia" w:ascii="宋体" w:hAnsi="宋体"/>
          <w:color w:val="auto"/>
          <w:lang w:val="en-US" w:eastAsia="zh-CN"/>
        </w:rPr>
      </w:pPr>
      <w:r>
        <w:rPr>
          <w:rFonts w:hint="eastAsia" w:ascii="宋体" w:hAnsi="宋体"/>
          <w:color w:val="auto"/>
          <w:lang w:val="en-US" w:eastAsia="zh-CN"/>
        </w:rPr>
        <w:t>2.2.3.3工作流程图示（文字描述）</w:t>
      </w:r>
    </w:p>
    <w:p>
      <w:pPr>
        <w:ind w:firstLine="480"/>
        <w:rPr>
          <w:rFonts w:hint="eastAsia" w:ascii="宋体" w:hAnsi="宋体"/>
          <w:color w:val="auto"/>
          <w:lang w:val="en-US" w:eastAsia="zh-CN"/>
        </w:rPr>
      </w:pPr>
      <w:r>
        <w:rPr>
          <w:rFonts w:hint="eastAsia" w:ascii="宋体" w:hAnsi="宋体"/>
          <w:color w:val="auto"/>
          <w:lang w:val="en-US" w:eastAsia="zh-CN"/>
        </w:rPr>
        <w:t>展开绝缘杆 → 调整至安全距离。</w:t>
      </w:r>
    </w:p>
    <w:p>
      <w:pPr>
        <w:ind w:firstLine="480"/>
        <w:rPr>
          <w:rFonts w:hint="eastAsia" w:ascii="宋体" w:hAnsi="宋体"/>
          <w:color w:val="auto"/>
          <w:lang w:val="en-US" w:eastAsia="zh-CN"/>
        </w:rPr>
      </w:pPr>
      <w:r>
        <w:rPr>
          <w:rFonts w:hint="eastAsia" w:ascii="宋体" w:hAnsi="宋体"/>
          <w:color w:val="auto"/>
          <w:lang w:val="en-US" w:eastAsia="zh-CN"/>
        </w:rPr>
        <w:t>夹紧接地夹 → 自锁并触发声光报警（确认接地）。</w:t>
      </w:r>
    </w:p>
    <w:p>
      <w:pPr>
        <w:ind w:firstLine="480"/>
        <w:rPr>
          <w:rFonts w:hint="eastAsia" w:ascii="宋体" w:hAnsi="宋体"/>
          <w:color w:val="auto"/>
          <w:lang w:val="en-US" w:eastAsia="zh-CN"/>
        </w:rPr>
      </w:pPr>
      <w:r>
        <w:rPr>
          <w:rFonts w:hint="eastAsia" w:ascii="宋体" w:hAnsi="宋体"/>
          <w:color w:val="auto"/>
          <w:lang w:val="en-US" w:eastAsia="zh-CN"/>
        </w:rPr>
        <w:t>连接电流线 → 插入电流接口（物理隔离防止误插）。</w:t>
      </w:r>
    </w:p>
    <w:p>
      <w:pPr>
        <w:ind w:firstLine="480"/>
        <w:rPr>
          <w:rFonts w:hint="default" w:ascii="宋体" w:hAnsi="宋体"/>
          <w:color w:val="auto"/>
          <w:lang w:val="en-US" w:eastAsia="zh-CN"/>
        </w:rPr>
      </w:pPr>
      <w:r>
        <w:rPr>
          <w:rFonts w:hint="eastAsia" w:ascii="宋体" w:hAnsi="宋体"/>
          <w:color w:val="auto"/>
          <w:lang w:val="en-US" w:eastAsia="zh-CN"/>
        </w:rPr>
        <w:t>接入避雷器放电计数器引线-测量放电计数器两端电压</w:t>
      </w:r>
    </w:p>
    <w:p>
      <w:pPr>
        <w:ind w:firstLine="480"/>
        <w:rPr>
          <w:rFonts w:hint="eastAsia" w:ascii="宋体" w:hAnsi="宋体"/>
          <w:color w:val="auto"/>
          <w:lang w:val="en-US" w:eastAsia="zh-CN"/>
        </w:rPr>
      </w:pPr>
      <w:r>
        <w:rPr>
          <w:rFonts w:hint="eastAsia" w:ascii="宋体" w:hAnsi="宋体"/>
          <w:color w:val="auto"/>
          <w:lang w:val="en-US" w:eastAsia="zh-CN"/>
        </w:rPr>
        <w:t>启动测试 → 测试仪同步采集电压，超过安全电压报警，未超出语音提示电压测量结果；</w:t>
      </w:r>
    </w:p>
    <w:p>
      <w:pPr>
        <w:pStyle w:val="2"/>
        <w:jc w:val="left"/>
        <w:rPr>
          <w:rFonts w:hint="eastAsia" w:ascii="宋体" w:hAnsi="宋体"/>
          <w:color w:val="auto"/>
          <w:lang w:val="en-US" w:eastAsia="zh-CN"/>
        </w:rPr>
      </w:pPr>
      <w:r>
        <w:rPr>
          <w:rFonts w:hint="eastAsia" w:ascii="宋体" w:hAnsi="宋体" w:eastAsia="宋体" w:cs="黑体"/>
          <w:b w:val="0"/>
          <w:bCs w:val="0"/>
          <w:color w:val="auto"/>
          <w:kern w:val="2"/>
          <w:sz w:val="24"/>
          <w:szCs w:val="22"/>
          <w:lang w:val="en-US" w:eastAsia="zh-CN" w:bidi="ar-SA"/>
        </w:rPr>
        <w:t>接地模块接入，切换至电流接线</w:t>
      </w:r>
      <w:r>
        <w:rPr>
          <w:rFonts w:hint="eastAsia" w:ascii="宋体" w:hAnsi="宋体" w:cs="黑体"/>
          <w:b w:val="0"/>
          <w:bCs w:val="0"/>
          <w:color w:val="auto"/>
          <w:kern w:val="2"/>
          <w:sz w:val="24"/>
          <w:szCs w:val="22"/>
          <w:lang w:val="en-US" w:eastAsia="zh-CN" w:bidi="ar-SA"/>
        </w:rPr>
        <w:t>，阻性电流测试获得电流信号。</w:t>
      </w:r>
    </w:p>
    <w:p>
      <w:pPr>
        <w:ind w:firstLine="480"/>
        <w:rPr>
          <w:rFonts w:hint="default" w:ascii="宋体" w:hAnsi="宋体"/>
          <w:color w:val="auto"/>
          <w:lang w:val="en-US" w:eastAsia="zh-CN"/>
        </w:rPr>
      </w:pPr>
      <w:r>
        <w:rPr>
          <w:rFonts w:hint="eastAsia" w:ascii="宋体" w:hAnsi="宋体"/>
          <w:color w:val="auto"/>
          <w:lang w:val="en-US" w:eastAsia="zh-CN"/>
        </w:rPr>
        <w:t>测量完毕，接地回路接入，断开电流回路</w:t>
      </w:r>
    </w:p>
    <w:p>
      <w:pPr>
        <w:ind w:firstLine="480"/>
        <w:rPr>
          <w:rFonts w:hint="eastAsia" w:ascii="宋体" w:hAnsi="宋体"/>
          <w:color w:val="auto"/>
          <w:lang w:val="en-US" w:eastAsia="zh-CN"/>
        </w:rPr>
      </w:pPr>
      <w:r>
        <w:rPr>
          <w:rFonts w:hint="eastAsia" w:ascii="宋体" w:hAnsi="宋体"/>
          <w:color w:val="auto"/>
          <w:lang w:val="en-US" w:eastAsia="zh-CN"/>
        </w:rPr>
        <w:t>收回设备 → 断开连接，折叠绝缘杆。</w:t>
      </w:r>
    </w:p>
    <w:p>
      <w:pPr>
        <w:ind w:firstLine="480"/>
        <w:rPr>
          <w:rFonts w:hint="eastAsia" w:ascii="宋体" w:hAnsi="宋体"/>
          <w:color w:val="auto"/>
          <w:lang w:val="en-US" w:eastAsia="zh-CN"/>
        </w:rPr>
      </w:pPr>
      <w:r>
        <w:rPr>
          <w:rFonts w:hint="eastAsia" w:ascii="宋体" w:hAnsi="宋体"/>
          <w:color w:val="auto"/>
          <w:lang w:val="en-US" w:eastAsia="zh-CN"/>
        </w:rPr>
        <w:t>2.2.3.4 原理创新点总结</w:t>
      </w:r>
    </w:p>
    <w:p>
      <w:pPr>
        <w:ind w:firstLine="480"/>
        <w:rPr>
          <w:rFonts w:hint="eastAsia" w:ascii="宋体" w:hAnsi="宋体"/>
          <w:color w:val="auto"/>
          <w:lang w:val="en-US" w:eastAsia="zh-CN"/>
        </w:rPr>
      </w:pPr>
      <w:r>
        <w:rPr>
          <w:rFonts w:hint="eastAsia" w:ascii="宋体" w:hAnsi="宋体"/>
          <w:color w:val="auto"/>
          <w:lang w:val="en-US" w:eastAsia="zh-CN"/>
        </w:rPr>
        <w:t>安全设计：通过绝缘杆+自锁接地夹+声光报警，构建“机械-电气-提示”三级防护。</w:t>
      </w:r>
    </w:p>
    <w:p>
      <w:pPr>
        <w:ind w:firstLine="480"/>
        <w:rPr>
          <w:rFonts w:hint="eastAsia" w:ascii="宋体" w:hAnsi="宋体"/>
          <w:color w:val="auto"/>
          <w:lang w:val="en-US" w:eastAsia="zh-CN"/>
        </w:rPr>
      </w:pPr>
      <w:r>
        <w:rPr>
          <w:rFonts w:hint="eastAsia" w:ascii="宋体" w:hAnsi="宋体"/>
          <w:color w:val="auto"/>
          <w:lang w:val="en-US" w:eastAsia="zh-CN"/>
        </w:rPr>
        <w:t>效率提升：集成电压/电流接口，避免反复接线，单人操作时间缩短至1分钟内。</w:t>
      </w:r>
    </w:p>
    <w:p>
      <w:pPr>
        <w:ind w:firstLine="480"/>
        <w:rPr>
          <w:rFonts w:hint="eastAsia" w:ascii="宋体" w:hAnsi="宋体"/>
          <w:color w:val="auto"/>
          <w:lang w:val="en-US" w:eastAsia="zh-CN"/>
        </w:rPr>
      </w:pPr>
      <w:r>
        <w:rPr>
          <w:rFonts w:hint="eastAsia" w:ascii="宋体" w:hAnsi="宋体"/>
          <w:color w:val="auto"/>
          <w:lang w:val="en-US" w:eastAsia="zh-CN"/>
        </w:rPr>
        <w:t>精度保障：低接触电阻（≤50μΩ）+抗干扰传输，测量误差≤±1%。</w:t>
      </w:r>
    </w:p>
    <w:p>
      <w:pPr>
        <w:ind w:firstLine="480"/>
        <w:rPr>
          <w:rFonts w:hint="default"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2.2.4 </w:t>
      </w:r>
      <w:r>
        <w:rPr>
          <w:rFonts w:hint="default" w:ascii="宋体" w:hAnsi="宋体"/>
          <w:color w:val="000000" w:themeColor="text1"/>
          <w:lang w:val="en-US" w:eastAsia="zh-CN"/>
          <w14:textFill>
            <w14:solidFill>
              <w14:schemeClr w14:val="tx1"/>
            </w14:solidFill>
          </w14:textFill>
        </w:rPr>
        <w:t>构造</w:t>
      </w:r>
      <w:bookmarkStart w:id="29" w:name="_Toc17813"/>
    </w:p>
    <w:p>
      <w:pPr>
        <w:rPr>
          <w:rFonts w:hint="eastAsia" w:ascii="宋体" w:hAnsi="宋体" w:eastAsia="宋体" w:cs="黑体"/>
          <w:b w:val="0"/>
          <w:bCs w:val="0"/>
          <w:color w:val="auto"/>
          <w:kern w:val="2"/>
          <w:sz w:val="24"/>
          <w:szCs w:val="22"/>
          <w:lang w:val="en-US" w:eastAsia="zh-CN" w:bidi="ar-SA"/>
        </w:rPr>
      </w:pPr>
      <w:r>
        <w:rPr>
          <w:rFonts w:hint="eastAsia" w:ascii="宋体" w:hAnsi="宋体" w:cs="黑体"/>
          <w:b w:val="0"/>
          <w:bCs w:val="0"/>
          <w:color w:val="auto"/>
          <w:kern w:val="2"/>
          <w:sz w:val="24"/>
          <w:szCs w:val="22"/>
          <w:lang w:val="en-US" w:eastAsia="zh-CN" w:bidi="ar-SA"/>
        </w:rPr>
        <w:t>2.2.4.1</w:t>
      </w:r>
      <w:r>
        <w:rPr>
          <w:rFonts w:hint="eastAsia" w:ascii="宋体" w:hAnsi="宋体" w:eastAsia="宋体" w:cs="黑体"/>
          <w:b w:val="0"/>
          <w:bCs w:val="0"/>
          <w:color w:val="auto"/>
          <w:kern w:val="2"/>
          <w:sz w:val="24"/>
          <w:szCs w:val="22"/>
          <w:lang w:val="en-US" w:eastAsia="zh-CN" w:bidi="ar-SA"/>
        </w:rPr>
        <w:t>模块化组件</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绝缘操作杆接口：适配标准绝缘杆，满足带电作业安全距离要求。</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电压测量模块：内置高阻抗万用表笔，通过绝缘杆远程测量计数器上端电压。</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临时接地装置：快速接地夹：一键式弹簧夹，可牢固连接计数器上端与接地线。接地状态锁止机构：确保接地后无法误操作断开。</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电流测试线接口：防误插设计，采用不同孔径或颜色标识，避免与电压测量线混淆。</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自动断开功能：测试完成后，电流线随接地装置恢复自动断开。</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2.2.4.2材料选择</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主体：高强度绝缘材料（如环氧树脂），耐压等级≥变电站最高工作电压。</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接触件：镀银铜合金，降低接触电阻，防止发热。</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接地线：多股软铜线，截面积≥25mm²，符合接地电阻要求。</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2.2.2.3安全防护设计</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电气安全</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等电位屏蔽：在电压测量模块周围设置金属屏蔽层，防止电场干扰。</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过压保护：内置压敏电阻，限制瞬态过电压对设备的损害。</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双重接地验证：通过声光报警确认接地夹已牢固连接。</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机械安全</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绝缘杆长度校验：标记安全距离刻度，防止操作时侵入带电区域。</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防脱落设计：接地夹与电流线接口采用卡扣式连接，避免高空坠落。</w:t>
      </w:r>
    </w:p>
    <w:p>
      <w:pPr>
        <w:pStyle w:val="2"/>
        <w:jc w:val="left"/>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人机交互</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操作顺序引导：通过机械限位或电子提示（如LED指示灯）强制按安全流程操作。</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紧急断开按钮：在异常情况下可快速切断所有连接。</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cs="黑体"/>
          <w:b w:val="0"/>
          <w:bCs w:val="0"/>
          <w:color w:val="auto"/>
          <w:kern w:val="2"/>
          <w:sz w:val="24"/>
          <w:szCs w:val="22"/>
          <w:lang w:val="en-US" w:eastAsia="zh-CN" w:bidi="ar-SA"/>
        </w:rPr>
        <w:t>2.2.2.4</w:t>
      </w:r>
      <w:r>
        <w:rPr>
          <w:rFonts w:hint="eastAsia" w:ascii="宋体" w:hAnsi="宋体" w:eastAsia="宋体" w:cs="黑体"/>
          <w:b w:val="0"/>
          <w:bCs w:val="0"/>
          <w:color w:val="auto"/>
          <w:kern w:val="2"/>
          <w:sz w:val="24"/>
          <w:szCs w:val="22"/>
          <w:lang w:val="en-US" w:eastAsia="zh-CN" w:bidi="ar-SA"/>
        </w:rPr>
        <w:t>操作流程优化</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标准作业流程（SOP）</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步骤1：</w:t>
      </w:r>
      <w:r>
        <w:rPr>
          <w:rFonts w:hint="eastAsia" w:ascii="宋体" w:hAnsi="宋体" w:cs="黑体"/>
          <w:b w:val="0"/>
          <w:bCs w:val="0"/>
          <w:color w:val="auto"/>
          <w:kern w:val="2"/>
          <w:sz w:val="24"/>
          <w:szCs w:val="22"/>
          <w:lang w:val="en-US" w:eastAsia="zh-CN" w:bidi="ar-SA"/>
        </w:rPr>
        <w:t>将装置的接地线和电流线接好，</w:t>
      </w:r>
      <w:r>
        <w:rPr>
          <w:rFonts w:hint="eastAsia" w:ascii="宋体" w:hAnsi="宋体" w:eastAsia="宋体" w:cs="黑体"/>
          <w:b w:val="0"/>
          <w:bCs w:val="0"/>
          <w:color w:val="auto"/>
          <w:kern w:val="2"/>
          <w:sz w:val="24"/>
          <w:szCs w:val="22"/>
          <w:lang w:val="en-US" w:eastAsia="zh-CN" w:bidi="ar-SA"/>
        </w:rPr>
        <w:t>将辅助装置通过绝缘杆举升至避雷器计数器</w:t>
      </w:r>
      <w:r>
        <w:rPr>
          <w:rFonts w:hint="eastAsia" w:ascii="宋体" w:hAnsi="宋体" w:cs="黑体"/>
          <w:b w:val="0"/>
          <w:bCs w:val="0"/>
          <w:color w:val="auto"/>
          <w:kern w:val="2"/>
          <w:sz w:val="24"/>
          <w:szCs w:val="22"/>
          <w:lang w:val="en-US" w:eastAsia="zh-CN" w:bidi="ar-SA"/>
        </w:rPr>
        <w:t>引线处</w:t>
      </w:r>
      <w:r>
        <w:rPr>
          <w:rFonts w:hint="eastAsia" w:ascii="宋体" w:hAnsi="宋体" w:eastAsia="宋体" w:cs="黑体"/>
          <w:b w:val="0"/>
          <w:bCs w:val="0"/>
          <w:color w:val="auto"/>
          <w:kern w:val="2"/>
          <w:sz w:val="24"/>
          <w:szCs w:val="22"/>
          <w:lang w:val="en-US" w:eastAsia="zh-CN" w:bidi="ar-SA"/>
        </w:rPr>
        <w:t>。</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步骤2：按下“接地”按钮，临时接地夹自动夹紧计数器上端，同时锁止机构生效。</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w:t>
      </w:r>
      <w:r>
        <w:rPr>
          <w:rFonts w:hint="eastAsia" w:ascii="宋体" w:hAnsi="宋体" w:cs="黑体"/>
          <w:b w:val="0"/>
          <w:bCs w:val="0"/>
          <w:color w:val="auto"/>
          <w:kern w:val="2"/>
          <w:sz w:val="24"/>
          <w:szCs w:val="22"/>
          <w:lang w:val="en-US" w:eastAsia="zh-CN" w:bidi="ar-SA"/>
        </w:rPr>
        <w:t>3</w:t>
      </w:r>
      <w:r>
        <w:rPr>
          <w:rFonts w:hint="eastAsia" w:ascii="宋体" w:hAnsi="宋体" w:eastAsia="宋体" w:cs="黑体"/>
          <w:b w:val="0"/>
          <w:bCs w:val="0"/>
          <w:color w:val="auto"/>
          <w:kern w:val="2"/>
          <w:sz w:val="24"/>
          <w:szCs w:val="22"/>
          <w:lang w:val="en-US" w:eastAsia="zh-CN" w:bidi="ar-SA"/>
        </w:rPr>
        <w:t>：使用电压测量模块远程测量上端电压，确认</w:t>
      </w:r>
      <w:r>
        <w:rPr>
          <w:rFonts w:hint="eastAsia" w:ascii="宋体" w:hAnsi="宋体" w:cs="黑体"/>
          <w:b w:val="0"/>
          <w:bCs w:val="0"/>
          <w:color w:val="auto"/>
          <w:kern w:val="2"/>
          <w:sz w:val="24"/>
          <w:szCs w:val="22"/>
          <w:lang w:val="en-US" w:eastAsia="zh-CN" w:bidi="ar-SA"/>
        </w:rPr>
        <w:t>电压处于安全电压范围内并显示电压测量值或语音提示</w:t>
      </w:r>
      <w:r>
        <w:rPr>
          <w:rFonts w:hint="eastAsia" w:ascii="宋体" w:hAnsi="宋体" w:eastAsia="宋体" w:cs="黑体"/>
          <w:b w:val="0"/>
          <w:bCs w:val="0"/>
          <w:color w:val="auto"/>
          <w:kern w:val="2"/>
          <w:sz w:val="24"/>
          <w:szCs w:val="22"/>
          <w:lang w:val="en-US" w:eastAsia="zh-CN" w:bidi="ar-SA"/>
        </w:rPr>
        <w:t>无电后进入下一步。</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w:t>
      </w:r>
      <w:r>
        <w:rPr>
          <w:rFonts w:hint="eastAsia" w:ascii="宋体" w:hAnsi="宋体" w:cs="黑体"/>
          <w:b w:val="0"/>
          <w:bCs w:val="0"/>
          <w:color w:val="auto"/>
          <w:kern w:val="2"/>
          <w:sz w:val="24"/>
          <w:szCs w:val="22"/>
          <w:lang w:val="en-US" w:eastAsia="zh-CN" w:bidi="ar-SA"/>
        </w:rPr>
        <w:t>4</w:t>
      </w:r>
      <w:r>
        <w:rPr>
          <w:rFonts w:hint="eastAsia" w:ascii="宋体" w:hAnsi="宋体" w:eastAsia="宋体" w:cs="黑体"/>
          <w:b w:val="0"/>
          <w:bCs w:val="0"/>
          <w:color w:val="auto"/>
          <w:kern w:val="2"/>
          <w:sz w:val="24"/>
          <w:szCs w:val="22"/>
          <w:lang w:val="en-US" w:eastAsia="zh-CN" w:bidi="ar-SA"/>
        </w:rPr>
        <w:t>：按下“接地”按钮，临时接地夹自动夹紧计数器上端，同时锁止机构生效。</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w:t>
      </w:r>
      <w:r>
        <w:rPr>
          <w:rFonts w:hint="eastAsia" w:ascii="宋体" w:hAnsi="宋体" w:cs="黑体"/>
          <w:b w:val="0"/>
          <w:bCs w:val="0"/>
          <w:color w:val="auto"/>
          <w:kern w:val="2"/>
          <w:sz w:val="24"/>
          <w:szCs w:val="22"/>
          <w:lang w:val="en-US" w:eastAsia="zh-CN" w:bidi="ar-SA"/>
        </w:rPr>
        <w:t>5</w:t>
      </w:r>
      <w:r>
        <w:rPr>
          <w:rFonts w:hint="eastAsia" w:ascii="宋体" w:hAnsi="宋体" w:eastAsia="宋体" w:cs="黑体"/>
          <w:b w:val="0"/>
          <w:bCs w:val="0"/>
          <w:color w:val="auto"/>
          <w:kern w:val="2"/>
          <w:sz w:val="24"/>
          <w:szCs w:val="22"/>
          <w:lang w:val="en-US" w:eastAsia="zh-CN" w:bidi="ar-SA"/>
        </w:rPr>
        <w:t>：</w:t>
      </w:r>
      <w:r>
        <w:rPr>
          <w:rFonts w:hint="eastAsia" w:ascii="宋体" w:hAnsi="宋体" w:cs="黑体"/>
          <w:b w:val="0"/>
          <w:bCs w:val="0"/>
          <w:color w:val="auto"/>
          <w:kern w:val="2"/>
          <w:sz w:val="24"/>
          <w:szCs w:val="22"/>
          <w:lang w:val="en-US" w:eastAsia="zh-CN" w:bidi="ar-SA"/>
        </w:rPr>
        <w:t>通过转换机构，</w:t>
      </w:r>
      <w:r>
        <w:rPr>
          <w:rFonts w:hint="eastAsia" w:ascii="宋体" w:hAnsi="宋体" w:eastAsia="宋体" w:cs="黑体"/>
          <w:b w:val="0"/>
          <w:bCs w:val="0"/>
          <w:color w:val="auto"/>
          <w:kern w:val="2"/>
          <w:sz w:val="24"/>
          <w:szCs w:val="22"/>
          <w:lang w:val="en-US" w:eastAsia="zh-CN" w:bidi="ar-SA"/>
        </w:rPr>
        <w:t>将电流测试线插入专用接口，开始阻性电流测试。</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w:t>
      </w:r>
      <w:r>
        <w:rPr>
          <w:rFonts w:hint="eastAsia" w:ascii="宋体" w:hAnsi="宋体" w:cs="黑体"/>
          <w:b w:val="0"/>
          <w:bCs w:val="0"/>
          <w:color w:val="auto"/>
          <w:kern w:val="2"/>
          <w:sz w:val="24"/>
          <w:szCs w:val="22"/>
          <w:lang w:val="en-US" w:eastAsia="zh-CN" w:bidi="ar-SA"/>
        </w:rPr>
        <w:t>6</w:t>
      </w:r>
      <w:r>
        <w:rPr>
          <w:rFonts w:hint="eastAsia" w:ascii="宋体" w:hAnsi="宋体" w:eastAsia="宋体" w:cs="黑体"/>
          <w:b w:val="0"/>
          <w:bCs w:val="0"/>
          <w:color w:val="auto"/>
          <w:kern w:val="2"/>
          <w:sz w:val="24"/>
          <w:szCs w:val="22"/>
          <w:lang w:val="en-US" w:eastAsia="zh-CN" w:bidi="ar-SA"/>
        </w:rPr>
        <w:t>：测试完成后，按下“恢复接地”按钮，电流线自动断开，接地夹保持连接。</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步骤</w:t>
      </w:r>
      <w:r>
        <w:rPr>
          <w:rFonts w:hint="eastAsia" w:ascii="宋体" w:hAnsi="宋体" w:cs="黑体"/>
          <w:b w:val="0"/>
          <w:bCs w:val="0"/>
          <w:color w:val="auto"/>
          <w:kern w:val="2"/>
          <w:sz w:val="24"/>
          <w:szCs w:val="22"/>
          <w:lang w:val="en-US" w:eastAsia="zh-CN" w:bidi="ar-SA"/>
        </w:rPr>
        <w:t>7</w:t>
      </w:r>
      <w:r>
        <w:rPr>
          <w:rFonts w:hint="eastAsia" w:ascii="宋体" w:hAnsi="宋体" w:eastAsia="宋体" w:cs="黑体"/>
          <w:b w:val="0"/>
          <w:bCs w:val="0"/>
          <w:color w:val="auto"/>
          <w:kern w:val="2"/>
          <w:sz w:val="24"/>
          <w:szCs w:val="22"/>
          <w:lang w:val="en-US" w:eastAsia="zh-CN" w:bidi="ar-SA"/>
        </w:rPr>
        <w:t>：通过绝缘杆收回装置，完成作业。</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cs="黑体"/>
          <w:b w:val="0"/>
          <w:bCs w:val="0"/>
          <w:color w:val="auto"/>
          <w:kern w:val="2"/>
          <w:sz w:val="24"/>
          <w:szCs w:val="22"/>
          <w:lang w:val="en-US" w:eastAsia="zh-CN" w:bidi="ar-SA"/>
        </w:rPr>
        <w:t>2.2.2.5</w:t>
      </w:r>
      <w:r>
        <w:rPr>
          <w:rFonts w:hint="eastAsia" w:ascii="宋体" w:hAnsi="宋体" w:eastAsia="宋体" w:cs="黑体"/>
          <w:b w:val="0"/>
          <w:bCs w:val="0"/>
          <w:color w:val="auto"/>
          <w:kern w:val="2"/>
          <w:sz w:val="24"/>
          <w:szCs w:val="22"/>
          <w:lang w:val="en-US" w:eastAsia="zh-CN" w:bidi="ar-SA"/>
        </w:rPr>
        <w:t>培训与验证</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制作3D动画模拟操作流程，供作业人员培训使用。</w:t>
      </w:r>
    </w:p>
    <w:p>
      <w:pPr>
        <w:pStyle w:val="5"/>
        <w:tabs>
          <w:tab w:val="left" w:pos="0"/>
        </w:tabs>
        <w:spacing w:before="0" w:after="0" w:line="360" w:lineRule="auto"/>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在实验室模拟带电环境测试装置可靠性，确保100%符合安全规范。</w:t>
      </w:r>
    </w:p>
    <w:p>
      <w:pPr>
        <w:pStyle w:val="5"/>
        <w:tabs>
          <w:tab w:val="left" w:pos="0"/>
        </w:tabs>
        <w:spacing w:before="0" w:after="0" w:line="360" w:lineRule="auto"/>
        <w:rPr>
          <w:rFonts w:hint="eastAsia" w:ascii="宋体" w:hAnsi="宋体" w:cs="黑体"/>
          <w:b w:val="0"/>
          <w:bCs w:val="0"/>
          <w:color w:val="auto"/>
          <w:kern w:val="2"/>
          <w:sz w:val="24"/>
          <w:szCs w:val="22"/>
          <w:lang w:val="en-US" w:eastAsia="zh-CN" w:bidi="ar-SA"/>
        </w:rPr>
      </w:pPr>
      <w:r>
        <w:rPr>
          <w:rFonts w:hint="eastAsia" w:ascii="宋体" w:hAnsi="宋体" w:cs="黑体"/>
          <w:b w:val="0"/>
          <w:bCs w:val="0"/>
          <w:color w:val="auto"/>
          <w:kern w:val="2"/>
          <w:sz w:val="24"/>
          <w:szCs w:val="22"/>
          <w:lang w:val="en-US" w:eastAsia="zh-CN" w:bidi="ar-SA"/>
        </w:rPr>
        <w:t>2.2.4 适用场景</w:t>
      </w:r>
    </w:p>
    <w:p>
      <w:pPr>
        <w:pStyle w:val="5"/>
        <w:tabs>
          <w:tab w:val="left" w:pos="0"/>
        </w:tabs>
        <w:spacing w:before="0" w:after="0" w:line="360" w:lineRule="auto"/>
        <w:ind w:firstLine="480" w:firstLineChars="200"/>
        <w:rPr>
          <w:rFonts w:hint="eastAsia" w:ascii="宋体" w:hAnsi="宋体" w:eastAsia="宋体" w:cs="黑体"/>
          <w:b w:val="0"/>
          <w:bCs w:val="0"/>
          <w:color w:val="auto"/>
          <w:kern w:val="2"/>
          <w:sz w:val="24"/>
          <w:szCs w:val="22"/>
          <w:lang w:val="en-US" w:eastAsia="zh-CN" w:bidi="ar-SA"/>
        </w:rPr>
      </w:pPr>
      <w:r>
        <w:rPr>
          <w:rFonts w:hint="eastAsia" w:ascii="宋体" w:hAnsi="宋体" w:eastAsia="宋体" w:cs="黑体"/>
          <w:b w:val="0"/>
          <w:bCs w:val="0"/>
          <w:color w:val="auto"/>
          <w:kern w:val="2"/>
          <w:sz w:val="24"/>
          <w:szCs w:val="22"/>
          <w:lang w:val="en-US" w:eastAsia="zh-CN" w:bidi="ar-SA"/>
        </w:rPr>
        <w:t>可推广至电力系统内各供电局在进行避雷器带电测试时使用，避免违规操作导致违章和提高现场工作效率。</w:t>
      </w:r>
    </w:p>
    <w:p>
      <w:pPr>
        <w:pStyle w:val="5"/>
        <w:tabs>
          <w:tab w:val="left" w:pos="0"/>
        </w:tabs>
        <w:spacing w:before="0" w:after="0" w:line="360" w:lineRule="auto"/>
        <w:rPr>
          <w:rFonts w:ascii="宋体" w:hAnsi="宋体" w:cs="宋体"/>
          <w:color w:val="000000" w:themeColor="text1"/>
          <w:sz w:val="28"/>
          <w:szCs w:val="24"/>
          <w14:textFill>
            <w14:solidFill>
              <w14:schemeClr w14:val="tx1"/>
            </w14:solidFill>
          </w14:textFill>
        </w:rPr>
      </w:pPr>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.3</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技术指标要求</w:t>
      </w:r>
      <w:bookmarkEnd w:id="29"/>
    </w:p>
    <w:tbl>
      <w:tblPr>
        <w:tblStyle w:val="16"/>
        <w:tblpPr w:leftFromText="180" w:rightFromText="180" w:vertAnchor="text" w:horzAnchor="page" w:tblpX="2340" w:tblpY="602"/>
        <w:tblOverlap w:val="never"/>
        <w:tblW w:w="74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51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bookmarkStart w:id="30" w:name="_Toc437603902"/>
            <w:bookmarkStart w:id="31" w:name="_Toc444945519"/>
            <w:r>
              <w:rPr>
                <w:rFonts w:hint="eastAsia" w:ascii="宋体" w:hAnsi="宋体"/>
                <w:color w:val="000000" w:themeColor="text1"/>
                <w14:textFill>
                  <w14:solidFill>
                    <w14:schemeClr w14:val="tx1"/>
                  </w14:solidFill>
                </w14:textFill>
              </w:rPr>
              <w:t>技术指标</w:t>
            </w:r>
          </w:p>
        </w:tc>
        <w:tc>
          <w:tcPr>
            <w:tcW w:w="5103"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绝缘电阻</w:t>
            </w:r>
          </w:p>
        </w:tc>
        <w:tc>
          <w:tcPr>
            <w:tcW w:w="5103"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ab/>
            </w:r>
            <w:r>
              <w:rPr>
                <w:rFonts w:hint="eastAsia" w:ascii="宋体" w:hAnsi="宋体"/>
                <w:color w:val="000000" w:themeColor="text1"/>
                <w14:textFill>
                  <w14:solidFill>
                    <w14:schemeClr w14:val="tx1"/>
                  </w14:solidFill>
                </w14:textFill>
              </w:rPr>
              <w:t>≥1000MΩ（</w:t>
            </w: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500V直流电压下测量）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耐压强度</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工频耐压：42kV/1min</w:t>
            </w:r>
          </w:p>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雷电冲击耐压：185kV（峰值）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eastAsia="zh-CN"/>
                <w14:textFill>
                  <w14:solidFill>
                    <w14:schemeClr w14:val="tx1"/>
                  </w14:solidFill>
                </w14:textFill>
              </w:rPr>
              <w:t>接触电阻</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default" w:ascii="宋体" w:hAnsi="宋体"/>
                <w:color w:val="000000" w:themeColor="text1"/>
                <w:lang w:val="en-US"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接地夹与避雷器连接处接触电阻≤50μΩ，</w:t>
            </w:r>
            <w:r>
              <w:rPr>
                <w:rFonts w:hint="eastAsia" w:ascii="宋体" w:hAnsi="宋体"/>
                <w:color w:val="000000" w:themeColor="text1"/>
                <w:lang w:val="en-US" w:eastAsia="zh-CN"/>
                <w14:textFill>
                  <w14:solidFill>
                    <w14:schemeClr w14:val="tx1"/>
                  </w14:solidFill>
                </w14:textFill>
              </w:rPr>
              <w:t>电流线连接接触电阻10</w:t>
            </w:r>
            <w:r>
              <w:rPr>
                <w:rFonts w:hint="eastAsia" w:ascii="宋体" w:hAnsi="宋体"/>
                <w:color w:val="000000" w:themeColor="text1"/>
                <w:lang w:eastAsia="zh-CN"/>
                <w14:textFill>
                  <w14:solidFill>
                    <w14:schemeClr w14:val="tx1"/>
                  </w14:solidFill>
                </w14:textFill>
              </w:rPr>
              <w:t>μΩ（100A电流下）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电压测量精度</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交流电压：±1%读数±2个字（有效值）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电流测量范围</w:t>
            </w:r>
          </w:p>
        </w:tc>
        <w:tc>
          <w:tcPr>
            <w:tcW w:w="5103"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left"/>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0.1mA~10mA</w:t>
            </w:r>
            <w:r>
              <w:rPr>
                <w:rFonts w:hint="eastAsia" w:ascii="宋体" w:hAnsi="宋体"/>
                <w:color w:val="000000" w:themeColor="text1"/>
                <w:lang w:val="en-US" w:eastAsia="zh-CN"/>
                <w14:textFill>
                  <w14:solidFill>
                    <w14:schemeClr w14:val="tx1"/>
                  </w14:solidFill>
                </w14:textFill>
              </w:rPr>
              <w:t xml:space="preserve">   </w:t>
            </w:r>
            <w:r>
              <w:rPr>
                <w:rFonts w:hint="default" w:ascii="宋体" w:hAnsi="宋体" w:eastAsia="宋体"/>
                <w:color w:val="000000" w:themeColor="text1"/>
                <w:lang w:val="en-US" w:eastAsia="zh-CN"/>
                <w14:textFill>
                  <w14:solidFill>
                    <w14:schemeClr w14:val="tx1"/>
                  </w14:solidFill>
                </w14:textFill>
              </w:rPr>
              <w:t>谐波电流：≤5%总电流（THD）</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过压保护</w:t>
            </w:r>
          </w:p>
        </w:tc>
        <w:tc>
          <w:tcPr>
            <w:tcW w:w="5103"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left"/>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压敏电阻动作电压：1.2倍额定电压（瞬态过压保护）</w:t>
            </w:r>
            <w:r>
              <w:rPr>
                <w:rFonts w:hint="eastAsia" w:ascii="宋体" w:hAnsi="宋体"/>
                <w:color w:val="000000" w:themeColor="text1"/>
                <w:lang w:val="en-US" w:eastAsia="zh-CN"/>
                <w14:textFill>
                  <w14:solidFill>
                    <w14:schemeClr w14:val="tx1"/>
                  </w14:solidFill>
                </w14:textFill>
              </w:rPr>
              <w:t>，即51kV时自动启动接地接入状态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电磁兼容（EMC）</w:t>
            </w:r>
          </w:p>
        </w:tc>
        <w:tc>
          <w:tcPr>
            <w:tcW w:w="5103"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left"/>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抗干扰能力：满足IEC 61000-4-5标准（4kV浪涌抗扰度）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000000" w:sz="6" w:space="0"/>
              <w:left w:val="single" w:color="000000" w:sz="6" w:space="0"/>
              <w:bottom w:val="single" w:color="000000" w:sz="6" w:space="0"/>
              <w:right w:val="single" w:color="000000" w:sz="6" w:space="0"/>
            </w:tcBorders>
          </w:tcPr>
          <w:p>
            <w:pPr>
              <w:adjustRightInd w:val="0"/>
              <w:snapToGrid w:val="0"/>
              <w:ind w:firstLine="0" w:firstLineChars="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最大质量</w:t>
            </w:r>
          </w:p>
        </w:tc>
        <w:tc>
          <w:tcPr>
            <w:tcW w:w="5103" w:type="dxa"/>
            <w:tcBorders>
              <w:top w:val="single" w:color="000000" w:sz="6" w:space="0"/>
              <w:left w:val="single" w:color="000000" w:sz="6" w:space="0"/>
              <w:bottom w:val="single" w:color="000000" w:sz="6" w:space="0"/>
              <w:right w:val="single" w:color="000000" w:sz="6" w:space="0"/>
            </w:tcBorders>
          </w:tcPr>
          <w:p>
            <w:pPr>
              <w:adjustRightInd w:val="0"/>
              <w:snapToGrid w:val="0"/>
              <w:ind w:firstLine="0" w:firstLineChars="0"/>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不超过1.5公斤</w:t>
            </w:r>
          </w:p>
        </w:tc>
      </w:tr>
      <w:bookmarkEnd w:id="30"/>
      <w:bookmarkEnd w:id="31"/>
    </w:tbl>
    <w:p>
      <w:pPr>
        <w:pStyle w:val="5"/>
        <w:tabs>
          <w:tab w:val="left" w:pos="0"/>
        </w:tabs>
        <w:spacing w:before="0" w:after="0" w:line="360" w:lineRule="auto"/>
        <w:rPr>
          <w:rFonts w:hint="eastAsia" w:ascii="宋体" w:hAnsi="宋体" w:cs="宋体"/>
          <w:color w:val="000000" w:themeColor="text1"/>
          <w:sz w:val="28"/>
          <w:szCs w:val="24"/>
          <w14:textFill>
            <w14:solidFill>
              <w14:schemeClr w14:val="tx1"/>
            </w14:solidFill>
          </w14:textFill>
        </w:rPr>
      </w:pPr>
      <w:bookmarkStart w:id="32" w:name="_Toc8248"/>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.4</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设备研究所需材料</w:t>
      </w:r>
      <w:bookmarkEnd w:id="32"/>
    </w:p>
    <w:tbl>
      <w:tblPr>
        <w:tblStyle w:val="15"/>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避雷器阻性电流测试安全辅助接线装置</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Pr>
        <w:rPr>
          <w:rFonts w:hint="eastAsia"/>
        </w:rPr>
      </w:pPr>
    </w:p>
    <w:p>
      <w:pPr>
        <w:pStyle w:val="5"/>
        <w:tabs>
          <w:tab w:val="left" w:pos="0"/>
        </w:tabs>
        <w:spacing w:before="0" w:after="0" w:line="360" w:lineRule="auto"/>
        <w:jc w:val="left"/>
        <w:rPr>
          <w:rFonts w:ascii="宋体" w:hAnsi="宋体" w:cs="宋体"/>
          <w:color w:val="000000" w:themeColor="text1"/>
          <w:sz w:val="28"/>
          <w:szCs w:val="24"/>
          <w14:textFill>
            <w14:solidFill>
              <w14:schemeClr w14:val="tx1"/>
            </w14:solidFill>
          </w14:textFill>
        </w:rPr>
      </w:pPr>
      <w:bookmarkStart w:id="33" w:name="_Toc502"/>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.5</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加工服务地点和期限</w:t>
      </w:r>
      <w:bookmarkEnd w:id="33"/>
    </w:p>
    <w:p>
      <w:pPr>
        <w:widowControl/>
        <w:ind w:firstLine="0" w:firstLineChars="0"/>
        <w:jc w:val="left"/>
        <w:textAlignment w:val="center"/>
        <w:rPr>
          <w:rFonts w:hint="eastAsia" w:ascii="宋体" w:hAnsi="宋体" w:cs="宋体"/>
          <w:color w:val="000000" w:themeColor="text1"/>
          <w:kern w:val="0"/>
          <w:szCs w:val="24"/>
          <w:highlight w:val="yellow"/>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地点：防城港市金花茶大道60号</w:t>
      </w:r>
    </w:p>
    <w:p>
      <w:pPr>
        <w:ind w:firstLine="0" w:firstLineChars="0"/>
        <w:rPr>
          <w:rFonts w:ascii="宋体" w:hAnsi="宋体" w:cs="宋体"/>
          <w:color w:val="000000" w:themeColor="text1"/>
          <w:kern w:val="0"/>
          <w:szCs w:val="24"/>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服务期限：</w:t>
      </w:r>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bookmarkStart w:id="34" w:name="_Toc480800900"/>
    </w:p>
    <w:p>
      <w:pPr>
        <w:pStyle w:val="4"/>
        <w:numPr>
          <w:ilvl w:val="0"/>
          <w:numId w:val="0"/>
        </w:numPr>
        <w:bidi w:val="0"/>
        <w:ind w:left="432" w:leftChars="0"/>
        <w:rPr>
          <w:color w:val="000000" w:themeColor="text1"/>
          <w14:textFill>
            <w14:solidFill>
              <w14:schemeClr w14:val="tx1"/>
            </w14:solidFill>
          </w14:textFill>
        </w:rPr>
      </w:pPr>
      <w:bookmarkStart w:id="35" w:name="_Toc6137"/>
      <w:r>
        <w:rPr>
          <w:rFonts w:hint="eastAsia"/>
          <w:color w:val="000000" w:themeColor="text1"/>
          <w14:textFill>
            <w14:solidFill>
              <w14:schemeClr w14:val="tx1"/>
            </w14:solidFill>
          </w14:textFill>
        </w:rPr>
        <w:t>三、研究开发成果交付</w:t>
      </w:r>
      <w:bookmarkEnd w:id="34"/>
      <w:r>
        <w:rPr>
          <w:rFonts w:hint="eastAsia"/>
          <w:color w:val="000000" w:themeColor="text1"/>
          <w14:textFill>
            <w14:solidFill>
              <w14:schemeClr w14:val="tx1"/>
            </w14:solidFill>
          </w14:textFill>
        </w:rPr>
        <w:t>物</w:t>
      </w:r>
      <w:bookmarkEnd w:id="35"/>
    </w:p>
    <w:p>
      <w:pPr>
        <w:ind w:firstLine="480"/>
        <w:rPr>
          <w:rFonts w:hint="eastAsia" w:ascii="宋体" w:hAnsi="宋体" w:eastAsia="宋体"/>
          <w:color w:val="000000" w:themeColor="text1"/>
          <w:lang w:eastAsia="zh-CN"/>
          <w14:textFill>
            <w14:solidFill>
              <w14:schemeClr w14:val="tx1"/>
            </w14:solidFill>
          </w14:textFill>
        </w:rPr>
      </w:pPr>
      <w:bookmarkStart w:id="36" w:name="_Toc480800901"/>
      <w:r>
        <w:rPr>
          <w:rFonts w:hint="eastAsia" w:ascii="宋体" w:hAnsi="宋体"/>
          <w:color w:val="000000" w:themeColor="text1"/>
          <w14:textFill>
            <w14:solidFill>
              <w14:schemeClr w14:val="tx1"/>
            </w14:solidFill>
          </w14:textFill>
        </w:rPr>
        <w:t>研究开发成果交付的形式和数量</w:t>
      </w:r>
      <w:bookmarkEnd w:id="36"/>
      <w:r>
        <w:rPr>
          <w:rFonts w:hint="eastAsia" w:ascii="宋体" w:hAnsi="宋体"/>
          <w:color w:val="000000" w:themeColor="text1"/>
          <w:lang w:eastAsia="zh-CN"/>
          <w14:textFill>
            <w14:solidFill>
              <w14:schemeClr w14:val="tx1"/>
            </w14:solidFill>
          </w14:textFill>
        </w:rPr>
        <w:t>：</w:t>
      </w:r>
    </w:p>
    <w:tbl>
      <w:tblPr>
        <w:tblStyle w:val="14"/>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型号规格</w:t>
            </w:r>
          </w:p>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备注</w:t>
            </w:r>
          </w:p>
        </w:tc>
      </w:tr>
      <w:tr>
        <w:tblPrEx>
          <w:tblCellMar>
            <w:top w:w="0" w:type="dxa"/>
            <w:left w:w="0" w:type="dxa"/>
            <w:bottom w:w="0" w:type="dxa"/>
            <w:right w:w="0" w:type="dxa"/>
          </w:tblCellMar>
        </w:tblPrEx>
        <w:trPr>
          <w:cantSplit/>
          <w:trHeight w:val="513"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避雷器阻性电流测试安全辅助接线装置</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color w:val="000000" w:themeColor="text1"/>
                <w:szCs w:val="24"/>
                <w:lang w:eastAsia="zh-CN"/>
                <w14:textFill>
                  <w14:solidFill>
                    <w14:schemeClr w14:val="tx1"/>
                  </w14:solidFill>
                </w14:textFill>
              </w:rPr>
            </w:pPr>
            <w:r>
              <w:rPr>
                <w:rFonts w:hint="eastAsia" w:ascii="宋体" w:hAnsi="宋体" w:cs="宋体"/>
                <w:color w:val="000000" w:themeColor="text1"/>
                <w:szCs w:val="24"/>
                <w:lang w:val="en-US" w:eastAsia="zh-CN"/>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项目工作总结报告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项目技术研究报告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bl>
    <w:p>
      <w:pPr>
        <w:pStyle w:val="4"/>
        <w:numPr>
          <w:ilvl w:val="0"/>
          <w:numId w:val="0"/>
        </w:numPr>
        <w:bidi w:val="0"/>
        <w:ind w:left="432" w:leftChars="0"/>
        <w:rPr>
          <w:color w:val="000000" w:themeColor="text1"/>
          <w14:textFill>
            <w14:solidFill>
              <w14:schemeClr w14:val="tx1"/>
            </w14:solidFill>
          </w14:textFill>
        </w:rPr>
      </w:pPr>
      <w:bookmarkStart w:id="37" w:name="_Toc13225"/>
      <w:r>
        <w:rPr>
          <w:rFonts w:hint="eastAsia"/>
          <w:color w:val="000000" w:themeColor="text1"/>
          <w14:textFill>
            <w14:solidFill>
              <w14:schemeClr w14:val="tx1"/>
            </w14:solidFill>
          </w14:textFill>
        </w:rPr>
        <w:t>四、开发人员</w:t>
      </w:r>
      <w:bookmarkEnd w:id="37"/>
    </w:p>
    <w:p>
      <w:pPr>
        <w:ind w:firstLine="480"/>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投</w:t>
      </w:r>
      <w:r>
        <w:rPr>
          <w:rFonts w:ascii="宋体" w:hAnsi="宋体"/>
          <w:color w:val="000000" w:themeColor="text1"/>
          <w14:textFill>
            <w14:solidFill>
              <w14:schemeClr w14:val="tx1"/>
            </w14:solidFill>
          </w14:textFill>
        </w:rPr>
        <w:t>标方应在投标时提供投入本项目</w:t>
      </w:r>
      <w:r>
        <w:rPr>
          <w:rFonts w:hint="eastAsia" w:ascii="宋体" w:hAnsi="宋体"/>
          <w:color w:val="000000" w:themeColor="text1"/>
          <w14:textFill>
            <w14:solidFill>
              <w14:schemeClr w14:val="tx1"/>
            </w14:solidFill>
          </w14:textFill>
        </w:rPr>
        <w:t>工作</w:t>
      </w:r>
      <w:r>
        <w:rPr>
          <w:rFonts w:ascii="宋体" w:hAnsi="宋体"/>
          <w:color w:val="000000" w:themeColor="text1"/>
          <w14:textFill>
            <w14:solidFill>
              <w14:schemeClr w14:val="tx1"/>
            </w14:solidFill>
          </w14:textFill>
        </w:rPr>
        <w:t>的项目组人员名单，</w:t>
      </w:r>
      <w:r>
        <w:rPr>
          <w:rFonts w:hint="eastAsia" w:ascii="宋体" w:hAnsi="宋体"/>
          <w:color w:val="000000" w:themeColor="text1"/>
          <w14:textFill>
            <w14:solidFill>
              <w14:schemeClr w14:val="tx1"/>
            </w14:solidFill>
          </w14:textFill>
        </w:rPr>
        <w:t>列入</w:t>
      </w:r>
      <w:r>
        <w:rPr>
          <w:rFonts w:ascii="宋体" w:hAnsi="宋体"/>
          <w:color w:val="000000" w:themeColor="text1"/>
          <w14:textFill>
            <w14:solidFill>
              <w14:schemeClr w14:val="tx1"/>
            </w14:solidFill>
          </w14:textFill>
        </w:rPr>
        <w:t>名单的人员应专职于本项目工作，</w:t>
      </w:r>
      <w:r>
        <w:rPr>
          <w:rFonts w:hint="eastAsia" w:ascii="宋体" w:hAnsi="宋体"/>
          <w:color w:val="000000" w:themeColor="text1"/>
          <w14:textFill>
            <w14:solidFill>
              <w14:schemeClr w14:val="tx1"/>
            </w14:solidFill>
          </w14:textFill>
        </w:rPr>
        <w:t>专职</w:t>
      </w:r>
      <w:r>
        <w:rPr>
          <w:rFonts w:ascii="宋体" w:hAnsi="宋体"/>
          <w:color w:val="000000" w:themeColor="text1"/>
          <w14:textFill>
            <w14:solidFill>
              <w14:schemeClr w14:val="tx1"/>
            </w14:solidFill>
          </w14:textFill>
        </w:rPr>
        <w:t>开发人员人数</w:t>
      </w:r>
      <w:r>
        <w:rPr>
          <w:rFonts w:hint="eastAsia" w:ascii="宋体" w:hAnsi="宋体"/>
          <w:color w:val="000000" w:themeColor="text1"/>
          <w14:textFill>
            <w14:solidFill>
              <w14:schemeClr w14:val="tx1"/>
            </w14:solidFill>
          </w14:textFill>
        </w:rPr>
        <w:t>占名单总</w:t>
      </w:r>
      <w:r>
        <w:rPr>
          <w:rFonts w:ascii="宋体" w:hAnsi="宋体"/>
          <w:color w:val="000000" w:themeColor="text1"/>
          <w14:textFill>
            <w14:solidFill>
              <w14:schemeClr w14:val="tx1"/>
            </w14:solidFill>
          </w14:textFill>
        </w:rPr>
        <w:t>人数</w:t>
      </w:r>
      <w:r>
        <w:rPr>
          <w:rFonts w:hint="eastAsia" w:ascii="宋体" w:hAnsi="宋体"/>
          <w:color w:val="000000" w:themeColor="text1"/>
          <w14:textFill>
            <w14:solidFill>
              <w14:schemeClr w14:val="tx1"/>
            </w14:solidFill>
          </w14:textFill>
        </w:rPr>
        <w:t>比例</w:t>
      </w:r>
      <w:r>
        <w:rPr>
          <w:rFonts w:ascii="宋体" w:hAnsi="宋体"/>
          <w:color w:val="000000" w:themeColor="text1"/>
          <w14:textFill>
            <w14:solidFill>
              <w14:schemeClr w14:val="tx1"/>
            </w14:solidFill>
          </w14:textFill>
        </w:rPr>
        <w:t>不得少于</w:t>
      </w:r>
      <w:r>
        <w:rPr>
          <w:rFonts w:hint="eastAsia" w:ascii="宋体" w:hAnsi="宋体"/>
          <w:color w:val="000000" w:themeColor="text1"/>
          <w14:textFill>
            <w14:solidFill>
              <w14:schemeClr w14:val="tx1"/>
            </w14:solidFill>
          </w14:textFill>
        </w:rPr>
        <w:t>60%，</w:t>
      </w:r>
      <w:r>
        <w:rPr>
          <w:rFonts w:ascii="宋体" w:hAnsi="宋体"/>
          <w:color w:val="000000" w:themeColor="text1"/>
          <w14:textFill>
            <w14:solidFill>
              <w14:schemeClr w14:val="tx1"/>
            </w14:solidFill>
          </w14:textFill>
        </w:rPr>
        <w:t>在项目验收未通过前，该</w:t>
      </w:r>
      <w:r>
        <w:rPr>
          <w:rFonts w:hint="eastAsia" w:ascii="宋体" w:hAnsi="宋体"/>
          <w:color w:val="000000" w:themeColor="text1"/>
          <w14:textFill>
            <w14:solidFill>
              <w14:schemeClr w14:val="tx1"/>
            </w14:solidFill>
          </w14:textFill>
        </w:rPr>
        <w:t>名单</w:t>
      </w:r>
      <w:r>
        <w:rPr>
          <w:rFonts w:ascii="宋体" w:hAnsi="宋体"/>
          <w:color w:val="000000" w:themeColor="text1"/>
          <w14:textFill>
            <w14:solidFill>
              <w14:schemeClr w14:val="tx1"/>
            </w14:solidFill>
          </w14:textFill>
        </w:rPr>
        <w:t>中</w:t>
      </w:r>
      <w:r>
        <w:rPr>
          <w:rFonts w:hint="eastAsia" w:ascii="宋体" w:hAnsi="宋体"/>
          <w:color w:val="000000" w:themeColor="text1"/>
          <w14:textFill>
            <w14:solidFill>
              <w14:schemeClr w14:val="tx1"/>
            </w14:solidFill>
          </w14:textFill>
        </w:rPr>
        <w:t>的</w:t>
      </w:r>
      <w:r>
        <w:rPr>
          <w:rFonts w:ascii="宋体" w:hAnsi="宋体"/>
          <w:color w:val="000000" w:themeColor="text1"/>
          <w14:textFill>
            <w14:solidFill>
              <w14:schemeClr w14:val="tx1"/>
            </w14:solidFill>
          </w14:textFill>
        </w:rPr>
        <w:t>人员变动不得超过</w:t>
      </w:r>
      <w:r>
        <w:rPr>
          <w:rFonts w:hint="eastAsia" w:ascii="宋体" w:hAnsi="宋体"/>
          <w:color w:val="000000" w:themeColor="text1"/>
          <w14:textFill>
            <w14:solidFill>
              <w14:schemeClr w14:val="tx1"/>
            </w14:solidFill>
          </w14:textFill>
        </w:rPr>
        <w:t>25%。</w:t>
      </w:r>
    </w:p>
    <w:p>
      <w:pPr>
        <w:pStyle w:val="4"/>
        <w:numPr>
          <w:ilvl w:val="0"/>
          <w:numId w:val="0"/>
        </w:numPr>
        <w:bidi w:val="0"/>
        <w:ind w:left="432" w:leftChars="0"/>
        <w:rPr>
          <w:rFonts w:hint="eastAsia"/>
          <w:color w:val="000000" w:themeColor="text1"/>
          <w14:textFill>
            <w14:solidFill>
              <w14:schemeClr w14:val="tx1"/>
            </w14:solidFill>
          </w14:textFill>
        </w:rPr>
      </w:pPr>
      <w:bookmarkStart w:id="38" w:name="_Toc444945521"/>
      <w:bookmarkStart w:id="39" w:name="_Toc22815"/>
      <w:r>
        <w:rPr>
          <w:rFonts w:hint="eastAsia"/>
          <w:color w:val="000000" w:themeColor="text1"/>
          <w14:textFill>
            <w14:solidFill>
              <w14:schemeClr w14:val="tx1"/>
            </w14:solidFill>
          </w14:textFill>
        </w:rPr>
        <w:t>五、投标技术文件编制要求</w:t>
      </w:r>
      <w:bookmarkEnd w:id="38"/>
      <w:bookmarkEnd w:id="39"/>
    </w:p>
    <w:p>
      <w:pPr>
        <w:pStyle w:val="20"/>
        <w:spacing w:line="360" w:lineRule="auto"/>
        <w:ind w:firstLine="480"/>
        <w:rPr>
          <w:rFonts w:eastAsia="宋体" w:cs="Times New Roman"/>
          <w:color w:val="000000" w:themeColor="text1"/>
          <w:szCs w:val="24"/>
          <w14:textFill>
            <w14:solidFill>
              <w14:schemeClr w14:val="tx1"/>
            </w14:solidFill>
          </w14:textFill>
        </w:rPr>
      </w:pPr>
      <w:r>
        <w:rPr>
          <w:rFonts w:hint="eastAsia" w:eastAsia="宋体" w:cs="Times New Roman"/>
          <w:color w:val="000000" w:themeColor="text1"/>
          <w:szCs w:val="24"/>
          <w14:textFill>
            <w14:solidFill>
              <w14:schemeClr w14:val="tx1"/>
            </w14:solidFill>
          </w14:textFill>
        </w:rPr>
        <w:t>投标方可以到现场实地考察，并根据科技项目研发总体目标和招标技术文件提出自己的技术研究方案、工程施工方案、工程进度表和商务报价，技术文件应包含（不仅限于）以下内容：</w:t>
      </w:r>
    </w:p>
    <w:p>
      <w:pPr>
        <w:pStyle w:val="5"/>
        <w:bidi w:val="0"/>
      </w:pPr>
      <w:bookmarkStart w:id="40" w:name="_Toc2588"/>
      <w:r>
        <w:rPr>
          <w:rFonts w:hint="eastAsia"/>
        </w:rPr>
        <w:t>5.1</w:t>
      </w:r>
      <w:r>
        <w:t xml:space="preserve"> </w:t>
      </w:r>
      <w:r>
        <w:rPr>
          <w:rFonts w:hint="eastAsia"/>
        </w:rPr>
        <w:t>研究内容</w:t>
      </w:r>
      <w:bookmarkEnd w:id="40"/>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国内外相关技术研究现状、发展趋势</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招标项目需解决的关键技术问题</w:t>
      </w:r>
    </w:p>
    <w:p>
      <w:pPr>
        <w:pStyle w:val="5"/>
        <w:bidi w:val="0"/>
      </w:pPr>
      <w:bookmarkStart w:id="41" w:name="_Toc12859"/>
      <w:r>
        <w:rPr>
          <w:rFonts w:hint="eastAsia"/>
        </w:rPr>
        <w:t>5.</w:t>
      </w:r>
      <w:r>
        <w:t xml:space="preserve">2 </w:t>
      </w:r>
      <w:r>
        <w:rPr>
          <w:rFonts w:hint="eastAsia"/>
        </w:rPr>
        <w:t>研究思路与技术路线</w:t>
      </w:r>
      <w:bookmarkEnd w:id="41"/>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研究思路</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技术路线</w:t>
      </w:r>
    </w:p>
    <w:p>
      <w:pPr>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pStyle w:val="5"/>
        <w:bidi w:val="0"/>
      </w:pPr>
      <w:bookmarkStart w:id="42" w:name="_Toc27403"/>
      <w:r>
        <w:rPr>
          <w:rFonts w:hint="eastAsia"/>
        </w:rPr>
        <w:t>5.</w:t>
      </w:r>
      <w:r>
        <w:t xml:space="preserve">3 </w:t>
      </w:r>
      <w:r>
        <w:rPr>
          <w:rFonts w:hint="eastAsia"/>
        </w:rPr>
        <w:t>研究进度目标及指标</w:t>
      </w:r>
      <w:bookmarkEnd w:id="42"/>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szCs w:val="24"/>
        </w:rPr>
        <w:t>描述项目各项工作的进展计划，并明确标出完成各项工作预计所需时间及达到</w:t>
      </w:r>
      <w:r>
        <w:rPr>
          <w:rFonts w:hint="eastAsia" w:ascii="Times New Roman" w:hAnsi="Times New Roman" w:cs="Times New Roman"/>
          <w:color w:val="000000" w:themeColor="text1"/>
          <w:szCs w:val="24"/>
          <w14:textFill>
            <w14:solidFill>
              <w14:schemeClr w14:val="tx1"/>
            </w14:solidFill>
          </w14:textFill>
        </w:rPr>
        <w:t>的阶段目标及项目结束时所要达到的总目标。</w:t>
      </w:r>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color w:val="000000" w:themeColor="text1"/>
          <w:szCs w:val="24"/>
          <w14:textFill>
            <w14:solidFill>
              <w14:schemeClr w14:val="tx1"/>
            </w14:solidFill>
          </w14:textFill>
        </w:rPr>
        <w:t>指标：与招标方提出的功能要求、主要技术经济指标的响应情况。</w:t>
      </w:r>
    </w:p>
    <w:p>
      <w:pPr>
        <w:spacing w:before="156" w:beforeLines="50" w:line="300" w:lineRule="auto"/>
        <w:ind w:firstLine="48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技术参数响应表</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序号</w:t>
            </w:r>
          </w:p>
        </w:tc>
        <w:tc>
          <w:tcPr>
            <w:tcW w:w="234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交付成果名称</w:t>
            </w:r>
          </w:p>
        </w:tc>
        <w:tc>
          <w:tcPr>
            <w:tcW w:w="1704" w:type="dxa"/>
          </w:tcPr>
          <w:p>
            <w:pPr>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招标人要求值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投标人</w:t>
            </w:r>
            <w:r>
              <w:rPr>
                <w:rFonts w:ascii="宋体" w:hAnsi="宋体" w:cs="宋体"/>
                <w:color w:val="000000" w:themeColor="text1"/>
                <w:kern w:val="1"/>
                <w:sz w:val="18"/>
                <w:szCs w:val="18"/>
                <w14:textFill>
                  <w14:solidFill>
                    <w14:schemeClr w14:val="tx1"/>
                  </w14:solidFill>
                </w14:textFill>
              </w:rPr>
              <w:t>保证值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345"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4"/>
                <w14:textFill>
                  <w14:solidFill>
                    <w14:schemeClr w14:val="tx1"/>
                  </w14:solidFill>
                </w14:textFill>
              </w:rPr>
              <w:t>避雷器阻性电流测试安全辅助接线装置</w:t>
            </w:r>
          </w:p>
        </w:tc>
        <w:tc>
          <w:tcPr>
            <w:tcW w:w="1704" w:type="dxa"/>
          </w:tcPr>
          <w:p>
            <w:pPr>
              <w:pStyle w:val="5"/>
              <w:tabs>
                <w:tab w:val="left" w:pos="0"/>
              </w:tabs>
              <w:spacing w:before="0" w:after="0" w:line="360" w:lineRule="auto"/>
              <w:rPr>
                <w:rFonts w:ascii="宋体" w:hAnsi="宋体"/>
                <w:color w:val="000000" w:themeColor="text1"/>
                <w:szCs w:val="21"/>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满足</w:t>
            </w:r>
            <w:r>
              <w:rPr>
                <w:rFonts w:hint="eastAsia" w:ascii="Times New Roman" w:hAnsi="Times New Roman" w:cs="Times New Roman"/>
                <w:b w:val="0"/>
                <w:bCs w:val="0"/>
                <w:color w:val="000000" w:themeColor="text1"/>
                <w:kern w:val="2"/>
                <w:sz w:val="24"/>
                <w:szCs w:val="24"/>
                <w:lang w:val="en-US" w:eastAsia="zh-CN" w:bidi="ar-SA"/>
                <w14:textFill>
                  <w14:solidFill>
                    <w14:schemeClr w14:val="tx1"/>
                  </w14:solidFill>
                </w14:textFill>
              </w:rPr>
              <w:t>本技术规范书</w:t>
            </w:r>
            <w:r>
              <w:rPr>
                <w:rFonts w:hint="eastAsia"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2.2 项目研究内容要求和达到2.3技术指标要求</w:t>
            </w: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234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4"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bl>
    <w:p>
      <w:pPr>
        <w:ind w:firstLine="480"/>
        <w:rPr>
          <w:rFonts w:ascii="Times New Roman" w:hAnsi="Times New Roman" w:cs="Times New Roman"/>
          <w:szCs w:val="24"/>
        </w:rPr>
      </w:pPr>
    </w:p>
    <w:p>
      <w:pPr>
        <w:pStyle w:val="5"/>
        <w:bidi w:val="0"/>
      </w:pPr>
      <w:bookmarkStart w:id="43" w:name="_Toc17858"/>
      <w:r>
        <w:rPr>
          <w:rFonts w:hint="eastAsia"/>
        </w:rPr>
        <w:t>5.</w:t>
      </w:r>
      <w:r>
        <w:t xml:space="preserve">4 </w:t>
      </w:r>
      <w:r>
        <w:rPr>
          <w:rFonts w:hint="eastAsia"/>
        </w:rPr>
        <w:t>项目实施的组织、管理</w:t>
      </w:r>
      <w:bookmarkEnd w:id="43"/>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pStyle w:val="5"/>
        <w:bidi w:val="0"/>
      </w:pPr>
      <w:bookmarkStart w:id="44" w:name="_Toc7198"/>
      <w:r>
        <w:rPr>
          <w:rFonts w:hint="eastAsia"/>
        </w:rPr>
        <w:t>5.</w:t>
      </w:r>
      <w:r>
        <w:t xml:space="preserve">5 </w:t>
      </w:r>
      <w:r>
        <w:rPr>
          <w:rFonts w:hint="eastAsia"/>
        </w:rPr>
        <w:t>承担能力说明</w:t>
      </w:r>
      <w:bookmarkEnd w:id="44"/>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联合投标单位基本情况及配套条件、责任与义务</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w:t>
      </w:r>
      <w:r>
        <w:rPr>
          <w:rFonts w:hint="eastAsia" w:ascii="Times New Roman" w:hAnsi="Times New Roman" w:cs="Times New Roman"/>
          <w:szCs w:val="24"/>
        </w:rPr>
        <w:t>其它需要说明的情况</w:t>
      </w:r>
      <w:r>
        <w:rPr>
          <w:rFonts w:hint="eastAsia" w:ascii="Times New Roman" w:hAnsi="Times New Roman" w:cs="Times New Roman"/>
          <w:szCs w:val="24"/>
          <w:lang w:eastAsia="zh-CN"/>
        </w:rPr>
        <w:t>。</w:t>
      </w:r>
    </w:p>
    <w:p>
      <w:pPr>
        <w:pStyle w:val="5"/>
        <w:bidi w:val="0"/>
      </w:pPr>
      <w:bookmarkStart w:id="45" w:name="_Toc17332"/>
      <w:r>
        <w:rPr>
          <w:rFonts w:hint="eastAsia"/>
        </w:rPr>
        <w:t>5.6</w:t>
      </w:r>
      <w:r>
        <w:t xml:space="preserve"> </w:t>
      </w:r>
      <w:r>
        <w:rPr>
          <w:rFonts w:hint="eastAsia"/>
        </w:rPr>
        <w:t>成果产生的数量、形式</w:t>
      </w:r>
      <w:bookmarkEnd w:id="45"/>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成果获得的可能性</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职务技术成果权益承诺、成果向社会转化方式</w:t>
      </w:r>
      <w:r>
        <w:rPr>
          <w:rFonts w:hint="eastAsia" w:ascii="Times New Roman" w:hAnsi="Times New Roman" w:cs="Times New Roman"/>
          <w:szCs w:val="24"/>
          <w:lang w:eastAsia="zh-CN"/>
        </w:rPr>
        <w:t>。</w:t>
      </w:r>
    </w:p>
    <w:p>
      <w:pPr>
        <w:pStyle w:val="5"/>
        <w:bidi w:val="0"/>
        <w:rPr>
          <w:rFonts w:hint="eastAsia"/>
        </w:rPr>
      </w:pPr>
      <w:bookmarkStart w:id="46" w:name="_Toc29281"/>
      <w:r>
        <w:rPr>
          <w:rFonts w:hint="eastAsia"/>
        </w:rPr>
        <w:t>5.7</w:t>
      </w:r>
      <w:r>
        <w:rPr>
          <w:rFonts w:hint="eastAsia"/>
          <w:lang w:val="en-US" w:eastAsia="zh-CN"/>
        </w:rPr>
        <w:t xml:space="preserve"> </w:t>
      </w:r>
      <w:r>
        <w:rPr>
          <w:rFonts w:hint="eastAsia"/>
        </w:rPr>
        <w:t>技术方案中涉及技术秘密的申明</w:t>
      </w:r>
      <w:bookmarkEnd w:id="46"/>
    </w:p>
    <w:p>
      <w:pPr>
        <w:pStyle w:val="21"/>
        <w:numPr>
          <w:ilvl w:val="0"/>
          <w:numId w:val="0"/>
        </w:numPr>
        <w:ind w:firstLine="240" w:firstLineChars="10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 xml:space="preserve">5.7.1 </w:t>
      </w:r>
      <w:r>
        <w:rPr>
          <w:rFonts w:hint="default" w:ascii="Times New Roman" w:hAnsi="Times New Roman" w:cs="Times New Roman"/>
          <w:szCs w:val="24"/>
          <w:lang w:val="en-US" w:eastAsia="zh-CN"/>
        </w:rPr>
        <w:t>声明范围</w:t>
      </w:r>
    </w:p>
    <w:p>
      <w:pPr>
        <w:pStyle w:val="21"/>
        <w:numPr>
          <w:ilvl w:val="0"/>
          <w:numId w:val="0"/>
        </w:numPr>
        <w:ind w:firstLine="240" w:firstLineChars="10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本技术方案中涉及的以下内容属于技术秘密，未经本公司书面授权，任何单位或个人不得以任何形式泄露、复制、传播或使用：</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技术原理：包括但不限于高空剪切钳的设计思路、工作原理、构造细节等。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5</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6</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核心技术：包括剪切刀片的材料选择、电动驱动系统的设计、防坠落装置的结构等。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7</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8</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工艺参数：包括剪切力的计算方法、材料的加工工艺、设备的装配要求等。</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（10）</w:t>
      </w:r>
      <w:r>
        <w:rPr>
          <w:rFonts w:hint="default" w:ascii="Times New Roman" w:hAnsi="Times New Roman" w:cs="Times New Roman"/>
          <w:szCs w:val="24"/>
          <w:lang w:val="en-US" w:eastAsia="zh-CN"/>
        </w:rPr>
        <w:t>其他相关内容：包括技术方案中未公开的实验数据、测试结果、优化方案等。</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 xml:space="preserve">5.7.2 </w:t>
      </w:r>
      <w:r>
        <w:rPr>
          <w:rFonts w:hint="default" w:ascii="Times New Roman" w:hAnsi="Times New Roman" w:cs="Times New Roman"/>
          <w:szCs w:val="24"/>
          <w:lang w:val="en-US" w:eastAsia="zh-CN"/>
        </w:rPr>
        <w:t>技术秘密的保护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本技术方案中的技术秘密受《中华人民共和国反不正当竞争法》</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《中华人民共和国专利法》等相关法律法规的保护。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任何未经授权的泄露、使用或传播技术秘密的行为，均视为侵权行为，本公司有权依法追究其法律责任。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3</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保密义务</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本技术方案的接收方（包括但不限于合作单位、技术人员、顾问等）应严格遵守保密义务，不得将技术秘密用于非授权用途。</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接收方应采取必要措施（如限制文件传播、签署保密协议等）保护技术秘密，防止其泄露。</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4</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违约责任</w:t>
      </w:r>
    </w:p>
    <w:p>
      <w:pPr>
        <w:pStyle w:val="21"/>
        <w:numPr>
          <w:ilvl w:val="0"/>
          <w:numId w:val="0"/>
        </w:numPr>
        <w:ind w:firstLine="480" w:firstLineChars="200"/>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对于违反本声明要求，导致技术秘密泄露的行为，本公司将依法追究其民事责任和刑事责任。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声明生效</w:t>
      </w:r>
    </w:p>
    <w:p>
      <w:pPr>
        <w:pStyle w:val="21"/>
        <w:numPr>
          <w:ilvl w:val="0"/>
          <w:numId w:val="0"/>
        </w:numPr>
        <w:ind w:firstLine="480" w:firstLineChars="200"/>
        <w:jc w:val="both"/>
        <w:rPr>
          <w:rFonts w:hint="eastAsia"/>
        </w:rPr>
      </w:pPr>
      <w:r>
        <w:rPr>
          <w:rFonts w:hint="default" w:ascii="Times New Roman" w:hAnsi="Times New Roman" w:cs="Times New Roman"/>
          <w:szCs w:val="24"/>
          <w:lang w:val="en-US" w:eastAsia="zh-CN"/>
        </w:rPr>
        <w:t>本声明自发布之日起生效，长期有效。</w:t>
      </w:r>
    </w:p>
    <w:p>
      <w:pPr>
        <w:pStyle w:val="5"/>
        <w:bidi w:val="0"/>
        <w:rPr>
          <w:rFonts w:hint="eastAsia"/>
          <w:lang w:val="en-US" w:eastAsia="zh-CN"/>
        </w:rPr>
      </w:pPr>
      <w:bookmarkStart w:id="47" w:name="_Toc17850"/>
      <w:r>
        <w:rPr>
          <w:rFonts w:hint="eastAsia"/>
          <w:lang w:val="en-US" w:eastAsia="zh-CN"/>
        </w:rPr>
        <w:t>5.8 售后服务承诺</w:t>
      </w:r>
      <w:bookmarkEnd w:id="47"/>
    </w:p>
    <w:p>
      <w:pPr>
        <w:ind w:left="0" w:leftChars="0" w:firstLine="0" w:firstLineChars="0"/>
        <w:rPr>
          <w:rFonts w:ascii="宋体" w:hAnsi="宋体"/>
        </w:rPr>
      </w:pPr>
      <w:r>
        <w:rPr>
          <w:rFonts w:hint="eastAsia" w:ascii="宋体" w:hAnsi="宋体"/>
          <w:lang w:eastAsia="zh-CN"/>
        </w:rPr>
        <w:t>（</w:t>
      </w:r>
      <w:r>
        <w:rPr>
          <w:rFonts w:hint="eastAsia" w:ascii="宋体" w:hAnsi="宋体"/>
        </w:rPr>
        <w:t>1）投标方维护服务管理体系，须在招标方当地有专业维护人员，能按要求及时响应。</w:t>
      </w:r>
    </w:p>
    <w:p>
      <w:pPr>
        <w:ind w:left="0" w:leftChars="0" w:firstLine="0" w:firstLineChars="0"/>
        <w:rPr>
          <w:rFonts w:ascii="宋体" w:hAnsi="宋体"/>
        </w:rPr>
      </w:pPr>
      <w:r>
        <w:rPr>
          <w:rFonts w:hint="eastAsia" w:ascii="宋体" w:hAnsi="宋体"/>
          <w:lang w:eastAsia="zh-CN"/>
        </w:rPr>
        <w:t>（</w:t>
      </w:r>
      <w:r>
        <w:rPr>
          <w:rFonts w:hint="eastAsia" w:ascii="宋体" w:hAnsi="宋体"/>
        </w:rPr>
        <w:t>2）提出保修期后每年的收费维修、维护内容，费用和服务方式、范围（产品、技术、模块、部件），供招标方选择。</w:t>
      </w:r>
    </w:p>
    <w:p>
      <w:pPr>
        <w:ind w:left="0" w:leftChars="0" w:firstLine="0" w:firstLineChars="0"/>
        <w:rPr>
          <w:rFonts w:ascii="宋体" w:hAnsi="宋体"/>
        </w:rPr>
      </w:pPr>
      <w:r>
        <w:rPr>
          <w:rFonts w:hint="eastAsia" w:ascii="宋体" w:hAnsi="宋体"/>
          <w:lang w:eastAsia="zh-CN"/>
        </w:rPr>
        <w:t>（</w:t>
      </w:r>
      <w:r>
        <w:rPr>
          <w:rFonts w:hint="eastAsia" w:ascii="宋体" w:hAnsi="宋体"/>
        </w:rPr>
        <w:t>3）按照本技术规范第十条售后服务要求的响应情况进行说明。</w:t>
      </w:r>
    </w:p>
    <w:p>
      <w:pPr>
        <w:pStyle w:val="4"/>
        <w:numPr>
          <w:ilvl w:val="0"/>
          <w:numId w:val="0"/>
        </w:numPr>
        <w:spacing w:before="0" w:after="0" w:line="360" w:lineRule="auto"/>
        <w:ind w:left="432"/>
        <w:rPr>
          <w:rFonts w:ascii="Times New Roman" w:hAnsi="Times New Roman" w:cs="Times New Roman"/>
          <w:sz w:val="32"/>
          <w:szCs w:val="24"/>
        </w:rPr>
      </w:pPr>
      <w:bookmarkStart w:id="48" w:name="_Toc32386"/>
      <w:r>
        <w:rPr>
          <w:rStyle w:val="24"/>
          <w:rFonts w:hint="eastAsia"/>
          <w:b/>
          <w:bCs/>
        </w:rPr>
        <w:t>六、技术资料和文件</w:t>
      </w:r>
      <w:bookmarkEnd w:id="48"/>
      <w:r>
        <w:rPr>
          <w:rFonts w:hint="eastAsia" w:ascii="Times New Roman" w:hAnsi="Times New Roman" w:cs="Times New Roman"/>
          <w:sz w:val="32"/>
          <w:szCs w:val="24"/>
        </w:rPr>
        <w:t xml:space="preserve"> </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rPr>
        <w:t>1）</w:t>
      </w:r>
      <w:r>
        <w:rPr>
          <w:rFonts w:ascii="Times New Roman" w:hAnsi="Times New Roman" w:cs="Times New Roman"/>
          <w:szCs w:val="21"/>
          <w:lang w:val="zh-CN"/>
        </w:rPr>
        <w:t>在合同签字后</w:t>
      </w:r>
      <w:r>
        <w:rPr>
          <w:rFonts w:hint="eastAsia" w:ascii="Times New Roman" w:hAnsi="Times New Roman" w:cs="Times New Roman"/>
          <w:szCs w:val="21"/>
          <w:u w:val="single"/>
        </w:rPr>
        <w:t xml:space="preserve">   5日  </w:t>
      </w:r>
      <w:r>
        <w:rPr>
          <w:rFonts w:ascii="Times New Roman" w:hAnsi="Times New Roman" w:cs="Times New Roman"/>
          <w:szCs w:val="21"/>
          <w:lang w:val="zh-CN"/>
        </w:rPr>
        <w:t>内，</w:t>
      </w:r>
      <w:r>
        <w:rPr>
          <w:rFonts w:ascii="Times New Roman" w:hAnsi="Times New Roman" w:cs="Times New Roman"/>
          <w:szCs w:val="24"/>
          <w:lang w:val="zh-CN"/>
        </w:rPr>
        <w:t>中标方</w:t>
      </w:r>
      <w:r>
        <w:rPr>
          <w:rFonts w:ascii="Times New Roman" w:hAnsi="Times New Roman" w:cs="Times New Roman"/>
          <w:szCs w:val="21"/>
          <w:lang w:val="zh-CN"/>
        </w:rPr>
        <w:t>应提供详细的技术研究方案和工程进度表</w:t>
      </w:r>
      <w:r>
        <w:rPr>
          <w:rFonts w:ascii="Times New Roman" w:hAnsi="Times New Roman" w:cs="Times New Roman"/>
          <w:color w:val="000000"/>
          <w:szCs w:val="24"/>
        </w:rPr>
        <w:t>。</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lang w:val="en-US" w:eastAsia="zh-CN"/>
        </w:rPr>
        <w:t>2</w:t>
      </w:r>
      <w:r>
        <w:rPr>
          <w:rFonts w:hint="eastAsia" w:ascii="宋体" w:hAnsi="宋体"/>
        </w:rPr>
        <w:t>）</w:t>
      </w:r>
      <w:r>
        <w:rPr>
          <w:rFonts w:ascii="Times New Roman" w:hAnsi="Times New Roman" w:cs="Times New Roman"/>
          <w:szCs w:val="21"/>
          <w:lang w:val="zh-CN"/>
        </w:rPr>
        <w:t>项目研究过程中，中标方应提供相关理论研究报告、设计方案、试验数据、图谱、研究成果</w:t>
      </w:r>
      <w:r>
        <w:rPr>
          <w:rFonts w:hint="eastAsia" w:ascii="Times New Roman" w:hAnsi="Times New Roman" w:cs="Times New Roman"/>
          <w:szCs w:val="21"/>
          <w:lang w:val="zh-CN"/>
        </w:rPr>
        <w:t>、</w:t>
      </w:r>
      <w:r>
        <w:rPr>
          <w:rFonts w:ascii="Times New Roman" w:hAnsi="Times New Roman" w:cs="Times New Roman"/>
          <w:szCs w:val="21"/>
          <w:lang w:val="zh-CN"/>
        </w:rPr>
        <w:t>研究报告</w:t>
      </w:r>
      <w:r>
        <w:rPr>
          <w:rFonts w:hint="eastAsia" w:ascii="Times New Roman" w:hAnsi="Times New Roman" w:cs="Times New Roman"/>
          <w:szCs w:val="21"/>
          <w:lang w:val="zh-CN"/>
        </w:rPr>
        <w:t>、工作总结报告</w:t>
      </w:r>
      <w:r>
        <w:rPr>
          <w:rFonts w:ascii="Times New Roman" w:hAnsi="Times New Roman" w:cs="Times New Roman"/>
          <w:szCs w:val="21"/>
          <w:lang w:val="zh-CN"/>
        </w:rPr>
        <w:t>等</w:t>
      </w:r>
      <w:r>
        <w:rPr>
          <w:rFonts w:ascii="Times New Roman" w:hAnsi="Times New Roman" w:cs="Times New Roman"/>
          <w:color w:val="000000"/>
          <w:szCs w:val="24"/>
        </w:rPr>
        <w:t>。</w:t>
      </w:r>
    </w:p>
    <w:p>
      <w:pPr>
        <w:autoSpaceDE w:val="0"/>
        <w:autoSpaceDN w:val="0"/>
        <w:adjustRightInd w:val="0"/>
        <w:ind w:left="0" w:leftChars="0" w:firstLine="0" w:firstLineChars="0"/>
        <w:rPr>
          <w:rFonts w:ascii="Times New Roman" w:hAnsi="Times New Roman" w:cs="Times New Roman"/>
          <w:szCs w:val="21"/>
          <w:lang w:val="zh-CN"/>
        </w:rPr>
      </w:pPr>
      <w:r>
        <w:rPr>
          <w:rFonts w:hint="eastAsia" w:ascii="宋体" w:hAnsi="宋体"/>
          <w:lang w:eastAsia="zh-CN"/>
        </w:rPr>
        <w:t>（</w:t>
      </w:r>
      <w:r>
        <w:rPr>
          <w:rFonts w:hint="eastAsia" w:ascii="宋体" w:hAnsi="宋体"/>
          <w:lang w:val="en-US" w:eastAsia="zh-CN"/>
        </w:rPr>
        <w:t>3</w:t>
      </w:r>
      <w:r>
        <w:rPr>
          <w:rFonts w:hint="eastAsia" w:ascii="宋体" w:hAnsi="宋体"/>
        </w:rPr>
        <w:t>）</w:t>
      </w:r>
      <w:r>
        <w:rPr>
          <w:rFonts w:ascii="Times New Roman" w:hAnsi="Times New Roman" w:cs="Times New Roman"/>
          <w:szCs w:val="21"/>
          <w:lang w:val="zh-CN"/>
        </w:rPr>
        <w:t>交货时应提供系统软件的有资质的第三方评测报告</w:t>
      </w:r>
      <w:r>
        <w:rPr>
          <w:rFonts w:hint="eastAsia" w:ascii="Times New Roman" w:hAnsi="Times New Roman" w:cs="Times New Roman"/>
          <w:szCs w:val="21"/>
          <w:lang w:val="zh-CN"/>
        </w:rPr>
        <w:t>、研制样机技术指标第三方测试报告等。</w:t>
      </w:r>
    </w:p>
    <w:p>
      <w:pPr>
        <w:pStyle w:val="4"/>
        <w:numPr>
          <w:ilvl w:val="0"/>
          <w:numId w:val="0"/>
        </w:numPr>
        <w:bidi w:val="0"/>
        <w:ind w:left="432" w:leftChars="0"/>
      </w:pPr>
      <w:bookmarkStart w:id="49" w:name="_Toc2277"/>
      <w:r>
        <w:rPr>
          <w:rFonts w:hint="eastAsia"/>
        </w:rPr>
        <w:t>七、项目联络</w:t>
      </w:r>
      <w:bookmarkEnd w:id="49"/>
    </w:p>
    <w:p>
      <w:pPr>
        <w:ind w:firstLine="480"/>
        <w:rPr>
          <w:rFonts w:ascii="宋体" w:hAnsi="宋体"/>
        </w:rPr>
      </w:pPr>
      <w:r>
        <w:rPr>
          <w:rFonts w:hint="eastAsia" w:ascii="宋体" w:hAnsi="宋体"/>
        </w:rPr>
        <w:t>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rPr>
        <w:t>联络会的内容如下：</w:t>
      </w:r>
    </w:p>
    <w:p>
      <w:pPr>
        <w:numPr>
          <w:ilvl w:val="0"/>
          <w:numId w:val="0"/>
        </w:numPr>
        <w:tabs>
          <w:tab w:val="left" w:pos="900"/>
        </w:tabs>
        <w:ind w:firstLine="480" w:firstLineChars="200"/>
        <w:rPr>
          <w:rFonts w:ascii="宋体" w:hAnsi="宋体"/>
        </w:rPr>
      </w:pPr>
      <w:r>
        <w:rPr>
          <w:rFonts w:hint="eastAsia" w:ascii="宋体" w:hAnsi="宋体"/>
          <w:lang w:eastAsia="zh-CN"/>
        </w:rPr>
        <w:t>（</w:t>
      </w:r>
      <w:r>
        <w:rPr>
          <w:rFonts w:hint="eastAsia" w:ascii="宋体" w:hAnsi="宋体"/>
        </w:rPr>
        <w:t>1）确认服务、工作产品的性能是否满足规范书要求。</w:t>
      </w:r>
    </w:p>
    <w:p>
      <w:pPr>
        <w:numPr>
          <w:ilvl w:val="0"/>
          <w:numId w:val="0"/>
        </w:numPr>
        <w:tabs>
          <w:tab w:val="left" w:pos="900"/>
        </w:tabs>
        <w:ind w:firstLine="480" w:firstLineChars="200"/>
        <w:rPr>
          <w:rFonts w:ascii="宋体" w:hAnsi="宋体"/>
        </w:rPr>
      </w:pPr>
      <w:r>
        <w:rPr>
          <w:rFonts w:hint="eastAsia" w:ascii="宋体" w:hAnsi="宋体"/>
          <w:lang w:val="en-US" w:eastAsia="zh-CN"/>
        </w:rPr>
        <w:t>（2</w:t>
      </w:r>
      <w:r>
        <w:rPr>
          <w:rFonts w:hint="eastAsia" w:ascii="宋体" w:hAnsi="宋体"/>
        </w:rPr>
        <w:t>）确认服务、工作产品的实施方案。</w:t>
      </w:r>
    </w:p>
    <w:p>
      <w:pPr>
        <w:numPr>
          <w:ilvl w:val="0"/>
          <w:numId w:val="0"/>
        </w:numPr>
        <w:tabs>
          <w:tab w:val="left" w:pos="900"/>
        </w:tabs>
        <w:ind w:firstLine="480" w:firstLineChars="200"/>
        <w:rPr>
          <w:rFonts w:ascii="宋体" w:hAnsi="宋体"/>
        </w:rPr>
      </w:pPr>
      <w:r>
        <w:rPr>
          <w:rFonts w:hint="eastAsia" w:ascii="宋体" w:hAnsi="宋体"/>
          <w:lang w:val="en-US" w:eastAsia="zh-CN"/>
        </w:rPr>
        <w:t>（3</w:t>
      </w:r>
      <w:r>
        <w:rPr>
          <w:rFonts w:hint="eastAsia" w:ascii="宋体" w:hAnsi="宋体"/>
        </w:rPr>
        <w:t>）检查、确认投标方提供的技术文件和图纸。</w:t>
      </w:r>
    </w:p>
    <w:p>
      <w:pPr>
        <w:numPr>
          <w:ilvl w:val="0"/>
          <w:numId w:val="0"/>
        </w:numPr>
        <w:tabs>
          <w:tab w:val="left" w:pos="900"/>
        </w:tabs>
        <w:ind w:firstLine="480" w:firstLineChars="200"/>
        <w:rPr>
          <w:rFonts w:ascii="宋体" w:hAnsi="宋体"/>
        </w:rPr>
      </w:pPr>
      <w:r>
        <w:rPr>
          <w:rFonts w:hint="eastAsia" w:ascii="宋体" w:hAnsi="宋体"/>
          <w:lang w:val="en-US" w:eastAsia="zh-CN"/>
        </w:rPr>
        <w:t>（4</w:t>
      </w:r>
      <w:r>
        <w:rPr>
          <w:rFonts w:hint="eastAsia" w:ascii="宋体" w:hAnsi="宋体"/>
        </w:rPr>
        <w:t>）讨论、确定培训计划（包括课程安排、教材、进度）。</w:t>
      </w:r>
    </w:p>
    <w:p>
      <w:pPr>
        <w:numPr>
          <w:ilvl w:val="0"/>
          <w:numId w:val="0"/>
        </w:numPr>
        <w:tabs>
          <w:tab w:val="left" w:pos="900"/>
        </w:tabs>
        <w:ind w:firstLine="480" w:firstLineChars="200"/>
        <w:rPr>
          <w:rFonts w:ascii="宋体" w:hAnsi="宋体"/>
        </w:rPr>
      </w:pPr>
      <w:r>
        <w:rPr>
          <w:rFonts w:hint="eastAsia" w:ascii="宋体" w:hAnsi="宋体"/>
          <w:lang w:val="en-US" w:eastAsia="zh-CN"/>
        </w:rPr>
        <w:t>（5</w:t>
      </w:r>
      <w:r>
        <w:rPr>
          <w:rFonts w:hint="eastAsia" w:ascii="宋体" w:hAnsi="宋体"/>
        </w:rPr>
        <w:t>）其他有关事项。</w:t>
      </w:r>
    </w:p>
    <w:p>
      <w:pPr>
        <w:pStyle w:val="4"/>
        <w:numPr>
          <w:ilvl w:val="0"/>
          <w:numId w:val="0"/>
        </w:numPr>
        <w:bidi w:val="0"/>
        <w:ind w:left="432" w:leftChars="0"/>
      </w:pPr>
      <w:bookmarkStart w:id="50" w:name="_Toc9208"/>
      <w:r>
        <w:rPr>
          <w:rFonts w:hint="eastAsia"/>
        </w:rPr>
        <w:t>八、评审与验收</w:t>
      </w:r>
      <w:bookmarkEnd w:id="50"/>
    </w:p>
    <w:p>
      <w:pPr>
        <w:ind w:firstLine="480"/>
        <w:rPr>
          <w:rFonts w:hint="eastAsia" w:ascii="宋体" w:hAnsi="宋体"/>
        </w:rPr>
      </w:pP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w:t>
      </w:r>
      <w:r>
        <w:rPr>
          <w:rFonts w:hint="eastAsia" w:ascii="宋体" w:hAnsi="宋体"/>
        </w:rPr>
        <w:t>形成验收文件。</w:t>
      </w:r>
    </w:p>
    <w:p>
      <w:pPr>
        <w:ind w:firstLine="480"/>
        <w:rPr>
          <w:rFonts w:hint="eastAsia" w:ascii="宋体" w:hAnsi="宋体"/>
          <w:lang w:val="en-US" w:eastAsia="zh-CN"/>
        </w:rPr>
      </w:pPr>
      <w:r>
        <w:rPr>
          <w:rFonts w:hint="eastAsia" w:ascii="宋体" w:hAnsi="宋体"/>
        </w:rPr>
        <w:t>验收方式</w:t>
      </w:r>
      <w:r>
        <w:rPr>
          <w:rFonts w:hint="eastAsia" w:ascii="宋体" w:hAnsi="宋体"/>
          <w:lang w:eastAsia="zh-CN"/>
        </w:rPr>
        <w:t>如下：</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项目成果经招标方和中标方共同确认满足验收条件后，由招标方组织专家对所有项目材料和相关成果进行评审，开展合同验收。</w:t>
      </w:r>
    </w:p>
    <w:p>
      <w:pPr>
        <w:ind w:firstLine="480"/>
        <w:rPr>
          <w:rFonts w:hint="eastAsia" w:ascii="宋体" w:hAnsi="宋体"/>
        </w:rPr>
      </w:pPr>
      <w:r>
        <w:rPr>
          <w:rFonts w:hint="eastAsia" w:ascii="宋体" w:hAnsi="宋体"/>
          <w:lang w:val="en-US" w:eastAsia="zh-CN"/>
        </w:rPr>
        <w:t>（2</w:t>
      </w:r>
      <w:r>
        <w:rPr>
          <w:rFonts w:hint="eastAsia" w:ascii="宋体" w:hAnsi="宋体"/>
        </w:rPr>
        <w:t>）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bidi w:val="0"/>
        <w:ind w:left="432" w:leftChars="0"/>
      </w:pPr>
      <w:bookmarkStart w:id="51" w:name="_Toc23222"/>
      <w:r>
        <w:rPr>
          <w:rFonts w:hint="eastAsia"/>
        </w:rPr>
        <w:t>九、售后服务</w:t>
      </w:r>
      <w:bookmarkEnd w:id="51"/>
      <w:r>
        <w:rPr>
          <w:rFonts w:hint="eastAsia"/>
        </w:rPr>
        <w:t xml:space="preserve"> </w:t>
      </w:r>
    </w:p>
    <w:p>
      <w:pPr>
        <w:ind w:left="0" w:leftChars="0" w:firstLine="0" w:firstLineChars="0"/>
        <w:rPr>
          <w:rFonts w:ascii="宋体" w:hAnsi="宋体"/>
        </w:rPr>
      </w:pPr>
      <w:r>
        <w:rPr>
          <w:rFonts w:hint="eastAsia" w:ascii="宋体" w:hAnsi="宋体"/>
          <w:lang w:eastAsia="zh-CN"/>
        </w:rPr>
        <w:t>（</w:t>
      </w:r>
      <w:r>
        <w:rPr>
          <w:rFonts w:hint="eastAsia" w:ascii="宋体" w:hAnsi="宋体"/>
        </w:rPr>
        <w:t>1）所有工作产品均须由投标方提供壹年以上的免费维护、保修服务，自项目验收签字之日起计算。</w:t>
      </w:r>
    </w:p>
    <w:p>
      <w:pPr>
        <w:ind w:left="0" w:leftChars="0" w:firstLine="0" w:firstLineChars="0"/>
        <w:rPr>
          <w:rFonts w:ascii="宋体" w:hAnsi="宋体"/>
        </w:rPr>
      </w:pPr>
      <w:r>
        <w:rPr>
          <w:rFonts w:hint="eastAsia" w:ascii="宋体" w:hAnsi="宋体"/>
          <w:lang w:val="en-US" w:eastAsia="zh-CN"/>
        </w:rPr>
        <w:t>（2</w:t>
      </w:r>
      <w:r>
        <w:rPr>
          <w:rFonts w:hint="eastAsia" w:ascii="宋体" w:hAnsi="宋体"/>
        </w:rPr>
        <w:t>）投标方必须提出保修期内的维护、保修内容和范围（产品、技术、模块、部件）。</w:t>
      </w:r>
    </w:p>
    <w:p>
      <w:pPr>
        <w:ind w:left="0" w:leftChars="0" w:firstLine="0" w:firstLineChars="0"/>
        <w:rPr>
          <w:rFonts w:ascii="宋体" w:hAnsi="宋体"/>
        </w:rPr>
      </w:pPr>
      <w:r>
        <w:rPr>
          <w:rFonts w:hint="eastAsia" w:ascii="宋体" w:hAnsi="宋体"/>
          <w:lang w:val="en-US" w:eastAsia="zh-CN"/>
        </w:rPr>
        <w:t>（3</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left="0" w:leftChars="0" w:firstLine="0" w:firstLineChars="0"/>
        <w:rPr>
          <w:rFonts w:ascii="宋体" w:hAnsi="宋体"/>
        </w:rPr>
      </w:pPr>
      <w:r>
        <w:rPr>
          <w:rFonts w:hint="eastAsia" w:ascii="宋体" w:hAnsi="宋体"/>
          <w:lang w:val="en-US" w:eastAsia="zh-CN"/>
        </w:rPr>
        <w:t>（4</w:t>
      </w:r>
      <w:r>
        <w:rPr>
          <w:rFonts w:hint="eastAsia" w:ascii="宋体" w:hAnsi="宋体"/>
        </w:rPr>
        <w:t>）如果故障在检修8小时后仍无法排除，投标方应在2天内提供解决方案，经招标方批准后负责实施，直至故障修复。</w:t>
      </w:r>
    </w:p>
    <w:p>
      <w:pPr>
        <w:ind w:left="0" w:leftChars="0" w:firstLine="0" w:firstLineChars="0"/>
        <w:rPr>
          <w:rFonts w:ascii="宋体" w:hAnsi="宋体"/>
        </w:rPr>
      </w:pPr>
      <w:r>
        <w:rPr>
          <w:rFonts w:hint="eastAsia" w:ascii="宋体" w:hAnsi="宋体"/>
          <w:lang w:val="en-US" w:eastAsia="zh-CN"/>
        </w:rPr>
        <w:t>（5</w:t>
      </w:r>
      <w:r>
        <w:rPr>
          <w:rFonts w:hint="eastAsia" w:ascii="宋体" w:hAnsi="宋体"/>
        </w:rPr>
        <w:t>）所有售后服务方式均为投标方上门，即由投标方或原厂商派员到用户使用现场。由此产生的一切费用均由投标方承担。</w:t>
      </w:r>
    </w:p>
    <w:p>
      <w:pPr>
        <w:ind w:left="0" w:leftChars="0" w:firstLine="0" w:firstLineChars="0"/>
        <w:rPr>
          <w:rFonts w:ascii="宋体" w:hAnsi="宋体"/>
        </w:rPr>
      </w:pPr>
      <w:r>
        <w:rPr>
          <w:rFonts w:hint="eastAsia" w:ascii="宋体" w:hAnsi="宋体"/>
          <w:lang w:val="en-US" w:eastAsia="zh-CN"/>
        </w:rPr>
        <w:t>（6</w:t>
      </w:r>
      <w:r>
        <w:rPr>
          <w:rFonts w:hint="eastAsia" w:ascii="宋体" w:hAnsi="宋体"/>
        </w:rPr>
        <w:t>）对于不能明确是否是投标方工作产品出现故障时，投标方应尽力配合招标方和其他供应商进行检查，在必要时，能在上述响应时间内到达现场协助排除问题。</w:t>
      </w:r>
    </w:p>
    <w:p>
      <w:pPr>
        <w:ind w:left="0" w:leftChars="0" w:firstLine="0" w:firstLineChars="0"/>
        <w:rPr>
          <w:rFonts w:ascii="宋体" w:hAnsi="宋体"/>
        </w:rPr>
      </w:pPr>
      <w:r>
        <w:rPr>
          <w:rFonts w:hint="eastAsia" w:ascii="宋体" w:hAnsi="宋体"/>
          <w:lang w:val="en-US" w:eastAsia="zh-CN"/>
        </w:rPr>
        <w:t>（7</w:t>
      </w:r>
      <w:r>
        <w:rPr>
          <w:rFonts w:hint="eastAsia" w:ascii="宋体" w:hAnsi="宋体"/>
        </w:rPr>
        <w:t>）投标方必须有专门的维护部门及规范的维护服务管理体系，须在招标方当地有专业维护人员，能按要求及时响应。</w:t>
      </w:r>
    </w:p>
    <w:p>
      <w:pPr>
        <w:ind w:left="0" w:leftChars="0" w:firstLine="0" w:firstLineChars="0"/>
        <w:rPr>
          <w:rFonts w:ascii="宋体" w:hAnsi="宋体"/>
        </w:rPr>
      </w:pPr>
      <w:r>
        <w:rPr>
          <w:rFonts w:hint="eastAsia" w:ascii="宋体" w:hAnsi="宋体"/>
          <w:lang w:val="en-US" w:eastAsia="zh-CN"/>
        </w:rPr>
        <w:t>（8</w:t>
      </w:r>
      <w:r>
        <w:rPr>
          <w:rFonts w:hint="eastAsia" w:ascii="宋体" w:hAnsi="宋体"/>
        </w:rPr>
        <w:t>）投标方需要提出保修期后每年的收费维修、维护内容，费用和服务方式、范围（产品、技术、模块、部件），供招标方选择。</w:t>
      </w:r>
    </w:p>
    <w:p>
      <w:pPr>
        <w:pStyle w:val="4"/>
        <w:numPr>
          <w:ilvl w:val="0"/>
          <w:numId w:val="0"/>
        </w:numPr>
        <w:bidi w:val="0"/>
        <w:ind w:left="432" w:leftChars="0"/>
        <w:rPr>
          <w:rFonts w:hint="eastAsia"/>
        </w:rPr>
      </w:pPr>
      <w:bookmarkStart w:id="52" w:name="_Toc14985"/>
      <w:r>
        <w:rPr>
          <w:rFonts w:hint="eastAsia"/>
        </w:rPr>
        <w:t>十、其他相关要求</w:t>
      </w:r>
      <w:bookmarkEnd w:id="52"/>
    </w:p>
    <w:p>
      <w:pPr>
        <w:pStyle w:val="4"/>
        <w:numPr>
          <w:ilvl w:val="0"/>
          <w:numId w:val="0"/>
        </w:numPr>
        <w:bidi w:val="0"/>
        <w:rPr>
          <w:rFonts w:ascii="Times New Roman" w:hAnsi="Times New Roman" w:cs="Times New Roman"/>
        </w:rPr>
      </w:pPr>
      <w:bookmarkStart w:id="53" w:name="_Toc31513"/>
      <w:r>
        <w:rPr>
          <w:rStyle w:val="23"/>
          <w:b/>
          <w:bCs/>
        </w:rPr>
        <w:t>1</w:t>
      </w:r>
      <w:r>
        <w:rPr>
          <w:rStyle w:val="23"/>
          <w:rFonts w:hint="eastAsia"/>
          <w:b/>
          <w:bCs/>
        </w:rPr>
        <w:t>0</w:t>
      </w:r>
      <w:r>
        <w:rPr>
          <w:rStyle w:val="23"/>
          <w:b/>
          <w:bCs/>
        </w:rPr>
        <w:t>.1</w:t>
      </w:r>
      <w:r>
        <w:rPr>
          <w:rStyle w:val="23"/>
          <w:rFonts w:hint="eastAsia"/>
          <w:b/>
          <w:bCs/>
          <w:lang w:val="en-US" w:eastAsia="zh-CN"/>
        </w:rPr>
        <w:t xml:space="preserve"> </w:t>
      </w:r>
      <w:r>
        <w:rPr>
          <w:rStyle w:val="23"/>
          <w:rFonts w:hint="eastAsia"/>
          <w:b/>
          <w:bCs/>
        </w:rPr>
        <w:t>技术配合</w:t>
      </w:r>
      <w:bookmarkEnd w:id="53"/>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left="0" w:leftChars="0"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中标方须编制并向招标方提交系统设计报告。</w:t>
      </w:r>
    </w:p>
    <w:p>
      <w:pPr>
        <w:ind w:left="0" w:leftChars="0"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left="0" w:leftChars="0" w:firstLine="0" w:firstLineChars="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pStyle w:val="5"/>
        <w:bidi w:val="0"/>
      </w:pPr>
      <w:bookmarkStart w:id="54" w:name="_Toc5313"/>
      <w:r>
        <w:t>1</w:t>
      </w:r>
      <w:r>
        <w:rPr>
          <w:rFonts w:hint="eastAsia"/>
        </w:rPr>
        <w:t>0</w:t>
      </w:r>
      <w:r>
        <w:t>.2</w:t>
      </w:r>
      <w:r>
        <w:rPr>
          <w:rFonts w:hint="eastAsia"/>
          <w:lang w:val="en-US" w:eastAsia="zh-CN"/>
        </w:rPr>
        <w:t xml:space="preserve"> </w:t>
      </w:r>
      <w:r>
        <w:rPr>
          <w:rFonts w:hint="eastAsia"/>
        </w:rPr>
        <w:t>现场服务</w:t>
      </w:r>
      <w:bookmarkEnd w:id="54"/>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当招标方对监测结果存在疑问时，中标方应按合同规定及时派工程技术人员到达现场服务。</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中标方在项目实施过程中应至少为招标方免费提供一次技术指导和培训讲座，在不涉及机密资料泄露的情况下，中标方应尽最大可能将本单位相关算法、其他类似项目的研究结论等向招标方公开。</w:t>
      </w:r>
    </w:p>
    <w:p>
      <w:pPr>
        <w:pStyle w:val="5"/>
        <w:bidi w:val="0"/>
      </w:pPr>
      <w:bookmarkStart w:id="55" w:name="_Toc881"/>
      <w:r>
        <w:t>1</w:t>
      </w:r>
      <w:r>
        <w:rPr>
          <w:rFonts w:hint="eastAsia"/>
        </w:rPr>
        <w:t>0</w:t>
      </w:r>
      <w:r>
        <w:t>.3</w:t>
      </w:r>
      <w:r>
        <w:rPr>
          <w:rFonts w:hint="eastAsia"/>
          <w:lang w:val="en-US" w:eastAsia="zh-CN"/>
        </w:rPr>
        <w:t xml:space="preserve"> </w:t>
      </w:r>
      <w:r>
        <w:rPr>
          <w:rFonts w:hint="eastAsia"/>
        </w:rPr>
        <w:t>培训</w:t>
      </w:r>
      <w:bookmarkEnd w:id="55"/>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中标方应负责对招标方技术人员进行</w:t>
      </w:r>
      <w:r>
        <w:rPr>
          <w:rFonts w:hint="eastAsia" w:ascii="宋体" w:hAnsi="宋体"/>
        </w:rPr>
        <w:t>一种可带电作业的异型滑车操作</w:t>
      </w:r>
      <w:r>
        <w:rPr>
          <w:rFonts w:ascii="Times New Roman" w:hAnsi="Times New Roman" w:cs="Times New Roman"/>
        </w:rPr>
        <w:t>等各方面的技术培训，使他们掌握或熟悉原理、系统关键参数设定以及结果判断等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w:t>
      </w:r>
      <w:r>
        <w:rPr>
          <w:rFonts w:ascii="Times New Roman" w:hAnsi="Times New Roman" w:cs="Times New Roman"/>
        </w:rPr>
        <w:t>培训内容包括中标方提供的系统的结构、系统软件、支撑软件和全部应用软件的功能，特点，各种模块间的联系以及系统的生成和维护等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3</w:t>
      </w:r>
      <w:r>
        <w:rPr>
          <w:rFonts w:hint="eastAsia" w:ascii="Times New Roman" w:hAnsi="Times New Roman" w:cs="Times New Roman"/>
        </w:rPr>
        <w:t>）</w:t>
      </w:r>
      <w:r>
        <w:rPr>
          <w:rFonts w:ascii="Times New Roman" w:hAnsi="Times New Roman" w:cs="Times New Roman"/>
        </w:rPr>
        <w:t>中标方应提出培训的建议日期、地点、培训时间表和课程表，经招标方同意后，开展培训工作。</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4</w:t>
      </w:r>
      <w:r>
        <w:rPr>
          <w:rFonts w:hint="eastAsia" w:ascii="Times New Roman" w:hAnsi="Times New Roman" w:cs="Times New Roman"/>
        </w:rPr>
        <w:t>）</w:t>
      </w:r>
      <w:r>
        <w:rPr>
          <w:rFonts w:ascii="Times New Roman" w:hAnsi="Times New Roman" w:cs="Times New Roman"/>
        </w:rPr>
        <w:t>培训时间和参加人数</w:t>
      </w:r>
    </w:p>
    <w:p>
      <w:pPr>
        <w:ind w:left="0" w:leftChars="0" w:firstLine="480" w:firstLineChars="200"/>
        <w:rPr>
          <w:rFonts w:ascii="Times New Roman" w:hAnsi="Times New Roman" w:cs="Times New Roman"/>
        </w:rPr>
      </w:pPr>
      <w:r>
        <w:rPr>
          <w:rFonts w:hint="eastAsia" w:ascii="Times New Roman" w:hAnsi="Times New Roman" w:cs="Times New Roman"/>
        </w:rPr>
        <w:t>培训对象：招标方指定人员；</w:t>
      </w:r>
    </w:p>
    <w:p>
      <w:pPr>
        <w:ind w:left="0" w:leftChars="0" w:firstLine="480" w:firstLineChars="200"/>
        <w:rPr>
          <w:rFonts w:ascii="Times New Roman" w:hAnsi="Times New Roman" w:cs="Times New Roman"/>
        </w:rPr>
      </w:pPr>
      <w:r>
        <w:rPr>
          <w:rFonts w:hint="eastAsia" w:ascii="Times New Roman" w:hAnsi="Times New Roman" w:cs="Times New Roman"/>
        </w:rPr>
        <w:t>培训方式：授课培训、现场培训；</w:t>
      </w:r>
    </w:p>
    <w:p>
      <w:pPr>
        <w:ind w:left="0" w:leftChars="0" w:firstLine="480" w:firstLineChars="200"/>
        <w:rPr>
          <w:rFonts w:ascii="Times New Roman" w:hAnsi="Times New Roman" w:cs="Times New Roman"/>
        </w:rPr>
      </w:pPr>
      <w:r>
        <w:rPr>
          <w:rFonts w:hint="eastAsia" w:ascii="Times New Roman" w:hAnsi="Times New Roman" w:cs="Times New Roman"/>
        </w:rPr>
        <w:t>培训地点：招标方所在地；</w:t>
      </w:r>
    </w:p>
    <w:p>
      <w:pPr>
        <w:ind w:left="0" w:leftChars="0" w:firstLine="480" w:firstLineChars="200"/>
        <w:rPr>
          <w:rFonts w:ascii="Times New Roman" w:hAnsi="Times New Roman" w:cs="Times New Roman"/>
        </w:rPr>
      </w:pPr>
      <w:r>
        <w:rPr>
          <w:rFonts w:hint="eastAsia" w:ascii="Times New Roman" w:hAnsi="Times New Roman" w:cs="Times New Roman"/>
        </w:rPr>
        <w:t>培训时间：培训时间根据招标方的时间而定；</w:t>
      </w:r>
    </w:p>
    <w:p>
      <w:pPr>
        <w:ind w:left="0" w:leftChars="0" w:firstLine="480" w:firstLineChars="200"/>
        <w:rPr>
          <w:rFonts w:ascii="Times New Roman" w:hAnsi="Times New Roman" w:cs="Times New Roman"/>
        </w:rPr>
      </w:pPr>
      <w:r>
        <w:rPr>
          <w:rFonts w:hint="eastAsia" w:ascii="Times New Roman" w:hAnsi="Times New Roman" w:cs="Times New Roman"/>
        </w:rPr>
        <w:t>培训时长：对招标方的技术人员开展不少于2次的研发、测试、使用及维护理论等技术培训，每次培训对象不少于5人，每次时间不少于0.5天；并提供相应的培训资料。实操授课以招标方实际需求而定。</w:t>
      </w:r>
    </w:p>
    <w:p>
      <w:pPr>
        <w:pStyle w:val="5"/>
        <w:bidi w:val="0"/>
      </w:pPr>
      <w:bookmarkStart w:id="56" w:name="_Toc23383"/>
      <w:r>
        <w:rPr>
          <w:rFonts w:hint="eastAsia"/>
        </w:rPr>
        <w:t>1</w:t>
      </w:r>
      <w:r>
        <w:rPr>
          <w:rFonts w:hint="eastAsia"/>
          <w:lang w:val="en-US" w:eastAsia="zh-CN"/>
        </w:rPr>
        <w:t>0</w:t>
      </w:r>
      <w:r>
        <w:rPr>
          <w:rFonts w:hint="eastAsia"/>
        </w:rPr>
        <w:t>.4 知识产权约定</w:t>
      </w:r>
      <w:bookmarkEnd w:id="56"/>
    </w:p>
    <w:p>
      <w:pPr>
        <w:ind w:firstLine="480"/>
        <w:rPr>
          <w:rFonts w:ascii="Times New Roman" w:hAnsi="Times New Roman" w:cs="Times New Roman"/>
        </w:rPr>
      </w:pPr>
      <w:r>
        <w:rPr>
          <w:rFonts w:hint="eastAsia" w:ascii="Times New Roman" w:hAnsi="Times New Roman" w:cs="Times New Roman"/>
        </w:rPr>
        <w:t>★（1）在项目完成以后，中标方应向招标方提供该项目所有技术成果、项目建设文档、使用及运维说明等。</w:t>
      </w:r>
      <w:r>
        <w:rPr>
          <w:rFonts w:ascii="Times New Roman" w:hAnsi="Times New Roman" w:cs="Times New Roman"/>
        </w:rPr>
        <w:t>项目实施过程中形成的专利</w:t>
      </w:r>
      <w:r>
        <w:rPr>
          <w:rFonts w:hint="eastAsia" w:ascii="Times New Roman" w:hAnsi="Times New Roman" w:cs="Times New Roman"/>
        </w:rPr>
        <w:t>、</w:t>
      </w:r>
      <w:r>
        <w:rPr>
          <w:rFonts w:ascii="Times New Roman" w:hAnsi="Times New Roman" w:cs="Times New Roman"/>
        </w:rPr>
        <w:t>软件著作权</w:t>
      </w:r>
      <w:r>
        <w:rPr>
          <w:rFonts w:hint="eastAsia" w:ascii="Times New Roman" w:hAnsi="Times New Roman" w:cs="Times New Roman"/>
        </w:rPr>
        <w:t>及论文招标方独有</w:t>
      </w:r>
      <w:r>
        <w:rPr>
          <w:rFonts w:ascii="Times New Roman" w:hAnsi="Times New Roman" w:cs="Times New Roman"/>
        </w:rPr>
        <w:t>。</w:t>
      </w:r>
    </w:p>
    <w:p>
      <w:pPr>
        <w:ind w:firstLine="48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pStyle w:val="4"/>
        <w:numPr>
          <w:ilvl w:val="0"/>
          <w:numId w:val="0"/>
        </w:numPr>
        <w:tabs>
          <w:tab w:val="clear" w:pos="432"/>
        </w:tabs>
        <w:ind w:left="432"/>
      </w:pPr>
      <w:bookmarkStart w:id="57" w:name="_Toc93490630"/>
      <w:bookmarkStart w:id="58" w:name="_Toc8949"/>
      <w:bookmarkStart w:id="59" w:name="_Toc506186791"/>
      <w:bookmarkStart w:id="60" w:name="_Toc93490801"/>
      <w:bookmarkStart w:id="61" w:name="_Toc93490580"/>
      <w:bookmarkStart w:id="62" w:name="_Toc167003829"/>
      <w:bookmarkStart w:id="63" w:name="_Toc351129176"/>
      <w:bookmarkStart w:id="64" w:name="_Toc137397828"/>
      <w:r>
        <w:rPr>
          <w:rFonts w:hint="eastAsia"/>
        </w:rPr>
        <w:t>附件</w:t>
      </w:r>
      <w:bookmarkEnd w:id="57"/>
      <w:bookmarkEnd w:id="58"/>
      <w:bookmarkEnd w:id="59"/>
      <w:bookmarkEnd w:id="60"/>
      <w:bookmarkEnd w:id="61"/>
      <w:bookmarkEnd w:id="62"/>
      <w:bookmarkEnd w:id="63"/>
      <w:bookmarkEnd w:id="64"/>
    </w:p>
    <w:p>
      <w:pPr>
        <w:pStyle w:val="5"/>
      </w:pPr>
      <w:bookmarkStart w:id="65" w:name="_Toc27802"/>
      <w:r>
        <w:rPr>
          <w:rFonts w:hint="eastAsia"/>
        </w:rPr>
        <w:t>1、差异表</w:t>
      </w:r>
      <w:bookmarkEnd w:id="65"/>
    </w:p>
    <w:tbl>
      <w:tblPr>
        <w:tblStyle w:val="1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66" w:name="_Toc17121"/>
      <w:r>
        <w:rPr>
          <w:rFonts w:hint="eastAsia"/>
        </w:rPr>
        <w:t>2、投标方需要说明的其它问题</w:t>
      </w:r>
      <w:bookmarkEnd w:id="66"/>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98141A"/>
    <w:rsid w:val="00B4230F"/>
    <w:rsid w:val="00BA5037"/>
    <w:rsid w:val="00C741BE"/>
    <w:rsid w:val="00D2099E"/>
    <w:rsid w:val="00D96A99"/>
    <w:rsid w:val="00D96B71"/>
    <w:rsid w:val="00D97C72"/>
    <w:rsid w:val="00ED31EF"/>
    <w:rsid w:val="02D70A17"/>
    <w:rsid w:val="03CE411A"/>
    <w:rsid w:val="09331369"/>
    <w:rsid w:val="0974768F"/>
    <w:rsid w:val="0BED7D43"/>
    <w:rsid w:val="0C555658"/>
    <w:rsid w:val="0EE03777"/>
    <w:rsid w:val="0EFE21CE"/>
    <w:rsid w:val="10A73228"/>
    <w:rsid w:val="12735A58"/>
    <w:rsid w:val="14870B74"/>
    <w:rsid w:val="17415B08"/>
    <w:rsid w:val="186950A5"/>
    <w:rsid w:val="1A680ED3"/>
    <w:rsid w:val="1D443C03"/>
    <w:rsid w:val="1EB52C70"/>
    <w:rsid w:val="1FA0467D"/>
    <w:rsid w:val="1FA24BB6"/>
    <w:rsid w:val="1FC91E44"/>
    <w:rsid w:val="1FE128DD"/>
    <w:rsid w:val="20E526D1"/>
    <w:rsid w:val="22294735"/>
    <w:rsid w:val="22484D4A"/>
    <w:rsid w:val="23AD790E"/>
    <w:rsid w:val="249828C7"/>
    <w:rsid w:val="290D43C3"/>
    <w:rsid w:val="2F49686B"/>
    <w:rsid w:val="2FD65C9B"/>
    <w:rsid w:val="32830AE6"/>
    <w:rsid w:val="33B23011"/>
    <w:rsid w:val="33E3258B"/>
    <w:rsid w:val="34AE29C8"/>
    <w:rsid w:val="35941976"/>
    <w:rsid w:val="36724CB7"/>
    <w:rsid w:val="36AF6C3F"/>
    <w:rsid w:val="37344CD6"/>
    <w:rsid w:val="37B67EF6"/>
    <w:rsid w:val="3B124C2E"/>
    <w:rsid w:val="3B2B774D"/>
    <w:rsid w:val="3EDE7FC7"/>
    <w:rsid w:val="42AA52B7"/>
    <w:rsid w:val="42E12EC5"/>
    <w:rsid w:val="43A52806"/>
    <w:rsid w:val="45E82713"/>
    <w:rsid w:val="48295736"/>
    <w:rsid w:val="483F12A6"/>
    <w:rsid w:val="4876623F"/>
    <w:rsid w:val="4ABF0D11"/>
    <w:rsid w:val="4E0662AE"/>
    <w:rsid w:val="4E760336"/>
    <w:rsid w:val="4F3D16EE"/>
    <w:rsid w:val="52B1259E"/>
    <w:rsid w:val="53881FE0"/>
    <w:rsid w:val="54BC4486"/>
    <w:rsid w:val="57344239"/>
    <w:rsid w:val="5931729F"/>
    <w:rsid w:val="59404FBB"/>
    <w:rsid w:val="59BD0810"/>
    <w:rsid w:val="601F7341"/>
    <w:rsid w:val="60B82CE2"/>
    <w:rsid w:val="62570309"/>
    <w:rsid w:val="64434485"/>
    <w:rsid w:val="657D797E"/>
    <w:rsid w:val="66BC1470"/>
    <w:rsid w:val="6C074834"/>
    <w:rsid w:val="6C0902EF"/>
    <w:rsid w:val="6F463A67"/>
    <w:rsid w:val="6FC677CA"/>
    <w:rsid w:val="70A27BF9"/>
    <w:rsid w:val="71E45665"/>
    <w:rsid w:val="72457288"/>
    <w:rsid w:val="73901661"/>
    <w:rsid w:val="74EB7C82"/>
    <w:rsid w:val="7BB945D5"/>
    <w:rsid w:val="7CAD6C4D"/>
    <w:rsid w:val="7CAE5E12"/>
    <w:rsid w:val="7F4B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24"/>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link w:val="23"/>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2">
    <w:name w:val="toc 2"/>
    <w:basedOn w:val="1"/>
    <w:next w:val="1"/>
    <w:unhideWhenUsed/>
    <w:qFormat/>
    <w:uiPriority w:val="39"/>
    <w:pPr>
      <w:ind w:left="210"/>
      <w:jc w:val="left"/>
    </w:pPr>
    <w:rPr>
      <w:rFonts w:ascii="Times New Roman" w:hAnsi="Times New Roman" w:cs="Times New Roman"/>
      <w:smallCaps/>
      <w:sz w:val="20"/>
      <w:szCs w:val="2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Table Professional"/>
    <w:basedOn w:val="14"/>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paragraph" w:customStyle="1" w:styleId="20">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21">
    <w:name w:val="List Paragraph1"/>
    <w:basedOn w:val="1"/>
    <w:qFormat/>
    <w:uiPriority w:val="99"/>
    <w:pPr>
      <w:ind w:firstLine="420"/>
    </w:pPr>
  </w:style>
  <w:style w:type="paragraph" w:customStyle="1" w:styleId="22">
    <w:name w:val="列出段落1"/>
    <w:basedOn w:val="1"/>
    <w:qFormat/>
    <w:uiPriority w:val="34"/>
    <w:pPr>
      <w:ind w:firstLine="420"/>
    </w:pPr>
  </w:style>
  <w:style w:type="character" w:customStyle="1" w:styleId="23">
    <w:name w:val="标题 2 Char"/>
    <w:link w:val="5"/>
    <w:qFormat/>
    <w:uiPriority w:val="99"/>
    <w:rPr>
      <w:rFonts w:ascii="Calibri Light" w:hAnsi="Calibri Light"/>
      <w:b/>
      <w:bCs/>
      <w:sz w:val="32"/>
      <w:szCs w:val="32"/>
    </w:rPr>
  </w:style>
  <w:style w:type="character" w:customStyle="1" w:styleId="24">
    <w:name w:val="标题 1 Char"/>
    <w:link w:val="4"/>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281</Words>
  <Characters>336</Characters>
  <Lines>54</Lines>
  <Paragraphs>15</Paragraphs>
  <TotalTime>1</TotalTime>
  <ScaleCrop>false</ScaleCrop>
  <LinksUpToDate>false</LinksUpToDate>
  <CharactersWithSpaces>386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2025-11-13T11:46:08Z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779509DC1F6D4F979526EE19F83C97B4_13</vt:lpwstr>
  </property>
  <property fmtid="{D5CDD505-2E9C-101B-9397-08002B2CF9AE}" pid="4" name="KSOTemplateDocerSaveRecord">
    <vt:lpwstr>eyJoZGlkIjoiZjczM2EzNGIzZWE3NGMxZTFhMjNmNTdlMjE4ZWE5ZmUiLCJ1c2VySWQiOiIzNzM5NjMxNjMifQ==</vt:lpwstr>
  </property>
</Properties>
</file>