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jc w:val="center"/>
        <w:outlineLvl w:val="0"/>
        <w:rPr>
          <w:rFonts w:hint="eastAsia" w:ascii="宋体" w:hAnsi="宋体" w:eastAsia="宋体" w:cs="宋体"/>
          <w:color w:val="000000" w:themeColor="text1"/>
          <w:kern w:val="2"/>
          <w:sz w:val="32"/>
          <w:szCs w:val="32"/>
          <w:highlight w:val="none"/>
          <w:u w:val="single"/>
          <w:lang w:val="en-US" w:eastAsia="zh-CN" w:bidi="ar-SA"/>
          <w14:textFill>
            <w14:solidFill>
              <w14:schemeClr w14:val="tx1"/>
            </w14:solidFill>
          </w14:textFill>
        </w:rPr>
      </w:pPr>
      <w:bookmarkStart w:id="0" w:name="_Toc501202059"/>
      <w:r>
        <w:rPr>
          <w:rFonts w:hint="eastAsia"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  <w:t>广西博联信息通信技术有限责任公司2025年来宾电费号码认证服务零星采购</w:t>
      </w:r>
      <w:r>
        <w:rPr>
          <w:rFonts w:hint="eastAsia"/>
          <w:color w:val="000000" w:themeColor="text1"/>
          <w:sz w:val="32"/>
          <w:szCs w:val="32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项目</w:t>
      </w:r>
      <w:r>
        <w:rPr>
          <w:rFonts w:hint="eastAsia" w:ascii="宋体" w:hAnsi="宋体" w:eastAsia="宋体" w:cs="宋体"/>
          <w:color w:val="000000" w:themeColor="text1"/>
          <w:kern w:val="2"/>
          <w:sz w:val="32"/>
          <w:szCs w:val="32"/>
          <w:highlight w:val="none"/>
          <w:u w:val="single"/>
          <w:lang w:val="en-US" w:eastAsia="zh-CN" w:bidi="ar-SA"/>
          <w14:textFill>
            <w14:solidFill>
              <w14:schemeClr w14:val="tx1"/>
            </w14:solidFill>
          </w14:textFill>
        </w:rPr>
        <w:t>服务要求</w:t>
      </w:r>
    </w:p>
    <w:p>
      <w:pPr>
        <w:pStyle w:val="10"/>
        <w:outlineLvl w:val="0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lang w:val="en-US" w:eastAsia="zh-CN"/>
        </w:rPr>
        <w:t>1</w:t>
      </w:r>
      <w:r>
        <w:rPr>
          <w:rFonts w:hint="eastAsia" w:ascii="宋体" w:hAnsi="宋体" w:eastAsia="宋体" w:cs="宋体"/>
        </w:rPr>
        <w:t>、概述</w:t>
      </w:r>
      <w:bookmarkEnd w:id="0"/>
    </w:p>
    <w:p>
      <w:pPr>
        <w:adjustRightInd w:val="0"/>
        <w:snapToGrid w:val="0"/>
        <w:spacing w:before="156" w:line="360" w:lineRule="auto"/>
        <w:ind w:firstLine="480" w:firstLineChars="200"/>
        <w:jc w:val="left"/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本服务要求适用于广西博联信息通信技术有限责任公司（以下简称：采购人）</w:t>
      </w: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:u w:val="single"/>
          <w14:textFill>
            <w14:solidFill>
              <w14:schemeClr w14:val="tx1"/>
            </w14:solidFill>
          </w14:textFill>
        </w:rPr>
        <w:t>广西博联信息通信技术有限责任公司2025年来宾电费号码认证服务零星采购</w:t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（以下简称：本项目），本服务要求的最终解释权归采购人。</w:t>
      </w:r>
    </w:p>
    <w:p>
      <w:pPr>
        <w:pStyle w:val="11"/>
        <w:spacing w:line="360" w:lineRule="auto"/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ab/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本服务要求提出了本项目需求的广度、深度和相应的技术指标要求，可供报价人编写技术响应文件之用。</w:t>
      </w:r>
    </w:p>
    <w:p>
      <w:pPr>
        <w:pStyle w:val="11"/>
        <w:spacing w:line="360" w:lineRule="auto"/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ab/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报价人应保证所提供的所有资料真实、完整、准确无误，否则采购人将有权取消报价人的供货资格，由此产生的一切后果由报价人承担。</w:t>
      </w:r>
    </w:p>
    <w:p>
      <w:pPr>
        <w:pStyle w:val="11"/>
        <w:spacing w:line="360" w:lineRule="auto"/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4.本服务要求中带“★”符号为必要事项要求。报价人要特别加以注意，必须完全满足这些要求。</w:t>
      </w:r>
    </w:p>
    <w:p>
      <w:pPr>
        <w:pStyle w:val="10"/>
        <w:spacing w:line="360" w:lineRule="auto"/>
        <w:outlineLvl w:val="0"/>
        <w:rPr>
          <w:rFonts w:hint="eastAsia" w:ascii="宋体" w:hAnsi="宋体" w:eastAsia="宋体" w:cs="宋体"/>
        </w:rPr>
      </w:pPr>
      <w:bookmarkStart w:id="1" w:name="_Toc501202060"/>
      <w:r>
        <w:rPr>
          <w:rFonts w:hint="eastAsia" w:ascii="宋体" w:hAnsi="宋体" w:eastAsia="宋体" w:cs="宋体"/>
          <w:lang w:val="en-US" w:eastAsia="zh-CN"/>
        </w:rPr>
        <w:t>2</w:t>
      </w:r>
      <w:r>
        <w:rPr>
          <w:rFonts w:hint="eastAsia" w:ascii="宋体" w:hAnsi="宋体" w:eastAsia="宋体" w:cs="宋体"/>
        </w:rPr>
        <w:t>、定义</w:t>
      </w:r>
      <w:bookmarkEnd w:id="1"/>
    </w:p>
    <w:p>
      <w:pPr>
        <w:pStyle w:val="11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</w:t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szCs w:val="24"/>
        </w:rPr>
        <w:t>：广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</w:rPr>
        <w:t>西博联信息通信技术有限责任公司。</w:t>
      </w:r>
    </w:p>
    <w:p>
      <w:pPr>
        <w:pStyle w:val="11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.</w:t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报价人</w:t>
      </w:r>
      <w:r>
        <w:rPr>
          <w:rFonts w:hint="eastAsia" w:ascii="宋体" w:hAnsi="宋体" w:eastAsia="宋体" w:cs="宋体"/>
          <w:sz w:val="24"/>
          <w:szCs w:val="24"/>
        </w:rPr>
        <w:t>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本项目服务提供单位</w:t>
      </w:r>
    </w:p>
    <w:p>
      <w:pPr>
        <w:pStyle w:val="11"/>
        <w:spacing w:line="360" w:lineRule="auto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0"/>
        <w:spacing w:line="360" w:lineRule="auto"/>
        <w:outlineLvl w:val="0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bookmarkStart w:id="2" w:name="_Toc501202061"/>
      <w:r>
        <w:rPr>
          <w:rFonts w:hint="eastAsia" w:ascii="宋体" w:hAnsi="宋体" w:eastAsia="宋体" w:cs="宋体"/>
          <w:lang w:val="en-US" w:eastAsia="zh-CN"/>
        </w:rPr>
        <w:t>3</w:t>
      </w:r>
      <w:r>
        <w:rPr>
          <w:rFonts w:hint="eastAsia" w:ascii="宋体" w:hAnsi="宋体" w:eastAsia="宋体" w:cs="宋体"/>
        </w:rPr>
        <w:t>、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采购范围</w:t>
      </w:r>
      <w:bookmarkEnd w:id="2"/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和内容</w:t>
      </w:r>
    </w:p>
    <w:p>
      <w:pPr>
        <w:spacing w:line="360" w:lineRule="auto"/>
        <w:ind w:left="158" w:leftChars="75" w:firstLine="480" w:firstLineChars="200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bookmarkStart w:id="3" w:name="_Toc501202062"/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本次</w:t>
      </w: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:u w:val="single"/>
          <w14:textFill>
            <w14:solidFill>
              <w14:schemeClr w14:val="tx1"/>
            </w14:solidFill>
          </w14:textFill>
        </w:rPr>
        <w:t>广西博联信息通信技术有限责任公司2025年来宾电费号码认证服务零星采购</w:t>
      </w: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项目</w:t>
      </w:r>
      <w:bookmarkStart w:id="14" w:name="_GoBack"/>
      <w:bookmarkEnd w:id="14"/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采购范围和内容如下。</w:t>
      </w:r>
    </w:p>
    <w:tbl>
      <w:tblPr>
        <w:tblStyle w:val="7"/>
        <w:tblW w:w="852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5632"/>
        <w:gridCol w:w="990"/>
        <w:gridCol w:w="10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81" w:hRule="atLeast"/>
        </w:trPr>
        <w:tc>
          <w:tcPr>
            <w:tcW w:w="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5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内容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号码认证服务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</w:tr>
    </w:tbl>
    <w:p>
      <w:pPr>
        <w:spacing w:line="360" w:lineRule="auto"/>
        <w:ind w:firstLine="0" w:firstLineChars="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ind w:firstLine="480" w:firstLineChars="200"/>
        <w:jc w:val="both"/>
        <w:rPr>
          <w:rFonts w:hint="default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本项目服务期：合同签订之日起</w:t>
      </w: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一年期。</w:t>
      </w:r>
    </w:p>
    <w:bookmarkEnd w:id="3"/>
    <w:p>
      <w:pPr>
        <w:bidi w:val="0"/>
        <w:rPr>
          <w:rFonts w:hint="eastAsia" w:ascii="宋体" w:hAnsi="宋体" w:cs="宋体"/>
        </w:rPr>
      </w:pPr>
      <w:bookmarkStart w:id="4" w:name="_Toc300816580"/>
      <w:bookmarkStart w:id="5" w:name="_Toc299720409"/>
    </w:p>
    <w:bookmarkEnd w:id="4"/>
    <w:bookmarkEnd w:id="5"/>
    <w:p>
      <w:pPr>
        <w:pStyle w:val="10"/>
        <w:spacing w:line="360" w:lineRule="auto"/>
        <w:outlineLvl w:val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、服务内容</w:t>
      </w:r>
    </w:p>
    <w:p>
      <w:pPr>
        <w:pStyle w:val="4"/>
        <w:numPr>
          <w:ilvl w:val="0"/>
          <w:numId w:val="0"/>
        </w:numPr>
        <w:spacing w:before="0" w:after="0" w:line="360" w:lineRule="auto"/>
        <w:ind w:left="425" w:hanging="425"/>
        <w:rPr>
          <w:rFonts w:hint="eastAsia"/>
          <w:sz w:val="24"/>
          <w:szCs w:val="24"/>
        </w:rPr>
      </w:pP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★号码认证服务</w:t>
      </w:r>
    </w:p>
    <w:p>
      <w:pPr>
        <w:numPr>
          <w:ilvl w:val="0"/>
          <w:numId w:val="0"/>
        </w:numPr>
        <w:spacing w:line="360" w:lineRule="auto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对提供的3个固话号码进行企业认证。</w:t>
      </w:r>
    </w:p>
    <w:p>
      <w:pPr>
        <w:pStyle w:val="10"/>
        <w:numPr>
          <w:ilvl w:val="0"/>
          <w:numId w:val="0"/>
        </w:numPr>
        <w:spacing w:line="360" w:lineRule="auto"/>
        <w:outlineLvl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服务要求</w:t>
      </w:r>
    </w:p>
    <w:p>
      <w:pPr>
        <w:outlineLvl w:val="1"/>
        <w:rPr>
          <w:rFonts w:hint="eastAsia" w:ascii="宋体" w:hAnsi="宋体" w:cs="宋体"/>
          <w:b/>
          <w:bCs/>
          <w:sz w:val="28"/>
          <w:szCs w:val="36"/>
          <w:highlight w:val="none"/>
        </w:rPr>
      </w:pPr>
      <w:bookmarkStart w:id="6" w:name="_Toc20623"/>
      <w:bookmarkStart w:id="7" w:name="_Toc4017"/>
      <w:bookmarkStart w:id="8" w:name="_Toc492304650"/>
      <w:bookmarkStart w:id="9" w:name="_Toc18773"/>
      <w:r>
        <w:rPr>
          <w:rFonts w:hint="eastAsia" w:ascii="宋体" w:hAnsi="宋体" w:cs="宋体"/>
          <w:b/>
          <w:bCs/>
          <w:sz w:val="28"/>
          <w:szCs w:val="36"/>
          <w:highlight w:val="none"/>
          <w:lang w:val="en-US" w:eastAsia="zh-CN"/>
        </w:rPr>
        <w:t>5.1</w:t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★</w:t>
      </w:r>
      <w:r>
        <w:rPr>
          <w:rFonts w:hint="eastAsia" w:ascii="宋体" w:hAnsi="宋体" w:cs="宋体"/>
          <w:b/>
          <w:bCs/>
          <w:sz w:val="28"/>
          <w:szCs w:val="36"/>
          <w:highlight w:val="none"/>
        </w:rPr>
        <w:t>交付物的技术指标要求</w:t>
      </w:r>
      <w:bookmarkEnd w:id="6"/>
      <w:bookmarkEnd w:id="7"/>
      <w:bookmarkEnd w:id="8"/>
      <w:bookmarkEnd w:id="9"/>
    </w:p>
    <w:p>
      <w:pPr>
        <w:numPr>
          <w:ilvl w:val="-1"/>
          <w:numId w:val="0"/>
        </w:numPr>
        <w:bidi w:val="0"/>
        <w:spacing w:line="360" w:lineRule="auto"/>
        <w:ind w:left="0" w:leftChars="0" w:firstLine="0" w:firstLineChars="0"/>
        <w:rPr>
          <w:rFonts w:hint="eastAsia" w:ascii="宋体" w:hAnsi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★</w:t>
      </w:r>
      <w:r>
        <w:rPr>
          <w:rFonts w:hint="eastAsia" w:ascii="宋体" w:hAnsi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号码认证服务</w:t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t>：</w:t>
      </w:r>
    </w:p>
    <w:p>
      <w:pPr>
        <w:numPr>
          <w:ilvl w:val="0"/>
          <w:numId w:val="0"/>
        </w:numPr>
        <w:bidi w:val="0"/>
        <w:spacing w:line="360" w:lineRule="auto"/>
        <w:ind w:left="0" w:leftChars="0" w:firstLine="480" w:firstLineChars="200"/>
        <w:rPr>
          <w:rFonts w:hint="eastAsia" w:ascii="宋体" w:hAnsi="宋体" w:cs="宋体"/>
          <w:b w:val="0"/>
          <w:bCs w:val="0"/>
          <w:sz w:val="24"/>
          <w:szCs w:val="24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基于采购人提供的必要材料（企业营业执照、经办人身份证）对提供的固话号码进行“XX供电局电费服务热线”认证</w:t>
      </w:r>
      <w:r>
        <w:rPr>
          <w:rFonts w:hint="eastAsia" w:ascii="宋体" w:hAnsi="宋体" w:cs="宋体"/>
          <w:b w:val="0"/>
          <w:bCs w:val="0"/>
          <w:sz w:val="24"/>
          <w:szCs w:val="24"/>
        </w:rPr>
        <w:t>。​</w:t>
      </w:r>
    </w:p>
    <w:p>
      <w:pPr>
        <w:pStyle w:val="10"/>
        <w:numPr>
          <w:ilvl w:val="0"/>
          <w:numId w:val="0"/>
        </w:numPr>
        <w:spacing w:line="360" w:lineRule="auto"/>
        <w:outlineLvl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6.项目质量安全保障要求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1.</w:t>
      </w:r>
      <w:r>
        <w:rPr>
          <w:rFonts w:hint="eastAsia" w:ascii="宋体" w:hAnsi="宋体" w:cs="宋体"/>
          <w:sz w:val="24"/>
          <w:highlight w:val="none"/>
          <w:lang w:eastAsia="zh-CN"/>
        </w:rPr>
        <w:t>报价人</w:t>
      </w:r>
      <w:r>
        <w:rPr>
          <w:rFonts w:hint="eastAsia" w:ascii="宋体" w:hAnsi="宋体" w:cs="宋体"/>
          <w:sz w:val="24"/>
          <w:highlight w:val="none"/>
        </w:rPr>
        <w:t>应严格遵守协议中关于项目中的若干技术质量规定，制定严格的质量安全措施。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2.由于</w:t>
      </w:r>
      <w:r>
        <w:rPr>
          <w:rFonts w:hint="eastAsia" w:ascii="宋体" w:hAnsi="宋体" w:cs="宋体"/>
          <w:sz w:val="24"/>
          <w:highlight w:val="none"/>
          <w:lang w:eastAsia="zh-CN"/>
        </w:rPr>
        <w:t>报价人</w:t>
      </w:r>
      <w:r>
        <w:rPr>
          <w:rFonts w:hint="eastAsia" w:ascii="宋体" w:hAnsi="宋体" w:cs="宋体"/>
          <w:sz w:val="24"/>
          <w:highlight w:val="none"/>
        </w:rPr>
        <w:t>质量安全措施不力造成研究质量安全事故的责任，以及由此发生的费用和损失，由</w:t>
      </w:r>
      <w:r>
        <w:rPr>
          <w:rFonts w:hint="eastAsia" w:ascii="宋体" w:hAnsi="宋体" w:cs="宋体"/>
          <w:sz w:val="24"/>
          <w:highlight w:val="none"/>
          <w:lang w:eastAsia="zh-CN"/>
        </w:rPr>
        <w:t>报价人</w:t>
      </w:r>
      <w:r>
        <w:rPr>
          <w:rFonts w:hint="eastAsia" w:ascii="宋体" w:hAnsi="宋体" w:cs="宋体"/>
          <w:sz w:val="24"/>
          <w:highlight w:val="none"/>
        </w:rPr>
        <w:t>承担。</w:t>
      </w:r>
    </w:p>
    <w:p>
      <w:pPr>
        <w:pStyle w:val="10"/>
        <w:numPr>
          <w:ilvl w:val="0"/>
          <w:numId w:val="0"/>
        </w:numPr>
        <w:spacing w:line="360" w:lineRule="auto"/>
        <w:outlineLvl w:val="0"/>
        <w:rPr>
          <w:rFonts w:hint="eastAsia" w:ascii="宋体" w:hAnsi="宋体" w:eastAsia="宋体" w:cs="宋体"/>
          <w:sz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lang w:val="en-US" w:eastAsia="zh-CN"/>
        </w:rPr>
        <w:t>7、</w:t>
      </w:r>
      <w:r>
        <w:rPr>
          <w:rFonts w:hint="eastAsia" w:ascii="宋体" w:hAnsi="宋体" w:eastAsia="宋体" w:cs="宋体"/>
          <w:sz w:val="28"/>
          <w:highlight w:val="none"/>
          <w:lang w:val="en-US" w:eastAsia="zh-CN"/>
        </w:rPr>
        <w:t>其他要求</w:t>
      </w:r>
    </w:p>
    <w:p>
      <w:pPr>
        <w:outlineLvl w:val="1"/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</w:pPr>
      <w:bookmarkStart w:id="10" w:name="_Toc22581"/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  <w:t>7.1</w:t>
      </w: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eastAsia="zh-CN"/>
        </w:rPr>
        <w:t>报价人</w:t>
      </w: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</w:rPr>
        <w:t>的责任</w:t>
      </w:r>
      <w:bookmarkEnd w:id="10"/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  <w:t>要求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2"/>
          <w:highlight w:val="none"/>
        </w:rPr>
      </w:pPr>
      <w:r>
        <w:rPr>
          <w:rFonts w:hint="eastAsia" w:ascii="宋体" w:hAnsi="宋体" w:eastAsia="宋体" w:cs="宋体"/>
          <w:sz w:val="24"/>
          <w:szCs w:val="22"/>
          <w:highlight w:val="none"/>
        </w:rPr>
        <w:t>按照合同约定，完成投标工作范围内的全部工作。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2"/>
          <w:highlight w:val="none"/>
        </w:rPr>
      </w:pPr>
      <w:r>
        <w:rPr>
          <w:rFonts w:hint="eastAsia" w:ascii="宋体" w:hAnsi="宋体" w:eastAsia="宋体" w:cs="宋体"/>
          <w:sz w:val="24"/>
          <w:szCs w:val="22"/>
          <w:highlight w:val="none"/>
          <w:lang w:eastAsia="zh-CN"/>
        </w:rPr>
        <w:t>报价人</w:t>
      </w:r>
      <w:r>
        <w:rPr>
          <w:rFonts w:hint="eastAsia" w:ascii="宋体" w:hAnsi="宋体" w:eastAsia="宋体" w:cs="宋体"/>
          <w:sz w:val="24"/>
          <w:szCs w:val="22"/>
          <w:highlight w:val="none"/>
        </w:rPr>
        <w:t>负责在整个项目过程中保证项目的质量。若由于</w:t>
      </w:r>
      <w:r>
        <w:rPr>
          <w:rFonts w:hint="eastAsia" w:ascii="宋体" w:hAnsi="宋体" w:eastAsia="宋体" w:cs="宋体"/>
          <w:sz w:val="24"/>
          <w:szCs w:val="22"/>
          <w:highlight w:val="none"/>
          <w:lang w:eastAsia="zh-CN"/>
        </w:rPr>
        <w:t>报价人</w:t>
      </w:r>
      <w:r>
        <w:rPr>
          <w:rFonts w:hint="eastAsia" w:ascii="宋体" w:hAnsi="宋体" w:eastAsia="宋体" w:cs="宋体"/>
          <w:sz w:val="24"/>
          <w:szCs w:val="22"/>
          <w:highlight w:val="none"/>
        </w:rPr>
        <w:t>自身原因出现了项目质量事故由</w:t>
      </w:r>
      <w:r>
        <w:rPr>
          <w:rFonts w:hint="eastAsia" w:ascii="宋体" w:hAnsi="宋体" w:eastAsia="宋体" w:cs="宋体"/>
          <w:sz w:val="24"/>
          <w:szCs w:val="22"/>
          <w:highlight w:val="none"/>
          <w:lang w:eastAsia="zh-CN"/>
        </w:rPr>
        <w:t>报价人</w:t>
      </w:r>
      <w:r>
        <w:rPr>
          <w:rFonts w:hint="eastAsia" w:ascii="宋体" w:hAnsi="宋体" w:eastAsia="宋体" w:cs="宋体"/>
          <w:sz w:val="24"/>
          <w:szCs w:val="22"/>
          <w:highlight w:val="none"/>
        </w:rPr>
        <w:t>负责。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2"/>
          <w:highlight w:val="none"/>
        </w:rPr>
      </w:pPr>
      <w:r>
        <w:rPr>
          <w:rFonts w:hint="eastAsia" w:ascii="宋体" w:hAnsi="宋体" w:eastAsia="宋体" w:cs="宋体"/>
          <w:sz w:val="24"/>
          <w:szCs w:val="22"/>
          <w:highlight w:val="none"/>
        </w:rPr>
        <w:t>本项目不得转让或分包，如违约转让或分包，由</w:t>
      </w:r>
      <w:r>
        <w:rPr>
          <w:rFonts w:hint="eastAsia" w:ascii="宋体" w:hAnsi="宋体" w:eastAsia="宋体" w:cs="宋体"/>
          <w:sz w:val="24"/>
          <w:szCs w:val="22"/>
          <w:highlight w:val="none"/>
          <w:lang w:eastAsia="zh-CN"/>
        </w:rPr>
        <w:t>报价人</w:t>
      </w:r>
      <w:r>
        <w:rPr>
          <w:rFonts w:hint="eastAsia" w:ascii="宋体" w:hAnsi="宋体" w:eastAsia="宋体" w:cs="宋体"/>
          <w:sz w:val="24"/>
          <w:szCs w:val="22"/>
          <w:highlight w:val="none"/>
        </w:rPr>
        <w:t>承担违约责任。</w:t>
      </w:r>
    </w:p>
    <w:p>
      <w:pPr>
        <w:outlineLvl w:val="1"/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</w:pPr>
      <w:bookmarkStart w:id="11" w:name="_Toc8439"/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</w:rPr>
        <w:t>.</w:t>
      </w:r>
      <w:bookmarkEnd w:id="11"/>
      <w:bookmarkStart w:id="12" w:name="_Toc14590"/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</w:rPr>
        <w:t>项目</w:t>
      </w:r>
      <w:bookmarkEnd w:id="12"/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  <w:t>进度要求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  <w:lang w:eastAsia="zh-CN"/>
        </w:rPr>
        <w:t>报价人</w:t>
      </w:r>
      <w:r>
        <w:rPr>
          <w:rFonts w:hint="eastAsia" w:ascii="宋体" w:hAnsi="宋体" w:eastAsia="宋体" w:cs="宋体"/>
          <w:sz w:val="24"/>
          <w:highlight w:val="none"/>
        </w:rPr>
        <w:t>必须按照协议书约定的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开始服务</w:t>
      </w:r>
      <w:r>
        <w:rPr>
          <w:rFonts w:hint="eastAsia" w:ascii="宋体" w:hAnsi="宋体" w:eastAsia="宋体" w:cs="宋体"/>
          <w:sz w:val="24"/>
          <w:highlight w:val="none"/>
        </w:rPr>
        <w:t>日期或经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highlight w:val="none"/>
        </w:rPr>
        <w:t>同意顺延的计划完成项目。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因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报价人</w:t>
      </w:r>
      <w:r>
        <w:rPr>
          <w:rFonts w:hint="eastAsia" w:ascii="宋体" w:hAnsi="宋体" w:eastAsia="宋体" w:cs="宋体"/>
          <w:sz w:val="24"/>
          <w:highlight w:val="none"/>
        </w:rPr>
        <w:t>原因不能按照协议书约定的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开始服务</w:t>
      </w:r>
      <w:r>
        <w:rPr>
          <w:rFonts w:hint="eastAsia" w:ascii="宋体" w:hAnsi="宋体" w:eastAsia="宋体" w:cs="宋体"/>
          <w:sz w:val="24"/>
          <w:highlight w:val="none"/>
        </w:rPr>
        <w:t>日期或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highlight w:val="none"/>
        </w:rPr>
        <w:t>同意顺延的工期完成的，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报价人</w:t>
      </w:r>
      <w:r>
        <w:rPr>
          <w:rFonts w:hint="eastAsia" w:ascii="宋体" w:hAnsi="宋体" w:eastAsia="宋体" w:cs="宋体"/>
          <w:sz w:val="24"/>
          <w:highlight w:val="none"/>
        </w:rPr>
        <w:t>承担违约责任。</w:t>
      </w:r>
    </w:p>
    <w:p>
      <w:pPr>
        <w:outlineLvl w:val="1"/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</w:pPr>
      <w:bookmarkStart w:id="13" w:name="_Toc7601"/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</w:rPr>
        <w:t>.</w:t>
      </w: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</w:rPr>
        <w:t>项目验收</w:t>
      </w:r>
      <w:bookmarkEnd w:id="13"/>
      <w:r>
        <w:rPr>
          <w:rFonts w:hint="eastAsia" w:ascii="宋体" w:hAnsi="宋体" w:eastAsia="宋体" w:cs="宋体"/>
          <w:b/>
          <w:bCs/>
          <w:sz w:val="28"/>
          <w:szCs w:val="36"/>
          <w:highlight w:val="none"/>
          <w:lang w:val="en-US" w:eastAsia="zh-CN"/>
        </w:rPr>
        <w:t>要求</w:t>
      </w:r>
    </w:p>
    <w:p>
      <w:pPr>
        <w:numPr>
          <w:ilvl w:val="0"/>
          <w:numId w:val="0"/>
        </w:numPr>
        <w:bidi w:val="0"/>
        <w:spacing w:line="360" w:lineRule="auto"/>
        <w:ind w:left="0" w:leftChars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当项目达到合同条款约定的验收条件时，报价人应首先进行认真的自检，并在验收前三个工作日以书面形式通知采购人组织验收。通知应包括验收的内容、时间和地点。报价人应准备完整的验收材料（包括但不限于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拨打号码显示正确的认证信息佐证材料</w:t>
      </w:r>
      <w:r>
        <w:rPr>
          <w:rFonts w:hint="eastAsia" w:ascii="宋体" w:hAnsi="宋体" w:eastAsia="宋体" w:cs="宋体"/>
          <w:sz w:val="24"/>
          <w:szCs w:val="24"/>
        </w:rPr>
        <w:t>等），并承担相关费用。</w:t>
      </w:r>
    </w:p>
    <w:p>
      <w:pPr>
        <w:numPr>
          <w:ilvl w:val="0"/>
          <w:numId w:val="0"/>
        </w:numPr>
        <w:bidi w:val="0"/>
        <w:spacing w:line="360" w:lineRule="auto"/>
        <w:ind w:left="0" w:leftChars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项目验收标准为：</w:t>
      </w:r>
    </w:p>
    <w:p>
      <w:pPr>
        <w:numPr>
          <w:ilvl w:val="0"/>
          <w:numId w:val="0"/>
        </w:numPr>
        <w:bidi w:val="0"/>
        <w:spacing w:line="360" w:lineRule="auto"/>
        <w:ind w:left="0" w:leftChars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项目过程</w:t>
      </w:r>
      <w:r>
        <w:rPr>
          <w:rFonts w:hint="eastAsia" w:ascii="宋体" w:hAnsi="宋体" w:eastAsia="宋体" w:cs="宋体"/>
          <w:sz w:val="24"/>
          <w:szCs w:val="24"/>
        </w:rPr>
        <w:t>文档齐全规范；</w:t>
      </w:r>
    </w:p>
    <w:p>
      <w:pPr>
        <w:numPr>
          <w:ilvl w:val="0"/>
          <w:numId w:val="0"/>
        </w:numPr>
        <w:bidi w:val="0"/>
        <w:spacing w:line="360" w:lineRule="auto"/>
        <w:ind w:left="0" w:leftChars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根据技术指标要求提供佐证材料</w:t>
      </w:r>
      <w:r>
        <w:rPr>
          <w:rFonts w:hint="eastAsia" w:ascii="宋体" w:hAnsi="宋体" w:eastAsia="宋体" w:cs="宋体"/>
          <w:sz w:val="24"/>
          <w:szCs w:val="24"/>
        </w:rPr>
        <w:t>（包括但不限于：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拨打号码显示正确的认证信息佐证材料</w:t>
      </w:r>
      <w:r>
        <w:rPr>
          <w:rFonts w:hint="eastAsia" w:ascii="宋体" w:hAnsi="宋体" w:eastAsia="宋体" w:cs="宋体"/>
          <w:sz w:val="24"/>
          <w:szCs w:val="24"/>
        </w:rPr>
        <w:t>等）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内容完整、真实、准确；</w:t>
      </w:r>
    </w:p>
    <w:p>
      <w:pPr>
        <w:numPr>
          <w:ilvl w:val="0"/>
          <w:numId w:val="0"/>
        </w:numPr>
        <w:bidi w:val="0"/>
        <w:spacing w:line="360" w:lineRule="auto"/>
        <w:ind w:leftChars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由于非报价人原因导致项目验收未能完全满足上述标准及约定要求，采购人应要求有关单位修改，报价人应按修改意见处理。</w:t>
      </w:r>
    </w:p>
    <w:p>
      <w:pPr>
        <w:numPr>
          <w:ilvl w:val="0"/>
          <w:numId w:val="0"/>
        </w:numPr>
        <w:bidi w:val="0"/>
        <w:spacing w:line="360" w:lineRule="auto"/>
        <w:ind w:left="0" w:leftChars="0"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由于报价人原因导致项目验收未能完全满足上述标准及约定要求，报价人应按采购人的要求进行补救或返工，并承担由此产生的重新验收和返工的费用</w:t>
      </w:r>
      <w:r>
        <w:rPr>
          <w:rFonts w:hint="eastAsia" w:ascii="宋体" w:hAnsi="宋体" w:cs="宋体"/>
          <w:sz w:val="24"/>
          <w:szCs w:val="24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CC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06E28"/>
    <w:rsid w:val="02C83C80"/>
    <w:rsid w:val="034B2E38"/>
    <w:rsid w:val="039B28A3"/>
    <w:rsid w:val="03A72764"/>
    <w:rsid w:val="041B4810"/>
    <w:rsid w:val="04702B56"/>
    <w:rsid w:val="050A0DD5"/>
    <w:rsid w:val="05A56F81"/>
    <w:rsid w:val="060A6FDB"/>
    <w:rsid w:val="066C1A43"/>
    <w:rsid w:val="06F3181D"/>
    <w:rsid w:val="08DD2784"/>
    <w:rsid w:val="091268D2"/>
    <w:rsid w:val="09712B17"/>
    <w:rsid w:val="0A40746F"/>
    <w:rsid w:val="0A685DF7"/>
    <w:rsid w:val="0A8F7AAE"/>
    <w:rsid w:val="0A922065"/>
    <w:rsid w:val="0BE33B85"/>
    <w:rsid w:val="0C670CE3"/>
    <w:rsid w:val="0C733EF1"/>
    <w:rsid w:val="0CBE5160"/>
    <w:rsid w:val="0DF625B5"/>
    <w:rsid w:val="0EC60A77"/>
    <w:rsid w:val="0EE505E5"/>
    <w:rsid w:val="0F037349"/>
    <w:rsid w:val="0F7E3477"/>
    <w:rsid w:val="102313C5"/>
    <w:rsid w:val="111F09A5"/>
    <w:rsid w:val="12965764"/>
    <w:rsid w:val="13385187"/>
    <w:rsid w:val="13897791"/>
    <w:rsid w:val="13A520F1"/>
    <w:rsid w:val="13D6108B"/>
    <w:rsid w:val="143B7F8E"/>
    <w:rsid w:val="15DB2014"/>
    <w:rsid w:val="15E6711C"/>
    <w:rsid w:val="16135A37"/>
    <w:rsid w:val="1659621D"/>
    <w:rsid w:val="17286CD0"/>
    <w:rsid w:val="17836BED"/>
    <w:rsid w:val="17C62542"/>
    <w:rsid w:val="18950986"/>
    <w:rsid w:val="18E73256"/>
    <w:rsid w:val="19C808E7"/>
    <w:rsid w:val="19ED2D17"/>
    <w:rsid w:val="19FE1C71"/>
    <w:rsid w:val="1A885C21"/>
    <w:rsid w:val="1ABE7B7B"/>
    <w:rsid w:val="1B0043CE"/>
    <w:rsid w:val="1BFC0F04"/>
    <w:rsid w:val="1C0263AC"/>
    <w:rsid w:val="1C6B4699"/>
    <w:rsid w:val="1C9200C2"/>
    <w:rsid w:val="1CF218F5"/>
    <w:rsid w:val="1D3249F5"/>
    <w:rsid w:val="1D7B132A"/>
    <w:rsid w:val="1E002D45"/>
    <w:rsid w:val="1E5F5CBE"/>
    <w:rsid w:val="1E6432D4"/>
    <w:rsid w:val="201E15E0"/>
    <w:rsid w:val="21F4496F"/>
    <w:rsid w:val="22615013"/>
    <w:rsid w:val="227F48FF"/>
    <w:rsid w:val="22804455"/>
    <w:rsid w:val="23204EEC"/>
    <w:rsid w:val="237A70F6"/>
    <w:rsid w:val="23C30383"/>
    <w:rsid w:val="25096983"/>
    <w:rsid w:val="26323CB8"/>
    <w:rsid w:val="27AF0600"/>
    <w:rsid w:val="27F60D15"/>
    <w:rsid w:val="291B1D32"/>
    <w:rsid w:val="29C72969"/>
    <w:rsid w:val="2ADC78A8"/>
    <w:rsid w:val="2BA967CA"/>
    <w:rsid w:val="2C0003B4"/>
    <w:rsid w:val="2C2E2CD8"/>
    <w:rsid w:val="2D0878F4"/>
    <w:rsid w:val="2F5A0F01"/>
    <w:rsid w:val="3005243D"/>
    <w:rsid w:val="309D0C13"/>
    <w:rsid w:val="30B706BA"/>
    <w:rsid w:val="30E91417"/>
    <w:rsid w:val="31EE28F9"/>
    <w:rsid w:val="32654377"/>
    <w:rsid w:val="326C1CFE"/>
    <w:rsid w:val="34ED6160"/>
    <w:rsid w:val="35695541"/>
    <w:rsid w:val="356C76A9"/>
    <w:rsid w:val="35887450"/>
    <w:rsid w:val="37150D55"/>
    <w:rsid w:val="37515F68"/>
    <w:rsid w:val="39817709"/>
    <w:rsid w:val="39C724E9"/>
    <w:rsid w:val="39DF3CFF"/>
    <w:rsid w:val="39F65304"/>
    <w:rsid w:val="3A4735DB"/>
    <w:rsid w:val="3B247C1B"/>
    <w:rsid w:val="3B760991"/>
    <w:rsid w:val="3C184597"/>
    <w:rsid w:val="3C26613B"/>
    <w:rsid w:val="3C53008C"/>
    <w:rsid w:val="3DF43705"/>
    <w:rsid w:val="3E131268"/>
    <w:rsid w:val="3E8135D7"/>
    <w:rsid w:val="3EDE4585"/>
    <w:rsid w:val="3F4D24D3"/>
    <w:rsid w:val="3F9D1F6A"/>
    <w:rsid w:val="3FF95D7C"/>
    <w:rsid w:val="401C5365"/>
    <w:rsid w:val="40534AFF"/>
    <w:rsid w:val="413F7AA0"/>
    <w:rsid w:val="41C757A4"/>
    <w:rsid w:val="42DC297D"/>
    <w:rsid w:val="43A2687D"/>
    <w:rsid w:val="44586B88"/>
    <w:rsid w:val="44967C16"/>
    <w:rsid w:val="46C6602A"/>
    <w:rsid w:val="47131FD0"/>
    <w:rsid w:val="47226FD9"/>
    <w:rsid w:val="47471B82"/>
    <w:rsid w:val="47541888"/>
    <w:rsid w:val="4851401A"/>
    <w:rsid w:val="491F5EC6"/>
    <w:rsid w:val="4A8561FD"/>
    <w:rsid w:val="4B474778"/>
    <w:rsid w:val="4BA555CD"/>
    <w:rsid w:val="4BC418CB"/>
    <w:rsid w:val="4D2910C1"/>
    <w:rsid w:val="4D3857A8"/>
    <w:rsid w:val="4FDF0F5F"/>
    <w:rsid w:val="51703763"/>
    <w:rsid w:val="51890380"/>
    <w:rsid w:val="51FE4E43"/>
    <w:rsid w:val="53133D6A"/>
    <w:rsid w:val="545033D7"/>
    <w:rsid w:val="54FB77E7"/>
    <w:rsid w:val="55286102"/>
    <w:rsid w:val="558F6181"/>
    <w:rsid w:val="563461C0"/>
    <w:rsid w:val="56D402F0"/>
    <w:rsid w:val="5711540D"/>
    <w:rsid w:val="573F2C2B"/>
    <w:rsid w:val="57573D8E"/>
    <w:rsid w:val="57F875D8"/>
    <w:rsid w:val="59C117E6"/>
    <w:rsid w:val="59ED3759"/>
    <w:rsid w:val="59F74948"/>
    <w:rsid w:val="5A1924BD"/>
    <w:rsid w:val="5A5752C7"/>
    <w:rsid w:val="5B1A7364"/>
    <w:rsid w:val="5B490B80"/>
    <w:rsid w:val="5BB22BCA"/>
    <w:rsid w:val="5C2A62A9"/>
    <w:rsid w:val="5C4401FB"/>
    <w:rsid w:val="5DB0643F"/>
    <w:rsid w:val="5DF272AD"/>
    <w:rsid w:val="5F990328"/>
    <w:rsid w:val="60FA4DF7"/>
    <w:rsid w:val="6241413E"/>
    <w:rsid w:val="624B2155"/>
    <w:rsid w:val="627226A5"/>
    <w:rsid w:val="64B90B25"/>
    <w:rsid w:val="64EF09EB"/>
    <w:rsid w:val="65136487"/>
    <w:rsid w:val="6597225C"/>
    <w:rsid w:val="65C41AE8"/>
    <w:rsid w:val="664663E8"/>
    <w:rsid w:val="67E2654F"/>
    <w:rsid w:val="686A10DA"/>
    <w:rsid w:val="6A2B3BF1"/>
    <w:rsid w:val="6AF12BB7"/>
    <w:rsid w:val="6B8C0D41"/>
    <w:rsid w:val="6B962A4C"/>
    <w:rsid w:val="6BF42CC8"/>
    <w:rsid w:val="6CAE4CE7"/>
    <w:rsid w:val="6E79493C"/>
    <w:rsid w:val="6FD11419"/>
    <w:rsid w:val="70CE5958"/>
    <w:rsid w:val="70FD7FEB"/>
    <w:rsid w:val="71092E34"/>
    <w:rsid w:val="719374FA"/>
    <w:rsid w:val="71A55C17"/>
    <w:rsid w:val="7279614B"/>
    <w:rsid w:val="72F07E08"/>
    <w:rsid w:val="731E31D8"/>
    <w:rsid w:val="74246EF2"/>
    <w:rsid w:val="74DB0D29"/>
    <w:rsid w:val="74EB205D"/>
    <w:rsid w:val="75492FD8"/>
    <w:rsid w:val="755A5A0C"/>
    <w:rsid w:val="75E53D52"/>
    <w:rsid w:val="76290B75"/>
    <w:rsid w:val="76856AB9"/>
    <w:rsid w:val="77185B7F"/>
    <w:rsid w:val="773C1FA3"/>
    <w:rsid w:val="77EF2BD0"/>
    <w:rsid w:val="78497340"/>
    <w:rsid w:val="786079EA"/>
    <w:rsid w:val="7881074A"/>
    <w:rsid w:val="78B96EEE"/>
    <w:rsid w:val="79A24CA6"/>
    <w:rsid w:val="7AB94F83"/>
    <w:rsid w:val="7CD76680"/>
    <w:rsid w:val="7CE00FA6"/>
    <w:rsid w:val="7DD854A0"/>
    <w:rsid w:val="7E6D4A02"/>
    <w:rsid w:val="7ED625F7"/>
    <w:rsid w:val="7FF5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iPriority="99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paragraph" w:styleId="5">
    <w:name w:val="Normal Indent"/>
    <w:basedOn w:val="1"/>
    <w:qFormat/>
    <w:uiPriority w:val="0"/>
    <w:pPr>
      <w:ind w:firstLine="624"/>
      <w:jc w:val="left"/>
    </w:pPr>
  </w:style>
  <w:style w:type="paragraph" w:styleId="6">
    <w:name w:val="table of figures"/>
    <w:basedOn w:val="1"/>
    <w:next w:val="1"/>
    <w:unhideWhenUsed/>
    <w:qFormat/>
    <w:uiPriority w:val="99"/>
    <w:pPr>
      <w:spacing w:line="400" w:lineRule="exact"/>
      <w:ind w:left="200" w:leftChars="200" w:hanging="200" w:hangingChars="200"/>
    </w:pPr>
    <w:rPr>
      <w:rFonts w:ascii="Calibri" w:hAnsi="Calibri" w:cs="黑体"/>
      <w:sz w:val="28"/>
      <w:szCs w:val="22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B2"/>
    <w:basedOn w:val="4"/>
    <w:qFormat/>
    <w:uiPriority w:val="0"/>
    <w:pPr>
      <w:spacing w:before="0" w:after="0" w:line="360" w:lineRule="auto"/>
    </w:pPr>
    <w:rPr>
      <w:rFonts w:ascii="宋体" w:hAnsi="宋体" w:eastAsia="宋体" w:cs="宋体"/>
      <w:sz w:val="28"/>
      <w:szCs w:val="28"/>
    </w:rPr>
  </w:style>
  <w:style w:type="paragraph" w:customStyle="1" w:styleId="11">
    <w:name w:val="缩正文"/>
    <w:basedOn w:val="1"/>
    <w:qFormat/>
    <w:uiPriority w:val="0"/>
    <w:pPr>
      <w:ind w:firstLine="420" w:firstLineChars="200"/>
    </w:pPr>
    <w:rPr>
      <w:rFonts w:ascii="宋体" w:hAnsi="宋体" w:eastAsia="宋体" w:cs="宋体"/>
      <w:szCs w:val="21"/>
    </w:rPr>
  </w:style>
  <w:style w:type="paragraph" w:customStyle="1" w:styleId="12">
    <w:name w:val="样式1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TotalTime>1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2025-11-13T08:38:00Z</dcterms:created>
  <dc:creator>huangling.wx</dc:creator>
  <cp:lastModifiedBy>黄玲</cp:lastModifiedBy>
  <dcterms:modified xsi:type="dcterms:W3CDTF">2025-11-13T08:40:05Z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KSOTemplateDocerSaveRecord">
    <vt:lpwstr>eyJoZGlkIjoiMjQxNTllYjMxYTBhNTg4NTI2ZTZmZjg4OTg3ZmQ4ZDYiLCJ1c2VySWQiOiIxMTM5MTMxOTI0In0=</vt:lpwstr>
  </property>
  <property fmtid="{D5CDD505-2E9C-101B-9397-08002B2CF9AE}" pid="4" name="ICV">
    <vt:lpwstr>718EECAC17644790876ACE60D0312E56_13</vt:lpwstr>
  </property>
</Properties>
</file>