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before="120" w:after="100" w:afterAutospacing="1"/>
        <w:contextualSpacing/>
        <w:jc w:val="center"/>
        <w:rPr>
          <w:rFonts w:hint="eastAsia" w:ascii="微软雅黑" w:hAnsi="微软雅黑" w:eastAsia="微软雅黑" w:cs="微软雅黑"/>
          <w:b w:val="0"/>
          <w:bCs/>
          <w:sz w:val="44"/>
          <w:szCs w:val="44"/>
          <w:lang w:val="en-US" w:eastAsia="zh-CN"/>
        </w:rPr>
      </w:pPr>
      <w:r>
        <w:rPr>
          <w:rFonts w:hint="eastAsia" w:ascii="微软雅黑" w:hAnsi="微软雅黑" w:eastAsia="微软雅黑" w:cs="微软雅黑"/>
          <w:b w:val="0"/>
          <w:bCs/>
          <w:sz w:val="44"/>
          <w:szCs w:val="44"/>
          <w:lang w:val="en-US" w:eastAsia="zh-CN"/>
        </w:rPr>
        <w:t>云南十里阳光发展</w:t>
      </w:r>
      <w:r>
        <w:rPr>
          <w:rFonts w:hint="eastAsia" w:ascii="微软雅黑" w:hAnsi="微软雅黑" w:eastAsia="微软雅黑" w:cs="微软雅黑"/>
          <w:b w:val="0"/>
          <w:bCs/>
          <w:sz w:val="44"/>
          <w:szCs w:val="44"/>
        </w:rPr>
        <w:t>有限</w:t>
      </w:r>
      <w:r>
        <w:rPr>
          <w:rFonts w:hint="eastAsia" w:ascii="微软雅黑" w:hAnsi="微软雅黑" w:eastAsia="微软雅黑" w:cs="微软雅黑"/>
          <w:b w:val="0"/>
          <w:bCs/>
          <w:sz w:val="44"/>
          <w:szCs w:val="44"/>
          <w:lang w:val="en-US" w:eastAsia="zh-CN"/>
        </w:rPr>
        <w:t>公司物业管理部一级泵站维护服务零星采购项目技术规范书</w:t>
      </w:r>
    </w:p>
    <w:p>
      <w:pPr>
        <w:numPr>
          <w:ilvl w:val="0"/>
          <w:numId w:val="1"/>
        </w:numPr>
        <w:adjustRightInd w:val="0"/>
        <w:snapToGrid w:val="0"/>
        <w:spacing w:line="360" w:lineRule="auto"/>
        <w:jc w:val="left"/>
        <w:outlineLvl w:val="1"/>
        <w:rPr>
          <w:rFonts w:hint="eastAsia" w:ascii="仿宋" w:hAnsi="仿宋" w:eastAsia="仿宋" w:cs="仿宋"/>
          <w:b/>
          <w:bCs/>
          <w:sz w:val="32"/>
          <w:szCs w:val="32"/>
        </w:rPr>
      </w:pPr>
      <w:bookmarkStart w:id="0" w:name="XmInfoEntity_BDWFJMS_0_3"/>
      <w:r>
        <w:rPr>
          <w:rFonts w:hint="eastAsia" w:ascii="仿宋" w:hAnsi="仿宋" w:eastAsia="仿宋" w:cs="仿宋"/>
          <w:b/>
          <w:bCs/>
          <w:sz w:val="32"/>
          <w:szCs w:val="32"/>
          <w:lang w:val="en-US" w:eastAsia="zh-CN"/>
        </w:rPr>
        <w:t>项目概要</w:t>
      </w:r>
    </w:p>
    <w:p>
      <w:pPr>
        <w:adjustRightInd w:val="0"/>
        <w:snapToGrid w:val="0"/>
        <w:spacing w:line="360" w:lineRule="auto"/>
        <w:ind w:firstLine="800" w:firstLineChars="250"/>
        <w:jc w:val="left"/>
        <w:outlineLvl w:val="1"/>
        <w:rPr>
          <w:rFonts w:hint="eastAsia" w:ascii="仿宋" w:hAnsi="仿宋" w:eastAsia="仿宋" w:cs="仿宋"/>
          <w:sz w:val="32"/>
          <w:szCs w:val="32"/>
        </w:rPr>
      </w:pPr>
      <w:r>
        <w:rPr>
          <w:rFonts w:hint="eastAsia" w:ascii="仿宋" w:hAnsi="仿宋" w:eastAsia="仿宋" w:cs="仿宋"/>
          <w:sz w:val="32"/>
          <w:szCs w:val="32"/>
          <w:lang w:val="en-US" w:eastAsia="zh-CN"/>
        </w:rPr>
        <w:t>云南十里阳光发展有限公司</w:t>
      </w:r>
      <w:r>
        <w:rPr>
          <w:rFonts w:hint="eastAsia" w:ascii="仿宋" w:hAnsi="仿宋" w:eastAsia="仿宋" w:cs="仿宋"/>
          <w:sz w:val="32"/>
          <w:szCs w:val="32"/>
        </w:rPr>
        <w:t>（以下简称</w:t>
      </w:r>
      <w:r>
        <w:rPr>
          <w:rFonts w:hint="eastAsia" w:ascii="仿宋" w:hAnsi="仿宋" w:eastAsia="仿宋" w:cs="仿宋"/>
          <w:sz w:val="32"/>
          <w:szCs w:val="32"/>
          <w:lang w:val="en-US" w:eastAsia="zh-CN"/>
        </w:rPr>
        <w:t>我公司</w:t>
      </w:r>
      <w:r>
        <w:rPr>
          <w:rFonts w:hint="eastAsia" w:ascii="仿宋" w:hAnsi="仿宋" w:eastAsia="仿宋" w:cs="仿宋"/>
          <w:sz w:val="32"/>
          <w:szCs w:val="32"/>
        </w:rPr>
        <w:t>）</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位于云南省昆明市盘龙区昆曲高速公路6公里处，供水由盘龙区北部汽车客运站旁一级加压泵站供水至我公司二级泵站内，为保证我公司正常供水及泵站设施设备正常运行</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需委托第三方专人对一级泵站进行维护服务，现</w:t>
      </w:r>
      <w:r>
        <w:rPr>
          <w:rFonts w:hint="eastAsia" w:ascii="仿宋" w:hAnsi="仿宋" w:eastAsia="仿宋" w:cs="仿宋"/>
          <w:sz w:val="32"/>
          <w:szCs w:val="32"/>
        </w:rPr>
        <w:t>进行</w:t>
      </w:r>
      <w:r>
        <w:rPr>
          <w:rFonts w:hint="eastAsia" w:ascii="仿宋" w:hAnsi="仿宋" w:eastAsia="仿宋" w:cs="仿宋"/>
          <w:sz w:val="32"/>
          <w:szCs w:val="32"/>
          <w:lang w:val="en-US" w:eastAsia="zh-CN"/>
        </w:rPr>
        <w:t>该</w:t>
      </w:r>
      <w:r>
        <w:rPr>
          <w:rFonts w:hint="eastAsia" w:ascii="仿宋" w:hAnsi="仿宋" w:eastAsia="仿宋" w:cs="仿宋"/>
          <w:sz w:val="32"/>
          <w:szCs w:val="32"/>
        </w:rPr>
        <w:t>服务</w:t>
      </w:r>
      <w:r>
        <w:rPr>
          <w:rFonts w:hint="eastAsia" w:ascii="仿宋" w:hAnsi="仿宋" w:eastAsia="仿宋" w:cs="仿宋"/>
          <w:sz w:val="32"/>
          <w:szCs w:val="32"/>
          <w:lang w:val="en-US" w:eastAsia="zh-CN"/>
        </w:rPr>
        <w:t>项目</w:t>
      </w:r>
      <w:r>
        <w:rPr>
          <w:rFonts w:hint="eastAsia" w:ascii="仿宋" w:hAnsi="仿宋" w:eastAsia="仿宋" w:cs="仿宋"/>
          <w:sz w:val="32"/>
          <w:szCs w:val="32"/>
        </w:rPr>
        <w:t>采购。</w:t>
      </w:r>
      <w:bookmarkEnd w:id="0"/>
    </w:p>
    <w:p>
      <w:pPr>
        <w:numPr>
          <w:ilvl w:val="0"/>
          <w:numId w:val="1"/>
        </w:numPr>
        <w:adjustRightInd w:val="0"/>
        <w:snapToGrid w:val="0"/>
        <w:spacing w:line="360" w:lineRule="auto"/>
        <w:jc w:val="left"/>
        <w:outlineLvl w:val="1"/>
        <w:rPr>
          <w:rFonts w:hint="eastAsia" w:ascii="仿宋" w:hAnsi="仿宋" w:eastAsia="仿宋" w:cs="仿宋"/>
          <w:b/>
          <w:bCs/>
          <w:sz w:val="32"/>
          <w:szCs w:val="32"/>
        </w:rPr>
      </w:pPr>
      <w:r>
        <w:rPr>
          <w:rFonts w:hint="eastAsia" w:ascii="仿宋" w:hAnsi="仿宋" w:eastAsia="仿宋" w:cs="仿宋"/>
          <w:b/>
          <w:bCs/>
          <w:sz w:val="32"/>
          <w:szCs w:val="32"/>
          <w:lang w:val="en-US" w:eastAsia="zh-CN"/>
        </w:rPr>
        <w:t>服务周期</w:t>
      </w:r>
    </w:p>
    <w:p>
      <w:pPr>
        <w:adjustRightInd w:val="0"/>
        <w:snapToGrid w:val="0"/>
        <w:spacing w:line="360" w:lineRule="auto"/>
        <w:ind w:firstLine="480" w:firstLineChars="150"/>
        <w:jc w:val="left"/>
        <w:outlineLvl w:val="1"/>
        <w:rPr>
          <w:rFonts w:hint="eastAsia" w:ascii="仿宋" w:hAnsi="仿宋" w:eastAsia="仿宋" w:cs="仿宋"/>
          <w:b w:val="0"/>
          <w:bCs/>
          <w:sz w:val="32"/>
          <w:szCs w:val="32"/>
          <w:lang w:val="en-US" w:eastAsia="zh-CN"/>
        </w:rPr>
      </w:pPr>
      <w:r>
        <w:rPr>
          <w:rFonts w:hint="eastAsia" w:ascii="仿宋" w:hAnsi="仿宋" w:eastAsia="仿宋" w:cs="仿宋"/>
          <w:b w:val="0"/>
          <w:bCs/>
          <w:sz w:val="32"/>
          <w:szCs w:val="32"/>
          <w:lang w:val="en-US" w:eastAsia="zh-CN"/>
        </w:rPr>
        <w:t>2026年1月1日至2026年8月31日。</w:t>
      </w:r>
    </w:p>
    <w:p>
      <w:pPr>
        <w:numPr>
          <w:ilvl w:val="0"/>
          <w:numId w:val="1"/>
        </w:numPr>
        <w:adjustRightInd w:val="0"/>
        <w:snapToGrid w:val="0"/>
        <w:spacing w:line="360" w:lineRule="auto"/>
        <w:jc w:val="left"/>
        <w:outlineLvl w:val="1"/>
        <w:rPr>
          <w:rFonts w:hint="eastAsia" w:ascii="仿宋" w:hAnsi="仿宋" w:eastAsia="仿宋" w:cs="仿宋"/>
          <w:b/>
          <w:bCs/>
          <w:sz w:val="32"/>
          <w:szCs w:val="32"/>
        </w:rPr>
      </w:pPr>
      <w:r>
        <w:rPr>
          <w:rFonts w:hint="eastAsia" w:ascii="仿宋" w:hAnsi="仿宋" w:eastAsia="仿宋" w:cs="仿宋"/>
          <w:b/>
          <w:bCs/>
          <w:sz w:val="32"/>
          <w:szCs w:val="32"/>
          <w:lang w:val="en-US" w:eastAsia="zh-CN"/>
        </w:rPr>
        <w:t>服务内容</w:t>
      </w:r>
    </w:p>
    <w:p>
      <w:pPr>
        <w:adjustRightInd w:val="0"/>
        <w:snapToGrid w:val="0"/>
        <w:spacing w:line="360" w:lineRule="auto"/>
        <w:ind w:firstLine="640" w:firstLineChars="200"/>
        <w:jc w:val="left"/>
        <w:outlineLvl w:val="1"/>
        <w:rPr>
          <w:rFonts w:hint="eastAsia" w:ascii="仿宋" w:hAnsi="仿宋" w:eastAsia="仿宋" w:cs="仿宋"/>
          <w:b/>
          <w:bCs/>
          <w:sz w:val="32"/>
          <w:szCs w:val="32"/>
        </w:rPr>
      </w:pPr>
      <w:r>
        <w:rPr>
          <w:rFonts w:hint="eastAsia" w:ascii="仿宋" w:hAnsi="仿宋" w:eastAsia="仿宋" w:cs="仿宋"/>
          <w:sz w:val="32"/>
          <w:szCs w:val="32"/>
          <w:lang w:val="en-US" w:eastAsia="zh-CN"/>
        </w:rPr>
        <w:t>云南十里阳光发展有限公司一级泵站，需委托第三方专人进行维护服务，服务内容包含一级泵站内设备运行巡查、水源安全保障及外来人员防范、每天按要求进行抽水补水等工作。</w:t>
      </w:r>
    </w:p>
    <w:p>
      <w:pPr>
        <w:numPr>
          <w:ilvl w:val="0"/>
          <w:numId w:val="1"/>
        </w:numPr>
        <w:adjustRightInd w:val="0"/>
        <w:snapToGrid w:val="0"/>
        <w:spacing w:line="360" w:lineRule="auto"/>
        <w:jc w:val="left"/>
        <w:outlineLvl w:val="1"/>
        <w:rPr>
          <w:rFonts w:hint="eastAsia" w:ascii="仿宋" w:hAnsi="仿宋" w:eastAsia="仿宋" w:cs="仿宋"/>
          <w:b/>
          <w:bCs/>
          <w:sz w:val="32"/>
          <w:szCs w:val="32"/>
        </w:rPr>
      </w:pPr>
      <w:r>
        <w:rPr>
          <w:rFonts w:hint="eastAsia" w:ascii="仿宋" w:hAnsi="仿宋" w:eastAsia="仿宋" w:cs="仿宋"/>
          <w:b/>
          <w:bCs/>
          <w:sz w:val="32"/>
          <w:szCs w:val="32"/>
          <w:lang w:val="en-US" w:eastAsia="zh-CN"/>
        </w:rPr>
        <w:t>基本</w:t>
      </w:r>
      <w:r>
        <w:rPr>
          <w:rFonts w:hint="eastAsia" w:ascii="仿宋" w:hAnsi="仿宋" w:eastAsia="仿宋" w:cs="仿宋"/>
          <w:b/>
          <w:bCs/>
          <w:sz w:val="32"/>
          <w:szCs w:val="32"/>
        </w:rPr>
        <w:t>要求</w:t>
      </w:r>
    </w:p>
    <w:p>
      <w:pPr>
        <w:adjustRightInd w:val="0"/>
        <w:snapToGrid w:val="0"/>
        <w:spacing w:line="360" w:lineRule="auto"/>
        <w:ind w:firstLine="800" w:firstLineChars="250"/>
        <w:jc w:val="left"/>
        <w:outlineLvl w:val="1"/>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1.报价方需进行现场踏勘，详细了解我公司一级泵站位置、供水时间、水池清洗流程、水泵维护及配电室维护等内容。（现场踏勘时间：自公告发布之日起2日内，每天9:00-17:00，联系人李福成：13888574579），报价方未现场踏勘，报价无效。</w:t>
      </w:r>
    </w:p>
    <w:p>
      <w:pPr>
        <w:adjustRightInd w:val="0"/>
        <w:snapToGrid w:val="0"/>
        <w:spacing w:line="360" w:lineRule="auto"/>
        <w:ind w:firstLine="480" w:firstLineChars="150"/>
        <w:jc w:val="left"/>
        <w:outlineLvl w:val="1"/>
        <w:rPr>
          <w:rFonts w:hint="default"/>
          <w:lang w:val="en-US" w:eastAsia="zh-CN"/>
        </w:rPr>
      </w:pPr>
      <w:r>
        <w:rPr>
          <w:rFonts w:hint="eastAsia" w:ascii="仿宋" w:hAnsi="仿宋" w:eastAsia="仿宋" w:cs="仿宋"/>
          <w:sz w:val="32"/>
          <w:szCs w:val="32"/>
          <w:lang w:val="en-US" w:eastAsia="zh-CN"/>
        </w:rPr>
        <w:t>2.报价方需具备劳务派遣服务资质，报价同步提供与业务相关的营业执照、近2年财务审计报告、企业征信报告、一般纳税人资格证明、具备开具增值税发票资格。</w:t>
      </w:r>
      <w:bookmarkStart w:id="1" w:name="_GoBack"/>
      <w:bookmarkEnd w:id="1"/>
    </w:p>
    <w:p>
      <w:pPr>
        <w:numPr>
          <w:ilvl w:val="0"/>
          <w:numId w:val="1"/>
        </w:numPr>
        <w:adjustRightInd w:val="0"/>
        <w:snapToGrid w:val="0"/>
        <w:spacing w:line="360" w:lineRule="auto"/>
        <w:jc w:val="left"/>
        <w:outlineLvl w:val="1"/>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技术要求</w:t>
      </w:r>
    </w:p>
    <w:p>
      <w:pPr>
        <w:adjustRightInd w:val="0"/>
        <w:snapToGrid w:val="0"/>
        <w:spacing w:line="360" w:lineRule="auto"/>
        <w:ind w:firstLine="480" w:firstLineChars="150"/>
        <w:jc w:val="left"/>
        <w:outlineLvl w:val="1"/>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1.维护服务人员需有自来水泵站维护服务经验，能及时反馈设备运转情况。</w:t>
      </w:r>
    </w:p>
    <w:p>
      <w:pPr>
        <w:adjustRightInd w:val="0"/>
        <w:snapToGrid w:val="0"/>
        <w:spacing w:line="360" w:lineRule="auto"/>
        <w:ind w:firstLine="480" w:firstLineChars="150"/>
        <w:jc w:val="left"/>
        <w:outlineLvl w:val="1"/>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2.服务人员需身体健康，持有有效健康证。</w:t>
      </w:r>
    </w:p>
    <w:p>
      <w:pPr>
        <w:adjustRightInd w:val="0"/>
        <w:snapToGrid w:val="0"/>
        <w:spacing w:line="360" w:lineRule="auto"/>
        <w:ind w:firstLine="480" w:firstLineChars="150"/>
        <w:jc w:val="left"/>
        <w:outlineLvl w:val="1"/>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3.所委派人员需30分钟内响应我公司一级泵站的水池抽水补水需求。</w:t>
      </w:r>
    </w:p>
    <w:p>
      <w:pPr>
        <w:adjustRightInd w:val="0"/>
        <w:snapToGrid w:val="0"/>
        <w:spacing w:line="360" w:lineRule="auto"/>
        <w:ind w:firstLine="320" w:firstLineChars="100"/>
        <w:jc w:val="left"/>
        <w:outlineLvl w:val="1"/>
        <w:rPr>
          <w:rFonts w:hint="default" w:ascii="仿宋" w:hAnsi="仿宋" w:eastAsia="仿宋" w:cs="仿宋"/>
          <w:kern w:val="2"/>
          <w:sz w:val="32"/>
          <w:szCs w:val="32"/>
          <w:lang w:val="en-US" w:eastAsia="zh-CN" w:bidi="ar-SA"/>
        </w:rPr>
      </w:pPr>
      <w:r>
        <w:rPr>
          <w:rFonts w:hint="eastAsia" w:ascii="黑体" w:hAnsi="黑体" w:eastAsia="黑体" w:cs="黑体"/>
          <w:sz w:val="32"/>
          <w:szCs w:val="32"/>
          <w:lang w:val="en-US" w:eastAsia="zh-CN"/>
        </w:rPr>
        <w:t>六</w:t>
      </w:r>
      <w:r>
        <w:rPr>
          <w:rFonts w:hint="eastAsia" w:ascii="黑体" w:hAnsi="黑体" w:eastAsia="黑体" w:cs="黑体"/>
          <w:kern w:val="2"/>
          <w:sz w:val="32"/>
          <w:szCs w:val="32"/>
          <w:lang w:val="en-US" w:eastAsia="zh-CN" w:bidi="ar-SA"/>
        </w:rPr>
        <w:t>、安全要求</w:t>
      </w:r>
    </w:p>
    <w:p>
      <w:pPr>
        <w:pStyle w:val="2"/>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1.严格遵守一级泵站操作管理规定，熟悉应急流程，严禁单人在密闭空间作业，发现漏水、异响等隐患立即停机上报。</w:t>
      </w:r>
    </w:p>
    <w:p>
      <w:pPr>
        <w:pStyle w:val="2"/>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2.必须穿戴绝缘手套、防滑鞋等防护装备，严禁徒手接触转动设备和带电部件。</w:t>
      </w:r>
    </w:p>
    <w:p>
      <w:pPr>
        <w:pStyle w:val="2"/>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3.作业前先确认设备停机断电、挂牌上锁，排查泵体、管路无压力后再操作。</w:t>
      </w:r>
    </w:p>
    <w:p>
      <w:pPr>
        <w:pStyle w:val="2"/>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4.服务方需</w:t>
      </w:r>
      <w:r>
        <w:rPr>
          <w:rFonts w:hint="eastAsia" w:ascii="仿宋" w:hAnsi="仿宋" w:eastAsia="仿宋" w:cs="仿宋"/>
          <w:color w:val="auto"/>
          <w:spacing w:val="0"/>
          <w:position w:val="0"/>
          <w:sz w:val="32"/>
          <w:szCs w:val="32"/>
          <w:shd w:val="clear" w:fill="auto"/>
          <w:lang w:val="en-US" w:eastAsia="zh-CN"/>
        </w:rPr>
        <w:t>为所委派人员购买意外伤害险，</w:t>
      </w:r>
      <w:r>
        <w:rPr>
          <w:rFonts w:hint="eastAsia" w:ascii="仿宋" w:hAnsi="仿宋" w:eastAsia="仿宋" w:cs="仿宋"/>
          <w:kern w:val="2"/>
          <w:sz w:val="32"/>
          <w:szCs w:val="32"/>
          <w:lang w:val="en-US" w:eastAsia="zh-CN" w:bidi="ar-SA"/>
        </w:rPr>
        <w:t>如因违反安全要求或安全措施不到位等导致人员伤亡或财产损失，服务方应承担全部法律责任和赔偿责任。</w:t>
      </w:r>
    </w:p>
    <w:p>
      <w:pPr>
        <w:pStyle w:val="2"/>
        <w:keepNext w:val="0"/>
        <w:keepLines w:val="0"/>
        <w:pageBreakBefore w:val="0"/>
        <w:widowControl w:val="0"/>
        <w:kinsoku/>
        <w:wordWrap/>
        <w:overflowPunct/>
        <w:topLinePunct w:val="0"/>
        <w:autoSpaceDE/>
        <w:autoSpaceDN/>
        <w:bidi w:val="0"/>
        <w:adjustRightInd/>
        <w:snapToGrid/>
        <w:spacing w:line="578" w:lineRule="exact"/>
        <w:ind w:firstLine="320" w:firstLineChars="100"/>
        <w:textAlignment w:val="auto"/>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七、报价方面</w:t>
      </w:r>
    </w:p>
    <w:p>
      <w:pPr>
        <w:pStyle w:val="2"/>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1.报价方式：总价报价</w:t>
      </w:r>
    </w:p>
    <w:tbl>
      <w:tblPr>
        <w:tblStyle w:val="3"/>
        <w:tblW w:w="6925" w:type="dxa"/>
        <w:jc w:val="center"/>
        <w:tblLayout w:type="fixed"/>
        <w:tblCellMar>
          <w:top w:w="0" w:type="dxa"/>
          <w:left w:w="10" w:type="dxa"/>
          <w:bottom w:w="0" w:type="dxa"/>
          <w:right w:w="10" w:type="dxa"/>
        </w:tblCellMar>
      </w:tblPr>
      <w:tblGrid>
        <w:gridCol w:w="446"/>
        <w:gridCol w:w="1560"/>
        <w:gridCol w:w="2327"/>
        <w:gridCol w:w="1236"/>
        <w:gridCol w:w="1356"/>
      </w:tblGrid>
      <w:tr>
        <w:tblPrEx>
          <w:tblCellMar>
            <w:top w:w="0" w:type="dxa"/>
            <w:left w:w="10" w:type="dxa"/>
            <w:bottom w:w="0" w:type="dxa"/>
            <w:right w:w="10" w:type="dxa"/>
          </w:tblCellMar>
        </w:tblPrEx>
        <w:trPr>
          <w:trHeight w:val="1096"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b/>
                <w:bCs/>
                <w:spacing w:val="0"/>
                <w:position w:val="0"/>
                <w:sz w:val="21"/>
                <w:szCs w:val="21"/>
              </w:rPr>
            </w:pPr>
            <w:r>
              <w:rPr>
                <w:rFonts w:hint="eastAsia" w:ascii="仿宋" w:hAnsi="仿宋" w:eastAsia="仿宋" w:cs="仿宋"/>
                <w:b/>
                <w:bCs/>
                <w:color w:val="000000"/>
                <w:spacing w:val="0"/>
                <w:position w:val="0"/>
                <w:sz w:val="21"/>
                <w:szCs w:val="21"/>
                <w:shd w:val="clear" w:fill="auto"/>
              </w:rPr>
              <w:t>序号</w:t>
            </w:r>
          </w:p>
        </w:tc>
        <w:tc>
          <w:tcPr>
            <w:tcW w:w="156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left="0" w:leftChars="0" w:right="0" w:firstLine="422" w:firstLineChars="200"/>
              <w:jc w:val="center"/>
              <w:textAlignment w:val="auto"/>
              <w:rPr>
                <w:rFonts w:hint="eastAsia" w:ascii="仿宋" w:hAnsi="仿宋" w:eastAsia="仿宋" w:cs="仿宋"/>
                <w:b/>
                <w:bCs/>
                <w:spacing w:val="0"/>
                <w:position w:val="0"/>
                <w:sz w:val="21"/>
                <w:szCs w:val="21"/>
              </w:rPr>
            </w:pPr>
            <w:r>
              <w:rPr>
                <w:rFonts w:hint="eastAsia" w:ascii="仿宋" w:hAnsi="仿宋" w:eastAsia="仿宋" w:cs="仿宋"/>
                <w:b/>
                <w:bCs/>
                <w:color w:val="000000"/>
                <w:spacing w:val="0"/>
                <w:position w:val="0"/>
                <w:sz w:val="21"/>
                <w:szCs w:val="21"/>
                <w:shd w:val="clear" w:fill="auto"/>
              </w:rPr>
              <w:t>名称</w:t>
            </w:r>
          </w:p>
        </w:tc>
        <w:tc>
          <w:tcPr>
            <w:tcW w:w="232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b/>
                <w:bCs/>
                <w:color w:val="000000"/>
                <w:spacing w:val="0"/>
                <w:position w:val="0"/>
                <w:sz w:val="21"/>
                <w:szCs w:val="21"/>
                <w:shd w:val="clear" w:fill="auto"/>
                <w:lang w:val="en-US" w:eastAsia="zh-CN"/>
              </w:rPr>
            </w:pPr>
            <w:r>
              <w:rPr>
                <w:rFonts w:hint="eastAsia" w:ascii="仿宋" w:hAnsi="仿宋" w:eastAsia="仿宋" w:cs="仿宋"/>
                <w:b/>
                <w:bCs/>
                <w:color w:val="000000"/>
                <w:spacing w:val="0"/>
                <w:position w:val="0"/>
                <w:sz w:val="21"/>
                <w:szCs w:val="21"/>
                <w:shd w:val="clear" w:fill="auto"/>
                <w:lang w:val="en-US" w:eastAsia="zh-CN"/>
              </w:rPr>
              <w:t>周期</w:t>
            </w:r>
          </w:p>
        </w:tc>
        <w:tc>
          <w:tcPr>
            <w:tcW w:w="123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eastAsia="仿宋"/>
                <w:b/>
                <w:bCs/>
                <w:lang w:val="en-US" w:eastAsia="zh-CN"/>
              </w:rPr>
            </w:pPr>
            <w:r>
              <w:rPr>
                <w:rFonts w:hint="eastAsia" w:ascii="仿宋" w:hAnsi="仿宋" w:eastAsia="仿宋" w:cs="仿宋"/>
                <w:b/>
                <w:bCs/>
                <w:color w:val="000000"/>
                <w:spacing w:val="0"/>
                <w:position w:val="0"/>
                <w:sz w:val="21"/>
                <w:szCs w:val="21"/>
                <w:shd w:val="clear" w:fill="auto"/>
                <w:lang w:val="en-US" w:eastAsia="zh-CN"/>
              </w:rPr>
              <w:t>总价限价（元）</w:t>
            </w:r>
          </w:p>
        </w:tc>
        <w:tc>
          <w:tcPr>
            <w:tcW w:w="135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b/>
                <w:bCs/>
                <w:spacing w:val="0"/>
                <w:position w:val="0"/>
                <w:sz w:val="21"/>
                <w:szCs w:val="21"/>
                <w:lang w:val="en-US" w:eastAsia="zh-CN"/>
              </w:rPr>
            </w:pPr>
            <w:r>
              <w:rPr>
                <w:rFonts w:hint="eastAsia" w:ascii="仿宋" w:hAnsi="仿宋" w:eastAsia="仿宋" w:cs="仿宋"/>
                <w:b/>
                <w:bCs/>
                <w:spacing w:val="0"/>
                <w:position w:val="0"/>
                <w:sz w:val="21"/>
                <w:szCs w:val="21"/>
                <w:lang w:val="en-US" w:eastAsia="zh-CN"/>
              </w:rPr>
              <w:t>总价报价</w:t>
            </w:r>
          </w:p>
          <w:p>
            <w:pPr>
              <w:keepNext w:val="0"/>
              <w:keepLines w:val="0"/>
              <w:pageBreakBefore w:val="0"/>
              <w:widowControl w:val="0"/>
              <w:kinsoku/>
              <w:wordWrap/>
              <w:overflowPunct/>
              <w:topLinePunct w:val="0"/>
              <w:autoSpaceDE/>
              <w:autoSpaceDN/>
              <w:bidi w:val="0"/>
              <w:adjustRightInd/>
              <w:snapToGrid/>
              <w:spacing w:before="0" w:after="0" w:line="240" w:lineRule="auto"/>
              <w:ind w:right="0"/>
              <w:jc w:val="center"/>
              <w:textAlignment w:val="auto"/>
              <w:rPr>
                <w:rFonts w:hint="default" w:ascii="仿宋" w:hAnsi="仿宋" w:eastAsia="仿宋" w:cs="仿宋"/>
                <w:b/>
                <w:bCs/>
                <w:spacing w:val="0"/>
                <w:position w:val="0"/>
                <w:sz w:val="21"/>
                <w:szCs w:val="21"/>
                <w:lang w:val="en-US" w:eastAsia="zh-CN"/>
              </w:rPr>
            </w:pPr>
            <w:r>
              <w:rPr>
                <w:rFonts w:hint="eastAsia" w:ascii="仿宋" w:hAnsi="仿宋" w:eastAsia="仿宋" w:cs="仿宋"/>
                <w:b/>
                <w:bCs/>
                <w:spacing w:val="0"/>
                <w:position w:val="0"/>
                <w:sz w:val="21"/>
                <w:szCs w:val="21"/>
                <w:lang w:val="en-US" w:eastAsia="zh-CN"/>
              </w:rPr>
              <w:t>（元）</w:t>
            </w:r>
          </w:p>
        </w:tc>
      </w:tr>
      <w:tr>
        <w:tblPrEx>
          <w:tblCellMar>
            <w:top w:w="0" w:type="dxa"/>
            <w:left w:w="10" w:type="dxa"/>
            <w:bottom w:w="0" w:type="dxa"/>
            <w:right w:w="10" w:type="dxa"/>
          </w:tblCellMar>
        </w:tblPrEx>
        <w:trPr>
          <w:trHeight w:val="991"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jc w:val="center"/>
              <w:textAlignment w:val="auto"/>
              <w:rPr>
                <w:rFonts w:hint="eastAsia" w:asciiTheme="minorEastAsia" w:hAnsiTheme="minorEastAsia" w:eastAsia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before="0" w:after="0" w:line="240" w:lineRule="auto"/>
              <w:ind w:right="0"/>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w:t>
            </w:r>
          </w:p>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center"/>
              <w:textAlignment w:val="auto"/>
              <w:rPr>
                <w:rFonts w:hint="eastAsia" w:asciiTheme="minorEastAsia" w:hAnsiTheme="minorEastAsia" w:eastAsiaTheme="minorEastAsia" w:cstheme="minorEastAsia"/>
                <w:sz w:val="21"/>
                <w:szCs w:val="21"/>
                <w:lang w:val="en-US" w:eastAsia="zh-CN"/>
              </w:rPr>
            </w:pPr>
          </w:p>
        </w:tc>
        <w:tc>
          <w:tcPr>
            <w:tcW w:w="156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color w:val="000000"/>
                <w:spacing w:val="0"/>
                <w:position w:val="0"/>
                <w:sz w:val="21"/>
                <w:szCs w:val="21"/>
                <w:shd w:val="clear" w:fill="auto"/>
                <w:lang w:val="en-US" w:eastAsia="zh-CN"/>
              </w:rPr>
            </w:pPr>
            <w:r>
              <w:rPr>
                <w:rFonts w:hint="eastAsia" w:ascii="仿宋" w:hAnsi="仿宋" w:eastAsia="仿宋" w:cs="仿宋"/>
                <w:color w:val="000000"/>
                <w:spacing w:val="0"/>
                <w:position w:val="0"/>
                <w:sz w:val="21"/>
                <w:szCs w:val="21"/>
                <w:shd w:val="clear" w:fill="auto"/>
                <w:lang w:val="en-US" w:eastAsia="zh-CN"/>
              </w:rPr>
              <w:t>云南十里阳光发展有限公司一级泵站维护服务</w:t>
            </w:r>
          </w:p>
        </w:tc>
        <w:tc>
          <w:tcPr>
            <w:tcW w:w="232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color w:val="000000"/>
                <w:spacing w:val="0"/>
                <w:position w:val="0"/>
                <w:sz w:val="21"/>
                <w:szCs w:val="21"/>
                <w:shd w:val="clear" w:fill="auto"/>
                <w:lang w:val="en-US" w:eastAsia="zh-CN"/>
              </w:rPr>
            </w:pPr>
            <w:r>
              <w:rPr>
                <w:rFonts w:hint="eastAsia" w:ascii="仿宋" w:hAnsi="仿宋" w:eastAsia="仿宋" w:cs="仿宋"/>
                <w:color w:val="000000"/>
                <w:spacing w:val="0"/>
                <w:position w:val="0"/>
                <w:sz w:val="21"/>
                <w:szCs w:val="21"/>
                <w:shd w:val="clear" w:fill="auto"/>
                <w:lang w:val="en-US" w:eastAsia="zh-CN"/>
              </w:rPr>
              <w:t>2026年1月1日至2026年8月31日（8个月）</w:t>
            </w:r>
          </w:p>
        </w:tc>
        <w:tc>
          <w:tcPr>
            <w:tcW w:w="123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210" w:firstLineChars="100"/>
              <w:jc w:val="both"/>
              <w:textAlignment w:val="auto"/>
              <w:rPr>
                <w:rFonts w:hint="default" w:ascii="仿宋" w:hAnsi="仿宋" w:eastAsia="仿宋" w:cs="仿宋"/>
                <w:color w:val="000000"/>
                <w:spacing w:val="0"/>
                <w:position w:val="0"/>
                <w:sz w:val="21"/>
                <w:szCs w:val="21"/>
                <w:shd w:val="clear" w:fill="auto"/>
                <w:lang w:val="en-US" w:eastAsia="zh-CN"/>
              </w:rPr>
            </w:pPr>
            <w:r>
              <w:rPr>
                <w:rFonts w:hint="eastAsia" w:ascii="仿宋" w:hAnsi="仿宋" w:eastAsia="仿宋" w:cs="仿宋"/>
                <w:color w:val="000000"/>
                <w:spacing w:val="0"/>
                <w:position w:val="0"/>
                <w:sz w:val="21"/>
                <w:szCs w:val="21"/>
                <w:shd w:val="clear" w:fill="auto"/>
                <w:lang w:val="en-US" w:eastAsia="zh-CN"/>
              </w:rPr>
              <w:t>16500.00</w:t>
            </w:r>
          </w:p>
        </w:tc>
        <w:tc>
          <w:tcPr>
            <w:tcW w:w="135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jc w:val="center"/>
              <w:textAlignment w:val="auto"/>
              <w:rPr>
                <w:rFonts w:hint="default" w:ascii="仿宋" w:hAnsi="仿宋" w:eastAsia="仿宋" w:cs="仿宋"/>
                <w:color w:val="000000"/>
                <w:spacing w:val="0"/>
                <w:position w:val="0"/>
                <w:sz w:val="21"/>
                <w:szCs w:val="21"/>
                <w:shd w:val="clear" w:fill="auto"/>
                <w:lang w:val="en-US" w:eastAsia="zh-CN"/>
              </w:rPr>
            </w:pPr>
          </w:p>
        </w:tc>
      </w:tr>
    </w:tbl>
    <w:p>
      <w:pPr>
        <w:pStyle w:val="2"/>
        <w:keepNext w:val="0"/>
        <w:keepLines w:val="0"/>
        <w:pageBreakBefore w:val="0"/>
        <w:widowControl w:val="0"/>
        <w:numPr>
          <w:ilvl w:val="0"/>
          <w:numId w:val="2"/>
        </w:numPr>
        <w:kinsoku/>
        <w:wordWrap/>
        <w:overflowPunct/>
        <w:topLinePunct w:val="0"/>
        <w:autoSpaceDE/>
        <w:autoSpaceDN/>
        <w:bidi w:val="0"/>
        <w:adjustRightInd/>
        <w:snapToGrid/>
        <w:spacing w:line="578" w:lineRule="exact"/>
        <w:ind w:firstLine="320" w:firstLineChars="100"/>
        <w:textAlignment w:val="auto"/>
        <w:rPr>
          <w:rFonts w:hint="default"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付款方式</w:t>
      </w:r>
    </w:p>
    <w:p>
      <w:pPr>
        <w:keepNext w:val="0"/>
        <w:keepLines w:val="0"/>
        <w:pageBreakBefore w:val="0"/>
        <w:widowControl w:val="0"/>
        <w:numPr>
          <w:ilvl w:val="0"/>
          <w:numId w:val="0"/>
        </w:numPr>
        <w:kinsoku/>
        <w:wordWrap/>
        <w:overflowPunct/>
        <w:topLinePunct w:val="0"/>
        <w:autoSpaceDE/>
        <w:autoSpaceDN/>
        <w:bidi w:val="0"/>
        <w:adjustRightInd/>
        <w:snapToGrid/>
        <w:spacing w:before="0" w:after="0" w:line="578" w:lineRule="exact"/>
        <w:ind w:right="0" w:rightChars="0" w:firstLine="640" w:firstLineChars="200"/>
        <w:jc w:val="both"/>
        <w:textAlignment w:val="auto"/>
        <w:rPr>
          <w:rFonts w:hint="eastAsia" w:ascii="仿宋" w:hAnsi="仿宋" w:eastAsia="仿宋" w:cs="仿宋"/>
          <w:color w:val="auto"/>
          <w:spacing w:val="0"/>
          <w:position w:val="0"/>
          <w:sz w:val="32"/>
          <w:szCs w:val="32"/>
          <w:shd w:val="clear" w:fill="auto"/>
        </w:rPr>
      </w:pPr>
      <w:r>
        <w:rPr>
          <w:rFonts w:hint="eastAsia" w:ascii="仿宋" w:hAnsi="仿宋" w:eastAsia="仿宋" w:cs="仿宋"/>
          <w:iCs w:val="0"/>
          <w:color w:val="auto"/>
          <w:spacing w:val="0"/>
          <w:position w:val="0"/>
          <w:sz w:val="32"/>
          <w:szCs w:val="32"/>
          <w:shd w:val="clear" w:fill="auto"/>
          <w:lang w:val="en-US" w:eastAsia="zh-CN"/>
        </w:rPr>
        <w:t>服务费用按月计量结算，当月服务费于次月需方收到供方开具符合要求的发票后15个工作日内支付</w:t>
      </w:r>
      <w:r>
        <w:rPr>
          <w:rFonts w:hint="eastAsia" w:ascii="仿宋" w:hAnsi="仿宋" w:eastAsia="仿宋" w:cs="仿宋"/>
          <w:color w:val="auto"/>
          <w:spacing w:val="0"/>
          <w:position w:val="0"/>
          <w:sz w:val="32"/>
          <w:szCs w:val="32"/>
          <w:shd w:val="clear" w:fill="auto"/>
          <w:lang w:val="en-US" w:eastAsia="zh-CN"/>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rPr>
          <w:rFonts w:hint="default" w:ascii="仿宋" w:hAnsi="仿宋" w:eastAsia="仿宋" w:cs="仿宋"/>
          <w:color w:val="auto"/>
          <w:spacing w:val="0"/>
          <w:position w:val="0"/>
          <w:sz w:val="32"/>
          <w:szCs w:val="32"/>
          <w:shd w:val="clear" w:fill="auto"/>
          <w:lang w:val="en-US" w:eastAsia="zh-CN"/>
        </w:rPr>
      </w:pPr>
    </w:p>
    <w:p>
      <w:pPr>
        <w:pStyle w:val="2"/>
        <w:keepNext w:val="0"/>
        <w:keepLines w:val="0"/>
        <w:pageBreakBefore w:val="0"/>
        <w:widowControl w:val="0"/>
        <w:kinsoku/>
        <w:wordWrap/>
        <w:overflowPunct/>
        <w:topLinePunct w:val="0"/>
        <w:autoSpaceDE/>
        <w:autoSpaceDN/>
        <w:bidi w:val="0"/>
        <w:adjustRightInd/>
        <w:snapToGrid/>
        <w:spacing w:line="578" w:lineRule="exact"/>
        <w:textAlignment w:val="auto"/>
        <w:rPr>
          <w:rFonts w:hint="default" w:ascii="仿宋" w:hAnsi="仿宋" w:eastAsia="仿宋" w:cs="仿宋"/>
          <w:kern w:val="2"/>
          <w:sz w:val="32"/>
          <w:szCs w:val="32"/>
          <w:lang w:val="en-US" w:eastAsia="zh-CN" w:bidi="ar-SA"/>
        </w:rPr>
      </w:pPr>
    </w:p>
    <w:p>
      <w:pPr>
        <w:numPr>
          <w:ilvl w:val="0"/>
          <w:numId w:val="0"/>
        </w:numPr>
        <w:adjustRightInd w:val="0"/>
        <w:snapToGrid w:val="0"/>
        <w:spacing w:line="360" w:lineRule="auto"/>
        <w:jc w:val="left"/>
        <w:outlineLvl w:val="1"/>
        <w:rPr>
          <w:rFonts w:hint="eastAsia" w:ascii="仿宋" w:hAnsi="仿宋" w:eastAsia="仿宋" w:cs="仿宋"/>
          <w:b/>
          <w:bCs/>
          <w:sz w:val="32"/>
          <w:szCs w:val="32"/>
          <w:lang w:val="en-US" w:eastAsia="zh-CN"/>
        </w:rPr>
      </w:pPr>
    </w:p>
    <w:p>
      <w:pPr>
        <w:widowControl/>
        <w:numPr>
          <w:ilvl w:val="0"/>
          <w:numId w:val="0"/>
        </w:numPr>
        <w:adjustRightInd w:val="0"/>
        <w:snapToGrid w:val="0"/>
        <w:spacing w:line="360" w:lineRule="auto"/>
        <w:jc w:val="left"/>
        <w:rPr>
          <w:rFonts w:hint="eastAsia" w:ascii="仿宋" w:hAnsi="仿宋" w:eastAsia="仿宋" w:cs="仿宋"/>
          <w:kern w:val="0"/>
          <w:sz w:val="24"/>
          <w:szCs w:val="24"/>
          <w:lang w:val="en-US" w:eastAsia="zh-CN"/>
        </w:rPr>
      </w:pPr>
    </w:p>
    <w:p/>
    <w:sectPr>
      <w:headerReference r:id="rId3" w:type="default"/>
      <w:pgSz w:w="11906" w:h="16838"/>
      <w:pgMar w:top="2098" w:right="1474" w:bottom="1984"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decorative"/>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decorative"/>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drawing>
        <wp:anchor distT="0" distB="0" distL="114300" distR="114300" simplePos="0" relativeHeight="251659264" behindDoc="1" locked="0" layoutInCell="1" allowOverlap="1">
          <wp:simplePos x="0" y="0"/>
          <wp:positionH relativeFrom="column">
            <wp:posOffset>-635000</wp:posOffset>
          </wp:positionH>
          <wp:positionV relativeFrom="paragraph">
            <wp:posOffset>317500</wp:posOffset>
          </wp:positionV>
          <wp:extent cx="1270000" cy="965200"/>
          <wp:effectExtent l="0" t="0" r="10160" b="1016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
                  <a:stretch>
                    <a:fillRect/>
                  </a:stretch>
                </pic:blipFill>
                <pic:spPr>
                  <a:xfrm>
                    <a:off x="0" y="0"/>
                    <a:ext cx="1270000" cy="965200"/>
                  </a:xfrm>
                  <a:prstGeom prst="rect">
                    <a:avLst/>
                  </a:prstGeom>
                  <a:noFill/>
                  <a:ln w="9525">
                    <a:noFill/>
                  </a:ln>
                </pic:spPr>
              </pic:pic>
            </a:graphicData>
          </a:graphic>
        </wp:anchor>
      </w:drawing>
    </w:r>
    <w:r>
      <w:drawing>
        <wp:anchor distT="0" distB="0" distL="114300" distR="114300" simplePos="0" relativeHeight="251659264" behindDoc="1" locked="0" layoutInCell="1" allowOverlap="1">
          <wp:simplePos x="0" y="0"/>
          <wp:positionH relativeFrom="column">
            <wp:posOffset>2032000</wp:posOffset>
          </wp:positionH>
          <wp:positionV relativeFrom="paragraph">
            <wp:posOffset>317500</wp:posOffset>
          </wp:positionV>
          <wp:extent cx="1270000" cy="965200"/>
          <wp:effectExtent l="0" t="0" r="10160" b="1016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
                  <a:stretch>
                    <a:fillRect/>
                  </a:stretch>
                </pic:blipFill>
                <pic:spPr>
                  <a:xfrm>
                    <a:off x="0" y="0"/>
                    <a:ext cx="1270000" cy="965200"/>
                  </a:xfrm>
                  <a:prstGeom prst="rect">
                    <a:avLst/>
                  </a:prstGeom>
                  <a:noFill/>
                  <a:ln w="9525">
                    <a:noFill/>
                  </a:ln>
                </pic:spPr>
              </pic:pic>
            </a:graphicData>
          </a:graphic>
        </wp:anchor>
      </w:drawing>
    </w:r>
    <w:r>
      <w:drawing>
        <wp:anchor distT="0" distB="0" distL="114300" distR="114300" simplePos="0" relativeHeight="251659264" behindDoc="1" locked="0" layoutInCell="1" allowOverlap="1">
          <wp:simplePos x="0" y="0"/>
          <wp:positionH relativeFrom="column">
            <wp:posOffset>4699000</wp:posOffset>
          </wp:positionH>
          <wp:positionV relativeFrom="paragraph">
            <wp:posOffset>317500</wp:posOffset>
          </wp:positionV>
          <wp:extent cx="1270000" cy="965200"/>
          <wp:effectExtent l="0" t="0" r="10160" b="1016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
                  <a:stretch>
                    <a:fillRect/>
                  </a:stretch>
                </pic:blipFill>
                <pic:spPr>
                  <a:xfrm>
                    <a:off x="0" y="0"/>
                    <a:ext cx="1270000" cy="965200"/>
                  </a:xfrm>
                  <a:prstGeom prst="rect">
                    <a:avLst/>
                  </a:prstGeom>
                  <a:noFill/>
                  <a:ln w="9525">
                    <a:noFill/>
                  </a:ln>
                </pic:spPr>
              </pic:pic>
            </a:graphicData>
          </a:graphic>
        </wp:anchor>
      </w:drawing>
    </w:r>
    <w:r>
      <w:drawing>
        <wp:anchor distT="0" distB="0" distL="114300" distR="114300" simplePos="0" relativeHeight="251659264" behindDoc="1" locked="0" layoutInCell="1" allowOverlap="1">
          <wp:simplePos x="0" y="0"/>
          <wp:positionH relativeFrom="column">
            <wp:posOffset>-635000</wp:posOffset>
          </wp:positionH>
          <wp:positionV relativeFrom="paragraph">
            <wp:posOffset>4318000</wp:posOffset>
          </wp:positionV>
          <wp:extent cx="1270000" cy="965200"/>
          <wp:effectExtent l="0" t="0" r="10160" b="10160"/>
          <wp:wrapNone/>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icPr>
                <pic:blipFill>
                  <a:blip r:embed="rId1"/>
                  <a:stretch>
                    <a:fillRect/>
                  </a:stretch>
                </pic:blipFill>
                <pic:spPr>
                  <a:xfrm>
                    <a:off x="0" y="0"/>
                    <a:ext cx="1270000" cy="965200"/>
                  </a:xfrm>
                  <a:prstGeom prst="rect">
                    <a:avLst/>
                  </a:prstGeom>
                  <a:noFill/>
                  <a:ln w="9525">
                    <a:noFill/>
                  </a:ln>
                </pic:spPr>
              </pic:pic>
            </a:graphicData>
          </a:graphic>
        </wp:anchor>
      </w:drawing>
    </w:r>
    <w:r>
      <w:drawing>
        <wp:anchor distT="0" distB="0" distL="114300" distR="114300" simplePos="0" relativeHeight="251659264" behindDoc="1" locked="0" layoutInCell="1" allowOverlap="1">
          <wp:simplePos x="0" y="0"/>
          <wp:positionH relativeFrom="column">
            <wp:posOffset>2032000</wp:posOffset>
          </wp:positionH>
          <wp:positionV relativeFrom="paragraph">
            <wp:posOffset>4318000</wp:posOffset>
          </wp:positionV>
          <wp:extent cx="1270000" cy="965200"/>
          <wp:effectExtent l="0" t="0" r="10160" b="10160"/>
          <wp:wrapNone/>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icPr>
                <pic:blipFill>
                  <a:blip r:embed="rId1"/>
                  <a:stretch>
                    <a:fillRect/>
                  </a:stretch>
                </pic:blipFill>
                <pic:spPr>
                  <a:xfrm>
                    <a:off x="0" y="0"/>
                    <a:ext cx="1270000" cy="965200"/>
                  </a:xfrm>
                  <a:prstGeom prst="rect">
                    <a:avLst/>
                  </a:prstGeom>
                  <a:noFill/>
                  <a:ln w="9525">
                    <a:noFill/>
                  </a:ln>
                </pic:spPr>
              </pic:pic>
            </a:graphicData>
          </a:graphic>
        </wp:anchor>
      </w:drawing>
    </w:r>
    <w:r>
      <w:drawing>
        <wp:anchor distT="0" distB="0" distL="114300" distR="114300" simplePos="0" relativeHeight="251659264" behindDoc="1" locked="0" layoutInCell="1" allowOverlap="1">
          <wp:simplePos x="0" y="0"/>
          <wp:positionH relativeFrom="column">
            <wp:posOffset>4699000</wp:posOffset>
          </wp:positionH>
          <wp:positionV relativeFrom="paragraph">
            <wp:posOffset>4318000</wp:posOffset>
          </wp:positionV>
          <wp:extent cx="1270000" cy="965200"/>
          <wp:effectExtent l="0" t="0" r="10160" b="10160"/>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
                  <a:stretch>
                    <a:fillRect/>
                  </a:stretch>
                </pic:blipFill>
                <pic:spPr>
                  <a:xfrm>
                    <a:off x="0" y="0"/>
                    <a:ext cx="1270000" cy="965200"/>
                  </a:xfrm>
                  <a:prstGeom prst="rect">
                    <a:avLst/>
                  </a:prstGeom>
                  <a:noFill/>
                  <a:ln w="9525">
                    <a:noFill/>
                  </a:ln>
                </pic:spPr>
              </pic:pic>
            </a:graphicData>
          </a:graphic>
        </wp:anchor>
      </w:drawing>
    </w:r>
    <w:r>
      <w:drawing>
        <wp:anchor distT="0" distB="0" distL="114300" distR="114300" simplePos="0" relativeHeight="251659264" behindDoc="1" locked="0" layoutInCell="1" allowOverlap="1">
          <wp:simplePos x="0" y="0"/>
          <wp:positionH relativeFrom="column">
            <wp:posOffset>-635000</wp:posOffset>
          </wp:positionH>
          <wp:positionV relativeFrom="paragraph">
            <wp:posOffset>8318500</wp:posOffset>
          </wp:positionV>
          <wp:extent cx="1270000" cy="965200"/>
          <wp:effectExtent l="0" t="0" r="10160" b="10160"/>
          <wp:wrapNone/>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icPr>
                <pic:blipFill>
                  <a:blip r:embed="rId1"/>
                  <a:stretch>
                    <a:fillRect/>
                  </a:stretch>
                </pic:blipFill>
                <pic:spPr>
                  <a:xfrm>
                    <a:off x="0" y="0"/>
                    <a:ext cx="1270000" cy="965200"/>
                  </a:xfrm>
                  <a:prstGeom prst="rect">
                    <a:avLst/>
                  </a:prstGeom>
                  <a:noFill/>
                  <a:ln w="9525">
                    <a:noFill/>
                  </a:ln>
                </pic:spPr>
              </pic:pic>
            </a:graphicData>
          </a:graphic>
        </wp:anchor>
      </w:drawing>
    </w:r>
    <w:r>
      <w:drawing>
        <wp:anchor distT="0" distB="0" distL="114300" distR="114300" simplePos="0" relativeHeight="251659264" behindDoc="1" locked="0" layoutInCell="1" allowOverlap="1">
          <wp:simplePos x="0" y="0"/>
          <wp:positionH relativeFrom="column">
            <wp:posOffset>2032000</wp:posOffset>
          </wp:positionH>
          <wp:positionV relativeFrom="paragraph">
            <wp:posOffset>8318500</wp:posOffset>
          </wp:positionV>
          <wp:extent cx="1270000" cy="965200"/>
          <wp:effectExtent l="0" t="0" r="10160" b="10160"/>
          <wp:wrapNone/>
          <wp:docPr id="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
                  <pic:cNvPicPr>
                    <a:picLocks noChangeAspect="1"/>
                  </pic:cNvPicPr>
                </pic:nvPicPr>
                <pic:blipFill>
                  <a:blip r:embed="rId1"/>
                  <a:stretch>
                    <a:fillRect/>
                  </a:stretch>
                </pic:blipFill>
                <pic:spPr>
                  <a:xfrm>
                    <a:off x="0" y="0"/>
                    <a:ext cx="1270000" cy="965200"/>
                  </a:xfrm>
                  <a:prstGeom prst="rect">
                    <a:avLst/>
                  </a:prstGeom>
                  <a:noFill/>
                  <a:ln w="9525">
                    <a:noFill/>
                  </a:ln>
                </pic:spPr>
              </pic:pic>
            </a:graphicData>
          </a:graphic>
        </wp:anchor>
      </w:drawing>
    </w:r>
    <w:r>
      <w:drawing>
        <wp:anchor distT="0" distB="0" distL="114300" distR="114300" simplePos="0" relativeHeight="251659264" behindDoc="1" locked="0" layoutInCell="1" allowOverlap="1">
          <wp:simplePos x="0" y="0"/>
          <wp:positionH relativeFrom="column">
            <wp:posOffset>4699000</wp:posOffset>
          </wp:positionH>
          <wp:positionV relativeFrom="paragraph">
            <wp:posOffset>8318500</wp:posOffset>
          </wp:positionV>
          <wp:extent cx="1270000" cy="965200"/>
          <wp:effectExtent l="0" t="0" r="10160" b="10160"/>
          <wp:wrapNone/>
          <wp:docPr id="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9"/>
                  <pic:cNvPicPr>
                    <a:picLocks noChangeAspect="1"/>
                  </pic:cNvPicPr>
                </pic:nvPicPr>
                <pic:blipFill>
                  <a:blip r:embed="rId1"/>
                  <a:stretch>
                    <a:fillRect/>
                  </a:stretch>
                </pic:blipFill>
                <pic:spPr>
                  <a:xfrm>
                    <a:off x="0" y="0"/>
                    <a:ext cx="1270000" cy="965200"/>
                  </a:xfrm>
                  <a:prstGeom prst="rect">
                    <a:avLst/>
                  </a:prstGeom>
                  <a:noFill/>
                  <a:ln w="9525">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83E44B"/>
    <w:multiLevelType w:val="singleLevel"/>
    <w:tmpl w:val="A583E44B"/>
    <w:lvl w:ilvl="0" w:tentative="0">
      <w:start w:val="8"/>
      <w:numFmt w:val="chineseCounting"/>
      <w:suff w:val="nothing"/>
      <w:lvlText w:val="%1、"/>
      <w:lvlJc w:val="left"/>
      <w:rPr>
        <w:rFonts w:hint="eastAsia"/>
      </w:rPr>
    </w:lvl>
  </w:abstractNum>
  <w:abstractNum w:abstractNumId="1">
    <w:nsid w:val="0053208E"/>
    <w:multiLevelType w:val="singleLevel"/>
    <w:tmpl w:val="0053208E"/>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3AA49AD"/>
    <w:rsid w:val="2A3F1202"/>
    <w:rsid w:val="37245349"/>
    <w:rsid w:val="3851420A"/>
    <w:rsid w:val="49AB6DD8"/>
    <w:rsid w:val="53155F52"/>
    <w:rsid w:val="60613F92"/>
    <w:rsid w:val="60673CD9"/>
    <w:rsid w:val="65782B30"/>
    <w:rsid w:val="70E837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jc w:val="left"/>
    </w:pPr>
    <w:rPr>
      <w:rFonts w:ascii="楷体_GB2312" w:hAnsi="Times New Roman" w:eastAsia="楷体_GB2312"/>
      <w:sz w:val="28"/>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40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2025-11-11T04:00:00Z</dcterms:created>
  <dc:creator>shine</dc:creator>
  <cp:lastModifiedBy>沈志红</cp:lastModifiedBy>
  <dcterms:modified xsi:type="dcterms:W3CDTF">2025-11-14T09:08:30Z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DA5F2097B98C4EDC8941ED126C9DA2DF</vt:lpwstr>
  </property>
</Properties>
</file>