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480"/>
        </w:tabs>
        <w:adjustRightInd w:val="0"/>
        <w:snapToGrid w:val="0"/>
        <w:jc w:val="center"/>
        <w:rPr>
          <w:rFonts w:cs="Times New Roman"/>
          <w:b/>
          <w:sz w:val="44"/>
          <w:szCs w:val="44"/>
        </w:rPr>
      </w:pPr>
    </w:p>
    <w:p>
      <w:pPr>
        <w:tabs>
          <w:tab w:val="left" w:pos="480"/>
        </w:tabs>
        <w:adjustRightInd w:val="0"/>
        <w:snapToGrid w:val="0"/>
        <w:jc w:val="center"/>
        <w:rPr>
          <w:rFonts w:cs="Times New Roman"/>
          <w:b/>
          <w:sz w:val="44"/>
          <w:szCs w:val="44"/>
        </w:rPr>
      </w:pPr>
    </w:p>
    <w:p>
      <w:pPr>
        <w:tabs>
          <w:tab w:val="left" w:pos="480"/>
        </w:tabs>
        <w:adjustRightInd w:val="0"/>
        <w:snapToGrid w:val="0"/>
        <w:rPr>
          <w:rFonts w:cs="Times New Roman"/>
          <w:b/>
          <w:sz w:val="44"/>
          <w:szCs w:val="44"/>
        </w:rPr>
      </w:pPr>
    </w:p>
    <w:p>
      <w:pPr>
        <w:tabs>
          <w:tab w:val="left" w:pos="480"/>
        </w:tabs>
        <w:adjustRightInd w:val="0"/>
        <w:snapToGrid w:val="0"/>
        <w:jc w:val="center"/>
        <w:rPr>
          <w:rFonts w:cs="Times New Roman"/>
          <w:b/>
          <w:sz w:val="44"/>
          <w:szCs w:val="44"/>
        </w:rPr>
      </w:pPr>
      <w:bookmarkStart w:id="0" w:name="_Hlk213226347"/>
      <w:r>
        <w:rPr>
          <w:rFonts w:hint="eastAsia" w:cs="Times New Roman"/>
          <w:b/>
          <w:sz w:val="44"/>
          <w:szCs w:val="44"/>
        </w:rPr>
        <w:t>南方电网通用航空服务有限公司</w:t>
      </w:r>
    </w:p>
    <w:p>
      <w:pPr>
        <w:tabs>
          <w:tab w:val="left" w:pos="480"/>
        </w:tabs>
        <w:adjustRightInd w:val="0"/>
        <w:snapToGrid w:val="0"/>
        <w:jc w:val="center"/>
        <w:rPr>
          <w:rFonts w:cs="Times New Roman"/>
          <w:b/>
          <w:sz w:val="44"/>
          <w:szCs w:val="44"/>
        </w:rPr>
      </w:pPr>
      <w:r>
        <w:rPr>
          <w:rFonts w:hint="eastAsia" w:cs="Times New Roman"/>
          <w:b/>
          <w:sz w:val="44"/>
          <w:szCs w:val="44"/>
        </w:rPr>
        <w:t>计财域单据导入RPA工具开发</w:t>
      </w:r>
      <w:bookmarkEnd w:id="0"/>
    </w:p>
    <w:p>
      <w:pPr>
        <w:tabs>
          <w:tab w:val="left" w:pos="480"/>
        </w:tabs>
        <w:adjustRightInd w:val="0"/>
        <w:snapToGrid w:val="0"/>
        <w:jc w:val="center"/>
        <w:rPr>
          <w:b/>
          <w:sz w:val="44"/>
          <w:szCs w:val="44"/>
        </w:rPr>
      </w:pPr>
      <w:r>
        <w:rPr>
          <w:b/>
          <w:sz w:val="44"/>
          <w:szCs w:val="44"/>
        </w:rPr>
        <w:t>技术规范</w:t>
      </w:r>
      <w:r>
        <w:rPr>
          <w:rFonts w:hint="eastAsia"/>
          <w:b/>
          <w:sz w:val="44"/>
          <w:szCs w:val="44"/>
        </w:rPr>
        <w:t>书</w:t>
      </w:r>
    </w:p>
    <w:p/>
    <w:p>
      <w:pPr>
        <w:pStyle w:val="18"/>
        <w:numPr>
          <w:ilvl w:val="0"/>
          <w:numId w:val="0"/>
        </w:numPr>
      </w:pPr>
    </w:p>
    <w:p/>
    <w:p>
      <w:pPr>
        <w:pStyle w:val="18"/>
        <w:numPr>
          <w:ilvl w:val="0"/>
          <w:numId w:val="0"/>
        </w:numPr>
      </w:pPr>
    </w:p>
    <w:p/>
    <w:p>
      <w:pPr>
        <w:pStyle w:val="18"/>
        <w:numPr>
          <w:ilvl w:val="0"/>
          <w:numId w:val="0"/>
        </w:numPr>
      </w:pPr>
    </w:p>
    <w:p/>
    <w:p>
      <w:pPr>
        <w:pStyle w:val="18"/>
        <w:numPr>
          <w:ilvl w:val="0"/>
          <w:numId w:val="0"/>
        </w:numPr>
      </w:pPr>
    </w:p>
    <w:p/>
    <w:p>
      <w:pPr>
        <w:pStyle w:val="18"/>
        <w:numPr>
          <w:ilvl w:val="0"/>
          <w:numId w:val="0"/>
        </w:numPr>
      </w:pPr>
    </w:p>
    <w:p/>
    <w:p/>
    <w:p>
      <w:pPr>
        <w:pStyle w:val="11"/>
        <w:ind w:firstLine="480"/>
      </w:pPr>
    </w:p>
    <w:p>
      <w:pPr>
        <w:pStyle w:val="11"/>
        <w:ind w:firstLine="480"/>
      </w:pPr>
    </w:p>
    <w:p>
      <w:pPr>
        <w:pStyle w:val="11"/>
        <w:ind w:firstLine="480"/>
      </w:pPr>
    </w:p>
    <w:p>
      <w:pPr>
        <w:pStyle w:val="18"/>
        <w:numPr>
          <w:ilvl w:val="0"/>
          <w:numId w:val="0"/>
        </w:numPr>
      </w:pPr>
    </w:p>
    <w:p/>
    <w:p>
      <w:pPr>
        <w:pStyle w:val="11"/>
        <w:ind w:firstLine="480"/>
      </w:pPr>
    </w:p>
    <w:p>
      <w:pPr>
        <w:pStyle w:val="11"/>
        <w:ind w:firstLine="480"/>
      </w:pPr>
    </w:p>
    <w:p>
      <w:pPr>
        <w:pStyle w:val="11"/>
        <w:ind w:firstLine="480"/>
      </w:pPr>
    </w:p>
    <w:p>
      <w:pPr>
        <w:pStyle w:val="11"/>
        <w:ind w:firstLine="480"/>
      </w:pPr>
    </w:p>
    <w:p>
      <w:pPr>
        <w:pStyle w:val="11"/>
        <w:ind w:firstLine="480"/>
      </w:pPr>
    </w:p>
    <w:p>
      <w:pPr>
        <w:pStyle w:val="11"/>
        <w:ind w:firstLine="480"/>
      </w:pPr>
    </w:p>
    <w:p>
      <w:pPr>
        <w:pStyle w:val="11"/>
        <w:ind w:firstLine="480"/>
      </w:pPr>
    </w:p>
    <w:p>
      <w:pPr>
        <w:pStyle w:val="11"/>
        <w:ind w:firstLine="480"/>
      </w:pPr>
    </w:p>
    <w:p>
      <w:pPr>
        <w:pStyle w:val="11"/>
        <w:ind w:firstLine="480"/>
      </w:pPr>
    </w:p>
    <w:p>
      <w:pPr>
        <w:pStyle w:val="11"/>
        <w:ind w:firstLine="480"/>
      </w:pPr>
    </w:p>
    <w:p>
      <w:pPr>
        <w:pStyle w:val="11"/>
        <w:ind w:firstLine="480"/>
      </w:pPr>
    </w:p>
    <w:p>
      <w:pPr>
        <w:pStyle w:val="11"/>
        <w:ind w:firstLine="480"/>
      </w:pPr>
    </w:p>
    <w:p>
      <w:pPr>
        <w:jc w:val="center"/>
        <w:rPr>
          <w:b/>
          <w:sz w:val="30"/>
          <w:szCs w:val="30"/>
        </w:rPr>
      </w:pPr>
      <w:r>
        <w:rPr>
          <w:rFonts w:hint="eastAsia"/>
          <w:b/>
          <w:sz w:val="30"/>
          <w:szCs w:val="30"/>
        </w:rPr>
        <w:t>南方电网通用航空服务有限公司</w:t>
      </w:r>
    </w:p>
    <w:p>
      <w:pPr>
        <w:jc w:val="center"/>
        <w:rPr>
          <w:b/>
          <w:sz w:val="30"/>
          <w:szCs w:val="30"/>
        </w:rPr>
      </w:pPr>
      <w:r>
        <w:rPr>
          <w:b/>
          <w:sz w:val="30"/>
          <w:szCs w:val="30"/>
        </w:rPr>
        <w:t>二〇</w:t>
      </w:r>
      <w:r>
        <w:rPr>
          <w:rFonts w:hint="eastAsia"/>
          <w:b/>
          <w:sz w:val="30"/>
          <w:szCs w:val="30"/>
        </w:rPr>
        <w:t>二五</w:t>
      </w:r>
      <w:r>
        <w:rPr>
          <w:b/>
          <w:sz w:val="30"/>
          <w:szCs w:val="30"/>
        </w:rPr>
        <w:t>年</w:t>
      </w:r>
      <w:r>
        <w:rPr>
          <w:rFonts w:hint="eastAsia"/>
          <w:b/>
          <w:sz w:val="30"/>
          <w:szCs w:val="30"/>
        </w:rPr>
        <w:t>十一</w:t>
      </w:r>
      <w:r>
        <w:rPr>
          <w:b/>
          <w:sz w:val="30"/>
          <w:szCs w:val="30"/>
        </w:rPr>
        <w:t>月</w:t>
      </w:r>
    </w:p>
    <w:p>
      <w:pPr>
        <w:pStyle w:val="13"/>
        <w:spacing w:line="360" w:lineRule="auto"/>
        <w:jc w:val="both"/>
      </w:pPr>
      <w:bookmarkStart w:id="1" w:name="_Toc291690053"/>
      <w:bookmarkStart w:id="2" w:name="_Toc108688567"/>
      <w:bookmarkStart w:id="3" w:name="_Toc351722588"/>
      <w:r>
        <w:rPr>
          <w:rFonts w:hint="eastAsia"/>
        </w:rPr>
        <w:t>一、总则</w:t>
      </w:r>
      <w:bookmarkEnd w:id="1"/>
      <w:bookmarkEnd w:id="2"/>
      <w:bookmarkEnd w:id="3"/>
    </w:p>
    <w:p>
      <w:pPr>
        <w:widowControl/>
        <w:spacing w:line="360" w:lineRule="auto"/>
        <w:ind w:firstLine="480" w:firstLineChars="200"/>
        <w:jc w:val="left"/>
        <w:rPr>
          <w:rFonts w:hint="eastAsia"/>
          <w:szCs w:val="30"/>
        </w:rPr>
      </w:pPr>
      <w:bookmarkStart w:id="4" w:name="_Toc108688568"/>
      <w:r>
        <w:rPr>
          <w:rFonts w:hint="eastAsia"/>
          <w:szCs w:val="30"/>
        </w:rPr>
        <w:t>1.本技术规范仅针对“南网通航公司基于电鸿的多模态数据汇聚辅助示警装置研制服务”项目（以下简称项目）。</w:t>
      </w:r>
    </w:p>
    <w:p>
      <w:pPr>
        <w:widowControl/>
        <w:spacing w:line="360" w:lineRule="auto"/>
        <w:ind w:firstLine="480" w:firstLineChars="200"/>
        <w:jc w:val="left"/>
        <w:rPr>
          <w:rFonts w:hint="eastAsia"/>
          <w:szCs w:val="30"/>
        </w:rPr>
      </w:pPr>
      <w:r>
        <w:rPr>
          <w:rFonts w:hint="eastAsia"/>
          <w:szCs w:val="30"/>
        </w:rPr>
        <w:t>2.本设备技术规范书提出的是最低限度的技术要求，并未对一切技术细节作出规定，也未充分引述有关标准和规范的条文，中标方应提供符合本规范书的优质产品。</w:t>
      </w:r>
    </w:p>
    <w:p>
      <w:pPr>
        <w:widowControl/>
        <w:spacing w:line="360" w:lineRule="auto"/>
        <w:ind w:firstLine="480" w:firstLineChars="200"/>
        <w:jc w:val="left"/>
        <w:rPr>
          <w:rFonts w:hint="eastAsia"/>
          <w:szCs w:val="30"/>
        </w:rPr>
      </w:pPr>
      <w:r>
        <w:rPr>
          <w:rFonts w:hint="eastAsia"/>
          <w:szCs w:val="30"/>
        </w:rPr>
        <w:t>3.如果中标方没有以书面形式对本规范书的条文提出异议，则意味着报价方提供的设备完全符合本规范的要求。如有异议，不管是多么细微，都应在报价书中以“与规范书的差异”为标题的专门章节加以详细描述。</w:t>
      </w:r>
    </w:p>
    <w:p>
      <w:pPr>
        <w:widowControl/>
        <w:spacing w:line="360" w:lineRule="auto"/>
        <w:ind w:firstLine="480" w:firstLineChars="200"/>
        <w:jc w:val="left"/>
        <w:rPr>
          <w:szCs w:val="30"/>
        </w:rPr>
      </w:pPr>
      <w:r>
        <w:rPr>
          <w:rFonts w:hint="eastAsia"/>
          <w:szCs w:val="30"/>
        </w:rPr>
        <w:t>4.本设备技术规范未尽事宜，由招标方和中标方双方协商确定。</w:t>
      </w:r>
    </w:p>
    <w:p>
      <w:pPr>
        <w:pStyle w:val="13"/>
        <w:spacing w:line="360" w:lineRule="auto"/>
        <w:jc w:val="both"/>
        <w:rPr>
          <w:rFonts w:eastAsia="黑体" w:cs="Times New Roman"/>
          <w:kern w:val="0"/>
        </w:rPr>
      </w:pPr>
      <w:r>
        <w:rPr>
          <w:rFonts w:hint="eastAsia"/>
        </w:rPr>
        <w:t>二、项目概况</w:t>
      </w:r>
    </w:p>
    <w:p>
      <w:pPr>
        <w:adjustRightInd w:val="0"/>
        <w:snapToGrid w:val="0"/>
        <w:spacing w:line="360" w:lineRule="auto"/>
        <w:ind w:firstLine="480" w:firstLineChars="200"/>
        <w:rPr>
          <w:rFonts w:hint="eastAsia" w:ascii="宋体" w:hAnsi="宋体"/>
          <w:color w:val="auto"/>
        </w:rPr>
      </w:pPr>
      <w:r>
        <w:rPr>
          <w:rFonts w:hint="eastAsia"/>
          <w:szCs w:val="21"/>
        </w:rPr>
        <w:t>为满足日益增长的业务需求，全面提升工作效率，拟借助机器人流程自动化（Robotic Process Automation，RPA）技术优化计财域单据导入流程。RPA技术通过模拟人类在计算机上的操作，具备执行重复性、规律性流程的卓越能力。在供应商结算工作涉及的 Excel 文件处理和导入上传环节，其价值尤为凸显。借助RPA技术，能确保导入单据数据能够及时、准确无误地录入计财域系统，显著缩短结算周期，提高数据录入的准确性，从而优化整个结算流程，为业务的高效开展提供有力支持。</w:t>
      </w:r>
    </w:p>
    <w:p>
      <w:pPr>
        <w:pStyle w:val="13"/>
        <w:spacing w:line="360" w:lineRule="auto"/>
        <w:jc w:val="both"/>
        <w:rPr>
          <w:rFonts w:hint="eastAsia"/>
        </w:rPr>
      </w:pPr>
      <w:bookmarkStart w:id="5" w:name="_Toc32530"/>
      <w:r>
        <w:rPr>
          <w:rFonts w:hint="eastAsia"/>
        </w:rPr>
        <w:t>三、研究内容</w:t>
      </w:r>
      <w:bookmarkEnd w:id="5"/>
    </w:p>
    <w:p>
      <w:pPr>
        <w:adjustRightInd w:val="0"/>
        <w:snapToGrid w:val="0"/>
        <w:spacing w:line="360" w:lineRule="auto"/>
        <w:ind w:firstLine="480" w:firstLineChars="200"/>
        <w:rPr>
          <w:rFonts w:hint="eastAsia" w:ascii="宋体" w:hAnsi="宋体"/>
          <w:color w:val="auto"/>
        </w:rPr>
      </w:pPr>
      <w:r>
        <w:rPr>
          <w:rFonts w:hint="eastAsia" w:ascii="宋体" w:hAnsi="宋体"/>
          <w:color w:val="auto"/>
        </w:rPr>
        <w:t>RPA的核心目标是通过自动化手段提升效率、降低成本、减少人为错误，并释放人力资源去处理更高价值的工作。</w:t>
      </w:r>
      <w:r>
        <w:rPr>
          <w:rFonts w:hint="eastAsia" w:asciiTheme="minorEastAsia" w:hAnsiTheme="minorEastAsia" w:eastAsiaTheme="minorEastAsia"/>
        </w:rPr>
        <w:t>本项目拟引入E-bot RPA机器人开发平台，</w:t>
      </w:r>
      <w:r>
        <w:rPr>
          <w:rFonts w:hint="eastAsia" w:ascii="宋体" w:hAnsi="宋体"/>
          <w:color w:val="auto"/>
        </w:rPr>
        <w:t>旨在通过RPA技术，实现计财域单据导入流程的自动化。研究内容主要包括：</w:t>
      </w:r>
    </w:p>
    <w:p>
      <w:pPr>
        <w:adjustRightInd w:val="0"/>
        <w:snapToGrid w:val="0"/>
        <w:spacing w:line="360" w:lineRule="auto"/>
        <w:ind w:firstLine="480" w:firstLineChars="200"/>
        <w:rPr>
          <w:rFonts w:hint="eastAsia" w:ascii="宋体" w:hAnsi="宋体"/>
          <w:color w:val="auto"/>
        </w:rPr>
      </w:pPr>
      <w:r>
        <w:rPr>
          <w:rFonts w:hint="eastAsia" w:ascii="宋体" w:hAnsi="宋体"/>
          <w:color w:val="auto"/>
        </w:rPr>
        <w:t>（1）提高报销数据录入的自动化水平，减少人工干预</w:t>
      </w:r>
    </w:p>
    <w:p>
      <w:pPr>
        <w:adjustRightInd w:val="0"/>
        <w:snapToGrid w:val="0"/>
        <w:spacing w:line="360" w:lineRule="auto"/>
        <w:ind w:firstLine="480" w:firstLineChars="200"/>
        <w:rPr>
          <w:rFonts w:hint="eastAsia" w:ascii="宋体" w:hAnsi="宋体"/>
          <w:color w:val="auto"/>
        </w:rPr>
      </w:pPr>
      <w:r>
        <w:rPr>
          <w:rFonts w:hint="eastAsia" w:ascii="宋体" w:hAnsi="宋体"/>
          <w:color w:val="auto"/>
        </w:rPr>
        <w:t>E-bot RPA机器人可将直接导出的Excel模板报表解析，根据要素生成符合系统上传要求的et文件，实现数据导出到数据录入的自动化。减少工作人员在此过程中对数据的繁琐转录，有利于保证数据的完整性，同时提高工作效率。</w:t>
      </w:r>
    </w:p>
    <w:p>
      <w:pPr>
        <w:adjustRightInd w:val="0"/>
        <w:snapToGrid w:val="0"/>
        <w:spacing w:line="360" w:lineRule="auto"/>
        <w:ind w:firstLine="480" w:firstLineChars="200"/>
        <w:rPr>
          <w:rFonts w:hint="eastAsia" w:ascii="宋体" w:hAnsi="宋体"/>
          <w:color w:val="auto"/>
        </w:rPr>
      </w:pPr>
      <w:r>
        <w:rPr>
          <w:rFonts w:hint="eastAsia" w:ascii="宋体" w:hAnsi="宋体"/>
          <w:color w:val="auto"/>
        </w:rPr>
        <w:t>（2）提高数据录入的准确性，降低人为错误</w:t>
      </w:r>
    </w:p>
    <w:p>
      <w:pPr>
        <w:adjustRightInd w:val="0"/>
        <w:snapToGrid w:val="0"/>
        <w:spacing w:line="360" w:lineRule="auto"/>
        <w:ind w:firstLine="480" w:firstLineChars="200"/>
        <w:rPr>
          <w:rFonts w:hint="eastAsia" w:ascii="宋体" w:hAnsi="宋体"/>
          <w:color w:val="auto"/>
        </w:rPr>
      </w:pPr>
      <w:r>
        <w:rPr>
          <w:rFonts w:hint="eastAsia" w:ascii="宋体" w:hAnsi="宋体"/>
          <w:color w:val="auto"/>
        </w:rPr>
        <w:t xml:space="preserve">人工录入系统数据时，受限于工作人员的身体素质，无法做到长时间将注意力集中于重复的“查看数据-输入数据”工作循环，往往在工作一段时间后便会出现工作效率下降的情况，严重时甚至会出现数据录入错误。RPA机器人在解析及录入数据时，无需工作人员对数据进行处理，避免出现人为因素导致数据紊乱的现象。同时，若出现异常数据，RPA机器人将自动记录至工作文档并提醒工作人员进行复核，进一步降低错误发生的概率。 </w:t>
      </w:r>
    </w:p>
    <w:p>
      <w:pPr>
        <w:adjustRightInd w:val="0"/>
        <w:snapToGrid w:val="0"/>
        <w:spacing w:line="360" w:lineRule="auto"/>
        <w:ind w:firstLine="480" w:firstLineChars="200"/>
        <w:rPr>
          <w:rFonts w:hint="eastAsia" w:ascii="宋体" w:hAnsi="宋体"/>
          <w:color w:val="auto"/>
        </w:rPr>
      </w:pPr>
      <w:r>
        <w:rPr>
          <w:rFonts w:hint="eastAsia" w:ascii="宋体" w:hAnsi="宋体"/>
          <w:color w:val="auto"/>
        </w:rPr>
        <w:t>（3）加快结算流程，提高供应商结算效率</w:t>
      </w:r>
    </w:p>
    <w:p>
      <w:pPr>
        <w:adjustRightInd w:val="0"/>
        <w:snapToGrid w:val="0"/>
        <w:spacing w:line="360" w:lineRule="auto"/>
        <w:ind w:firstLine="480" w:firstLineChars="200"/>
        <w:rPr>
          <w:rFonts w:hint="eastAsia" w:ascii="宋体" w:hAnsi="宋体"/>
          <w:color w:val="auto"/>
        </w:rPr>
      </w:pPr>
      <w:r>
        <w:rPr>
          <w:rFonts w:hint="eastAsia" w:ascii="宋体" w:hAnsi="宋体"/>
          <w:color w:val="auto"/>
        </w:rPr>
        <w:t>以往若处于业务高峰期，工作人员无法同时处理多个供应商的多个订单，可能出现供应商反馈结算过慢的情况。引入E-bot RPA机器人后，预计每一单单据填写的时间将节约10分钟以上，大幅加速对供应商的结算响应。</w:t>
      </w:r>
    </w:p>
    <w:p>
      <w:pPr>
        <w:adjustRightInd w:val="0"/>
        <w:snapToGrid w:val="0"/>
        <w:spacing w:line="360" w:lineRule="auto"/>
        <w:ind w:firstLine="480" w:firstLineChars="200"/>
        <w:rPr>
          <w:rFonts w:hint="eastAsia" w:ascii="宋体" w:hAnsi="宋体"/>
          <w:color w:val="auto"/>
        </w:rPr>
      </w:pPr>
      <w:r>
        <w:rPr>
          <w:rFonts w:hint="eastAsia" w:ascii="宋体" w:hAnsi="宋体"/>
          <w:color w:val="auto"/>
        </w:rPr>
        <w:t>（4）降低人员工作负担，优化企业人力资源配置</w:t>
      </w:r>
    </w:p>
    <w:p>
      <w:pPr>
        <w:adjustRightInd w:val="0"/>
        <w:snapToGrid w:val="0"/>
        <w:spacing w:line="360" w:lineRule="auto"/>
        <w:ind w:firstLine="480" w:firstLineChars="200"/>
        <w:rPr>
          <w:rFonts w:hint="eastAsia" w:ascii="宋体" w:hAnsi="宋体"/>
          <w:color w:val="auto"/>
        </w:rPr>
      </w:pPr>
      <w:r>
        <w:rPr>
          <w:rFonts w:hint="eastAsia" w:ascii="宋体" w:hAnsi="宋体"/>
          <w:color w:val="auto"/>
        </w:rPr>
        <w:t>引入RPA工具后，工作人员仅需将包含所有数据的Excel表格导出并上传至RPA机器人，机器人可自动识别Excel表中的数据并整理拆分为符合上传规范的相应订单子表。在工作人员登陆电网管理平台（计财域）后，机器人可自动操作网页元素，自动发起相应单据并导入文件。工作人员可将更多的精力投入到其他重点工作中。</w:t>
      </w:r>
    </w:p>
    <w:p>
      <w:pPr>
        <w:pStyle w:val="13"/>
        <w:spacing w:line="360" w:lineRule="auto"/>
        <w:jc w:val="both"/>
        <w:rPr>
          <w:rFonts w:hint="eastAsia"/>
        </w:rPr>
      </w:pPr>
      <w:r>
        <w:rPr>
          <w:rFonts w:hint="eastAsia"/>
        </w:rPr>
        <w:t>四、服务要求</w:t>
      </w:r>
    </w:p>
    <w:p>
      <w:pPr>
        <w:spacing w:line="360" w:lineRule="auto"/>
        <w:ind w:firstLine="480" w:firstLineChars="200"/>
      </w:pPr>
      <w:r>
        <w:rPr>
          <w:rFonts w:hint="eastAsia"/>
        </w:rPr>
        <w:t>4.1 交付物</w:t>
      </w:r>
    </w:p>
    <w:p>
      <w:pPr>
        <w:spacing w:line="360" w:lineRule="auto"/>
        <w:ind w:firstLine="480" w:firstLineChars="200"/>
      </w:pPr>
      <w:r>
        <w:rPr>
          <w:rFonts w:hint="eastAsia"/>
        </w:rPr>
        <w:t>（1）适用于南网计财域单据录入的RPA工具软件1套；</w:t>
      </w:r>
    </w:p>
    <w:p>
      <w:pPr>
        <w:spacing w:line="360" w:lineRule="auto"/>
        <w:ind w:firstLine="480" w:firstLineChars="200"/>
        <w:rPr>
          <w:rFonts w:hint="eastAsia"/>
        </w:rPr>
      </w:pPr>
      <w:r>
        <w:rPr>
          <w:rFonts w:hint="eastAsia"/>
        </w:rPr>
        <w:t>（2）</w:t>
      </w:r>
      <w:r>
        <w:rPr>
          <w:rFonts w:hint="eastAsia"/>
          <w:szCs w:val="21"/>
        </w:rPr>
        <w:t>职工技术创新项目工作及技术总结报告1份</w:t>
      </w:r>
    </w:p>
    <w:p>
      <w:pPr>
        <w:spacing w:line="360" w:lineRule="auto"/>
        <w:ind w:firstLine="480" w:firstLineChars="200"/>
      </w:pPr>
      <w:bookmarkStart w:id="6" w:name="_Toc266713650"/>
      <w:bookmarkStart w:id="7" w:name="_Toc260"/>
      <w:r>
        <w:rPr>
          <w:rFonts w:hint="eastAsia"/>
        </w:rPr>
        <w:t>4.2技术服务要求</w:t>
      </w:r>
    </w:p>
    <w:p>
      <w:pPr>
        <w:spacing w:line="360" w:lineRule="auto"/>
        <w:ind w:firstLine="480" w:firstLineChars="200"/>
        <w:rPr>
          <w:rFonts w:hint="eastAsia" w:ascii="宋体" w:hAnsi="宋体"/>
        </w:rPr>
      </w:pPr>
      <w:r>
        <w:rPr>
          <w:rFonts w:hint="eastAsia" w:ascii="宋体" w:hAnsi="宋体"/>
        </w:rPr>
        <w:t>（1）为确保招标方人员全面参与项目研发全过程。招标方指派技术人员组成技术团队参与核心技术攻关。中标方应指派本单位主要技术负责人配合招标方技术团队的工作。</w:t>
      </w:r>
    </w:p>
    <w:p>
      <w:pPr>
        <w:spacing w:line="360" w:lineRule="auto"/>
        <w:ind w:firstLine="480" w:firstLineChars="200"/>
        <w:rPr>
          <w:rFonts w:hint="eastAsia" w:ascii="宋体" w:hAnsi="宋体"/>
        </w:rPr>
      </w:pPr>
      <w:r>
        <w:rPr>
          <w:rFonts w:hint="eastAsia" w:ascii="宋体" w:hAnsi="宋体"/>
        </w:rPr>
        <w:t>（2）招标方技术团队有权对中标方研发制造全过程的技术工作进行检查监督，有权参与设备图纸设计、审核、主要原材料选用、重大技术变更等关键技术环节工作。中标方应在设备研发、制造主要技术节点通知招标方技术团队参与。</w:t>
      </w:r>
    </w:p>
    <w:p>
      <w:pPr>
        <w:spacing w:line="360" w:lineRule="auto"/>
        <w:ind w:firstLine="480" w:firstLineChars="200"/>
        <w:rPr>
          <w:lang w:val="zh-TW"/>
        </w:rPr>
      </w:pPr>
      <w:bookmarkStart w:id="8" w:name="_Toc9295"/>
      <w:r>
        <w:rPr>
          <w:rFonts w:hint="eastAsia"/>
        </w:rPr>
        <w:t>4.3材料要求</w:t>
      </w:r>
    </w:p>
    <w:p>
      <w:pPr>
        <w:spacing w:line="360" w:lineRule="auto"/>
        <w:ind w:firstLine="480" w:firstLineChars="200"/>
        <w:rPr>
          <w:rFonts w:hint="eastAsia" w:ascii="宋体" w:hAnsi="宋体"/>
        </w:rPr>
      </w:pPr>
      <w:r>
        <w:rPr>
          <w:rFonts w:hint="eastAsia" w:ascii="宋体" w:hAnsi="宋体"/>
        </w:rPr>
        <w:t>（1）</w:t>
      </w:r>
      <w:r>
        <w:rPr>
          <w:rFonts w:hint="eastAsia" w:ascii="宋体" w:hAnsi="宋体"/>
          <w:lang w:eastAsia="zh-CN"/>
        </w:rPr>
        <w:t>投标方</w:t>
      </w:r>
      <w:r>
        <w:rPr>
          <w:rFonts w:hint="eastAsia" w:ascii="宋体" w:hAnsi="宋体"/>
        </w:rPr>
        <w:t>需提供营业执照。</w:t>
      </w:r>
    </w:p>
    <w:p>
      <w:pPr>
        <w:spacing w:line="360" w:lineRule="auto"/>
        <w:ind w:firstLine="480" w:firstLineChars="200"/>
        <w:rPr>
          <w:rFonts w:hint="eastAsia" w:ascii="宋体" w:hAnsi="宋体"/>
        </w:rPr>
      </w:pPr>
      <w:r>
        <w:rPr>
          <w:rFonts w:hint="eastAsia" w:ascii="宋体" w:hAnsi="宋体"/>
        </w:rPr>
        <w:t>（2）国家税务总局出具的截止报价日的无欠税证明文件。若在任何国家机关、司法机关、监管机构或第三方信用平台被列入欠税公告名单或存在其他欠税记录，作否决投标处理。</w:t>
      </w:r>
    </w:p>
    <w:p>
      <w:pPr>
        <w:spacing w:line="360" w:lineRule="auto"/>
        <w:ind w:firstLine="480" w:firstLineChars="200"/>
        <w:rPr>
          <w:rFonts w:hint="eastAsia" w:ascii="宋体" w:hAnsi="宋体"/>
        </w:rPr>
      </w:pPr>
      <w:r>
        <w:rPr>
          <w:rFonts w:hint="eastAsia" w:ascii="宋体" w:hAnsi="宋体"/>
        </w:rPr>
        <w:t>（3）本项目报价下浮率高于5% （含本身）的需附成本分析报告。成本分析报告需充分说明费用的组成、降低成本的合理措施及在其他项目中应用过的经验等，未提供成本分析报告视为原则性不响应招标文件要求，作否决投标处理。</w:t>
      </w:r>
    </w:p>
    <w:p>
      <w:pPr>
        <w:spacing w:line="360" w:lineRule="auto"/>
        <w:ind w:firstLine="480" w:firstLineChars="200"/>
        <w:rPr>
          <w:rFonts w:hint="eastAsia" w:ascii="宋体" w:hAnsi="宋体"/>
          <w:lang w:val="zh-TW"/>
        </w:rPr>
      </w:pPr>
      <w:r>
        <w:rPr>
          <w:rFonts w:hint="eastAsia" w:ascii="宋体" w:hAnsi="宋体"/>
        </w:rPr>
        <w:t>（4）</w:t>
      </w:r>
      <w:r>
        <w:rPr>
          <w:rFonts w:hint="eastAsia" w:ascii="宋体" w:hAnsi="宋体"/>
          <w:lang w:eastAsia="zh-CN"/>
        </w:rPr>
        <w:t>投标方</w:t>
      </w:r>
      <w:r>
        <w:rPr>
          <w:rFonts w:hint="eastAsia" w:ascii="宋体" w:hAnsi="宋体"/>
        </w:rPr>
        <w:t>必须在报价截止时间前36个月内具备电网内类似项目的业绩，并提供相应的合同及发票作为凭证。若不符上述要求，将作否决投标处理。</w:t>
      </w:r>
    </w:p>
    <w:p>
      <w:pPr>
        <w:spacing w:line="360" w:lineRule="auto"/>
        <w:ind w:firstLine="480" w:firstLineChars="200"/>
        <w:rPr>
          <w:rFonts w:hint="eastAsia" w:ascii="宋体" w:hAnsi="宋体"/>
          <w:lang w:val="zh-TW"/>
        </w:rPr>
      </w:pPr>
      <w:r>
        <w:rPr>
          <w:rFonts w:hint="eastAsia" w:ascii="宋体" w:hAnsi="宋体"/>
          <w:lang w:val="zh-TW"/>
        </w:rPr>
        <w:t>（5）投标</w:t>
      </w:r>
      <w:r>
        <w:rPr>
          <w:rFonts w:hint="eastAsia" w:ascii="宋体" w:hAnsi="宋体"/>
          <w:lang w:val="zh-TW" w:eastAsia="zh-CN"/>
        </w:rPr>
        <w:t>方</w:t>
      </w:r>
      <w:r>
        <w:rPr>
          <w:rFonts w:hint="eastAsia" w:ascii="宋体" w:hAnsi="宋体"/>
          <w:lang w:val="zh-TW"/>
        </w:rPr>
        <w:t>应具备质量管理体系认证、环境管理体系认证、职业健康安全管理体认证等资质，</w:t>
      </w:r>
      <w:r>
        <w:rPr>
          <w:rFonts w:hint="eastAsia" w:ascii="宋体" w:hAnsi="宋体"/>
        </w:rPr>
        <w:t>提供相关证明文件。</w:t>
      </w:r>
    </w:p>
    <w:p>
      <w:pPr>
        <w:spacing w:line="360" w:lineRule="auto"/>
        <w:ind w:firstLine="480" w:firstLineChars="200"/>
        <w:rPr>
          <w:rFonts w:hint="eastAsia" w:ascii="宋体" w:hAnsi="宋体"/>
          <w:lang w:val="zh-TW"/>
        </w:rPr>
      </w:pPr>
      <w:r>
        <w:rPr>
          <w:rFonts w:hint="eastAsia" w:ascii="宋体" w:hAnsi="宋体"/>
        </w:rPr>
        <w:t>（6）</w:t>
      </w:r>
      <w:r>
        <w:rPr>
          <w:rFonts w:hint="eastAsia" w:ascii="宋体" w:hAnsi="宋体"/>
          <w:lang w:eastAsia="zh-CN"/>
        </w:rPr>
        <w:t>中标方</w:t>
      </w:r>
      <w:r>
        <w:rPr>
          <w:rFonts w:hint="eastAsia" w:ascii="宋体" w:hAnsi="宋体"/>
        </w:rPr>
        <w:t>因自身原因无法依照技术规范书要求按期交付相关成果的，</w:t>
      </w:r>
      <w:r>
        <w:rPr>
          <w:rFonts w:hint="eastAsia" w:ascii="宋体" w:hAnsi="宋体"/>
          <w:lang w:eastAsia="zh-CN"/>
        </w:rPr>
        <w:t>招标方</w:t>
      </w:r>
      <w:r>
        <w:rPr>
          <w:rFonts w:hint="eastAsia" w:ascii="宋体" w:hAnsi="宋体"/>
        </w:rPr>
        <w:t>可立刻停止该采购服务,并按采购概算金额50%赔付</w:t>
      </w:r>
      <w:r>
        <w:rPr>
          <w:rFonts w:hint="eastAsia" w:ascii="宋体" w:hAnsi="宋体"/>
          <w:lang w:eastAsia="zh-CN"/>
        </w:rPr>
        <w:t>招标方</w:t>
      </w:r>
      <w:bookmarkStart w:id="9" w:name="_GoBack"/>
      <w:bookmarkEnd w:id="9"/>
      <w:r>
        <w:rPr>
          <w:rFonts w:hint="eastAsia" w:ascii="宋体" w:hAnsi="宋体"/>
        </w:rPr>
        <w:t>损失。</w:t>
      </w:r>
    </w:p>
    <w:p>
      <w:pPr>
        <w:spacing w:line="360" w:lineRule="auto"/>
        <w:ind w:firstLine="480" w:firstLineChars="200"/>
        <w:rPr>
          <w:lang w:val="zh-TW"/>
        </w:rPr>
      </w:pPr>
      <w:r>
        <w:rPr>
          <w:rFonts w:hint="eastAsia"/>
        </w:rPr>
        <w:t>4.4</w:t>
      </w:r>
      <w:r>
        <w:rPr>
          <w:rFonts w:hint="eastAsia"/>
          <w:lang w:val="zh-TW"/>
        </w:rPr>
        <w:t>基本要求</w:t>
      </w:r>
      <w:bookmarkEnd w:id="8"/>
    </w:p>
    <w:p>
      <w:pPr>
        <w:spacing w:line="360" w:lineRule="auto"/>
        <w:ind w:firstLine="480" w:firstLineChars="200"/>
        <w:rPr>
          <w:rFonts w:hint="eastAsia" w:ascii="宋体" w:hAnsi="宋体"/>
          <w:lang w:val="zh-TW" w:eastAsia="zh-TW"/>
        </w:rPr>
      </w:pPr>
      <w:r>
        <w:rPr>
          <w:rFonts w:hint="eastAsia" w:ascii="宋体" w:hAnsi="宋体"/>
          <w:lang w:val="zh-TW"/>
        </w:rPr>
        <w:t>（1）</w:t>
      </w:r>
      <w:r>
        <w:rPr>
          <w:rFonts w:hint="eastAsia" w:ascii="宋体" w:hAnsi="宋体"/>
          <w:lang w:val="zh-TW" w:eastAsia="zh-TW"/>
        </w:rPr>
        <w:t>合同设备的质保期为现场验收合格后，质保期为1年，相关费用包含在系统总报价中。</w:t>
      </w:r>
    </w:p>
    <w:p>
      <w:pPr>
        <w:spacing w:line="360" w:lineRule="auto"/>
        <w:ind w:firstLine="480" w:firstLineChars="200"/>
        <w:rPr>
          <w:rFonts w:hint="eastAsia" w:ascii="宋体" w:hAnsi="宋体"/>
        </w:rPr>
      </w:pPr>
      <w:r>
        <w:rPr>
          <w:rFonts w:hint="eastAsia" w:ascii="宋体" w:hAnsi="宋体"/>
          <w:lang w:val="zh-TW"/>
        </w:rPr>
        <w:t>（2）</w:t>
      </w:r>
      <w:r>
        <w:rPr>
          <w:rFonts w:hint="eastAsia" w:ascii="宋体" w:hAnsi="宋体"/>
          <w:lang w:val="zh-TW" w:eastAsia="zh-TW"/>
        </w:rPr>
        <w:t>在本项目研究完成之后，中标方必须向用户提供良好的技术支持与咨询服务，必须要有专门队伍从事此项工作，为招标方提供相关的业务和咨询服务。</w:t>
      </w:r>
    </w:p>
    <w:p>
      <w:pPr>
        <w:spacing w:line="360" w:lineRule="auto"/>
        <w:ind w:firstLine="480" w:firstLineChars="200"/>
        <w:rPr>
          <w:rFonts w:hint="eastAsia" w:ascii="宋体" w:hAnsi="宋体"/>
          <w:lang w:val="zh-TW" w:eastAsia="zh-TW"/>
        </w:rPr>
      </w:pPr>
      <w:r>
        <w:rPr>
          <w:rFonts w:hint="eastAsia" w:ascii="宋体" w:hAnsi="宋体"/>
          <w:lang w:val="zh-TW"/>
        </w:rPr>
        <w:t>（3）</w:t>
      </w:r>
      <w:r>
        <w:rPr>
          <w:rFonts w:hint="eastAsia" w:ascii="宋体" w:hAnsi="宋体"/>
          <w:lang w:val="zh-TW" w:eastAsia="zh-TW"/>
        </w:rPr>
        <w:t>中</w:t>
      </w:r>
      <w:r>
        <w:rPr>
          <w:rFonts w:hint="eastAsia" w:ascii="宋体" w:hAnsi="宋体"/>
        </w:rPr>
        <w:t>标方需</w:t>
      </w:r>
      <w:r>
        <w:rPr>
          <w:rFonts w:hint="eastAsia" w:ascii="宋体" w:hAnsi="宋体"/>
          <w:lang w:val="zh-TW" w:eastAsia="zh-TW"/>
        </w:rPr>
        <w:t>委派人员跟进测试加工服务内容工作，跟进项目验收工作。</w:t>
      </w:r>
    </w:p>
    <w:p>
      <w:pPr>
        <w:spacing w:line="360" w:lineRule="auto"/>
        <w:ind w:firstLine="480" w:firstLineChars="200"/>
        <w:rPr>
          <w:rFonts w:hint="eastAsia" w:ascii="宋体" w:hAnsi="宋体"/>
          <w:lang w:val="zh-TW" w:eastAsia="zh-TW"/>
        </w:rPr>
      </w:pPr>
      <w:r>
        <w:rPr>
          <w:rFonts w:hint="eastAsia" w:ascii="宋体" w:hAnsi="宋体"/>
          <w:lang w:val="zh-TW"/>
        </w:rPr>
        <w:t>（4）</w:t>
      </w:r>
      <w:r>
        <w:rPr>
          <w:rFonts w:hint="eastAsia" w:ascii="宋体" w:hAnsi="宋体"/>
          <w:lang w:val="zh-TW" w:eastAsia="zh-TW"/>
        </w:rPr>
        <w:t>中</w:t>
      </w:r>
      <w:r>
        <w:rPr>
          <w:rFonts w:hint="eastAsia" w:ascii="宋体" w:hAnsi="宋体"/>
        </w:rPr>
        <w:t>标方需</w:t>
      </w:r>
      <w:r>
        <w:rPr>
          <w:rFonts w:hint="eastAsia" w:ascii="宋体" w:hAnsi="宋体"/>
          <w:lang w:val="zh-TW" w:eastAsia="zh-TW"/>
        </w:rPr>
        <w:t>委派人员跟进设备现场验收功能，直至项目完结。</w:t>
      </w:r>
    </w:p>
    <w:p>
      <w:pPr>
        <w:spacing w:line="360" w:lineRule="auto"/>
        <w:ind w:firstLine="480" w:firstLineChars="200"/>
        <w:rPr>
          <w:rFonts w:hint="eastAsia" w:ascii="宋体" w:hAnsi="宋体"/>
        </w:rPr>
      </w:pPr>
      <w:r>
        <w:rPr>
          <w:rFonts w:hint="eastAsia" w:ascii="宋体" w:hAnsi="宋体"/>
          <w:lang w:val="zh-TW"/>
        </w:rPr>
        <w:t>（5）</w:t>
      </w:r>
      <w:r>
        <w:rPr>
          <w:rFonts w:hint="eastAsia" w:ascii="宋体" w:hAnsi="宋体"/>
          <w:lang w:val="zh-TW" w:eastAsia="zh-TW"/>
        </w:rPr>
        <w:t>在后期招标方对本项目的研究成果进行推广、宣传的过程中，中标方要提供相应的支持，为招标方提供咨询服务，同时对推广、宣传过程中用户提出的疑问进行解答。</w:t>
      </w:r>
    </w:p>
    <w:p>
      <w:pPr>
        <w:spacing w:line="360" w:lineRule="auto"/>
        <w:ind w:firstLine="480" w:firstLineChars="200"/>
        <w:rPr>
          <w:rFonts w:hint="eastAsia" w:ascii="宋体" w:hAnsi="宋体"/>
          <w:lang w:val="zh-TW" w:eastAsia="zh-TW"/>
        </w:rPr>
      </w:pPr>
      <w:r>
        <w:rPr>
          <w:rFonts w:hint="eastAsia" w:ascii="宋体" w:hAnsi="宋体"/>
          <w:lang w:val="zh-TW"/>
        </w:rPr>
        <w:t>（6）</w:t>
      </w:r>
      <w:r>
        <w:rPr>
          <w:rFonts w:hint="eastAsia" w:ascii="宋体" w:hAnsi="宋体"/>
          <w:lang w:val="zh-TW" w:eastAsia="zh-TW"/>
        </w:rPr>
        <w:t>如果招标方要对本次研究的成果进行修订，中标方应提供相应的咨询服务指导招标方完成修订工作。</w:t>
      </w:r>
      <w:bookmarkEnd w:id="4"/>
      <w:bookmarkEnd w:id="6"/>
      <w:bookmarkEnd w:id="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Noto Music"/>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Arial">
    <w:altName w:val="DejaVu Sans"/>
    <w:panose1 w:val="020B0604020202020204"/>
    <w:charset w:val="00"/>
    <w:family w:val="swiss"/>
    <w:pitch w:val="default"/>
    <w:sig w:usb0="00000000" w:usb1="00000000" w:usb2="00000009" w:usb3="00000000" w:csb0="000001FF" w:csb1="00000000"/>
  </w:font>
  <w:font w:name="Calibri Light">
    <w:altName w:val="DejaVu Sans"/>
    <w:panose1 w:val="020F0302020204030204"/>
    <w:charset w:val="00"/>
    <w:family w:val="swiss"/>
    <w:pitch w:val="default"/>
    <w:sig w:usb0="00000000" w:usb1="00000000" w:usb2="00000009" w:usb3="00000000" w:csb0="000001FF" w:csb1="00000000"/>
  </w:font>
  <w:font w:name="Arial Unicode MS">
    <w:altName w:val="DejaVu Sans"/>
    <w:panose1 w:val="020B0604020202020204"/>
    <w:charset w:val="86"/>
    <w:family w:val="swiss"/>
    <w:pitch w:val="default"/>
    <w:sig w:usb0="00000000" w:usb1="00000000"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7D96D7"/>
    <w:multiLevelType w:val="singleLevel"/>
    <w:tmpl w:val="EA7D96D7"/>
    <w:lvl w:ilvl="0" w:tentative="0">
      <w:start w:val="1"/>
      <w:numFmt w:val="decimal"/>
      <w:pStyle w:val="17"/>
      <w:lvlText w:val="%1."/>
      <w:lvlJc w:val="left"/>
      <w:pPr>
        <w:ind w:left="425" w:hanging="425"/>
      </w:pPr>
      <w:rPr>
        <w:rFonts w:hint="default"/>
      </w:rPr>
    </w:lvl>
  </w:abstractNum>
  <w:abstractNum w:abstractNumId="1">
    <w:nsid w:val="F1275AE7"/>
    <w:multiLevelType w:val="multilevel"/>
    <w:tmpl w:val="F1275AE7"/>
    <w:lvl w:ilvl="0" w:tentative="0">
      <w:start w:val="1"/>
      <w:numFmt w:val="decimal"/>
      <w:pStyle w:val="18"/>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2">
    <w:nsid w:val="5C189825"/>
    <w:multiLevelType w:val="multilevel"/>
    <w:tmpl w:val="5C189825"/>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062"/>
    <w:rsid w:val="000C7B13"/>
    <w:rsid w:val="00116817"/>
    <w:rsid w:val="00213F32"/>
    <w:rsid w:val="00217903"/>
    <w:rsid w:val="00275B76"/>
    <w:rsid w:val="00310C65"/>
    <w:rsid w:val="004B1477"/>
    <w:rsid w:val="004B66D7"/>
    <w:rsid w:val="00584D1B"/>
    <w:rsid w:val="006532FD"/>
    <w:rsid w:val="006A5EDE"/>
    <w:rsid w:val="006D443D"/>
    <w:rsid w:val="007376CE"/>
    <w:rsid w:val="009D10BD"/>
    <w:rsid w:val="009D7BE6"/>
    <w:rsid w:val="009F1C87"/>
    <w:rsid w:val="00A020E5"/>
    <w:rsid w:val="00AD1F62"/>
    <w:rsid w:val="00CF1738"/>
    <w:rsid w:val="00D129F8"/>
    <w:rsid w:val="00D6761C"/>
    <w:rsid w:val="00E33DAE"/>
    <w:rsid w:val="00EE4062"/>
    <w:rsid w:val="16267ECC"/>
    <w:rsid w:val="1E4C7AFD"/>
    <w:rsid w:val="227930C3"/>
    <w:rsid w:val="262C0F70"/>
    <w:rsid w:val="2FAD5076"/>
    <w:rsid w:val="2FF279B4"/>
    <w:rsid w:val="325403C3"/>
    <w:rsid w:val="35F90A51"/>
    <w:rsid w:val="3E4E37F7"/>
    <w:rsid w:val="423B5C3E"/>
    <w:rsid w:val="436F4766"/>
    <w:rsid w:val="46D06AA1"/>
    <w:rsid w:val="47EF2C3F"/>
    <w:rsid w:val="48676FCE"/>
    <w:rsid w:val="49935A33"/>
    <w:rsid w:val="4F7103A4"/>
    <w:rsid w:val="501F2B4E"/>
    <w:rsid w:val="51886E33"/>
    <w:rsid w:val="51950321"/>
    <w:rsid w:val="51EA3E14"/>
    <w:rsid w:val="591B19C9"/>
    <w:rsid w:val="5E4121F3"/>
    <w:rsid w:val="618105FD"/>
    <w:rsid w:val="61C6718E"/>
    <w:rsid w:val="675B5AF4"/>
    <w:rsid w:val="68040309"/>
    <w:rsid w:val="68ED3D39"/>
    <w:rsid w:val="6F713E3E"/>
    <w:rsid w:val="70C06F12"/>
    <w:rsid w:val="7CD44475"/>
    <w:rsid w:val="7F4812D3"/>
    <w:rsid w:val="FFFEF3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宋体"/>
      <w:color w:val="000000" w:themeColor="text1"/>
      <w:kern w:val="2"/>
      <w:sz w:val="24"/>
      <w:szCs w:val="24"/>
      <w:lang w:val="en-US" w:eastAsia="zh-CN" w:bidi="ar-SA"/>
      <w14:textFill>
        <w14:solidFill>
          <w14:schemeClr w14:val="tx1"/>
        </w14:solidFill>
      </w14:textFill>
    </w:rPr>
  </w:style>
  <w:style w:type="paragraph" w:styleId="2">
    <w:name w:val="heading 1"/>
    <w:basedOn w:val="1"/>
    <w:next w:val="1"/>
    <w:qFormat/>
    <w:uiPriority w:val="0"/>
    <w:pPr>
      <w:keepNext/>
      <w:keepLines/>
      <w:numPr>
        <w:ilvl w:val="0"/>
        <w:numId w:val="1"/>
      </w:numPr>
      <w:spacing w:before="50" w:beforeLines="50" w:after="50" w:afterLines="50"/>
      <w:outlineLvl w:val="0"/>
    </w:pPr>
    <w:rPr>
      <w:rFonts w:eastAsia="黑体"/>
      <w:kern w:val="44"/>
    </w:rPr>
  </w:style>
  <w:style w:type="paragraph" w:styleId="3">
    <w:name w:val="heading 2"/>
    <w:basedOn w:val="1"/>
    <w:next w:val="1"/>
    <w:semiHidden/>
    <w:unhideWhenUsed/>
    <w:qFormat/>
    <w:uiPriority w:val="0"/>
    <w:pPr>
      <w:numPr>
        <w:ilvl w:val="1"/>
        <w:numId w:val="1"/>
      </w:numPr>
      <w:spacing w:beforeAutospacing="1" w:afterAutospacing="1"/>
      <w:jc w:val="left"/>
      <w:outlineLvl w:val="1"/>
    </w:pPr>
    <w:rPr>
      <w:rFonts w:ascii="黑体" w:hAnsi="黑体" w:eastAsia="黑体" w:cs="Times New Roman"/>
      <w:bCs/>
      <w:kern w:val="0"/>
      <w:szCs w:val="36"/>
    </w:rPr>
  </w:style>
  <w:style w:type="paragraph" w:styleId="4">
    <w:name w:val="heading 3"/>
    <w:basedOn w:val="1"/>
    <w:next w:val="1"/>
    <w:semiHidden/>
    <w:unhideWhenUsed/>
    <w:qFormat/>
    <w:uiPriority w:val="0"/>
    <w:pPr>
      <w:keepNext/>
      <w:keepLines/>
      <w:numPr>
        <w:ilvl w:val="2"/>
        <w:numId w:val="1"/>
      </w:numPr>
      <w:spacing w:before="260" w:after="260" w:line="413" w:lineRule="auto"/>
      <w:outlineLvl w:val="2"/>
    </w:pPr>
    <w:rPr>
      <w:b/>
      <w:sz w:val="32"/>
    </w:rPr>
  </w:style>
  <w:style w:type="paragraph" w:styleId="5">
    <w:name w:val="heading 4"/>
    <w:basedOn w:val="1"/>
    <w:next w:val="1"/>
    <w:semiHidden/>
    <w:unhideWhenUsed/>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7">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rPr>
  </w:style>
  <w:style w:type="paragraph" w:styleId="8">
    <w:name w:val="heading 7"/>
    <w:basedOn w:val="1"/>
    <w:next w:val="1"/>
    <w:semiHidden/>
    <w:unhideWhenUsed/>
    <w:qFormat/>
    <w:uiPriority w:val="0"/>
    <w:pPr>
      <w:keepNext/>
      <w:keepLines/>
      <w:numPr>
        <w:ilvl w:val="6"/>
        <w:numId w:val="1"/>
      </w:numPr>
      <w:spacing w:before="240" w:after="64" w:line="317" w:lineRule="auto"/>
      <w:outlineLvl w:val="6"/>
    </w:pPr>
    <w:rPr>
      <w:b/>
    </w:rPr>
  </w:style>
  <w:style w:type="paragraph" w:styleId="9">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rPr>
  </w:style>
  <w:style w:type="paragraph" w:styleId="10">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sz w:val="21"/>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ind w:firstLine="420" w:firstLineChars="200"/>
    </w:pPr>
  </w:style>
  <w:style w:type="paragraph" w:styleId="12">
    <w:name w:val="Body Text"/>
    <w:basedOn w:val="1"/>
    <w:next w:val="13"/>
    <w:qFormat/>
    <w:uiPriority w:val="0"/>
    <w:pPr>
      <w:spacing w:before="100" w:after="100" w:line="312" w:lineRule="auto"/>
      <w:ind w:firstLine="1041" w:firstLineChars="200"/>
    </w:pPr>
  </w:style>
  <w:style w:type="paragraph" w:styleId="13">
    <w:name w:val="Title"/>
    <w:basedOn w:val="1"/>
    <w:next w:val="1"/>
    <w:qFormat/>
    <w:uiPriority w:val="0"/>
    <w:pPr>
      <w:spacing w:before="240" w:after="60"/>
      <w:jc w:val="center"/>
      <w:outlineLvl w:val="0"/>
    </w:pPr>
    <w:rPr>
      <w:rFonts w:ascii="Arial" w:hAnsi="Arial" w:cs="Arial"/>
      <w:b/>
      <w:bCs/>
      <w:sz w:val="32"/>
      <w:szCs w:val="32"/>
    </w:rPr>
  </w:style>
  <w:style w:type="paragraph" w:styleId="14">
    <w:name w:val="toc 3"/>
    <w:basedOn w:val="1"/>
    <w:next w:val="1"/>
    <w:unhideWhenUsed/>
    <w:qFormat/>
    <w:uiPriority w:val="39"/>
    <w:pPr>
      <w:widowControl/>
      <w:spacing w:after="100" w:line="259" w:lineRule="auto"/>
      <w:ind w:left="440"/>
      <w:jc w:val="left"/>
    </w:pPr>
    <w:rPr>
      <w:rFonts w:cs="Times New Roman" w:asciiTheme="minorHAnsi" w:hAnsiTheme="minorHAnsi" w:eastAsiaTheme="minorEastAsia"/>
      <w:color w:val="auto"/>
      <w:kern w:val="0"/>
      <w:sz w:val="22"/>
      <w:szCs w:val="22"/>
    </w:rPr>
  </w:style>
  <w:style w:type="paragraph" w:styleId="15">
    <w:name w:val="footer"/>
    <w:basedOn w:val="1"/>
    <w:link w:val="25"/>
    <w:qFormat/>
    <w:uiPriority w:val="0"/>
    <w:pPr>
      <w:tabs>
        <w:tab w:val="center" w:pos="4153"/>
        <w:tab w:val="right" w:pos="8306"/>
      </w:tabs>
      <w:snapToGrid w:val="0"/>
      <w:jc w:val="left"/>
    </w:pPr>
    <w:rPr>
      <w:sz w:val="18"/>
      <w:szCs w:val="18"/>
    </w:rPr>
  </w:style>
  <w:style w:type="paragraph" w:styleId="16">
    <w:name w:val="header"/>
    <w:basedOn w:val="1"/>
    <w:link w:val="24"/>
    <w:qFormat/>
    <w:uiPriority w:val="0"/>
    <w:pPr>
      <w:tabs>
        <w:tab w:val="center" w:pos="4153"/>
        <w:tab w:val="right" w:pos="8306"/>
      </w:tabs>
      <w:snapToGrid w:val="0"/>
      <w:jc w:val="center"/>
    </w:pPr>
    <w:rPr>
      <w:sz w:val="18"/>
      <w:szCs w:val="18"/>
    </w:rPr>
  </w:style>
  <w:style w:type="paragraph" w:styleId="17">
    <w:name w:val="toc 1"/>
    <w:basedOn w:val="1"/>
    <w:next w:val="1"/>
    <w:link w:val="23"/>
    <w:qFormat/>
    <w:uiPriority w:val="39"/>
    <w:pPr>
      <w:numPr>
        <w:ilvl w:val="0"/>
        <w:numId w:val="2"/>
      </w:numPr>
      <w:ind w:left="0" w:firstLine="0"/>
    </w:pPr>
    <w:rPr>
      <w:rFonts w:eastAsia="黑体"/>
    </w:rPr>
  </w:style>
  <w:style w:type="paragraph" w:styleId="18">
    <w:name w:val="toc 2"/>
    <w:basedOn w:val="1"/>
    <w:next w:val="1"/>
    <w:qFormat/>
    <w:uiPriority w:val="39"/>
    <w:pPr>
      <w:numPr>
        <w:ilvl w:val="0"/>
        <w:numId w:val="3"/>
      </w:numPr>
    </w:p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basedOn w:val="21"/>
    <w:unhideWhenUsed/>
    <w:qFormat/>
    <w:uiPriority w:val="99"/>
    <w:rPr>
      <w:color w:val="0026E5" w:themeColor="hyperlink"/>
      <w:u w:val="single"/>
      <w14:textFill>
        <w14:solidFill>
          <w14:schemeClr w14:val="hlink"/>
        </w14:solidFill>
      </w14:textFill>
    </w:rPr>
  </w:style>
  <w:style w:type="character" w:customStyle="1" w:styleId="23">
    <w:name w:val="TOC 1 字符"/>
    <w:link w:val="17"/>
    <w:qFormat/>
    <w:uiPriority w:val="0"/>
    <w:rPr>
      <w:rFonts w:ascii="Times New Roman" w:hAnsi="Times New Roman" w:eastAsia="黑体" w:cs="宋体"/>
    </w:rPr>
  </w:style>
  <w:style w:type="character" w:customStyle="1" w:styleId="24">
    <w:name w:val="页眉 字符"/>
    <w:basedOn w:val="21"/>
    <w:link w:val="16"/>
    <w:qFormat/>
    <w:uiPriority w:val="0"/>
    <w:rPr>
      <w:rFonts w:cs="宋体"/>
      <w:color w:val="000000" w:themeColor="text1"/>
      <w:kern w:val="2"/>
      <w:sz w:val="18"/>
      <w:szCs w:val="18"/>
      <w14:textFill>
        <w14:solidFill>
          <w14:schemeClr w14:val="tx1"/>
        </w14:solidFill>
      </w14:textFill>
    </w:rPr>
  </w:style>
  <w:style w:type="character" w:customStyle="1" w:styleId="25">
    <w:name w:val="页脚 字符"/>
    <w:basedOn w:val="21"/>
    <w:link w:val="15"/>
    <w:qFormat/>
    <w:uiPriority w:val="0"/>
    <w:rPr>
      <w:rFonts w:cs="宋体"/>
      <w:color w:val="000000" w:themeColor="text1"/>
      <w:kern w:val="2"/>
      <w:sz w:val="18"/>
      <w:szCs w:val="18"/>
      <w14:textFill>
        <w14:solidFill>
          <w14:schemeClr w14:val="tx1"/>
        </w14:solidFill>
      </w14:textFill>
    </w:rPr>
  </w:style>
  <w:style w:type="paragraph" w:customStyle="1" w:styleId="26">
    <w:name w:val="一标题"/>
    <w:link w:val="27"/>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7">
    <w:name w:val="一标题 Char"/>
    <w:link w:val="26"/>
    <w:qFormat/>
    <w:uiPriority w:val="0"/>
    <w:rPr>
      <w:rFonts w:ascii="宋体" w:hAnsi="宋体"/>
      <w:b/>
      <w:sz w:val="24"/>
    </w:rPr>
  </w:style>
  <w:style w:type="paragraph" w:customStyle="1" w:styleId="28">
    <w:name w:val="TOC Heading"/>
    <w:basedOn w:val="2"/>
    <w:next w:val="1"/>
    <w:unhideWhenUsed/>
    <w:qFormat/>
    <w:uiPriority w:val="39"/>
    <w:pPr>
      <w:widowControl/>
      <w:numPr>
        <w:numId w:val="0"/>
      </w:numPr>
      <w:spacing w:before="240" w:beforeLines="0" w:after="0" w:afterLines="0" w:line="259" w:lineRule="auto"/>
      <w:jc w:val="left"/>
      <w:outlineLvl w:val="9"/>
    </w:pPr>
    <w:rPr>
      <w:rFonts w:asciiTheme="majorHAnsi" w:hAnsiTheme="majorHAnsi" w:eastAsiaTheme="majorEastAsia" w:cstheme="majorBidi"/>
      <w:color w:val="2E54A1" w:themeColor="accent1" w:themeShade="BF"/>
      <w:kern w:val="0"/>
      <w:sz w:val="32"/>
      <w:szCs w:val="32"/>
    </w:rPr>
  </w:style>
  <w:style w:type="paragraph" w:customStyle="1" w:styleId="29">
    <w:name w:val="正文1"/>
    <w:next w:val="1"/>
    <w:qFormat/>
    <w:uiPriority w:val="0"/>
    <w:pPr>
      <w:framePr w:wrap="around" w:vAnchor="margin" w:hAnchor="text" w:y="1"/>
      <w:spacing w:line="360" w:lineRule="auto"/>
    </w:pPr>
    <w:rPr>
      <w:rFonts w:ascii="Calibri" w:hAnsi="Calibri" w:eastAsia="Arial Unicode MS" w:cs="Arial Unicode MS"/>
      <w:color w:val="000000"/>
      <w:sz w:val="24"/>
      <w:szCs w:val="24"/>
      <w:u w:color="000000"/>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standalone='no'?>
<b:Sources xmlns:b="http://schemas.openxmlformats.org/officeDocument/2006/bibliography" Version="6" StyleName="APA" xmlns:b="http://schemas.openxmlformats.org/officeDocument/2006/bibliography" SelectedStyle="\APASixthEditionOfficeOnline.xsl"/>

</file>

<file path=customXml/itemProps1.xml><?xml version="1.0" encoding="utf-8"?>
<ds:datastoreItem xmlns:ds="http://schemas.openxmlformats.org/officeDocument/2006/customXml" ds:itemID="{878C6ACA-9F0B-4FBA-9E50-C7921E9BAF1C}">
  <ds:schemaRefs/>
</ds:datastoreItem>
</file>

<file path=docProps/app.xml><?xml version="1.0" encoding="utf-8"?>
<Properties xmlns="http://schemas.openxmlformats.org/officeDocument/2006/extended-properties" xmlns:vt="http://schemas.openxmlformats.org/officeDocument/2006/docPropsVTypes">
  <Template>Normal</Template>
  <Pages>4</Pages>
  <Words>1120</Words>
  <Characters>1199</Characters>
  <Lines>66</Lines>
  <Paragraphs>68</Paragraphs>
  <TotalTime>128</TotalTime>
  <ScaleCrop>false</ScaleCrop>
  <LinksUpToDate>false</LinksUpToDate>
  <CharactersWithSpaces>2251</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2025-11-04T08:42:00Z</dcterms:created>
  <dc:creator>Administrator</dc:creator>
  <cp:lastModifiedBy>yangzx</cp:lastModifiedBy>
  <dcterms:modified xsi:type="dcterms:W3CDTF">2025-11-06T10:41:28Z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5001B19909474D20A7EE9620B560E2E2_12</vt:lpwstr>
  </property>
  <property fmtid="{D5CDD505-2E9C-101B-9397-08002B2CF9AE}" pid="4" name="KSOTemplateDocerSaveRecord">
    <vt:lpwstr>eyJoZGlkIjoiYzIxZTBjNjY4MTQ2MGM2MTIwZTYyMjNiZjY5MTA0MWQiLCJ1c2VySWQiOiIxNjc2ODUxMTIzIn0=</vt:lpwstr>
  </property>
</Properties>
</file>