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8"/>
          <w:szCs w:val="48"/>
          <w:lang w:val="en-US" w:eastAsia="zh-CN"/>
        </w:rPr>
      </w:pPr>
      <w:r>
        <w:rPr>
          <w:rFonts w:hint="eastAsia"/>
          <w:b/>
          <w:sz w:val="48"/>
          <w:szCs w:val="48"/>
          <w:lang w:val="en-US" w:eastAsia="zh-CN"/>
        </w:rPr>
        <w:t>梧州供电局2025年计量中心电能表检定装置升级改造服务</w:t>
      </w:r>
    </w:p>
    <w:p>
      <w:pPr>
        <w:jc w:val="center"/>
        <w:rPr>
          <w:rFonts w:hint="eastAsia"/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技术规范书</w:t>
      </w: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</w:pP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广西电网公司梧州供电局</w:t>
      </w:r>
    </w:p>
    <w:p>
      <w:pPr>
        <w:spacing w:line="360" w:lineRule="auto"/>
        <w:jc w:val="center"/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</w:pP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2025年9月28日</w:t>
      </w:r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pStyle w:val="2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sdt>
      <w:sdtPr>
        <w:rPr>
          <w:lang w:val="zh-CN"/>
        </w:rPr>
        <w:id w:val="-441228423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color w:val="auto"/>
          <w:kern w:val="2"/>
          <w:sz w:val="24"/>
          <w:szCs w:val="22"/>
          <w:lang w:val="zh-CN"/>
        </w:rPr>
      </w:sdtEndPr>
      <w:sdtContent>
        <w:p>
          <w:pPr>
            <w:spacing w:before="0" w:beforeLines="0" w:after="0" w:afterLines="0" w:line="36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sz w:val="24"/>
            </w:rPr>
            <w:fldChar w:fldCharType="begin"/>
          </w:r>
          <w:r>
            <w:rPr>
              <w:sz w:val="24"/>
            </w:rPr>
            <w:instrText xml:space="preserve"> TOC \o "1-3" \h \z \u </w:instrText>
          </w:r>
          <w:r>
            <w:rPr>
              <w:sz w:val="24"/>
            </w:rPr>
            <w:fldChar w:fldCharType="separate"/>
          </w:r>
          <w:r>
            <w:fldChar w:fldCharType="begin"/>
          </w:r>
          <w:r>
            <w:instrText xml:space="preserve"> HYPERLINK \l _Toc2053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1总则</w:t>
          </w:r>
          <w:r>
            <w:tab/>
          </w:r>
          <w:r>
            <w:fldChar w:fldCharType="begin"/>
          </w:r>
          <w:r>
            <w:instrText xml:space="preserve"> PAGEREF _Toc2053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_Toc9878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2标准和规程</w:t>
          </w:r>
          <w:r>
            <w:tab/>
          </w:r>
          <w:r>
            <w:fldChar w:fldCharType="begin"/>
          </w:r>
          <w:r>
            <w:instrText xml:space="preserve"> PAGEREF _Toc9878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_Toc436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3 项目概述</w:t>
          </w:r>
          <w:r>
            <w:tab/>
          </w:r>
          <w:r>
            <w:fldChar w:fldCharType="begin"/>
          </w:r>
          <w:r>
            <w:instrText xml:space="preserve"> PAGEREF _Toc436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_Toc27800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4加工技术要求</w:t>
          </w:r>
          <w:r>
            <w:tab/>
          </w:r>
          <w:r>
            <w:fldChar w:fldCharType="begin"/>
          </w:r>
          <w:r>
            <w:instrText xml:space="preserve"> PAGEREF _Toc27800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_Toc5407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5功能要求</w:t>
          </w:r>
          <w:r>
            <w:tab/>
          </w:r>
          <w:r>
            <w:fldChar w:fldCharType="begin"/>
          </w:r>
          <w:r>
            <w:instrText xml:space="preserve"> PAGEREF _Toc5407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 w:firstLine="0" w:firstLineChars="0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_Toc1567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6服务</w:t>
          </w:r>
          <w:r>
            <w:rPr>
              <w:rFonts w:hint="eastAsia"/>
            </w:rPr>
            <w:t>范围</w:t>
          </w:r>
          <w:r>
            <w:tab/>
          </w:r>
          <w:r>
            <w:fldChar w:fldCharType="begin"/>
          </w:r>
          <w:r>
            <w:instrText xml:space="preserve"> PAGEREF _Toc1567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 w:firstLine="0" w:firstLineChars="0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_Toc16594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宋体" w:eastAsia="宋体" w:cs="Times New Roman"/>
              <w:bCs/>
              <w:kern w:val="44"/>
              <w:szCs w:val="28"/>
              <w:lang w:val="en-US" w:eastAsia="zh-CN" w:bidi="ar-SA"/>
            </w:rPr>
            <w:t>7包装、运输及质量保证</w:t>
          </w:r>
          <w:r>
            <w:tab/>
          </w:r>
          <w:r>
            <w:fldChar w:fldCharType="begin"/>
          </w:r>
          <w:r>
            <w:instrText xml:space="preserve"> PAGEREF _Toc16594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_Toc28920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附件</w:t>
          </w:r>
          <w:r>
            <w:tab/>
          </w:r>
          <w:r>
            <w:fldChar w:fldCharType="begin"/>
          </w:r>
          <w:r>
            <w:instrText xml:space="preserve"> PAGEREF _Toc28920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spacing w:line="360" w:lineRule="auto"/>
            <w:rPr>
              <w:sz w:val="24"/>
            </w:rPr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widowControl/>
        <w:jc w:val="left"/>
      </w:pPr>
      <w:r>
        <w:br w:type="page"/>
      </w:r>
    </w:p>
    <w:p>
      <w:pPr>
        <w:pStyle w:val="4"/>
        <w:bidi w:val="0"/>
        <w:spacing w:before="0" w:after="0" w:line="360" w:lineRule="auto"/>
        <w:rPr>
          <w:rFonts w:hint="eastAsia" w:ascii="Calibri" w:hAnsi="Calibri" w:eastAsia="宋体" w:cs="Times New Roman"/>
          <w:sz w:val="28"/>
          <w:lang w:val="en-US" w:eastAsia="zh-CN"/>
        </w:rPr>
      </w:pPr>
      <w:bookmarkStart w:id="0" w:name="_Toc2053"/>
      <w:r>
        <w:rPr>
          <w:rFonts w:hint="eastAsia" w:ascii="Calibri" w:hAnsi="Calibri" w:eastAsia="宋体" w:cs="Times New Roman"/>
          <w:sz w:val="28"/>
          <w:lang w:val="en-US" w:eastAsia="zh-CN"/>
        </w:rPr>
        <w:t>1总则</w:t>
      </w:r>
      <w:bookmarkEnd w:id="0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1.1本技术规范书适用于</w:t>
      </w:r>
      <w:r>
        <w:rPr>
          <w:rFonts w:hint="eastAsia" w:ascii="仿宋" w:hAnsi="仿宋" w:eastAsia="仿宋" w:cs="仿宋"/>
          <w:b w:val="0"/>
          <w:bCs w:val="0"/>
          <w:sz w:val="30"/>
          <w:highlight w:val="none"/>
          <w:u w:val="none"/>
          <w:lang w:eastAsia="zh-CN"/>
        </w:rPr>
        <w:t>2025年梧州供电局计量中心电能表检定装置升级改造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服务采购，提出了电能表检定装置维修升级方面的要求，投标方必须认真阅读本技术条款内容，以免造成投标失败。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1.2本规范书指标要求中，凡标有下划线或加“★”的地方均被视为重要的技术指标要求或性能要求。投标方要特别加以注意，必须完全满足这些要求。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1.3本技术规范书提出的是最低限度的技术要求，并未对一切技术细节做出规定，也未充分引述有关标准和规范的条文，投标方应保证提供满足本技术规范书要求、满足有关国家质量标准要求、满足国家有关安全、环保等强制性标准和规范要求的完整服务和工作产品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1.4如投标方对本技术规范书有异议时，应以书面形式在报价截止日之前1天提出，如没有以书面形式对本规范书的条款提出异议，则意味着投标方已清楚并理解本规范书的要求。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1.5 投标方应对本次招标方采购涉及所有文件保密，不得向其他单位公布或泄漏招标项目的有关信息。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1.6本技术规范书作为招标方的采购文件，投标方应在报价文件中按要求作出应答，如有差异，还需以本技术规范书附件“差异表”的形式另外列出。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1.7双方确认成交后，本技术规范书与合同具有同等的法律约束效力，本技术规范书未尽事宜，由招标方和中标方双方协商确定。</w:t>
      </w:r>
    </w:p>
    <w:p>
      <w:pPr>
        <w:pStyle w:val="4"/>
        <w:bidi w:val="0"/>
        <w:spacing w:before="0" w:after="0" w:line="360" w:lineRule="auto"/>
        <w:rPr>
          <w:rFonts w:hint="eastAsia" w:ascii="Calibri" w:hAnsi="Calibri" w:eastAsia="宋体" w:cs="Times New Roman"/>
          <w:sz w:val="28"/>
          <w:lang w:val="en-US" w:eastAsia="zh-CN"/>
        </w:rPr>
      </w:pPr>
      <w:bookmarkStart w:id="1" w:name="_Toc9878"/>
      <w:r>
        <w:rPr>
          <w:rFonts w:hint="eastAsia" w:ascii="Calibri" w:hAnsi="Calibri" w:eastAsia="宋体" w:cs="Times New Roman"/>
          <w:sz w:val="28"/>
          <w:lang w:val="en-US" w:eastAsia="zh-CN"/>
        </w:rPr>
        <w:t>2标准和规程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本规范书中涉及的所有规范、标准或材料规格均应为最新版本，即以招标方发出本定单之日作为采用最新版本的截止日期。若发现本规范书与所列标准之间有不一致之处，投标方应向招标方指明，并由招标方确定采用哪一个规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投标方如果采用自己的标准或规范，必须向招标方提供中文复印件并经招标方同意后方可采用，但不能低于国家标准GB、行业标准JB有关规定。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下列标准所包括的条文，通过在本规定中引用而构成本规定的条文。本标准出版时所示版本均为有效。所有标准都会被修订，使用本标准的各方应探讨使用下列标准最新版本的可能性。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8"/>
          <w:szCs w:val="28"/>
          <w:lang w:val="en-US" w:eastAsia="zh-CN"/>
        </w:rPr>
        <w:t>2.1《中华人民共和国产品质量法》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8"/>
          <w:szCs w:val="28"/>
          <w:lang w:val="en-US" w:eastAsia="zh-CN"/>
        </w:rPr>
        <w:t>2.2《中国南方电网有限责任公司电力安全工作规程》</w:t>
      </w:r>
    </w:p>
    <w:p>
      <w:pPr>
        <w:pStyle w:val="4"/>
        <w:bidi w:val="0"/>
        <w:spacing w:before="0" w:after="0" w:line="360" w:lineRule="auto"/>
        <w:rPr>
          <w:rFonts w:hint="default" w:ascii="Calibri" w:hAnsi="Calibri" w:eastAsia="宋体" w:cs="Times New Roman"/>
          <w:sz w:val="28"/>
          <w:lang w:val="en-US" w:eastAsia="zh-CN"/>
        </w:rPr>
      </w:pPr>
      <w:bookmarkStart w:id="2" w:name="_Toc436"/>
      <w:bookmarkStart w:id="3" w:name="_Toc22903_WPSOffice_Level1"/>
      <w:r>
        <w:rPr>
          <w:rFonts w:hint="eastAsia" w:ascii="Calibri" w:hAnsi="Calibri" w:eastAsia="宋体" w:cs="Times New Roman"/>
          <w:sz w:val="28"/>
          <w:lang w:val="en-US" w:eastAsia="zh-CN"/>
        </w:rPr>
        <w:t xml:space="preserve">3 </w:t>
      </w:r>
      <w:bookmarkEnd w:id="2"/>
      <w:bookmarkEnd w:id="3"/>
      <w:r>
        <w:rPr>
          <w:rFonts w:hint="eastAsia" w:ascii="Calibri" w:hAnsi="Calibri" w:eastAsia="宋体" w:cs="Times New Roman"/>
          <w:sz w:val="28"/>
          <w:lang w:val="en-US" w:eastAsia="zh-CN"/>
        </w:rPr>
        <w:t>加工总体要求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本次加工所需材料清单、要求及设计图由甲方提供给乙方。乙方在收到上述资料后，按要求根据本规范书的技术、功能要求购买材料并进行加工。</w:t>
      </w:r>
    </w:p>
    <w:p>
      <w:pPr>
        <w:pStyle w:val="4"/>
        <w:bidi w:val="0"/>
        <w:spacing w:before="0" w:after="0" w:line="360" w:lineRule="auto"/>
        <w:rPr>
          <w:rFonts w:hint="eastAsia" w:ascii="Calibri" w:hAnsi="Calibri" w:eastAsia="宋体" w:cs="Times New Roman"/>
          <w:sz w:val="28"/>
          <w:lang w:val="en-US" w:eastAsia="zh-CN"/>
        </w:rPr>
      </w:pPr>
      <w:bookmarkStart w:id="4" w:name="_Toc27800"/>
      <w:r>
        <w:rPr>
          <w:rFonts w:hint="eastAsia" w:ascii="Calibri" w:hAnsi="Calibri" w:eastAsia="宋体" w:cs="Times New Roman"/>
          <w:sz w:val="28"/>
          <w:lang w:val="en-US" w:eastAsia="zh-CN"/>
        </w:rPr>
        <w:t>4技术要求</w:t>
      </w:r>
      <w:bookmarkEnd w:id="4"/>
    </w:p>
    <w:p>
      <w:pPr>
        <w:pStyle w:val="4"/>
        <w:bidi w:val="0"/>
        <w:spacing w:before="0" w:after="0" w:line="360" w:lineRule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bookmarkStart w:id="5" w:name="_Toc5407"/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/</w:t>
      </w:r>
    </w:p>
    <w:p>
      <w:pPr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4"/>
        <w:bidi w:val="0"/>
        <w:spacing w:before="0" w:after="0" w:line="360" w:lineRule="auto"/>
        <w:rPr>
          <w:rFonts w:hint="eastAsia" w:ascii="Calibri" w:hAnsi="Calibri" w:eastAsia="宋体" w:cs="Times New Roman"/>
          <w:sz w:val="28"/>
          <w:lang w:val="en-US" w:eastAsia="zh-CN"/>
        </w:rPr>
      </w:pPr>
      <w:r>
        <w:rPr>
          <w:rFonts w:hint="eastAsia" w:ascii="Calibri" w:hAnsi="Calibri" w:eastAsia="宋体" w:cs="Times New Roman"/>
          <w:sz w:val="28"/>
          <w:lang w:val="en-US" w:eastAsia="zh-CN"/>
        </w:rPr>
        <w:t>5</w:t>
      </w:r>
      <w:bookmarkEnd w:id="5"/>
      <w:r>
        <w:rPr>
          <w:rFonts w:hint="eastAsia" w:ascii="Calibri" w:hAnsi="Calibri" w:eastAsia="宋体" w:cs="Times New Roman"/>
          <w:sz w:val="28"/>
          <w:lang w:val="en-US" w:eastAsia="zh-CN"/>
        </w:rPr>
        <w:t>服务内容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5.1.</w:t>
      </w:r>
      <w:r>
        <w:rPr>
          <w:rFonts w:hint="eastAsia"/>
          <w:sz w:val="28"/>
          <w:szCs w:val="28"/>
          <w:lang w:val="en-US" w:eastAsia="zh-CN"/>
        </w:rPr>
        <w:t>软件功能升级</w:t>
      </w:r>
    </w:p>
    <w:p>
      <w:pPr>
        <w:pStyle w:val="2"/>
        <w:rPr>
          <w:rFonts w:hint="eastAsia" w:eastAsia="宋体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5.1.1增加检定项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JJG 691-2014《多费率交流电能表》检定规程的检定项目增加时钟示值误差项目、电能示值的组合误差项目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JJG569-2014 《最大需量电能表》检定规程的检定项目增加时钟示值误差项目、需量示值误差项目</w:t>
      </w:r>
    </w:p>
    <w:p>
      <w:pPr>
        <w:pStyle w:val="2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5.1.2</w:t>
      </w:r>
      <w:r>
        <w:rPr>
          <w:rFonts w:hint="eastAsia"/>
          <w:sz w:val="28"/>
          <w:szCs w:val="28"/>
          <w:lang w:val="en-US" w:eastAsia="zh-CN"/>
        </w:rPr>
        <w:t>证书模版、原始记录改版</w:t>
      </w:r>
    </w:p>
    <w:p>
      <w:pPr>
        <w:numPr>
          <w:ilvl w:val="0"/>
          <w:numId w:val="0"/>
        </w:numPr>
        <w:ind w:leftChars="20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依据新规要求增加相应检测项目记录栏，增加时钟示值误差、电能表示值的组合误差、需求示值误差对应栏目（如图）。</w:t>
      </w:r>
    </w:p>
    <w:p>
      <w:pPr>
        <w:numPr>
          <w:ilvl w:val="0"/>
          <w:numId w:val="0"/>
        </w:numPr>
        <w:ind w:leftChars="200"/>
      </w:pPr>
      <w:r>
        <w:drawing>
          <wp:inline distT="0" distB="0" distL="114300" distR="114300">
            <wp:extent cx="5266055" cy="2530475"/>
            <wp:effectExtent l="0" t="0" r="1079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 w:firstLine="3150" w:firstLineChars="15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单相检定证书（部分截取）</w:t>
      </w:r>
    </w:p>
    <w:p>
      <w:pPr>
        <w:numPr>
          <w:ilvl w:val="0"/>
          <w:numId w:val="0"/>
        </w:numPr>
        <w:ind w:leftChars="200" w:firstLine="3150" w:firstLineChars="150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200" w:firstLine="3150" w:firstLineChars="1500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100965</wp:posOffset>
            </wp:positionV>
            <wp:extent cx="5269230" cy="1613535"/>
            <wp:effectExtent l="0" t="0" r="7620" b="5715"/>
            <wp:wrapTight wrapText="bothSides">
              <wp:wrapPolygon>
                <wp:start x="0" y="0"/>
                <wp:lineTo x="0" y="21421"/>
                <wp:lineTo x="21553" y="21421"/>
                <wp:lineTo x="21553" y="0"/>
                <wp:lineTo x="0" y="0"/>
              </wp:wrapPolygon>
            </wp:wrapTight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三相检定证书（部分截取）</w:t>
      </w:r>
    </w:p>
    <w:p>
      <w:pPr>
        <w:numPr>
          <w:ilvl w:val="0"/>
          <w:numId w:val="0"/>
        </w:numPr>
        <w:ind w:leftChars="200" w:firstLine="3150" w:firstLineChars="1500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89535</wp:posOffset>
            </wp:positionV>
            <wp:extent cx="5461000" cy="2326005"/>
            <wp:effectExtent l="0" t="0" r="6350" b="17145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原始记录（部分截取）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bookmarkStart w:id="6" w:name="_Toc1567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5.2.</w:t>
      </w:r>
      <w:r>
        <w:rPr>
          <w:rFonts w:hint="eastAsia"/>
          <w:sz w:val="28"/>
          <w:szCs w:val="28"/>
          <w:lang w:val="en-US" w:eastAsia="zh-CN"/>
        </w:rPr>
        <w:t>维修服务</w:t>
      </w:r>
    </w:p>
    <w:p>
      <w:pPr>
        <w:pStyle w:val="2"/>
        <w:rPr>
          <w:rFonts w:hint="eastAsia" w:eastAsiaTheme="minorEastAsia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5.2.1单相电能表检定装置</w:t>
      </w:r>
    </w:p>
    <w:tbl>
      <w:tblPr>
        <w:tblStyle w:val="11"/>
        <w:tblpPr w:leftFromText="180" w:rightFromText="180" w:vertAnchor="text" w:horzAnchor="page" w:tblpXSpec="center" w:tblpY="87"/>
        <w:tblOverlap w:val="never"/>
        <w:tblW w:w="66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2303"/>
        <w:gridCol w:w="1865"/>
        <w:gridCol w:w="1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tblHeader/>
          <w:jc w:val="center"/>
        </w:trPr>
        <w:tc>
          <w:tcPr>
            <w:tcW w:w="1367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contextualSpacing/>
              <w:jc w:val="center"/>
              <w:rPr>
                <w:rFonts w:hint="default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303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contextualSpacing/>
              <w:jc w:val="center"/>
              <w:rPr>
                <w:rFonts w:hint="default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服务内容</w:t>
            </w:r>
          </w:p>
        </w:tc>
        <w:tc>
          <w:tcPr>
            <w:tcW w:w="1865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contextualSpacing/>
              <w:jc w:val="center"/>
              <w:rPr>
                <w:rFonts w:hint="default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contextualSpacing/>
              <w:jc w:val="center"/>
              <w:rPr>
                <w:rFonts w:hint="default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1367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23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新宋体" w:hAnsi="新宋体" w:eastAsia="新宋体" w:cs="新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时基仪维修</w:t>
            </w:r>
          </w:p>
        </w:tc>
        <w:tc>
          <w:tcPr>
            <w:tcW w:w="18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1367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23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散热槽维修</w:t>
            </w:r>
          </w:p>
        </w:tc>
        <w:tc>
          <w:tcPr>
            <w:tcW w:w="18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1367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3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电流箱维修</w:t>
            </w:r>
          </w:p>
        </w:tc>
        <w:tc>
          <w:tcPr>
            <w:tcW w:w="18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1367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3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信号源维修</w:t>
            </w:r>
          </w:p>
        </w:tc>
        <w:tc>
          <w:tcPr>
            <w:tcW w:w="18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1367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3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通讯模块维修</w:t>
            </w:r>
          </w:p>
        </w:tc>
        <w:tc>
          <w:tcPr>
            <w:tcW w:w="18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1367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3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台体调试</w:t>
            </w:r>
          </w:p>
        </w:tc>
        <w:tc>
          <w:tcPr>
            <w:tcW w:w="18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</w:t>
            </w:r>
          </w:p>
        </w:tc>
      </w:tr>
    </w:tbl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5.2.2三相电能表检定装置</w:t>
      </w:r>
    </w:p>
    <w:tbl>
      <w:tblPr>
        <w:tblStyle w:val="11"/>
        <w:tblpPr w:leftFromText="180" w:rightFromText="180" w:vertAnchor="text" w:horzAnchor="page" w:tblpX="2665" w:tblpY="6"/>
        <w:tblOverlap w:val="never"/>
        <w:tblW w:w="67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3062"/>
        <w:gridCol w:w="1882"/>
        <w:gridCol w:w="10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83" w:type="dxa"/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序号</w:t>
            </w:r>
          </w:p>
        </w:tc>
        <w:tc>
          <w:tcPr>
            <w:tcW w:w="306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服务内容</w:t>
            </w:r>
          </w:p>
        </w:tc>
        <w:tc>
          <w:tcPr>
            <w:tcW w:w="1882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leftChars="0" w:right="0" w:rightChars="0"/>
              <w:contextualSpacing/>
              <w:jc w:val="center"/>
              <w:rPr>
                <w:rFonts w:ascii="宋体" w:hAnsi="宋体" w:cs="宋体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leftChars="0" w:right="0" w:rightChars="0"/>
              <w:contextualSpacing/>
              <w:jc w:val="center"/>
              <w:rPr>
                <w:rFonts w:ascii="宋体" w:hAnsi="宋体" w:cs="宋体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83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1</w:t>
            </w:r>
          </w:p>
        </w:tc>
        <w:tc>
          <w:tcPr>
            <w:tcW w:w="3062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Theme="minorEastAsia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串口服务器主板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</w:t>
            </w:r>
          </w:p>
        </w:tc>
        <w:tc>
          <w:tcPr>
            <w:tcW w:w="188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Theme="minorEastAsia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83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2</w:t>
            </w:r>
          </w:p>
        </w:tc>
        <w:tc>
          <w:tcPr>
            <w:tcW w:w="3062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软件升级</w:t>
            </w:r>
          </w:p>
        </w:tc>
        <w:tc>
          <w:tcPr>
            <w:tcW w:w="188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Theme="minorEastAsia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83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3</w:t>
            </w:r>
          </w:p>
        </w:tc>
        <w:tc>
          <w:tcPr>
            <w:tcW w:w="3062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电机控制板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</w:t>
            </w:r>
          </w:p>
        </w:tc>
        <w:tc>
          <w:tcPr>
            <w:tcW w:w="188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83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4</w:t>
            </w:r>
          </w:p>
        </w:tc>
        <w:tc>
          <w:tcPr>
            <w:tcW w:w="3062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标准表主板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</w:t>
            </w:r>
          </w:p>
        </w:tc>
        <w:tc>
          <w:tcPr>
            <w:tcW w:w="188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83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5</w:t>
            </w:r>
          </w:p>
        </w:tc>
        <w:tc>
          <w:tcPr>
            <w:tcW w:w="3062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多功能切换板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</w:t>
            </w:r>
          </w:p>
        </w:tc>
        <w:tc>
          <w:tcPr>
            <w:tcW w:w="188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2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块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pStyle w:val="5"/>
        <w:rPr>
          <w:rFonts w:hint="eastAsia"/>
        </w:rPr>
      </w:pPr>
      <w:r>
        <w:rPr>
          <w:rFonts w:hint="eastAsia"/>
          <w:lang w:val="en-US" w:eastAsia="zh-CN"/>
        </w:rPr>
        <w:t>6服务</w:t>
      </w:r>
      <w:r>
        <w:rPr>
          <w:rFonts w:hint="eastAsia"/>
        </w:rPr>
        <w:t>范围</w:t>
      </w:r>
      <w:bookmarkEnd w:id="6"/>
    </w:p>
    <w:p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服务</w:t>
      </w:r>
      <w:r>
        <w:rPr>
          <w:rFonts w:hint="eastAsia"/>
          <w:sz w:val="28"/>
          <w:szCs w:val="28"/>
        </w:rPr>
        <w:t>范围一览表</w:t>
      </w:r>
    </w:p>
    <w:tbl>
      <w:tblPr>
        <w:tblStyle w:val="12"/>
        <w:tblW w:w="87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1795"/>
        <w:gridCol w:w="778"/>
        <w:gridCol w:w="2128"/>
        <w:gridCol w:w="1666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179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778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128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形式、规格</w:t>
            </w:r>
          </w:p>
        </w:tc>
        <w:tc>
          <w:tcPr>
            <w:tcW w:w="1666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8"/>
                <w:szCs w:val="28"/>
                <w:lang w:eastAsia="zh-CN"/>
              </w:rPr>
              <w:t>服务期限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1</w:t>
            </w:r>
          </w:p>
        </w:tc>
        <w:tc>
          <w:tcPr>
            <w:tcW w:w="1795" w:type="dxa"/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三相电能表检定装置维修升级</w:t>
            </w:r>
          </w:p>
        </w:tc>
        <w:tc>
          <w:tcPr>
            <w:tcW w:w="77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  <w:t>项</w:t>
            </w:r>
          </w:p>
        </w:tc>
        <w:tc>
          <w:tcPr>
            <w:tcW w:w="21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满足本技术规范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  <w:t>书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要求</w:t>
            </w:r>
          </w:p>
        </w:tc>
        <w:tc>
          <w:tcPr>
            <w:tcW w:w="1666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  <w:t>自中标通知书发出之日起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20日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7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单相电能表检定装置维修升级</w:t>
            </w:r>
          </w:p>
        </w:tc>
        <w:tc>
          <w:tcPr>
            <w:tcW w:w="77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  <w:t>项</w:t>
            </w:r>
          </w:p>
        </w:tc>
        <w:tc>
          <w:tcPr>
            <w:tcW w:w="21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满足本技术规范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  <w:t>书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要求</w:t>
            </w:r>
          </w:p>
        </w:tc>
        <w:tc>
          <w:tcPr>
            <w:tcW w:w="1666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</w:tr>
    </w:tbl>
    <w:p>
      <w:pPr>
        <w:rPr>
          <w:rFonts w:hint="eastAsia"/>
        </w:rPr>
      </w:pPr>
    </w:p>
    <w:p>
      <w:pPr>
        <w:pStyle w:val="5"/>
        <w:rPr>
          <w:rFonts w:hint="eastAsia" w:ascii="Calibri" w:hAnsi="宋体" w:eastAsia="宋体" w:cs="Times New Roman"/>
          <w:b/>
          <w:bCs/>
          <w:color w:val="auto"/>
          <w:kern w:val="44"/>
          <w:sz w:val="28"/>
          <w:szCs w:val="28"/>
          <w:lang w:val="en-US" w:eastAsia="zh-CN" w:bidi="ar-SA"/>
        </w:rPr>
      </w:pPr>
      <w:bookmarkStart w:id="7" w:name="_Toc16594"/>
      <w:r>
        <w:rPr>
          <w:rFonts w:hint="eastAsia" w:ascii="Calibri" w:hAnsi="宋体" w:eastAsia="宋体" w:cs="Times New Roman"/>
          <w:b/>
          <w:bCs/>
          <w:color w:val="auto"/>
          <w:kern w:val="44"/>
          <w:sz w:val="28"/>
          <w:szCs w:val="28"/>
          <w:lang w:val="en-US" w:eastAsia="zh-CN" w:bidi="ar-SA"/>
        </w:rPr>
        <w:t>7包装、运输及质量保证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7.1产品在运输应有防护措施，以免散失损坏或丢失、变形、受潮和腐蚀，中标方应按电压等级分类供货。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7.2储存、运输中应该注意通风、防潮,同时不得与有腐蚀性的物品堆放在一起。中标方应选择具备相应资质及经验的承运单位，并承担运输过程中因装卸操作不当导致的货物损坏、丢失等全部责任。</w:t>
      </w:r>
    </w:p>
    <w:p>
      <w:pPr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bookmarkStart w:id="8" w:name="_Toc28920"/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7.3 履约与工期要求</w:t>
      </w:r>
    </w:p>
    <w:p>
      <w:pPr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7.3.1 中标方应于中标通知书发出后15日内响应安装与调试工作，并通过招标方验收。</w:t>
      </w:r>
    </w:p>
    <w:p>
      <w:pPr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7.3.2 如因中标方责任导致工期延误超过10日，中标方承担相应违约责任。</w:t>
      </w:r>
    </w:p>
    <w:p>
      <w:pPr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7.4 质量保证</w:t>
      </w:r>
    </w:p>
    <w:p>
      <w:pPr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7.4.1 质保期自招标方最终验收合格之日起计算，为期1年。质保期内因产品本身质量问题导致的损坏，中标方应免费维修或更换。</w:t>
      </w:r>
    </w:p>
    <w:p>
      <w:pPr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7.5 质量体系与服务标准</w:t>
      </w:r>
    </w:p>
    <w:p>
      <w:pPr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7.5.1 中标方</w:t>
      </w:r>
      <w:bookmarkStart w:id="14" w:name="_GoBack"/>
      <w:bookmarkEnd w:id="14"/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应严格遵循招标文件中规定的各项技术要求及ISO9000/GB/T19000质量管理体系标准，确保质量体系有效运行并可供招标方查验。</w:t>
      </w:r>
    </w:p>
    <w:p>
      <w:pPr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</w:p>
    <w:p>
      <w:pPr>
        <w:rPr>
          <w:rFonts w:hint="eastAsia" w:ascii="Calibri" w:hAnsi="Calibri" w:eastAsia="宋体" w:cs="Times New Roman"/>
          <w:sz w:val="28"/>
          <w:lang w:val="en-US" w:eastAsia="zh-CN"/>
        </w:rPr>
      </w:pPr>
      <w:r>
        <w:rPr>
          <w:rFonts w:hint="eastAsia" w:ascii="Calibri" w:hAnsi="Calibri" w:eastAsia="宋体" w:cs="Times New Roman"/>
          <w:sz w:val="28"/>
          <w:lang w:val="en-US" w:eastAsia="zh-CN"/>
        </w:rPr>
        <w:br w:type="page"/>
      </w:r>
    </w:p>
    <w:p>
      <w:pPr>
        <w:pStyle w:val="4"/>
        <w:bidi w:val="0"/>
        <w:spacing w:before="0" w:after="0" w:line="360" w:lineRule="auto"/>
        <w:rPr>
          <w:rFonts w:hint="eastAsia" w:ascii="Calibri" w:hAnsi="Calibri" w:eastAsia="宋体" w:cs="Times New Roman"/>
          <w:sz w:val="28"/>
          <w:lang w:val="en-US" w:eastAsia="zh-CN"/>
        </w:rPr>
      </w:pPr>
      <w:r>
        <w:rPr>
          <w:rFonts w:hint="eastAsia" w:ascii="Calibri" w:hAnsi="Calibri" w:eastAsia="宋体" w:cs="Times New Roman"/>
          <w:sz w:val="28"/>
          <w:lang w:val="en-US" w:eastAsia="zh-CN"/>
        </w:rPr>
        <w:t>附件</w:t>
      </w:r>
      <w:bookmarkEnd w:id="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1.差异表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序号招标文件投标文件条目</w:t>
      </w:r>
    </w:p>
    <w:tbl>
      <w:tblPr>
        <w:tblStyle w:val="11"/>
        <w:tblW w:w="85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368"/>
        <w:gridCol w:w="2412"/>
        <w:gridCol w:w="1644"/>
        <w:gridCol w:w="2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9" w:name="_Toc148970013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序号</w:t>
            </w:r>
            <w:bookmarkEnd w:id="9"/>
          </w:p>
        </w:tc>
        <w:tc>
          <w:tcPr>
            <w:tcW w:w="3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10" w:name="_Toc148970014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招标文件</w:t>
            </w:r>
            <w:bookmarkEnd w:id="10"/>
          </w:p>
        </w:tc>
        <w:tc>
          <w:tcPr>
            <w:tcW w:w="38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11" w:name="_Toc148970015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投标文件</w:t>
            </w:r>
            <w:bookmarkEnd w:id="1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12" w:name="_Toc148970016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条目</w:t>
            </w:r>
            <w:bookmarkEnd w:id="12"/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13" w:name="_Toc148970017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简要内容</w:t>
            </w:r>
            <w:bookmarkEnd w:id="13"/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满足程度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优于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部分满足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优于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部分满足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2、投标方需要说明的其它问题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BA"/>
    <w:rsid w:val="0000347D"/>
    <w:rsid w:val="000C6D20"/>
    <w:rsid w:val="000E5E5B"/>
    <w:rsid w:val="00132F0B"/>
    <w:rsid w:val="00192F60"/>
    <w:rsid w:val="001A29E4"/>
    <w:rsid w:val="001B5C1B"/>
    <w:rsid w:val="00237B17"/>
    <w:rsid w:val="002F34D6"/>
    <w:rsid w:val="003B32BA"/>
    <w:rsid w:val="00555852"/>
    <w:rsid w:val="005649F5"/>
    <w:rsid w:val="005E4095"/>
    <w:rsid w:val="00660D42"/>
    <w:rsid w:val="00671434"/>
    <w:rsid w:val="006737E9"/>
    <w:rsid w:val="00674768"/>
    <w:rsid w:val="006E0B10"/>
    <w:rsid w:val="00730762"/>
    <w:rsid w:val="009A5C63"/>
    <w:rsid w:val="00B618A5"/>
    <w:rsid w:val="00B917D5"/>
    <w:rsid w:val="00C12DD9"/>
    <w:rsid w:val="00CD7AC5"/>
    <w:rsid w:val="00EF68A3"/>
    <w:rsid w:val="00F524B0"/>
    <w:rsid w:val="00F82C64"/>
    <w:rsid w:val="00FF2E87"/>
    <w:rsid w:val="03001AC7"/>
    <w:rsid w:val="095F4F6E"/>
    <w:rsid w:val="0C8711CC"/>
    <w:rsid w:val="102C4895"/>
    <w:rsid w:val="13D2571F"/>
    <w:rsid w:val="15AD5F8B"/>
    <w:rsid w:val="174602A2"/>
    <w:rsid w:val="1EA84720"/>
    <w:rsid w:val="20CB2AC4"/>
    <w:rsid w:val="22F42C65"/>
    <w:rsid w:val="267D55BB"/>
    <w:rsid w:val="2C155C0E"/>
    <w:rsid w:val="2E732342"/>
    <w:rsid w:val="2F0262C3"/>
    <w:rsid w:val="309B0A4D"/>
    <w:rsid w:val="35365000"/>
    <w:rsid w:val="3B225C8A"/>
    <w:rsid w:val="3B9F4427"/>
    <w:rsid w:val="3E8308D2"/>
    <w:rsid w:val="42DF17C9"/>
    <w:rsid w:val="4A6E1422"/>
    <w:rsid w:val="4CD25091"/>
    <w:rsid w:val="4D46504C"/>
    <w:rsid w:val="531910E2"/>
    <w:rsid w:val="53A13C98"/>
    <w:rsid w:val="572A4459"/>
    <w:rsid w:val="58FC50BF"/>
    <w:rsid w:val="60BD4F06"/>
    <w:rsid w:val="60D84571"/>
    <w:rsid w:val="648F7B93"/>
    <w:rsid w:val="70005D5A"/>
    <w:rsid w:val="7168227D"/>
    <w:rsid w:val="749234CF"/>
    <w:rsid w:val="75EC3368"/>
    <w:rsid w:val="7AB25FE9"/>
    <w:rsid w:val="7D42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table" w:styleId="12">
    <w:name w:val="Table Grid"/>
    <w:basedOn w:val="1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6">
    <w:name w:val="页脚 Char"/>
    <w:basedOn w:val="13"/>
    <w:link w:val="7"/>
    <w:qFormat/>
    <w:uiPriority w:val="99"/>
    <w:rPr>
      <w:sz w:val="18"/>
      <w:szCs w:val="18"/>
    </w:rPr>
  </w:style>
  <w:style w:type="character" w:customStyle="1" w:styleId="17">
    <w:name w:val="标题 2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标题 1 Char"/>
    <w:basedOn w:val="13"/>
    <w:link w:val="4"/>
    <w:qFormat/>
    <w:uiPriority w:val="9"/>
    <w:rPr>
      <w:b/>
      <w:bCs/>
      <w:kern w:val="44"/>
      <w:sz w:val="44"/>
      <w:szCs w:val="44"/>
    </w:rPr>
  </w:style>
  <w:style w:type="paragraph" w:customStyle="1" w:styleId="19">
    <w:name w:val="TOC Heading"/>
    <w:basedOn w:val="4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0">
    <w:name w:val="批注框文本 Char"/>
    <w:basedOn w:val="13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0C916-548B-454A-B2EF-C800392536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515</Words>
  <Characters>2939</Characters>
  <Lines>24</Lines>
  <Paragraphs>6</Paragraphs>
  <TotalTime>20</TotalTime>
  <ScaleCrop>false</ScaleCrop>
  <LinksUpToDate>false</LinksUpToDate>
  <CharactersWithSpaces>3448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2023-10-07T15:28:00Z</dcterms:created>
  <dc:creator>admin</dc:creator>
  <cp:lastModifiedBy>huangzhensheng.wz</cp:lastModifiedBy>
  <dcterms:modified xsi:type="dcterms:W3CDTF">2025-11-18T01:43:59Z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263517F0CBD048A2BDE4DCC4E6373F0B</vt:lpwstr>
  </property>
</Properties>
</file>