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360" w:lineRule="auto"/>
        <w:ind w:firstLine="482" w:firstLineChars="200"/>
        <w:jc w:val="center"/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云南电网有限责任公司电力科学研究院</w:t>
      </w:r>
    </w:p>
    <w:p>
      <w:pPr>
        <w:snapToGrid w:val="0"/>
        <w:spacing w:line="360" w:lineRule="auto"/>
        <w:ind w:firstLine="482" w:firstLineChars="200"/>
        <w:jc w:val="center"/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综合服务中心2025年职工食堂餐厨用具采购技术规范书</w:t>
      </w:r>
    </w:p>
    <w:p>
      <w:pPr>
        <w:pStyle w:val="2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标黄色的地方需要再核实一下，前后相符</w:t>
      </w:r>
    </w:p>
    <w:p>
      <w:pPr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  <w:t>一、标的物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为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保障职工食堂日常运营需求，满足餐饮制作、清洁等环节的标准化作业要求，遵循“安全第一、质量优先、性价比合理、节能环保”原则，拟通过采购提供食堂所需安全、耐用、高效的餐厨用具（具体清单详见下表）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。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本采购项目涵盖产品供应及相关配套服务。</w:t>
      </w:r>
    </w:p>
    <w:tbl>
      <w:tblPr>
        <w:tblStyle w:val="9"/>
        <w:tblpPr w:leftFromText="180" w:rightFromText="180" w:vertAnchor="text" w:horzAnchor="page" w:tblpXSpec="center" w:tblpY="464"/>
        <w:tblOverlap w:val="never"/>
        <w:tblW w:w="5351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4"/>
        <w:gridCol w:w="818"/>
        <w:gridCol w:w="1941"/>
        <w:gridCol w:w="1742"/>
        <w:gridCol w:w="870"/>
        <w:gridCol w:w="1198"/>
        <w:gridCol w:w="1665"/>
        <w:gridCol w:w="16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5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383" w:type="pct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品类</w:t>
            </w:r>
          </w:p>
        </w:tc>
        <w:tc>
          <w:tcPr>
            <w:tcW w:w="910" w:type="pct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品名</w:t>
            </w:r>
          </w:p>
        </w:tc>
        <w:tc>
          <w:tcPr>
            <w:tcW w:w="816" w:type="pct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</w:t>
            </w:r>
          </w:p>
        </w:tc>
        <w:tc>
          <w:tcPr>
            <w:tcW w:w="40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56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yellow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技术参数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单价（元）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8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食堂餐厨用具</w:t>
            </w:r>
          </w:p>
        </w:tc>
        <w:tc>
          <w:tcPr>
            <w:tcW w:w="9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商用蛋糕冷藏展示柜</w:t>
            </w:r>
          </w:p>
        </w:tc>
        <w:tc>
          <w:tcPr>
            <w:tcW w:w="8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900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mm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×660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mm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×1200mm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台</w:t>
            </w:r>
          </w:p>
        </w:tc>
        <w:tc>
          <w:tcPr>
            <w:tcW w:w="5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1</w:t>
            </w:r>
          </w:p>
        </w:tc>
        <w:tc>
          <w:tcPr>
            <w:tcW w:w="7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落地式弧形前开门</w:t>
            </w:r>
          </w:p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双层真空玻璃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双循环铜管</w:t>
            </w:r>
          </w:p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智能控制面板</w:t>
            </w:r>
          </w:p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LED照明灯</w:t>
            </w:r>
          </w:p>
        </w:tc>
        <w:tc>
          <w:tcPr>
            <w:tcW w:w="7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default" w:ascii="Arial" w:hAnsi="Arial" w:eastAsia="仿宋" w:cs="Arial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5000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8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16盘风冷双温双门插盘柜</w:t>
            </w:r>
          </w:p>
        </w:tc>
        <w:tc>
          <w:tcPr>
            <w:tcW w:w="8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830mm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×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625mm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×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1980mm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台</w:t>
            </w:r>
          </w:p>
        </w:tc>
        <w:tc>
          <w:tcPr>
            <w:tcW w:w="5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 w:bidi="ar-SA"/>
              </w:rPr>
              <w:t>1</w:t>
            </w:r>
          </w:p>
        </w:tc>
        <w:tc>
          <w:tcPr>
            <w:tcW w:w="7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加厚不锈钢面板</w:t>
            </w:r>
          </w:p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加厚不锈钢层架</w:t>
            </w:r>
          </w:p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可拆卸门边胶条</w:t>
            </w:r>
          </w:p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智能控制面板</w:t>
            </w:r>
          </w:p>
        </w:tc>
        <w:tc>
          <w:tcPr>
            <w:tcW w:w="7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default" w:ascii="Arial" w:hAnsi="Arial" w:eastAsia="仿宋" w:cs="Arial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5000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35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8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商用三门立式风冷展示柜</w:t>
            </w:r>
          </w:p>
        </w:tc>
        <w:tc>
          <w:tcPr>
            <w:tcW w:w="8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800mm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×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710mm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×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1940mm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台</w:t>
            </w:r>
          </w:p>
        </w:tc>
        <w:tc>
          <w:tcPr>
            <w:tcW w:w="5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双层真空玻璃门</w:t>
            </w:r>
          </w:p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分体式双台高效压缩机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内部全铜管</w:t>
            </w:r>
          </w:p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外包围全不锈钢</w:t>
            </w:r>
          </w:p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内部可调节加厚不锈钢层架</w:t>
            </w:r>
          </w:p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LED照明灯</w:t>
            </w:r>
          </w:p>
        </w:tc>
        <w:tc>
          <w:tcPr>
            <w:tcW w:w="7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default" w:ascii="Arial" w:hAnsi="Arial" w:eastAsia="仿宋" w:cs="Arial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≤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5000</w:t>
            </w:r>
            <w:bookmarkStart w:id="0" w:name="_GoBack"/>
            <w:bookmarkEnd w:id="0"/>
          </w:p>
        </w:tc>
      </w:tr>
    </w:tbl>
    <w:p>
      <w:pPr>
        <w:pStyle w:val="2"/>
        <w:rPr>
          <w:rFonts w:hint="eastAsia" w:ascii="仿宋" w:hAnsi="仿宋" w:eastAsia="仿宋" w:cs="仿宋"/>
          <w:sz w:val="24"/>
          <w:szCs w:val="24"/>
        </w:rPr>
      </w:pPr>
    </w:p>
    <w:p>
      <w:pPr>
        <w:ind w:firstLine="241" w:firstLineChars="100"/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  <w:t>二、要求</w:t>
      </w:r>
    </w:p>
    <w:p>
      <w:pPr>
        <w:ind w:firstLine="240" w:firstLineChars="1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（一）通用要求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1.供应商提供的产品需符合国家现行标准（GB4706.1-2005、GB4706.13-2014、GB17625.1-2022等），通过3C强制性产品认证，满足食品安全相关要求（符合GB/T4789.42-2008等标准）。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2.产品须为全新原厂正品，无外观瑕疵、性能缺陷，核心部件（压缩机、蒸发器等）为品牌原厂配置，技术资料齐全且真实有效。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（二）核心技术参数要求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（1）商用蛋糕冷藏展示柜：</w:t>
      </w:r>
    </w:p>
    <w:p>
      <w:pPr>
        <w:ind w:firstLine="240" w:firstLineChars="1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1.基础规格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--类型：落地式弧形前开门。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--有效容积：</w:t>
      </w:r>
      <w:r>
        <w:rPr>
          <w:rFonts w:hint="default" w:ascii="Arial" w:hAnsi="Arial" w:eastAsia="仿宋" w:cs="Arial"/>
          <w:sz w:val="24"/>
          <w:szCs w:val="24"/>
          <w:highlight w:val="none"/>
        </w:rPr>
        <w:t>≥</w:t>
      </w:r>
      <w:r>
        <w:rPr>
          <w:rFonts w:hint="eastAsia" w:ascii="Arial" w:hAnsi="Arial" w:eastAsia="仿宋" w:cs="Arial"/>
          <w:sz w:val="24"/>
          <w:szCs w:val="24"/>
          <w:highlight w:val="none"/>
          <w:lang w:val="en-US" w:eastAsia="zh-CN"/>
        </w:rPr>
        <w:t>150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L，满足展示与存储双重需求。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--外形尺寸（长×宽×高）：</w:t>
      </w:r>
      <w:r>
        <w:rPr>
          <w:rFonts w:hint="default" w:ascii="Arial" w:hAnsi="Arial" w:eastAsia="仿宋" w:cs="Arial"/>
          <w:sz w:val="24"/>
          <w:szCs w:val="24"/>
          <w:highlight w:val="none"/>
        </w:rPr>
        <w:t>≥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900mm</w:t>
      </w:r>
      <w:r>
        <w:rPr>
          <w:rFonts w:hint="eastAsia" w:ascii="仿宋" w:hAnsi="仿宋" w:eastAsia="仿宋" w:cs="仿宋"/>
          <w:i w:val="0"/>
          <w:iCs w:val="0"/>
          <w:color w:val="000000"/>
          <w:sz w:val="21"/>
          <w:szCs w:val="21"/>
          <w:u w:val="none"/>
          <w:lang w:val="en-US" w:eastAsia="zh-CN"/>
        </w:rPr>
        <w:t>×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660mm</w:t>
      </w:r>
      <w:r>
        <w:rPr>
          <w:rFonts w:hint="eastAsia" w:ascii="仿宋" w:hAnsi="仿宋" w:eastAsia="仿宋" w:cs="仿宋"/>
          <w:i w:val="0"/>
          <w:iCs w:val="0"/>
          <w:color w:val="000000"/>
          <w:sz w:val="21"/>
          <w:szCs w:val="21"/>
          <w:u w:val="none"/>
          <w:lang w:val="en-US" w:eastAsia="zh-CN"/>
        </w:rPr>
        <w:t>×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1200mm，适配安装场地空间。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--柜体材质：外壳采用耐腐蚀冷轧钢板+喷塑工艺，内胆为食品级PCM预涂板或不锈钢材质，无毒无味、易清洁、抗冲击。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--展示配置：配备双层中空钢化玻璃门/展示窗，透光率≥90%，防凝露设计；内置LED照明系统，亮度均匀不刺眼，突出展示效果。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2.制冷性能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--制冷方式：风冷无霜（温度均匀性≤±1℃，无需手动除霜）。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--温控范围：0℃~10℃宽幅可调，支持微电脑精准控温，显示精度±0.5℃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--制冷系统：双循环铜管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采用纯铜管蒸发器，分体式高效压缩机，制冷量匹配柜体负荷，快速降温（空载降温至5℃≤20分钟）。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--保温性能：整体发泡工艺，环保发泡材料填充，断电后保温时长≥6h，减少冷量损耗。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3.能效与环保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--能效等级：符合GB 26920标准一级能效，实测耗电量不高于标称值10%。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--制冷剂：采用环保型制冷剂（如R600a、R290），无氟环保，符合国家环保政策。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--噪音：运行噪音≤39dB(A)，运行平稳无异常震动或噪音。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4.安全与功能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--安全保护：具备过载保护、漏电保护、超温报警功能，电气安全性能达标。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--操作配置：配备高清液晶显示屏，温度调节直观便捷，支持参数锁定防误触。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--结构设计：配备可调节浸塑储物架，承重≥15kg/层，便于物品分类展示；门体配备抗菌防霉密封条，密封性能良好，易拆卸清洗。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--适配性：宽电压（220V±10%）、宽气候带设计，适应不同使用环境。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（2）16盘风冷双温双门插盘柜：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1.基础规格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--类型：风冷双温双门插盘柜。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--外形尺寸（长×宽×高）：</w:t>
      </w:r>
      <w:r>
        <w:rPr>
          <w:rFonts w:hint="default" w:ascii="Arial" w:hAnsi="Arial" w:eastAsia="仿宋" w:cs="Arial"/>
          <w:sz w:val="24"/>
          <w:szCs w:val="24"/>
          <w:highlight w:val="none"/>
        </w:rPr>
        <w:t>≥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830mm</w:t>
      </w:r>
      <w:r>
        <w:rPr>
          <w:rFonts w:hint="eastAsia" w:ascii="仿宋" w:hAnsi="仿宋" w:eastAsia="仿宋" w:cs="仿宋"/>
          <w:i w:val="0"/>
          <w:iCs w:val="0"/>
          <w:color w:val="000000"/>
          <w:sz w:val="21"/>
          <w:szCs w:val="21"/>
          <w:u w:val="none"/>
          <w:lang w:val="en-US" w:eastAsia="zh-CN"/>
        </w:rPr>
        <w:t>×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625mm</w:t>
      </w:r>
      <w:r>
        <w:rPr>
          <w:rFonts w:hint="eastAsia" w:ascii="仿宋" w:hAnsi="仿宋" w:eastAsia="仿宋" w:cs="仿宋"/>
          <w:i w:val="0"/>
          <w:iCs w:val="0"/>
          <w:color w:val="000000"/>
          <w:sz w:val="21"/>
          <w:szCs w:val="21"/>
          <w:u w:val="none"/>
          <w:lang w:val="en-US" w:eastAsia="zh-CN"/>
        </w:rPr>
        <w:t>×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1980mm。</w:t>
      </w:r>
    </w:p>
    <w:p>
      <w:pPr>
        <w:pStyle w:val="2"/>
        <w:ind w:left="0" w:leftChars="0" w:firstLine="0" w:firstLineChars="0"/>
        <w:rPr>
          <w:rFonts w:hint="eastAsia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--适配烤盘尺寸（长×宽）：400mm</w:t>
      </w:r>
      <w:r>
        <w:rPr>
          <w:rFonts w:hint="eastAsia" w:ascii="仿宋" w:hAnsi="仿宋" w:eastAsia="仿宋" w:cs="仿宋"/>
          <w:i w:val="0"/>
          <w:iCs w:val="0"/>
          <w:color w:val="000000"/>
          <w:sz w:val="21"/>
          <w:szCs w:val="21"/>
          <w:u w:val="none"/>
          <w:lang w:val="en-US" w:eastAsia="zh-CN"/>
        </w:rPr>
        <w:t>×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600mm，可插盘数量：16层，可调节层间距。</w:t>
      </w:r>
    </w:p>
    <w:p>
      <w:pPr>
        <w:jc w:val="both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--材质要求：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加厚不锈钢面板、加厚不锈钢层架。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--外壳：加厚不锈钢板拉丝工艺，耐腐蚀、防锈，表面光滑易清洁。</w:t>
      </w:r>
    </w:p>
    <w:p>
      <w:pPr>
        <w:jc w:val="left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--内胆：食品级304不锈钢（厚度≥1.2mm），无毒无味、抗冲击、耐高温消毒，无焊接死角。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可拆卸门边胶条。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--保温层：高密度聚氨酯整体发泡，导热系数≤0.024W/(m·K)，保温性能优异，无空洞、脱层。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2.制冷系统（核心）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--制冷方式：风冷无霜，蒸发器采用纯铜管+铝翅片，高效换热，温度均匀性≤±1℃。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--压缩机：类型：涡旋式/活塞式，制冷量匹配柜体负荷，电机绝缘等级≥F级，防护等级IP54。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--温控范围：速冻型-40℃~-10℃，冷藏型-5℃~15℃，支持微电脑精准控温，显示精度±0.1℃。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--降温速度：速冻型空载降温至-35℃≤60分钟，冷藏型空载降温至5℃≤20分钟。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--制冷剂：环保型制冷剂（R290/R600a），符合国家环保政策，无氟、无污染。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3.加热/除霜系统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--除霜方式：自动化霜（电加热+风机化霜），化霜周期可设定（默认6~8小时/次），化霜时长≤30分钟，化霜后自动排水，无积水残留。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4.控制系统与安全保护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--控制方式：触摸式液晶显示屏，支持温度设定、化霜参数调整、故障报警、运行记录查询，配备参数锁定功能防误触。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--安全保护：具备过载保护、漏电保护、超温报警、低压保护、化霜异常报警功能，断电后自动记忆参数，来电自动恢复运行。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5.能效与噪音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--能效等级：符合GB 26920标准一级能效，实测耗电量不高于标称值10%。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--运行噪音：≤42dB(A)，运行平稳无异常震动、噪音，适配室内使用场景。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（3）商用三门立式风冷展示柜：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1.基础规格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--类型：三门立式。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--有效容积：</w:t>
      </w:r>
      <w:r>
        <w:rPr>
          <w:rFonts w:hint="default" w:ascii="Arial" w:hAnsi="Arial" w:eastAsia="仿宋" w:cs="Arial"/>
          <w:sz w:val="24"/>
          <w:szCs w:val="24"/>
          <w:highlight w:val="none"/>
        </w:rPr>
        <w:t>≥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1471L，满足展示与存储双重需求。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--外形尺寸（长×宽×高）：</w:t>
      </w:r>
      <w:r>
        <w:rPr>
          <w:rFonts w:hint="default" w:ascii="Arial" w:hAnsi="Arial" w:eastAsia="仿宋" w:cs="Arial"/>
          <w:sz w:val="24"/>
          <w:szCs w:val="24"/>
          <w:highlight w:val="none"/>
        </w:rPr>
        <w:t>≥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1800mm</w:t>
      </w:r>
      <w:r>
        <w:rPr>
          <w:rFonts w:hint="eastAsia" w:ascii="仿宋" w:hAnsi="仿宋" w:eastAsia="仿宋" w:cs="仿宋"/>
          <w:i w:val="0"/>
          <w:iCs w:val="0"/>
          <w:color w:val="000000"/>
          <w:sz w:val="21"/>
          <w:szCs w:val="21"/>
          <w:u w:val="none"/>
          <w:lang w:val="en-US" w:eastAsia="zh-CN"/>
        </w:rPr>
        <w:t>×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710mm</w:t>
      </w:r>
      <w:r>
        <w:rPr>
          <w:rFonts w:hint="eastAsia" w:ascii="仿宋" w:hAnsi="仿宋" w:eastAsia="仿宋" w:cs="仿宋"/>
          <w:i w:val="0"/>
          <w:iCs w:val="0"/>
          <w:color w:val="000000"/>
          <w:sz w:val="21"/>
          <w:szCs w:val="21"/>
          <w:u w:val="none"/>
          <w:lang w:val="en-US" w:eastAsia="zh-CN"/>
        </w:rPr>
        <w:t>×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1940mm，适配安装场地空间。</w:t>
      </w:r>
    </w:p>
    <w:p>
      <w:pPr>
        <w:jc w:val="left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--柜体材质：外壳采用耐腐蚀201钢板拉丝工艺，内胆为食品级不锈钢材质，无毒无味、易清洁、抗冲击。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内部全铜管、外包围全不锈钢。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--展示配置：配备铝合金门框，双层中空钢化玻璃门，透光率≥90%，防凝露设计；内置LED照明系统，亮度均匀不刺眼，突出展示效果。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2.制冷性能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--制冷方式：风冷无霜（温度均匀性≤±1℃，无需手动除霜）。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--温控范围：0℃~10℃宽幅可调，支持微电脑精准控温，显示精度±0.5℃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--制冷系统：采用纯铜管蒸发器，分体式双台高效压缩机，制冷量匹配柜体负荷，快速降温（空载降温至5℃≤20分钟）。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--保温性能：整体发泡工艺，环保发泡材料填充，断电后保温时长≥6h，减少冷量损耗。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3.能效与环保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--能效等级：符合GB26920标准一级能效，实测耗电量不高于标称值10%。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--制冷剂：采用环保型制冷剂（如R600a、R290），无氟环保，符合国家环保政策。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--噪音：运行噪音≤39dB(A)，运行平稳无异常震动或噪音。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4.安全与功能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--安全保护：具备过载保护、漏电保护、超温报警功能，电气安全性能达标。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--操作配置：配备高清液晶显示屏，温度调节直观便捷，支持参数锁定防误触。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--结构设计：配备可调节浸塑储物架，承重≥25kg/层，便于物品分类展示；门体配备抗菌防霉密封条，密封性能良好，易拆卸清洗。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--适配性：宽电压（220V±10%）、宽气候带设计，适应不同使用环境。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（三）质量标准与检测要求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1.产品需通过耐压、绝缘、泄漏电流等安全测试，符合IEC60335-1、IEC60335-2-89国际标准。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2.连续运行72小时无故障，制冷/加热性能稳定，温度波动≤±1℃，无结露、渗漏、异响问题。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3.内胆不锈钢焊接处无毛刺、无渗漏，门体开关寿命≥10万次，玻璃门无划痕、裂纹，储物架无变形、断裂问题，密封性能良好，无变形、老化。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4.保温性能测试：断电后，冷藏型5℃保温时长≥12小时。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5.供应商需提供产品3C认证证书、产品合格证、技术说明书等证明文件。</w:t>
      </w:r>
    </w:p>
    <w:p>
      <w:pPr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  <w:t>三、交货、安装与验收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（一）交货要求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--交货时间、地点：订单确认后一个月内送达指定地点（云南省昆明市经济技术开发区云大西路105号云电科技园云南电科院）。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--交货方式：供应商负责运输、卸货、搬运至安装位置，承担运输过程中的所有费用与损坏风险。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--包装标准：防潮、防震、防碰撞包装，柜体关键部位（玻璃门、显示屏）需单独防护，包装标识清晰（含型号、数量、生产日期）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（二）安装调试</w:t>
      </w:r>
    </w:p>
    <w:p>
      <w:pPr>
        <w:ind w:firstLine="240" w:firstLineChars="1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--供应商在到货后7个工作日内完成安装调试，包括通电测试、温度校准、化霜参数设置、功能演示。</w:t>
      </w:r>
    </w:p>
    <w:p>
      <w:pPr>
        <w:ind w:firstLine="240" w:firstLineChars="1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--提供详细操作手册、维护保养指南，对采购方操作人员进行免费培训（含使用方法、日常维护、故障排查），确保熟练掌握。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（三）验收流程</w:t>
      </w:r>
    </w:p>
    <w:p>
      <w:pPr>
        <w:ind w:firstLine="240" w:firstLineChars="1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1.初步验收：核对产品型号、数量、外观、附件（说明书、合格证等）完整性，签署到货确认单。</w:t>
      </w:r>
    </w:p>
    <w:p>
      <w:pPr>
        <w:ind w:firstLine="240" w:firstLineChars="1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2.试运行验收：连续运行72小时，检测降温速度、温度稳定性、化霜效果、噪音、耗电量等指标，符合要求后方可进入下一步。</w:t>
      </w:r>
    </w:p>
    <w:p>
      <w:pPr>
        <w:ind w:firstLine="240" w:firstLineChars="1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3.正式验收：试运行合格后，双方签署验收报告；不合格产品供应商需在15个工作日内更换或整改，整改后重新验收。</w:t>
      </w:r>
    </w:p>
    <w:p>
      <w:pPr>
        <w:ind w:firstLine="241" w:firstLineChars="100"/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  <w:t>四、售后服务与质保</w:t>
      </w:r>
    </w:p>
    <w:p>
      <w:pPr>
        <w:ind w:firstLine="240" w:firstLineChars="1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1.质保期：自验收合格之日起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年，核心部件（压缩机、主控板、蒸发器）质保期≥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年。</w:t>
      </w:r>
    </w:p>
    <w:p>
      <w:pPr>
        <w:ind w:firstLine="240" w:firstLineChars="1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2.响应时效：接到维修通知后24小时内响应，48小时内到达现场处理故障（偏远地区可延长至72小时）。</w:t>
      </w:r>
    </w:p>
    <w:p>
      <w:pPr>
        <w:ind w:firstLine="240" w:firstLineChars="1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3.质保期内：免费提供维修、零部件更换服务，不收取人工、配件费用；免费提供1次年度维护保养服务。</w:t>
      </w:r>
    </w:p>
    <w:p>
      <w:pPr>
        <w:ind w:firstLine="240" w:firstLineChars="1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4.质保期外：提供终身维护服务，收取合理的零部件成本费及维修费，确保备品备件供应周期≥8年。</w:t>
      </w:r>
    </w:p>
    <w:p>
      <w:pPr>
        <w:ind w:firstLine="482" w:firstLineChars="200"/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  <w:t>五、其他要求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1.供应商需提供完整技术资料，包括产品电路图、零部件清单、3C认证证书、原厂授权证明。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2.产品需适配宽电压（220V±10%）、宽气候带设计，适应不同使用环境，运行电压波动时性能无明显变化。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3.报价人应在证明文件中提供产品报价单（含运输费、税费）等完整资料，报价包含但不限于产品费用、运输、保险、质保期、售后服务等所有费用，若在交付过程中发现有遗漏的，报价人承诺补齐，采购人不再另行支付费用。</w:t>
      </w:r>
    </w:p>
    <w:p>
      <w:pPr>
        <w:ind w:firstLine="480" w:firstLineChars="200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</w:rPr>
        <w:t>4.完成采购后，成交人应按采购人的要求按时、准确、完备地提供结算票据和相关资料，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经正式验收合格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，采购人按成交人提供的账号信息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一次性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支付款项。</w:t>
      </w: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</w:p>
    <w:p>
      <w:pPr>
        <w:rPr>
          <w:rFonts w:hint="eastAsia" w:ascii="仿宋" w:hAnsi="仿宋" w:eastAsia="仿宋" w:cs="仿宋"/>
          <w:sz w:val="24"/>
          <w:szCs w:val="24"/>
          <w:highlight w:val="none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page" w:x="5880" w:y="-14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rPr>
        <w:rStyle w:val="12"/>
      </w:rPr>
      <w:t>25</w:t>
    </w:r>
    <w:r>
      <w:fldChar w:fldCharType="end"/>
    </w:r>
  </w:p>
  <w:p>
    <w:pPr>
      <w:pStyle w:val="7"/>
      <w:spacing w:line="360" w:lineRule="auto"/>
      <w:ind w:right="360"/>
      <w:jc w:val="both"/>
      <w:rPr>
        <w:rFonts w:hint="eastAsia" w:ascii="宋体"/>
        <w:b/>
        <w:bCs/>
      </w:rPr>
    </w:pPr>
    <w:r>
      <w:rPr>
        <w:rFonts w:hint="eastAsia" w:ascii="宋体"/>
        <w:bCs/>
      </w:rPr>
      <w:t xml:space="preserve">                                               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right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separate"/>
    </w:r>
    <w:r>
      <w:fldChar w:fldCharType="end"/>
    </w:r>
  </w:p>
  <w:p>
    <w:pPr>
      <w:pStyle w:val="7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left="-2" w:leftChars="-71" w:hanging="140" w:hangingChars="78"/>
      <w:jc w:val="left"/>
      <w:rPr>
        <w:rFonts w:hint="eastAsia" w:ascii="楷体_GB2312" w:hAnsi="宋体" w:eastAsia="楷体_GB2312"/>
      </w:rPr>
    </w:pPr>
    <w:r>
      <w:rPr>
        <w:rFonts w:hint="eastAsia" w:ascii="楷体_GB2312" w:hAnsi="宋体" w:eastAsia="楷体_GB2312"/>
      </w:rPr>
      <w:t xml:space="preserve">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2440DC"/>
    <w:rsid w:val="03E5658C"/>
    <w:rsid w:val="05A5060C"/>
    <w:rsid w:val="05FC7C6F"/>
    <w:rsid w:val="06863B44"/>
    <w:rsid w:val="0ABC3FED"/>
    <w:rsid w:val="0AD079C7"/>
    <w:rsid w:val="0BE04803"/>
    <w:rsid w:val="0C080790"/>
    <w:rsid w:val="0CCF444A"/>
    <w:rsid w:val="0D9113F6"/>
    <w:rsid w:val="0E8C2D37"/>
    <w:rsid w:val="0F846B80"/>
    <w:rsid w:val="10E10FFD"/>
    <w:rsid w:val="13293503"/>
    <w:rsid w:val="15787241"/>
    <w:rsid w:val="16670F37"/>
    <w:rsid w:val="195B7734"/>
    <w:rsid w:val="1A342546"/>
    <w:rsid w:val="1B221535"/>
    <w:rsid w:val="1CD12138"/>
    <w:rsid w:val="1E9B20C6"/>
    <w:rsid w:val="1FE93F66"/>
    <w:rsid w:val="240D527F"/>
    <w:rsid w:val="269F4134"/>
    <w:rsid w:val="27542EE5"/>
    <w:rsid w:val="29167438"/>
    <w:rsid w:val="2C5C4D77"/>
    <w:rsid w:val="2DF56CF0"/>
    <w:rsid w:val="2F421715"/>
    <w:rsid w:val="315801A0"/>
    <w:rsid w:val="32841B94"/>
    <w:rsid w:val="32F03074"/>
    <w:rsid w:val="332D2FFE"/>
    <w:rsid w:val="343E75E6"/>
    <w:rsid w:val="372440DC"/>
    <w:rsid w:val="3AA903D3"/>
    <w:rsid w:val="3BA94C31"/>
    <w:rsid w:val="3D186815"/>
    <w:rsid w:val="3F613BA2"/>
    <w:rsid w:val="410F0B4C"/>
    <w:rsid w:val="42BD4ECE"/>
    <w:rsid w:val="443B53E0"/>
    <w:rsid w:val="44A50CEA"/>
    <w:rsid w:val="461A6091"/>
    <w:rsid w:val="495F0F7B"/>
    <w:rsid w:val="4A0C3C90"/>
    <w:rsid w:val="4C503ECE"/>
    <w:rsid w:val="4CD929E2"/>
    <w:rsid w:val="514A28D1"/>
    <w:rsid w:val="527F3EE1"/>
    <w:rsid w:val="53981C47"/>
    <w:rsid w:val="57270A88"/>
    <w:rsid w:val="58DE2CA8"/>
    <w:rsid w:val="5FCE450D"/>
    <w:rsid w:val="61F514C6"/>
    <w:rsid w:val="623C69F3"/>
    <w:rsid w:val="62A8397A"/>
    <w:rsid w:val="62F874D4"/>
    <w:rsid w:val="672D071F"/>
    <w:rsid w:val="676034DA"/>
    <w:rsid w:val="689D1CAA"/>
    <w:rsid w:val="6E1374B1"/>
    <w:rsid w:val="72511ED8"/>
    <w:rsid w:val="768C4337"/>
    <w:rsid w:val="78A35358"/>
    <w:rsid w:val="7985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styleId="3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kern w:val="2"/>
      <w:sz w:val="28"/>
      <w:szCs w:val="28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4">
    <w:name w:val="Body Text"/>
    <w:basedOn w:val="1"/>
    <w:next w:val="5"/>
    <w:qFormat/>
    <w:uiPriority w:val="0"/>
    <w:pPr>
      <w:spacing w:after="120"/>
      <w:jc w:val="both"/>
    </w:pPr>
    <w:rPr>
      <w:sz w:val="21"/>
    </w:rPr>
  </w:style>
  <w:style w:type="paragraph" w:styleId="5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Plain Text"/>
    <w:basedOn w:val="1"/>
    <w:qFormat/>
    <w:uiPriority w:val="0"/>
    <w:pPr>
      <w:widowControl w:val="0"/>
      <w:jc w:val="both"/>
    </w:pPr>
    <w:rPr>
      <w:rFonts w:ascii="宋体" w:hAnsi="Courier New"/>
      <w:kern w:val="2"/>
      <w:sz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page number"/>
    <w:basedOn w:val="11"/>
    <w:qFormat/>
    <w:uiPriority w:val="0"/>
  </w:style>
  <w:style w:type="paragraph" w:customStyle="1" w:styleId="13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  <w:rPr>
      <w:rFonts w:ascii="Times New Roman" w:hAnsi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电科院</Company>
  <Pages>4</Pages>
  <Words>3489</Words>
  <Characters>3942</Characters>
  <Lines>0</Lines>
  <Paragraphs>0</Paragraphs>
  <TotalTime>0</TotalTime>
  <ScaleCrop>false</ScaleCrop>
  <LinksUpToDate>false</LinksUpToDate>
  <CharactersWithSpaces>3944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2018-03-01T05:53:00Z</dcterms:created>
  <dc:creator>杨俊坤(兼职)</dc:creator>
  <cp:lastModifiedBy>22A1805AD84145478EB15C0ABE1E3FE5</cp:lastModifiedBy>
  <cp:lastPrinted>2024-05-15T05:05:00Z</cp:lastPrinted>
  <dcterms:modified xsi:type="dcterms:W3CDTF">2025-11-18T06:08:07Z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B087040383134BEFA7D35499FC0AE7F6</vt:lpwstr>
  </property>
  <property fmtid="{D5CDD505-2E9C-101B-9397-08002B2CF9AE}" pid="4" name="KSOTemplateDocerSaveRecord">
    <vt:lpwstr>eyJoZGlkIjoiNjVkYWZkYjU3ZDgyYzU1YTkzODljNDE2ZGM5ZTg1ZmIiLCJ1c2VySWQiOiI4OTY3MTY1ODkifQ==</vt:lpwstr>
  </property>
</Properties>
</file>