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jc w:val="center"/>
        <w:rPr>
          <w:rFonts w:ascii="Times New Roman" w:hAnsi="Times New Roman" w:eastAsia="黑体" w:cs="Times New Roman"/>
          <w:sz w:val="48"/>
          <w:szCs w:val="48"/>
        </w:rPr>
      </w:pPr>
      <w:r>
        <w:rPr>
          <w:rFonts w:ascii="Times New Roman" w:hAnsi="Times New Roman" w:cs="Times New Roman"/>
          <w:sz w:val="52"/>
          <w:szCs w:val="24"/>
        </w:rPr>
        <w:drawing>
          <wp:anchor distT="0" distB="0" distL="114300" distR="114300" simplePos="0" relativeHeight="251659264" behindDoc="0" locked="0" layoutInCell="1" allowOverlap="1">
            <wp:simplePos x="0" y="0"/>
            <wp:positionH relativeFrom="column">
              <wp:posOffset>-1157605</wp:posOffset>
            </wp:positionH>
            <wp:positionV relativeFrom="paragraph">
              <wp:posOffset>-908050</wp:posOffset>
            </wp:positionV>
            <wp:extent cx="7569200" cy="2279015"/>
            <wp:effectExtent l="0" t="0" r="12700" b="6985"/>
            <wp:wrapNone/>
            <wp:docPr id="2"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模板-3"/>
                    <pic:cNvPicPr>
                      <a:picLocks noChangeAspect="1" noChangeArrowheads="1"/>
                    </pic:cNvPicPr>
                  </pic:nvPicPr>
                  <pic:blipFill>
                    <a:blip r:embed="rId4" cstate="print"/>
                    <a:srcRect/>
                    <a:stretch>
                      <a:fillRect/>
                    </a:stretch>
                  </pic:blipFill>
                  <pic:spPr>
                    <a:xfrm>
                      <a:off x="0" y="0"/>
                      <a:ext cx="7569200" cy="2279015"/>
                    </a:xfrm>
                    <a:prstGeom prst="rect">
                      <a:avLst/>
                    </a:prstGeom>
                    <a:noFill/>
                  </pic:spPr>
                </pic:pic>
              </a:graphicData>
            </a:graphic>
          </wp:anchor>
        </w:drawing>
      </w:r>
    </w:p>
    <w:p>
      <w:pPr>
        <w:snapToGrid w:val="0"/>
        <w:jc w:val="center"/>
        <w:rPr>
          <w:rFonts w:ascii="Times New Roman" w:hAnsi="Times New Roman" w:eastAsia="黑体" w:cs="Times New Roman"/>
          <w:sz w:val="48"/>
          <w:szCs w:val="48"/>
        </w:rPr>
      </w:pPr>
    </w:p>
    <w:p>
      <w:pPr>
        <w:snapToGrid w:val="0"/>
        <w:jc w:val="center"/>
        <w:rPr>
          <w:rFonts w:ascii="Times New Roman" w:hAnsi="Times New Roman" w:eastAsia="黑体" w:cs="Times New Roman"/>
          <w:sz w:val="48"/>
          <w:szCs w:val="48"/>
        </w:rPr>
      </w:pPr>
    </w:p>
    <w:p>
      <w:pPr>
        <w:snapToGrid w:val="0"/>
        <w:jc w:val="center"/>
        <w:rPr>
          <w:rFonts w:ascii="Times New Roman" w:hAnsi="Times New Roman" w:eastAsia="黑体" w:cs="Times New Roman"/>
          <w:sz w:val="48"/>
          <w:szCs w:val="48"/>
        </w:rPr>
      </w:pPr>
    </w:p>
    <w:p>
      <w:pPr>
        <w:snapToGrid w:val="0"/>
        <w:jc w:val="center"/>
        <w:rPr>
          <w:rFonts w:ascii="Times New Roman" w:hAnsi="Times New Roman" w:eastAsia="黑体" w:cs="Times New Roman"/>
          <w:sz w:val="48"/>
          <w:szCs w:val="48"/>
        </w:rPr>
      </w:pPr>
    </w:p>
    <w:p>
      <w:pPr>
        <w:widowControl/>
        <w:spacing w:before="156" w:beforeLines="50" w:after="156" w:afterLines="50" w:line="560" w:lineRule="atLeast"/>
        <w:jc w:val="center"/>
        <w:rPr>
          <w:rFonts w:ascii="Times New Roman" w:hAnsi="Times New Roman" w:eastAsia="楷体_GB2312" w:cs="Times New Roman"/>
          <w:b/>
          <w:color w:val="000000"/>
          <w:position w:val="16"/>
          <w:sz w:val="52"/>
          <w:szCs w:val="72"/>
        </w:rPr>
      </w:pPr>
    </w:p>
    <w:p>
      <w:pPr>
        <w:pStyle w:val="2"/>
      </w:pPr>
    </w:p>
    <w:p>
      <w:pPr>
        <w:pStyle w:val="2"/>
      </w:pPr>
    </w:p>
    <w:p>
      <w:pPr>
        <w:snapToGrid w:val="0"/>
        <w:jc w:val="center"/>
        <w:rPr>
          <w:rFonts w:ascii="Times New Roman" w:hAnsi="Times New Roman" w:eastAsia="黑体" w:cs="Times New Roman"/>
          <w:sz w:val="44"/>
          <w:szCs w:val="44"/>
        </w:rPr>
      </w:pPr>
      <w:r>
        <w:rPr>
          <w:rFonts w:hint="eastAsia" w:ascii="Times New Roman" w:hAnsi="Times New Roman" w:eastAsia="黑体" w:cs="Times New Roman"/>
          <w:sz w:val="44"/>
          <w:szCs w:val="44"/>
        </w:rPr>
        <w:t>修试公司2025年梅蓄A厂导叶接力器吊装专用吊带、卸扣采购技术规范书</w:t>
      </w:r>
    </w:p>
    <w:p>
      <w:pPr>
        <w:snapToGrid w:val="0"/>
        <w:jc w:val="center"/>
        <w:rPr>
          <w:rFonts w:ascii="Times New Roman" w:hAnsi="Times New Roman" w:eastAsia="黑体" w:cs="Times New Roman"/>
          <w:sz w:val="44"/>
          <w:szCs w:val="44"/>
        </w:rPr>
      </w:pPr>
    </w:p>
    <w:p>
      <w:pPr>
        <w:snapToGrid w:val="0"/>
        <w:jc w:val="center"/>
        <w:rPr>
          <w:rFonts w:ascii="Times New Roman" w:hAnsi="Times New Roman" w:eastAsia="黑体" w:cs="Times New Roman"/>
          <w:sz w:val="44"/>
          <w:szCs w:val="44"/>
        </w:rPr>
      </w:pPr>
    </w:p>
    <w:p>
      <w:pPr>
        <w:snapToGrid w:val="0"/>
        <w:jc w:val="center"/>
        <w:rPr>
          <w:rFonts w:ascii="Times New Roman" w:hAnsi="Times New Roman" w:eastAsia="黑体" w:cs="Times New Roman"/>
          <w:sz w:val="44"/>
          <w:szCs w:val="44"/>
        </w:rPr>
      </w:pPr>
    </w:p>
    <w:p>
      <w:pPr>
        <w:snapToGrid w:val="0"/>
        <w:jc w:val="center"/>
        <w:rPr>
          <w:rFonts w:ascii="Times New Roman" w:hAnsi="Times New Roman" w:eastAsia="黑体" w:cs="Times New Roman"/>
          <w:sz w:val="44"/>
          <w:szCs w:val="44"/>
        </w:rPr>
      </w:pPr>
    </w:p>
    <w:p>
      <w:pPr>
        <w:snapToGrid w:val="0"/>
        <w:jc w:val="center"/>
        <w:rPr>
          <w:rFonts w:ascii="Times New Roman" w:hAnsi="Times New Roman" w:eastAsia="黑体" w:cs="Times New Roman"/>
          <w:sz w:val="44"/>
          <w:szCs w:val="44"/>
        </w:rPr>
      </w:pPr>
    </w:p>
    <w:p>
      <w:pPr>
        <w:snapToGrid w:val="0"/>
        <w:jc w:val="center"/>
        <w:rPr>
          <w:rFonts w:ascii="Times New Roman" w:hAnsi="Times New Roman" w:eastAsia="黑体" w:cs="Times New Roman"/>
          <w:sz w:val="44"/>
          <w:szCs w:val="44"/>
        </w:rPr>
      </w:pPr>
    </w:p>
    <w:p>
      <w:pPr>
        <w:snapToGrid w:val="0"/>
        <w:jc w:val="center"/>
        <w:rPr>
          <w:rFonts w:ascii="Times New Roman" w:hAnsi="Times New Roman" w:eastAsia="黑体" w:cs="Times New Roman"/>
          <w:sz w:val="44"/>
          <w:szCs w:val="44"/>
        </w:rPr>
      </w:pPr>
    </w:p>
    <w:p>
      <w:pPr>
        <w:pStyle w:val="2"/>
        <w:rPr>
          <w:rFonts w:ascii="Times New Roman" w:hAnsi="Times New Roman" w:eastAsia="黑体" w:cs="Times New Roman"/>
          <w:sz w:val="44"/>
          <w:szCs w:val="44"/>
        </w:rPr>
      </w:pPr>
    </w:p>
    <w:p>
      <w:pPr>
        <w:pStyle w:val="2"/>
        <w:rPr>
          <w:rFonts w:hint="eastAsia" w:ascii="Times New Roman" w:hAnsi="Times New Roman" w:eastAsia="黑体" w:cs="Times New Roman"/>
          <w:sz w:val="44"/>
          <w:szCs w:val="44"/>
          <w:lang w:val="en-US" w:eastAsia="zh-CN"/>
        </w:rPr>
      </w:pPr>
    </w:p>
    <w:p>
      <w:pPr>
        <w:snapToGrid w:val="0"/>
        <w:jc w:val="center"/>
        <w:rPr>
          <w:rFonts w:ascii="Times New Roman" w:hAnsi="Times New Roman" w:eastAsia="黑体" w:cs="Times New Roman"/>
          <w:sz w:val="44"/>
          <w:szCs w:val="44"/>
        </w:rPr>
      </w:pPr>
    </w:p>
    <w:p>
      <w:pPr>
        <w:snapToGrid w:val="0"/>
        <w:jc w:val="center"/>
        <w:rPr>
          <w:rFonts w:hint="eastAsia" w:ascii="Times New Roman" w:hAnsi="Times New Roman" w:eastAsia="黑体" w:cs="Times New Roman"/>
          <w:sz w:val="44"/>
          <w:szCs w:val="44"/>
        </w:rPr>
      </w:pPr>
      <w:r>
        <w:rPr>
          <w:rFonts w:hint="eastAsia" w:ascii="Times New Roman" w:hAnsi="Times New Roman" w:eastAsia="黑体" w:cs="Times New Roman"/>
          <w:sz w:val="44"/>
          <w:szCs w:val="44"/>
        </w:rPr>
        <w:t xml:space="preserve"> </w:t>
      </w:r>
      <w:r>
        <w:rPr>
          <w:rFonts w:hint="eastAsia" w:ascii="Times New Roman" w:hAnsi="Times New Roman" w:eastAsia="黑体" w:cs="Times New Roman"/>
          <w:sz w:val="36"/>
          <w:szCs w:val="36"/>
        </w:rPr>
        <w:t>二〇二</w:t>
      </w:r>
      <w:r>
        <w:rPr>
          <w:rFonts w:hint="eastAsia" w:ascii="Times New Roman" w:hAnsi="Times New Roman" w:eastAsia="黑体" w:cs="Times New Roman"/>
          <w:sz w:val="36"/>
          <w:szCs w:val="36"/>
          <w:lang w:val="en-US" w:eastAsia="zh-CN"/>
        </w:rPr>
        <w:t>五</w:t>
      </w:r>
      <w:r>
        <w:rPr>
          <w:rFonts w:hint="eastAsia" w:ascii="Times New Roman" w:hAnsi="Times New Roman" w:eastAsia="黑体" w:cs="Times New Roman"/>
          <w:sz w:val="36"/>
          <w:szCs w:val="36"/>
        </w:rPr>
        <w:t>年</w:t>
      </w:r>
      <w:r>
        <w:rPr>
          <w:rFonts w:hint="eastAsia" w:ascii="Times New Roman" w:hAnsi="Times New Roman" w:eastAsia="黑体" w:cs="Times New Roman"/>
          <w:sz w:val="36"/>
          <w:szCs w:val="36"/>
          <w:lang w:val="en-US" w:eastAsia="zh-CN"/>
        </w:rPr>
        <w:t>九</w:t>
      </w:r>
      <w:r>
        <w:rPr>
          <w:rFonts w:hint="eastAsia" w:ascii="Times New Roman" w:hAnsi="Times New Roman" w:eastAsia="黑体" w:cs="Times New Roman"/>
          <w:sz w:val="36"/>
          <w:szCs w:val="36"/>
        </w:rPr>
        <w:t>月</w:t>
      </w:r>
    </w:p>
    <w:p>
      <w:pPr>
        <w:pStyle w:val="2"/>
        <w:rPr>
          <w:rFonts w:hint="eastAsia" w:ascii="Times New Roman" w:hAnsi="Times New Roman" w:eastAsia="楷体_GB2312" w:cs="Times New Roman"/>
          <w:b/>
          <w:color w:val="000000"/>
          <w:position w:val="16"/>
          <w:sz w:val="36"/>
        </w:rPr>
      </w:pPr>
    </w:p>
    <w:p>
      <w:pPr>
        <w:jc w:val="left"/>
        <w:outlineLvl w:val="0"/>
        <w:rPr>
          <w:rFonts w:hint="eastAsia" w:ascii="新宋体" w:hAnsi="新宋体" w:eastAsia="新宋体" w:cs="新宋体"/>
          <w:b/>
          <w:sz w:val="28"/>
          <w:szCs w:val="24"/>
        </w:rPr>
        <w:sectPr>
          <w:pgSz w:w="11906" w:h="16838"/>
          <w:pgMar w:top="1440" w:right="1803" w:bottom="1440" w:left="1803" w:header="851" w:footer="992" w:gutter="0"/>
          <w:cols w:space="0" w:num="1"/>
          <w:rtlGutter w:val="0"/>
          <w:docGrid w:type="lines" w:linePitch="319" w:charSpace="0"/>
        </w:sectPr>
      </w:pPr>
    </w:p>
    <w:p>
      <w:pPr>
        <w:widowControl/>
        <w:spacing w:line="360" w:lineRule="auto"/>
        <w:rPr>
          <w:rFonts w:hint="eastAsia" w:ascii="Times New Roman" w:hAnsi="Times New Roman" w:eastAsia="宋体" w:cs="Times New Roman"/>
          <w:b/>
          <w:bCs/>
          <w:iCs/>
          <w:color w:val="000000" w:themeColor="text1"/>
          <w:kern w:val="0"/>
          <w:sz w:val="30"/>
          <w:szCs w:val="28"/>
          <w:lang w:val="zh-CN" w:eastAsia="zh-CN" w:bidi="ar-SA"/>
          <w14:textFill>
            <w14:solidFill>
              <w14:schemeClr w14:val="tx1"/>
            </w14:solidFill>
          </w14:textFill>
        </w:rPr>
      </w:pPr>
      <w:r>
        <w:rPr>
          <w:rFonts w:hint="eastAsia" w:ascii="Times New Roman" w:hAnsi="Times New Roman" w:eastAsia="宋体" w:cs="Times New Roman"/>
          <w:b/>
          <w:bCs/>
          <w:iCs/>
          <w:color w:val="000000" w:themeColor="text1"/>
          <w:kern w:val="0"/>
          <w:sz w:val="30"/>
          <w:szCs w:val="28"/>
          <w:lang w:val="zh-CN" w:eastAsia="zh-CN" w:bidi="ar-SA"/>
          <w14:textFill>
            <w14:solidFill>
              <w14:schemeClr w14:val="tx1"/>
            </w14:solidFill>
          </w14:textFill>
        </w:rPr>
        <w:t>一、引用技术标准的规定</w:t>
      </w:r>
    </w:p>
    <w:p>
      <w:pPr>
        <w:pStyle w:val="10"/>
        <w:numPr>
          <w:ilvl w:val="0"/>
          <w:numId w:val="0"/>
        </w:numPr>
        <w:bidi w:val="0"/>
        <w:ind w:leftChars="0"/>
        <w:rPr>
          <w:rFonts w:hint="eastAsia" w:ascii="Times New Roman" w:hAnsi="Times New Roman" w:eastAsia="宋体" w:cs="Times New Roman"/>
          <w:b/>
          <w:color w:val="000000" w:themeColor="text1"/>
          <w:kern w:val="0"/>
          <w:sz w:val="24"/>
          <w:szCs w:val="24"/>
          <w:lang w:val="en-US" w:eastAsia="zh-CN" w:bidi="ar-SA"/>
          <w14:textFill>
            <w14:solidFill>
              <w14:schemeClr w14:val="tx1"/>
            </w14:solidFill>
          </w14:textFill>
        </w:rPr>
      </w:pPr>
      <w:r>
        <w:rPr>
          <w:rFonts w:hint="eastAsia" w:ascii="Times New Roman" w:hAnsi="Times New Roman" w:eastAsia="宋体" w:cs="Times New Roman"/>
          <w:b/>
          <w:color w:val="000000" w:themeColor="text1"/>
          <w:kern w:val="0"/>
          <w:sz w:val="24"/>
          <w:szCs w:val="24"/>
          <w:lang w:val="en-US" w:eastAsia="zh-CN" w:bidi="ar-SA"/>
          <w14:textFill>
            <w14:solidFill>
              <w14:schemeClr w14:val="tx1"/>
            </w14:solidFill>
          </w14:textFill>
        </w:rPr>
        <w:t>1.1 标准和规程</w:t>
      </w:r>
    </w:p>
    <w:p>
      <w:pPr>
        <w:pStyle w:val="13"/>
        <w:numPr>
          <w:ilvl w:val="0"/>
          <w:numId w:val="0"/>
        </w:numPr>
        <w:tabs>
          <w:tab w:val="left" w:pos="0"/>
        </w:tabs>
        <w:spacing w:line="360" w:lineRule="auto"/>
        <w:ind w:firstLine="420" w:firstLineChars="200"/>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pPr>
      <w:r>
        <w:rPr>
          <w:rFonts w:hint="eastAsia" w:ascii="新宋体" w:hAnsi="新宋体" w:eastAsia="新宋体" w:cs="新宋体"/>
          <w:b w:val="0"/>
          <w:bCs w:val="0"/>
          <w:szCs w:val="21"/>
          <w:lang w:val="en-US" w:eastAsia="zh-CN"/>
        </w:rPr>
        <w:t>1.1.1</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t>招标文件中所有设备，包括卖方自其他单位获得的所有附件和设备，除本技术条款中规定的技术参数和要求外，其余均应遵照最新版本的IEC标准及国际单位制（SI）、国家标准（GB）和电力行业标准（DL），这是对设备的最低要求。卖方如果采用自己的标准或规范，必须向买方提供中文或英文复印件并经买方同意后方可采用，但不能低于IEC、GB和DL的有关规定。</w:t>
      </w:r>
    </w:p>
    <w:p>
      <w:pPr>
        <w:pStyle w:val="13"/>
        <w:numPr>
          <w:ilvl w:val="0"/>
          <w:numId w:val="0"/>
        </w:numPr>
        <w:tabs>
          <w:tab w:val="left" w:pos="0"/>
        </w:tabs>
        <w:spacing w:line="360" w:lineRule="auto"/>
        <w:ind w:firstLine="420" w:firstLineChars="200"/>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pPr>
      <w:r>
        <w:rPr>
          <w:rFonts w:hint="eastAsia" w:ascii="新宋体" w:hAnsi="新宋体" w:eastAsia="新宋体" w:cs="新宋体"/>
          <w:b w:val="0"/>
          <w:bCs w:val="0"/>
          <w:szCs w:val="21"/>
          <w:lang w:val="en-US" w:eastAsia="zh-CN"/>
        </w:rPr>
        <w:t>1.1.2</w:t>
      </w:r>
      <w:r>
        <w:rPr>
          <w:rFonts w:hint="eastAsia" w:ascii="新宋体" w:hAnsi="新宋体" w:eastAsia="新宋体" w:cs="新宋体"/>
          <w:szCs w:val="21"/>
          <w:lang w:val="en-US" w:eastAsia="zh-CN"/>
        </w:rPr>
        <w:t xml:space="preserve"> </w:t>
      </w:r>
      <w:r>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t>买方应按下列机构、协会和组织的标准和规程的相应条款进行采购文件中设备的设计、制造和试验。买方应将与本采购文件中设备直接有关的标准和规程的适用部分提供给卖方。</w:t>
      </w:r>
    </w:p>
    <w:p>
      <w:pPr>
        <w:spacing w:before="78" w:beforeLines="25" w:line="360" w:lineRule="auto"/>
        <w:ind w:firstLine="480" w:firstLineChars="200"/>
        <w:jc w:val="left"/>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t>A.</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t>中华人民共和国国家标准</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t>GB</w:t>
      </w:r>
    </w:p>
    <w:p>
      <w:pPr>
        <w:spacing w:before="78" w:beforeLines="25" w:line="360" w:lineRule="auto"/>
        <w:ind w:firstLine="480" w:firstLineChars="200"/>
        <w:jc w:val="left"/>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t>B.</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t>中华人民共和国电力行业标准</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t>DL</w:t>
      </w:r>
    </w:p>
    <w:p>
      <w:pPr>
        <w:spacing w:before="78" w:beforeLines="25" w:line="360" w:lineRule="auto"/>
        <w:ind w:firstLine="480" w:firstLineChars="200"/>
        <w:jc w:val="left"/>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t>C.</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t>国际电工委员会</w:t>
      </w:r>
      <w:r>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tab/>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t>IEC</w:t>
      </w:r>
    </w:p>
    <w:p>
      <w:pPr>
        <w:spacing w:before="78" w:beforeLines="25" w:line="360" w:lineRule="auto"/>
        <w:ind w:firstLine="480" w:firstLineChars="200"/>
        <w:jc w:val="left"/>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t>D.</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t>国际标准化组织</w:t>
      </w:r>
      <w:r>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tab/>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t>ISO</w:t>
      </w:r>
    </w:p>
    <w:p>
      <w:pPr>
        <w:spacing w:before="78" w:beforeLines="25" w:line="360" w:lineRule="auto"/>
        <w:ind w:firstLine="480" w:firstLineChars="200"/>
        <w:jc w:val="left"/>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t>E</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t>国家电气制造商协会</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t xml:space="preserve"> NEMA</w:t>
      </w:r>
    </w:p>
    <w:p>
      <w:pPr>
        <w:pStyle w:val="13"/>
        <w:numPr>
          <w:ilvl w:val="0"/>
          <w:numId w:val="0"/>
        </w:numPr>
        <w:tabs>
          <w:tab w:val="left" w:pos="0"/>
        </w:tabs>
        <w:spacing w:line="360" w:lineRule="auto"/>
        <w:ind w:firstLine="420" w:firstLineChars="200"/>
        <w:rPr>
          <w:rFonts w:hint="eastAsia" w:ascii="新宋体" w:hAnsi="新宋体" w:eastAsia="新宋体" w:cs="新宋体"/>
          <w:szCs w:val="21"/>
        </w:rPr>
      </w:pPr>
      <w:r>
        <w:rPr>
          <w:rFonts w:hint="eastAsia" w:ascii="新宋体" w:hAnsi="新宋体" w:eastAsia="新宋体" w:cs="新宋体"/>
          <w:b w:val="0"/>
          <w:bCs w:val="0"/>
          <w:szCs w:val="21"/>
          <w:lang w:val="en-US" w:eastAsia="zh-CN"/>
        </w:rPr>
        <w:t>1.1.3</w:t>
      </w:r>
      <w:r>
        <w:rPr>
          <w:rFonts w:hint="eastAsia" w:ascii="新宋体" w:hAnsi="新宋体" w:eastAsia="新宋体" w:cs="新宋体"/>
          <w:szCs w:val="21"/>
          <w:lang w:val="en-US" w:eastAsia="zh-CN"/>
        </w:rPr>
        <w:t xml:space="preserve"> </w:t>
      </w:r>
      <w:r>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t>在上述标准中，优先采用中华人民共和国国家标准，在国家标准缺项或不完善时，可参考选用相应的国际标准或其它国家的标准。上述标准或规程与本技术条款有矛盾的地方，以本技术条款为准。如果在上述标准或规程之间存在矛盾，而在本技术条款中并未明确规定，则应以买方的决定为准。本采购文件所使用的标准或规程应是最新版本。</w:t>
      </w:r>
    </w:p>
    <w:p>
      <w:pPr>
        <w:pStyle w:val="10"/>
        <w:numPr>
          <w:ilvl w:val="0"/>
          <w:numId w:val="0"/>
        </w:numPr>
        <w:bidi w:val="0"/>
        <w:ind w:leftChars="0"/>
        <w:rPr>
          <w:rFonts w:hint="eastAsia" w:ascii="Times New Roman" w:hAnsi="Times New Roman" w:eastAsia="宋体" w:cs="Times New Roman"/>
          <w:b/>
          <w:color w:val="000000" w:themeColor="text1"/>
          <w:kern w:val="0"/>
          <w:sz w:val="24"/>
          <w:szCs w:val="24"/>
          <w:lang w:val="en-US" w:eastAsia="zh-CN" w:bidi="ar-SA"/>
          <w14:textFill>
            <w14:solidFill>
              <w14:schemeClr w14:val="tx1"/>
            </w14:solidFill>
          </w14:textFill>
        </w:rPr>
      </w:pPr>
      <w:r>
        <w:rPr>
          <w:rFonts w:hint="eastAsia" w:ascii="Times New Roman" w:hAnsi="Times New Roman" w:eastAsia="宋体" w:cs="Times New Roman"/>
          <w:b/>
          <w:color w:val="000000" w:themeColor="text1"/>
          <w:kern w:val="0"/>
          <w:sz w:val="24"/>
          <w:szCs w:val="24"/>
          <w:lang w:val="en-US" w:eastAsia="zh-CN" w:bidi="ar-SA"/>
          <w14:textFill>
            <w14:solidFill>
              <w14:schemeClr w14:val="tx1"/>
            </w14:solidFill>
          </w14:textFill>
        </w:rPr>
        <w:t>1.2主要技术标准</w:t>
      </w:r>
    </w:p>
    <w:p>
      <w:pPr>
        <w:pStyle w:val="13"/>
        <w:numPr>
          <w:ilvl w:val="0"/>
          <w:numId w:val="0"/>
        </w:numPr>
        <w:tabs>
          <w:tab w:val="left" w:pos="0"/>
        </w:tabs>
        <w:spacing w:line="360" w:lineRule="auto"/>
        <w:ind w:firstLine="480" w:firstLineChars="200"/>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物资</w:t>
      </w:r>
      <w:r>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t>的设计、制造和试验应以国家或行业规范为准。使用的标准应是在招标文件发出以前已颁布的电力行业及国家标准的最新版本。</w:t>
      </w:r>
    </w:p>
    <w:p>
      <w:pPr>
        <w:pStyle w:val="15"/>
        <w:ind w:firstLine="480" w:firstLineChars="200"/>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pPr>
      <w:bookmarkStart w:id="0" w:name="OLE_LINK3"/>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主要标准包括但不限于此：</w:t>
      </w:r>
    </w:p>
    <w:p>
      <w:pPr>
        <w:pStyle w:val="15"/>
        <w:ind w:leftChars="200" w:firstLine="0" w:firstLineChars="0"/>
        <w:rPr>
          <w:rFonts w:hint="default" w:ascii="Times New Roman" w:hAnsi="Times New Roman" w:eastAsia="宋体" w:cs="Times New Roman"/>
          <w:color w:val="000000" w:themeColor="text1"/>
          <w:kern w:val="0"/>
          <w:sz w:val="24"/>
          <w:szCs w:val="24"/>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SA"/>
          <w14:textFill>
            <w14:solidFill>
              <w14:schemeClr w14:val="tx1"/>
            </w14:solidFill>
          </w14:textFill>
        </w:rPr>
        <w:t>GB</w:t>
      </w:r>
      <w:r>
        <w:rPr>
          <w:rFonts w:hint="eastAsia" w:ascii="Times New Roman" w:hAnsi="Times New Roman" w:cs="Times New Roman"/>
          <w:color w:val="000000" w:themeColor="text1"/>
          <w:kern w:val="0"/>
          <w:sz w:val="24"/>
          <w:szCs w:val="24"/>
          <w:lang w:val="en-US" w:eastAsia="zh-CN" w:bidi="ar-SA"/>
          <w14:textFill>
            <w14:solidFill>
              <w14:schemeClr w14:val="tx1"/>
            </w14:solidFill>
          </w14:textFill>
        </w:rPr>
        <w:t>/T 5226.1 《机械电气安全机械电气设备》</w:t>
      </w:r>
    </w:p>
    <w:p>
      <w:pPr>
        <w:pStyle w:val="15"/>
        <w:ind w:leftChars="200" w:firstLine="0" w:firstLineChars="0"/>
        <w:rPr>
          <w:rFonts w:hint="default" w:ascii="Times New Roman" w:hAnsi="Times New Roman" w:eastAsia="新宋体" w:cs="Times New Roman"/>
          <w:kern w:val="2"/>
          <w:sz w:val="21"/>
          <w:szCs w:val="21"/>
          <w:lang w:val="en-US" w:eastAsia="zh-CN" w:bidi="ar-SA"/>
        </w:rPr>
      </w:pPr>
      <w:r>
        <w:rPr>
          <w:rFonts w:hint="default" w:ascii="Times New Roman" w:hAnsi="Times New Roman" w:eastAsia="宋体" w:cs="Times New Roman"/>
          <w:color w:val="000000" w:themeColor="text1"/>
          <w:kern w:val="0"/>
          <w:sz w:val="24"/>
          <w:szCs w:val="24"/>
          <w:lang w:val="en-US" w:eastAsia="zh-CN" w:bidi="ar-SA"/>
          <w14:textFill>
            <w14:solidFill>
              <w14:schemeClr w14:val="tx1"/>
            </w14:solidFill>
          </w14:textFill>
        </w:rPr>
        <w:t>GB</w:t>
      </w:r>
      <w:r>
        <w:rPr>
          <w:rFonts w:hint="eastAsia" w:ascii="Times New Roman" w:hAnsi="Times New Roman" w:cs="Times New Roman"/>
          <w:color w:val="000000" w:themeColor="text1"/>
          <w:kern w:val="0"/>
          <w:sz w:val="24"/>
          <w:szCs w:val="24"/>
          <w:lang w:val="en-US" w:eastAsia="zh-CN" w:bidi="ar-SA"/>
          <w14:textFill>
            <w14:solidFill>
              <w14:schemeClr w14:val="tx1"/>
            </w14:solidFill>
          </w14:textFill>
        </w:rPr>
        <w:t>/T 3797 《电气控制设备》</w:t>
      </w:r>
    </w:p>
    <w:p>
      <w:pPr>
        <w:pStyle w:val="15"/>
        <w:ind w:leftChars="200" w:firstLine="0" w:firstLineChars="0"/>
        <w:rPr>
          <w:rFonts w:hint="default" w:ascii="Times New Roman" w:hAnsi="Times New Roman" w:eastAsia="宋体" w:cs="Times New Roman"/>
          <w:color w:val="000000" w:themeColor="text1"/>
          <w:kern w:val="0"/>
          <w:sz w:val="24"/>
          <w:szCs w:val="24"/>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SA"/>
          <w14:textFill>
            <w14:solidFill>
              <w14:schemeClr w14:val="tx1"/>
            </w14:solidFill>
          </w14:textFill>
        </w:rPr>
        <w:t>GB/T 13384</w:t>
      </w:r>
      <w:r>
        <w:rPr>
          <w:rFonts w:hint="eastAsia" w:ascii="Times New Roman" w:hAnsi="Times New Roman" w:cs="Times New Roman"/>
          <w:color w:val="000000" w:themeColor="text1"/>
          <w:kern w:val="0"/>
          <w:sz w:val="24"/>
          <w:szCs w:val="24"/>
          <w:lang w:val="en-US" w:eastAsia="zh-CN" w:bidi="ar-SA"/>
          <w14:textFill>
            <w14:solidFill>
              <w14:schemeClr w14:val="tx1"/>
            </w14:solidFill>
          </w14:textFill>
        </w:rPr>
        <w:t xml:space="preserve"> 《</w:t>
      </w:r>
      <w:r>
        <w:rPr>
          <w:rFonts w:hint="default" w:ascii="Times New Roman" w:hAnsi="Times New Roman" w:eastAsia="宋体" w:cs="Times New Roman"/>
          <w:color w:val="000000" w:themeColor="text1"/>
          <w:kern w:val="0"/>
          <w:sz w:val="24"/>
          <w:szCs w:val="24"/>
          <w:lang w:val="en-US" w:eastAsia="zh-CN" w:bidi="ar-SA"/>
          <w14:textFill>
            <w14:solidFill>
              <w14:schemeClr w14:val="tx1"/>
            </w14:solidFill>
          </w14:textFill>
        </w:rPr>
        <w:t>机电产品包装通用技术条件</w:t>
      </w:r>
      <w:r>
        <w:rPr>
          <w:rFonts w:hint="eastAsia" w:ascii="Times New Roman" w:hAnsi="Times New Roman" w:cs="Times New Roman"/>
          <w:color w:val="000000" w:themeColor="text1"/>
          <w:kern w:val="0"/>
          <w:sz w:val="24"/>
          <w:szCs w:val="24"/>
          <w:lang w:val="en-US" w:eastAsia="zh-CN" w:bidi="ar-SA"/>
          <w14:textFill>
            <w14:solidFill>
              <w14:schemeClr w14:val="tx1"/>
            </w14:solidFill>
          </w14:textFill>
        </w:rPr>
        <w:t>》</w:t>
      </w:r>
    </w:p>
    <w:p>
      <w:pPr>
        <w:pStyle w:val="15"/>
        <w:ind w:leftChars="200" w:firstLine="0" w:firstLineChars="0"/>
        <w:rPr>
          <w:rFonts w:hint="default" w:ascii="Times New Roman" w:hAnsi="Times New Roman" w:eastAsia="宋体" w:cs="Times New Roman"/>
          <w:color w:val="000000" w:themeColor="text1"/>
          <w:kern w:val="0"/>
          <w:sz w:val="24"/>
          <w:szCs w:val="24"/>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SA"/>
          <w14:textFill>
            <w14:solidFill>
              <w14:schemeClr w14:val="tx1"/>
            </w14:solidFill>
          </w14:textFill>
        </w:rPr>
        <w:t>GB</w:t>
      </w:r>
      <w:r>
        <w:rPr>
          <w:rFonts w:hint="eastAsia" w:ascii="Times New Roman" w:hAnsi="Times New Roman" w:cs="Times New Roman"/>
          <w:color w:val="000000" w:themeColor="text1"/>
          <w:kern w:val="0"/>
          <w:sz w:val="24"/>
          <w:szCs w:val="24"/>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4"/>
          <w:lang w:val="en-US" w:eastAsia="zh-CN" w:bidi="ar-SA"/>
          <w14:textFill>
            <w14:solidFill>
              <w14:schemeClr w14:val="tx1"/>
            </w14:solidFill>
          </w14:textFill>
        </w:rPr>
        <w:t>T 8564</w:t>
      </w:r>
      <w:r>
        <w:rPr>
          <w:rFonts w:hint="eastAsia" w:ascii="Times New Roman" w:hAnsi="Times New Roman" w:cs="Times New Roman"/>
          <w:color w:val="000000" w:themeColor="text1"/>
          <w:kern w:val="0"/>
          <w:sz w:val="24"/>
          <w:szCs w:val="24"/>
          <w:lang w:val="en-US" w:eastAsia="zh-CN" w:bidi="ar-SA"/>
          <w14:textFill>
            <w14:solidFill>
              <w14:schemeClr w14:val="tx1"/>
            </w14:solidFill>
          </w14:textFill>
        </w:rPr>
        <w:t xml:space="preserve"> 《</w:t>
      </w:r>
      <w:r>
        <w:rPr>
          <w:rFonts w:hint="default" w:ascii="Times New Roman" w:hAnsi="Times New Roman" w:eastAsia="宋体" w:cs="Times New Roman"/>
          <w:color w:val="000000" w:themeColor="text1"/>
          <w:kern w:val="0"/>
          <w:sz w:val="24"/>
          <w:szCs w:val="24"/>
          <w:lang w:val="en-US" w:eastAsia="zh-CN" w:bidi="ar-SA"/>
          <w14:textFill>
            <w14:solidFill>
              <w14:schemeClr w14:val="tx1"/>
            </w14:solidFill>
          </w14:textFill>
        </w:rPr>
        <w:t>水轮发电机组安装技术规范</w:t>
      </w:r>
      <w:r>
        <w:rPr>
          <w:rFonts w:hint="eastAsia" w:ascii="Times New Roman" w:hAnsi="Times New Roman" w:cs="Times New Roman"/>
          <w:color w:val="000000" w:themeColor="text1"/>
          <w:kern w:val="0"/>
          <w:sz w:val="24"/>
          <w:szCs w:val="24"/>
          <w:lang w:val="en-US" w:eastAsia="zh-CN" w:bidi="ar-SA"/>
          <w14:textFill>
            <w14:solidFill>
              <w14:schemeClr w14:val="tx1"/>
            </w14:solidFill>
          </w14:textFill>
        </w:rPr>
        <w:t>》</w:t>
      </w:r>
    </w:p>
    <w:p>
      <w:pPr>
        <w:pStyle w:val="15"/>
        <w:ind w:leftChars="200" w:firstLine="0" w:firstLineChars="0"/>
        <w:rPr>
          <w:rFonts w:hint="default" w:ascii="Times New Roman" w:hAnsi="Times New Roman" w:eastAsia="宋体" w:cs="Times New Roman"/>
          <w:color w:val="000000" w:themeColor="text1"/>
          <w:kern w:val="0"/>
          <w:sz w:val="24"/>
          <w:szCs w:val="24"/>
          <w:lang w:val="en-US" w:eastAsia="zh-CN" w:bidi="ar-SA"/>
          <w14:textFill>
            <w14:solidFill>
              <w14:schemeClr w14:val="tx1"/>
            </w14:solidFill>
          </w14:textFill>
        </w:rPr>
      </w:pPr>
      <w:bookmarkStart w:id="1" w:name="OLE_LINK6"/>
      <w:r>
        <w:rPr>
          <w:rFonts w:hint="default" w:ascii="Times New Roman" w:hAnsi="Times New Roman" w:eastAsia="宋体" w:cs="Times New Roman"/>
          <w:color w:val="000000" w:themeColor="text1"/>
          <w:kern w:val="0"/>
          <w:sz w:val="24"/>
          <w:szCs w:val="24"/>
          <w:lang w:val="en-US" w:eastAsia="zh-CN" w:bidi="ar-SA"/>
          <w14:textFill>
            <w14:solidFill>
              <w14:schemeClr w14:val="tx1"/>
            </w14:solidFill>
          </w14:textFill>
        </w:rPr>
        <w:t>GB/T 191</w:t>
      </w:r>
      <w:r>
        <w:rPr>
          <w:rFonts w:hint="eastAsia" w:ascii="Times New Roman" w:hAnsi="Times New Roman" w:cs="Times New Roman"/>
          <w:color w:val="000000" w:themeColor="text1"/>
          <w:kern w:val="0"/>
          <w:sz w:val="24"/>
          <w:szCs w:val="24"/>
          <w:lang w:val="en-US" w:eastAsia="zh-CN" w:bidi="ar-SA"/>
          <w14:textFill>
            <w14:solidFill>
              <w14:schemeClr w14:val="tx1"/>
            </w14:solidFill>
          </w14:textFill>
        </w:rPr>
        <w:t xml:space="preserve"> 《</w:t>
      </w:r>
      <w:r>
        <w:rPr>
          <w:rFonts w:hint="default" w:ascii="Times New Roman" w:hAnsi="Times New Roman" w:eastAsia="宋体" w:cs="Times New Roman"/>
          <w:color w:val="000000" w:themeColor="text1"/>
          <w:kern w:val="0"/>
          <w:sz w:val="24"/>
          <w:szCs w:val="24"/>
          <w:lang w:val="en-US" w:eastAsia="zh-CN" w:bidi="ar-SA"/>
          <w14:textFill>
            <w14:solidFill>
              <w14:schemeClr w14:val="tx1"/>
            </w14:solidFill>
          </w14:textFill>
        </w:rPr>
        <w:t>包装储运图示标志</w:t>
      </w:r>
      <w:r>
        <w:rPr>
          <w:rFonts w:hint="eastAsia" w:ascii="Times New Roman" w:hAnsi="Times New Roman" w:cs="Times New Roman"/>
          <w:color w:val="000000" w:themeColor="text1"/>
          <w:kern w:val="0"/>
          <w:sz w:val="24"/>
          <w:szCs w:val="24"/>
          <w:lang w:val="en-US" w:eastAsia="zh-CN" w:bidi="ar-SA"/>
          <w14:textFill>
            <w14:solidFill>
              <w14:schemeClr w14:val="tx1"/>
            </w14:solidFill>
          </w14:textFill>
        </w:rPr>
        <w:t>》</w:t>
      </w:r>
    </w:p>
    <w:p>
      <w:pPr>
        <w:pStyle w:val="15"/>
        <w:ind w:leftChars="200" w:firstLine="0" w:firstLineChars="0"/>
        <w:rPr>
          <w:rFonts w:hint="default" w:ascii="Times New Roman" w:hAnsi="Times New Roman" w:eastAsia="宋体" w:cs="Times New Roman"/>
          <w:color w:val="000000" w:themeColor="text1"/>
          <w:kern w:val="0"/>
          <w:sz w:val="24"/>
          <w:szCs w:val="24"/>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SA"/>
          <w14:textFill>
            <w14:solidFill>
              <w14:schemeClr w14:val="tx1"/>
            </w14:solidFill>
          </w14:textFill>
        </w:rPr>
        <w:t>DL/T 586</w:t>
      </w:r>
      <w:r>
        <w:rPr>
          <w:rFonts w:hint="eastAsia" w:ascii="Times New Roman" w:hAnsi="Times New Roman" w:cs="Times New Roman"/>
          <w:color w:val="000000" w:themeColor="text1"/>
          <w:kern w:val="0"/>
          <w:sz w:val="24"/>
          <w:szCs w:val="24"/>
          <w:lang w:val="en-US" w:eastAsia="zh-CN" w:bidi="ar-SA"/>
          <w14:textFill>
            <w14:solidFill>
              <w14:schemeClr w14:val="tx1"/>
            </w14:solidFill>
          </w14:textFill>
        </w:rPr>
        <w:t xml:space="preserve"> </w:t>
      </w:r>
      <w:r>
        <w:rPr>
          <w:rFonts w:hint="default" w:ascii="Times New Roman" w:hAnsi="Times New Roman" w:eastAsia="宋体" w:cs="Times New Roman"/>
          <w:color w:val="000000" w:themeColor="text1"/>
          <w:kern w:val="0"/>
          <w:sz w:val="24"/>
          <w:szCs w:val="24"/>
          <w:lang w:val="en-US" w:eastAsia="zh-CN" w:bidi="ar-SA"/>
          <w14:textFill>
            <w14:solidFill>
              <w14:schemeClr w14:val="tx1"/>
            </w14:solidFill>
          </w14:textFill>
        </w:rPr>
        <w:t>《电力设备监造技术导则》</w:t>
      </w:r>
    </w:p>
    <w:p>
      <w:pPr>
        <w:pStyle w:val="15"/>
        <w:ind w:leftChars="200" w:firstLine="0" w:firstLineChars="0"/>
        <w:rPr>
          <w:rFonts w:hint="default" w:ascii="Times New Roman" w:hAnsi="Times New Roman" w:eastAsia="宋体" w:cs="Times New Roman"/>
          <w:color w:val="000000" w:themeColor="text1"/>
          <w:kern w:val="0"/>
          <w:sz w:val="24"/>
          <w:szCs w:val="24"/>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SA"/>
          <w14:textFill>
            <w14:solidFill>
              <w14:schemeClr w14:val="tx1"/>
            </w14:solidFill>
          </w14:textFill>
        </w:rPr>
        <w:t>GB/T19000 idt ISO9000</w:t>
      </w:r>
      <w:r>
        <w:rPr>
          <w:rFonts w:hint="eastAsia" w:ascii="Times New Roman" w:hAnsi="Times New Roman" w:cs="Times New Roman"/>
          <w:color w:val="000000" w:themeColor="text1"/>
          <w:kern w:val="0"/>
          <w:sz w:val="24"/>
          <w:szCs w:val="24"/>
          <w:lang w:val="en-US" w:eastAsia="zh-CN" w:bidi="ar-SA"/>
          <w14:textFill>
            <w14:solidFill>
              <w14:schemeClr w14:val="tx1"/>
            </w14:solidFill>
          </w14:textFill>
        </w:rPr>
        <w:t xml:space="preserve"> </w:t>
      </w:r>
      <w:r>
        <w:rPr>
          <w:rFonts w:hint="default" w:ascii="Times New Roman" w:hAnsi="Times New Roman" w:eastAsia="宋体" w:cs="Times New Roman"/>
          <w:color w:val="000000" w:themeColor="text1"/>
          <w:kern w:val="0"/>
          <w:sz w:val="24"/>
          <w:szCs w:val="24"/>
          <w:lang w:val="en-US" w:eastAsia="zh-CN" w:bidi="ar-SA"/>
          <w14:textFill>
            <w14:solidFill>
              <w14:schemeClr w14:val="tx1"/>
            </w14:solidFill>
          </w14:textFill>
        </w:rPr>
        <w:t>《质量管理和质量保证》系列标准</w:t>
      </w:r>
    </w:p>
    <w:bookmarkEnd w:id="0"/>
    <w:bookmarkEnd w:id="1"/>
    <w:p>
      <w:pPr>
        <w:widowControl/>
        <w:spacing w:line="360" w:lineRule="auto"/>
        <w:rPr>
          <w:rFonts w:hint="eastAsia" w:ascii="Times New Roman" w:hAnsi="Times New Roman" w:eastAsia="宋体" w:cs="Times New Roman"/>
          <w:b/>
          <w:bCs/>
          <w:iCs/>
          <w:color w:val="000000" w:themeColor="text1"/>
          <w:kern w:val="0"/>
          <w:sz w:val="30"/>
          <w:szCs w:val="28"/>
          <w:lang w:val="zh-CN" w:eastAsia="zh-CN" w:bidi="ar-SA"/>
          <w14:textFill>
            <w14:solidFill>
              <w14:schemeClr w14:val="tx1"/>
            </w14:solidFill>
          </w14:textFill>
        </w:rPr>
      </w:pPr>
      <w:r>
        <w:rPr>
          <w:rFonts w:hint="eastAsia" w:ascii="Times New Roman" w:hAnsi="Times New Roman" w:eastAsia="宋体" w:cs="Times New Roman"/>
          <w:b/>
          <w:bCs/>
          <w:iCs/>
          <w:color w:val="000000" w:themeColor="text1"/>
          <w:kern w:val="0"/>
          <w:sz w:val="30"/>
          <w:szCs w:val="28"/>
          <w:lang w:val="zh-CN" w:eastAsia="zh-CN" w:bidi="ar-SA"/>
          <w14:textFill>
            <w14:solidFill>
              <w14:schemeClr w14:val="tx1"/>
            </w14:solidFill>
          </w14:textFill>
        </w:rPr>
        <w:t>二、质量保证要求</w:t>
      </w:r>
    </w:p>
    <w:p>
      <w:pPr>
        <w:spacing w:line="360" w:lineRule="auto"/>
        <w:ind w:firstLine="480" w:firstLineChars="200"/>
        <w:rPr>
          <w:rFonts w:hint="default" w:ascii="Times New Roman" w:hAnsi="Times New Roman" w:eastAsia="宋体" w:cs="Times New Roman"/>
          <w:color w:val="000000" w:themeColor="text1"/>
          <w:kern w:val="0"/>
          <w:sz w:val="24"/>
          <w:szCs w:val="24"/>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t>卖方所提供的</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设备</w:t>
      </w:r>
      <w:r>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t>须满足相关标准</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及</w:t>
      </w:r>
      <w:r>
        <w:rPr>
          <w:rFonts w:hint="eastAsia" w:ascii="Times New Roman" w:hAnsi="Times New Roman" w:eastAsia="宋体" w:cs="Times New Roman"/>
          <w:color w:val="000000" w:themeColor="text1"/>
          <w:kern w:val="0"/>
          <w:sz w:val="24"/>
          <w:szCs w:val="24"/>
          <w:lang w:val="zh-CN" w:eastAsia="zh-CN" w:bidi="ar-SA"/>
          <w14:textFill>
            <w14:solidFill>
              <w14:schemeClr w14:val="tx1"/>
            </w14:solidFill>
          </w14:textFill>
        </w:rPr>
        <w:t>规范给定的材料、结构、尺寸、验收标准等技术要求，</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获得强制性产品认证证书（CCC认证证书）并标注强制性认证标志。</w:t>
      </w:r>
    </w:p>
    <w:p>
      <w:pPr>
        <w:widowControl/>
        <w:spacing w:line="360" w:lineRule="auto"/>
        <w:rPr>
          <w:rFonts w:hint="default" w:ascii="Times New Roman" w:hAnsi="Times New Roman" w:eastAsia="宋体" w:cs="Times New Roman"/>
          <w:b/>
          <w:bCs/>
          <w:iCs/>
          <w:color w:val="000000" w:themeColor="text1"/>
          <w:kern w:val="0"/>
          <w:sz w:val="30"/>
          <w:szCs w:val="28"/>
          <w:lang w:val="en-US" w:eastAsia="zh-CN" w:bidi="ar-SA"/>
          <w14:textFill>
            <w14:solidFill>
              <w14:schemeClr w14:val="tx1"/>
            </w14:solidFill>
          </w14:textFill>
        </w:rPr>
      </w:pPr>
      <w:r>
        <w:rPr>
          <w:rFonts w:hint="eastAsia" w:ascii="Times New Roman" w:hAnsi="Times New Roman" w:eastAsia="宋体" w:cs="Times New Roman"/>
          <w:b/>
          <w:bCs/>
          <w:iCs/>
          <w:color w:val="000000" w:themeColor="text1"/>
          <w:kern w:val="0"/>
          <w:sz w:val="30"/>
          <w:szCs w:val="28"/>
          <w:lang w:val="en-US" w:eastAsia="zh-CN" w:bidi="ar-SA"/>
          <w14:textFill>
            <w14:solidFill>
              <w14:schemeClr w14:val="tx1"/>
            </w14:solidFill>
          </w14:textFill>
        </w:rPr>
        <w:t>三</w:t>
      </w:r>
      <w:r>
        <w:rPr>
          <w:rFonts w:hint="eastAsia" w:ascii="Times New Roman" w:hAnsi="Times New Roman" w:eastAsia="宋体" w:cs="Times New Roman"/>
          <w:b/>
          <w:bCs/>
          <w:iCs/>
          <w:color w:val="000000" w:themeColor="text1"/>
          <w:kern w:val="0"/>
          <w:sz w:val="30"/>
          <w:szCs w:val="28"/>
          <w:lang w:val="zh-CN" w:eastAsia="zh-CN" w:bidi="ar-SA"/>
          <w14:textFill>
            <w14:solidFill>
              <w14:schemeClr w14:val="tx1"/>
            </w14:solidFill>
          </w14:textFill>
        </w:rPr>
        <w:t>、</w:t>
      </w:r>
      <w:r>
        <w:rPr>
          <w:rFonts w:hint="eastAsia" w:ascii="Times New Roman" w:hAnsi="Times New Roman" w:eastAsia="宋体" w:cs="Times New Roman"/>
          <w:b/>
          <w:bCs/>
          <w:iCs/>
          <w:color w:val="000000" w:themeColor="text1"/>
          <w:kern w:val="0"/>
          <w:sz w:val="30"/>
          <w:szCs w:val="28"/>
          <w:lang w:val="en-US" w:eastAsia="zh-CN" w:bidi="ar-SA"/>
          <w14:textFill>
            <w14:solidFill>
              <w14:schemeClr w14:val="tx1"/>
            </w14:solidFill>
          </w14:textFill>
        </w:rPr>
        <w:t>采购范围及技术参数要求</w:t>
      </w:r>
    </w:p>
    <w:p>
      <w:pPr>
        <w:pStyle w:val="13"/>
        <w:bidi w:val="0"/>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本合同所采购物资及物资技术参数详见下表：</w:t>
      </w:r>
    </w:p>
    <w:tbl>
      <w:tblPr>
        <w:tblStyle w:val="7"/>
        <w:tblW w:w="7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86"/>
        <w:gridCol w:w="1609"/>
        <w:gridCol w:w="4147"/>
        <w:gridCol w:w="705"/>
        <w:gridCol w:w="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786" w:type="dxa"/>
            <w:shd w:val="clear" w:color="auto" w:fill="auto"/>
            <w:vAlign w:val="center"/>
          </w:tcPr>
          <w:p>
            <w:pPr>
              <w:spacing w:line="240" w:lineRule="atLeast"/>
              <w:ind w:firstLine="0" w:firstLineChars="0"/>
              <w:jc w:val="center"/>
              <w:rPr>
                <w:rFonts w:hint="eastAsia" w:ascii="Times New Roman" w:hAnsi="Times New Roman" w:eastAsia="宋体" w:cs="Times New Roman"/>
                <w:b/>
                <w:color w:val="000000" w:themeColor="text1"/>
                <w:kern w:val="0"/>
                <w:sz w:val="24"/>
                <w:szCs w:val="24"/>
                <w:lang w:val="en-US" w:eastAsia="zh-CN" w:bidi="ar-SA"/>
                <w14:textFill>
                  <w14:solidFill>
                    <w14:schemeClr w14:val="tx1"/>
                  </w14:solidFill>
                </w14:textFill>
              </w:rPr>
            </w:pPr>
            <w:r>
              <w:rPr>
                <w:rFonts w:hint="eastAsia" w:ascii="Times New Roman" w:hAnsi="Times New Roman" w:eastAsia="宋体" w:cs="Times New Roman"/>
                <w:b/>
                <w:color w:val="000000" w:themeColor="text1"/>
                <w:kern w:val="0"/>
                <w:sz w:val="24"/>
                <w:szCs w:val="24"/>
                <w:lang w:val="en-US" w:eastAsia="zh-CN" w:bidi="ar-SA"/>
                <w14:textFill>
                  <w14:solidFill>
                    <w14:schemeClr w14:val="tx1"/>
                  </w14:solidFill>
                </w14:textFill>
              </w:rPr>
              <w:t>序号</w:t>
            </w:r>
          </w:p>
        </w:tc>
        <w:tc>
          <w:tcPr>
            <w:tcW w:w="1609" w:type="dxa"/>
            <w:shd w:val="clear" w:color="auto" w:fill="auto"/>
            <w:vAlign w:val="center"/>
          </w:tcPr>
          <w:p>
            <w:pPr>
              <w:spacing w:line="240" w:lineRule="atLeast"/>
              <w:ind w:firstLine="0" w:firstLineChars="0"/>
              <w:jc w:val="center"/>
              <w:rPr>
                <w:rFonts w:hint="eastAsia" w:ascii="Times New Roman" w:hAnsi="Times New Roman" w:eastAsia="宋体" w:cs="Times New Roman"/>
                <w:b/>
                <w:color w:val="000000" w:themeColor="text1"/>
                <w:kern w:val="0"/>
                <w:sz w:val="24"/>
                <w:szCs w:val="24"/>
                <w:lang w:val="en-US" w:eastAsia="zh-CN" w:bidi="ar-SA"/>
                <w14:textFill>
                  <w14:solidFill>
                    <w14:schemeClr w14:val="tx1"/>
                  </w14:solidFill>
                </w14:textFill>
              </w:rPr>
            </w:pPr>
            <w:r>
              <w:rPr>
                <w:rFonts w:hint="eastAsia" w:ascii="Times New Roman" w:hAnsi="Times New Roman" w:eastAsia="宋体" w:cs="Times New Roman"/>
                <w:b/>
                <w:color w:val="000000" w:themeColor="text1"/>
                <w:kern w:val="0"/>
                <w:sz w:val="24"/>
                <w:szCs w:val="24"/>
                <w:lang w:val="en-US" w:eastAsia="zh-CN" w:bidi="ar-SA"/>
                <w14:textFill>
                  <w14:solidFill>
                    <w14:schemeClr w14:val="tx1"/>
                  </w14:solidFill>
                </w14:textFill>
              </w:rPr>
              <w:t>物资名称</w:t>
            </w:r>
          </w:p>
        </w:tc>
        <w:tc>
          <w:tcPr>
            <w:tcW w:w="4147" w:type="dxa"/>
            <w:shd w:val="clear" w:color="auto" w:fill="auto"/>
            <w:vAlign w:val="center"/>
          </w:tcPr>
          <w:p>
            <w:pPr>
              <w:spacing w:line="240" w:lineRule="atLeast"/>
              <w:ind w:firstLine="0" w:firstLineChars="0"/>
              <w:jc w:val="center"/>
              <w:rPr>
                <w:rFonts w:hint="eastAsia" w:ascii="Times New Roman" w:hAnsi="Times New Roman" w:eastAsia="宋体" w:cs="Times New Roman"/>
                <w:b/>
                <w:color w:val="000000" w:themeColor="text1"/>
                <w:kern w:val="0"/>
                <w:sz w:val="24"/>
                <w:szCs w:val="24"/>
                <w:lang w:val="en-US" w:eastAsia="zh-CN" w:bidi="ar-SA"/>
                <w14:textFill>
                  <w14:solidFill>
                    <w14:schemeClr w14:val="tx1"/>
                  </w14:solidFill>
                </w14:textFill>
              </w:rPr>
            </w:pPr>
            <w:r>
              <w:rPr>
                <w:rFonts w:hint="eastAsia" w:ascii="Times New Roman" w:hAnsi="Times New Roman" w:eastAsia="宋体" w:cs="Times New Roman"/>
                <w:b/>
                <w:color w:val="000000" w:themeColor="text1"/>
                <w:kern w:val="0"/>
                <w:sz w:val="24"/>
                <w:szCs w:val="24"/>
                <w:lang w:val="en-US" w:eastAsia="zh-CN" w:bidi="ar-SA"/>
                <w14:textFill>
                  <w14:solidFill>
                    <w14:schemeClr w14:val="tx1"/>
                  </w14:solidFill>
                </w14:textFill>
              </w:rPr>
              <w:t>规格型号</w:t>
            </w:r>
          </w:p>
        </w:tc>
        <w:tc>
          <w:tcPr>
            <w:tcW w:w="705" w:type="dxa"/>
            <w:shd w:val="clear" w:color="auto" w:fill="auto"/>
            <w:vAlign w:val="center"/>
          </w:tcPr>
          <w:p>
            <w:pPr>
              <w:spacing w:line="240" w:lineRule="atLeast"/>
              <w:ind w:firstLine="0" w:firstLineChars="0"/>
              <w:jc w:val="center"/>
              <w:rPr>
                <w:rFonts w:hint="eastAsia" w:ascii="Times New Roman" w:hAnsi="Times New Roman" w:eastAsia="宋体" w:cs="Times New Roman"/>
                <w:b/>
                <w:color w:val="000000" w:themeColor="text1"/>
                <w:kern w:val="0"/>
                <w:sz w:val="24"/>
                <w:szCs w:val="24"/>
                <w:lang w:val="en-US" w:eastAsia="zh-CN" w:bidi="ar-SA"/>
                <w14:textFill>
                  <w14:solidFill>
                    <w14:schemeClr w14:val="tx1"/>
                  </w14:solidFill>
                </w14:textFill>
              </w:rPr>
            </w:pPr>
            <w:r>
              <w:rPr>
                <w:rFonts w:hint="eastAsia" w:ascii="Times New Roman" w:hAnsi="Times New Roman" w:eastAsia="宋体" w:cs="Times New Roman"/>
                <w:b/>
                <w:color w:val="000000" w:themeColor="text1"/>
                <w:kern w:val="0"/>
                <w:sz w:val="24"/>
                <w:szCs w:val="24"/>
                <w:lang w:val="en-US" w:eastAsia="zh-CN" w:bidi="ar-SA"/>
                <w14:textFill>
                  <w14:solidFill>
                    <w14:schemeClr w14:val="tx1"/>
                  </w14:solidFill>
                </w14:textFill>
              </w:rPr>
              <w:t>单位</w:t>
            </w:r>
          </w:p>
        </w:tc>
        <w:tc>
          <w:tcPr>
            <w:tcW w:w="750" w:type="dxa"/>
            <w:shd w:val="clear" w:color="auto" w:fill="auto"/>
            <w:vAlign w:val="center"/>
          </w:tcPr>
          <w:p>
            <w:pPr>
              <w:spacing w:line="240" w:lineRule="atLeast"/>
              <w:ind w:firstLine="0" w:firstLineChars="0"/>
              <w:jc w:val="center"/>
              <w:rPr>
                <w:rFonts w:hint="eastAsia" w:ascii="Times New Roman" w:hAnsi="Times New Roman" w:eastAsia="宋体" w:cs="Times New Roman"/>
                <w:b/>
                <w:color w:val="000000" w:themeColor="text1"/>
                <w:kern w:val="0"/>
                <w:sz w:val="24"/>
                <w:szCs w:val="24"/>
                <w:lang w:val="en-US" w:eastAsia="zh-CN" w:bidi="ar-SA"/>
                <w14:textFill>
                  <w14:solidFill>
                    <w14:schemeClr w14:val="tx1"/>
                  </w14:solidFill>
                </w14:textFill>
              </w:rPr>
            </w:pPr>
            <w:r>
              <w:rPr>
                <w:rFonts w:hint="eastAsia" w:ascii="Times New Roman" w:hAnsi="Times New Roman" w:eastAsia="宋体" w:cs="Times New Roman"/>
                <w:b/>
                <w:color w:val="000000" w:themeColor="text1"/>
                <w:kern w:val="0"/>
                <w:sz w:val="24"/>
                <w:szCs w:val="24"/>
                <w:lang w:val="en-US" w:eastAsia="zh-CN" w:bidi="ar-SA"/>
                <w14:textFill>
                  <w14:solidFill>
                    <w14:schemeClr w14:val="tx1"/>
                  </w14:solidFill>
                </w14:textFill>
              </w:rPr>
              <w:t>需求数量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52" w:hRule="atLeast"/>
          <w:jc w:val="center"/>
        </w:trPr>
        <w:tc>
          <w:tcPr>
            <w:tcW w:w="786" w:type="dxa"/>
            <w:shd w:val="clear" w:color="auto" w:fill="auto"/>
            <w:vAlign w:val="center"/>
          </w:tcPr>
          <w:p>
            <w:pPr>
              <w:numPr>
                <w:ilvl w:val="0"/>
                <w:numId w:val="3"/>
              </w:numPr>
              <w:spacing w:line="240" w:lineRule="atLeast"/>
              <w:ind w:left="425" w:leftChars="0" w:hanging="425" w:firstLineChars="0"/>
              <w:jc w:val="center"/>
              <w:rPr>
                <w:rFonts w:hint="eastAsia" w:ascii="宋体" w:hAnsi="宋体" w:eastAsia="宋体" w:cs="宋体"/>
                <w:sz w:val="21"/>
                <w:szCs w:val="21"/>
                <w:highlight w:val="none"/>
                <w:lang w:val="en-US" w:eastAsia="zh-CN"/>
              </w:rPr>
            </w:pPr>
          </w:p>
        </w:tc>
        <w:tc>
          <w:tcPr>
            <w:tcW w:w="1609" w:type="dxa"/>
            <w:shd w:val="clear" w:color="auto" w:fill="auto"/>
            <w:vAlign w:val="center"/>
          </w:tcPr>
          <w:p>
            <w:pPr>
              <w:keepNext w:val="0"/>
              <w:keepLines w:val="0"/>
              <w:widowControl/>
              <w:suppressLineNumbers w:val="0"/>
              <w:jc w:val="center"/>
              <w:textAlignment w:val="center"/>
              <w:rPr>
                <w:rFonts w:hint="default" w:ascii="宋体" w:hAnsi="宋体" w:eastAsia="宋体" w:cs="宋体"/>
                <w:sz w:val="21"/>
                <w:szCs w:val="21"/>
                <w:highlight w:val="none"/>
                <w:lang w:val="en-US" w:eastAsia="zh-CN"/>
              </w:rPr>
            </w:pPr>
            <w:r>
              <w:rPr>
                <w:rFonts w:hint="eastAsia" w:ascii="宋体" w:hAnsi="宋体" w:eastAsia="宋体" w:cs="宋体"/>
                <w:sz w:val="24"/>
                <w:szCs w:val="24"/>
              </w:rPr>
              <w:t>专用吊带</w:t>
            </w:r>
          </w:p>
        </w:tc>
        <w:tc>
          <w:tcPr>
            <w:tcW w:w="4147" w:type="dxa"/>
            <w:shd w:val="clear" w:color="auto" w:fill="auto"/>
            <w:vAlign w:val="center"/>
          </w:tcPr>
          <w:p>
            <w:pPr>
              <w:spacing w:line="360" w:lineRule="auto"/>
              <w:jc w:val="left"/>
              <w:rPr>
                <w:rFonts w:hint="eastAsia" w:ascii="宋体" w:hAnsi="宋体" w:eastAsia="宋体" w:cs="宋体"/>
                <w:sz w:val="24"/>
                <w:szCs w:val="24"/>
              </w:rPr>
            </w:pPr>
            <w:r>
              <w:rPr>
                <w:rFonts w:hint="eastAsia" w:ascii="宋体" w:hAnsi="宋体" w:eastAsia="宋体" w:cs="宋体"/>
                <w:sz w:val="24"/>
                <w:szCs w:val="24"/>
              </w:rPr>
              <w:t>定制尺寸吊带：</w:t>
            </w:r>
          </w:p>
          <w:p>
            <w:pPr>
              <w:spacing w:line="360" w:lineRule="auto"/>
              <w:jc w:val="left"/>
              <w:rPr>
                <w:rFonts w:hint="eastAsia" w:ascii="宋体" w:hAnsi="宋体" w:eastAsia="宋体" w:cs="宋体"/>
                <w:sz w:val="24"/>
                <w:szCs w:val="24"/>
              </w:rPr>
            </w:pPr>
            <w:r>
              <w:rPr>
                <w:rFonts w:hint="eastAsia" w:ascii="宋体" w:hAnsi="宋体" w:eastAsia="宋体" w:cs="宋体"/>
                <w:sz w:val="24"/>
                <w:szCs w:val="24"/>
              </w:rPr>
              <w:t>规格：5t，5.4m；</w:t>
            </w:r>
          </w:p>
          <w:p>
            <w:pPr>
              <w:spacing w:line="360" w:lineRule="auto"/>
              <w:jc w:val="left"/>
              <w:rPr>
                <w:rFonts w:hint="default" w:ascii="宋体" w:hAnsi="宋体" w:eastAsia="宋体" w:cs="宋体"/>
                <w:sz w:val="24"/>
                <w:szCs w:val="24"/>
                <w:lang w:val="en-US" w:eastAsia="zh-CN"/>
              </w:rPr>
            </w:pPr>
            <w:r>
              <w:rPr>
                <w:rFonts w:hint="eastAsia" w:ascii="宋体" w:hAnsi="宋体" w:eastAsia="宋体" w:cs="宋体"/>
                <w:sz w:val="24"/>
                <w:szCs w:val="24"/>
              </w:rPr>
              <w:t>形式：柔性吊带；</w:t>
            </w:r>
            <w:r>
              <w:rPr>
                <w:rFonts w:hint="eastAsia" w:ascii="宋体" w:hAnsi="宋体" w:eastAsia="宋体" w:cs="宋体"/>
                <w:sz w:val="24"/>
                <w:szCs w:val="24"/>
                <w:lang w:val="en-US" w:eastAsia="zh-CN"/>
              </w:rPr>
              <w:t>安全系数6。</w:t>
            </w:r>
          </w:p>
          <w:p>
            <w:pPr>
              <w:spacing w:line="360" w:lineRule="auto"/>
              <w:jc w:val="left"/>
              <w:rPr>
                <w:rFonts w:hint="eastAsia" w:ascii="宋体" w:hAnsi="宋体" w:eastAsia="宋体" w:cs="宋体"/>
                <w:sz w:val="21"/>
                <w:szCs w:val="21"/>
                <w:highlight w:val="none"/>
                <w:lang w:val="en-US" w:eastAsia="zh-CN"/>
              </w:rPr>
            </w:pPr>
            <w:r>
              <w:rPr>
                <w:rFonts w:hint="eastAsia" w:ascii="宋体" w:hAnsi="宋体" w:eastAsia="宋体" w:cs="宋体"/>
                <w:sz w:val="24"/>
                <w:szCs w:val="24"/>
              </w:rPr>
              <w:t>要求：提供出厂</w:t>
            </w:r>
            <w:bookmarkStart w:id="3" w:name="_GoBack"/>
            <w:bookmarkEnd w:id="3"/>
            <w:r>
              <w:rPr>
                <w:rFonts w:hint="eastAsia" w:ascii="宋体" w:hAnsi="宋体" w:eastAsia="宋体" w:cs="宋体"/>
                <w:sz w:val="24"/>
                <w:szCs w:val="24"/>
              </w:rPr>
              <w:t>合格证及第三方检验报告</w:t>
            </w:r>
          </w:p>
        </w:tc>
        <w:tc>
          <w:tcPr>
            <w:tcW w:w="705" w:type="dxa"/>
            <w:shd w:val="clear" w:color="auto" w:fill="auto"/>
            <w:vAlign w:val="center"/>
          </w:tcPr>
          <w:p>
            <w:pPr>
              <w:spacing w:line="360" w:lineRule="auto"/>
              <w:jc w:val="center"/>
              <w:rPr>
                <w:rFonts w:hint="eastAsia" w:ascii="Times New Roman" w:hAnsi="Times New Roman" w:eastAsia="宋体" w:cs="Times New Roman"/>
                <w:color w:val="000000" w:themeColor="text1"/>
                <w:kern w:val="0"/>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1"/>
                <w:szCs w:val="21"/>
                <w:lang w:val="en-US" w:eastAsia="zh-CN" w:bidi="ar-SA"/>
                <w14:textFill>
                  <w14:solidFill>
                    <w14:schemeClr w14:val="tx1"/>
                  </w14:solidFill>
                </w14:textFill>
              </w:rPr>
              <w:t>条</w:t>
            </w:r>
          </w:p>
        </w:tc>
        <w:tc>
          <w:tcPr>
            <w:tcW w:w="750" w:type="dxa"/>
            <w:shd w:val="clear" w:color="auto" w:fill="auto"/>
            <w:vAlign w:val="center"/>
          </w:tcPr>
          <w:p>
            <w:pPr>
              <w:spacing w:line="360" w:lineRule="auto"/>
              <w:jc w:val="center"/>
              <w:rPr>
                <w:rFonts w:hint="default" w:ascii="Times New Roman" w:hAnsi="Times New Roman" w:eastAsia="宋体" w:cs="Times New Roman"/>
                <w:color w:val="000000" w:themeColor="text1"/>
                <w:kern w:val="0"/>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1"/>
                <w:szCs w:val="21"/>
                <w:lang w:val="en-US" w:eastAsia="zh-CN" w:bidi="ar-SA"/>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786" w:type="dxa"/>
            <w:shd w:val="clear" w:color="auto" w:fill="auto"/>
            <w:vAlign w:val="center"/>
          </w:tcPr>
          <w:p>
            <w:pPr>
              <w:numPr>
                <w:ilvl w:val="0"/>
                <w:numId w:val="3"/>
              </w:numPr>
              <w:spacing w:line="240" w:lineRule="atLeast"/>
              <w:ind w:left="425" w:leftChars="0" w:hanging="425" w:firstLineChars="0"/>
              <w:jc w:val="center"/>
              <w:rPr>
                <w:rFonts w:hint="eastAsia" w:ascii="宋体" w:hAnsi="宋体" w:eastAsia="宋体" w:cs="宋体"/>
                <w:sz w:val="21"/>
                <w:szCs w:val="21"/>
                <w:highlight w:val="none"/>
                <w:lang w:val="en-US" w:eastAsia="zh-CN"/>
              </w:rPr>
            </w:pPr>
          </w:p>
        </w:tc>
        <w:tc>
          <w:tcPr>
            <w:tcW w:w="1609" w:type="dxa"/>
            <w:shd w:val="clear" w:color="auto" w:fill="auto"/>
            <w:vAlign w:val="center"/>
          </w:tcPr>
          <w:p>
            <w:pPr>
              <w:keepNext w:val="0"/>
              <w:keepLines w:val="0"/>
              <w:widowControl/>
              <w:suppressLineNumbers w:val="0"/>
              <w:jc w:val="center"/>
              <w:textAlignment w:val="center"/>
              <w:rPr>
                <w:rFonts w:hint="eastAsia" w:ascii="宋体" w:hAnsi="宋体" w:eastAsia="宋体" w:cs="宋体"/>
                <w:sz w:val="24"/>
                <w:szCs w:val="24"/>
              </w:rPr>
            </w:pPr>
            <w:r>
              <w:rPr>
                <w:rFonts w:hint="eastAsia" w:ascii="宋体" w:hAnsi="宋体" w:eastAsia="宋体" w:cs="宋体"/>
                <w:sz w:val="24"/>
                <w:szCs w:val="24"/>
              </w:rPr>
              <w:t>大开口卸扣</w:t>
            </w:r>
          </w:p>
        </w:tc>
        <w:tc>
          <w:tcPr>
            <w:tcW w:w="4147" w:type="dxa"/>
            <w:shd w:val="clear" w:color="auto" w:fill="auto"/>
            <w:vAlign w:val="center"/>
          </w:tcPr>
          <w:p>
            <w:pPr>
              <w:spacing w:line="360" w:lineRule="auto"/>
              <w:jc w:val="left"/>
              <w:rPr>
                <w:rFonts w:hint="eastAsia" w:ascii="宋体" w:hAnsi="宋体" w:eastAsia="宋体" w:cs="宋体"/>
                <w:sz w:val="24"/>
                <w:szCs w:val="24"/>
              </w:rPr>
            </w:pPr>
            <w:r>
              <w:rPr>
                <w:rFonts w:hint="eastAsia" w:ascii="宋体" w:hAnsi="宋体" w:eastAsia="宋体" w:cs="宋体"/>
                <w:sz w:val="24"/>
                <w:szCs w:val="24"/>
              </w:rPr>
              <w:t>大开口卸扣：</w:t>
            </w:r>
          </w:p>
          <w:p>
            <w:pPr>
              <w:spacing w:line="360" w:lineRule="auto"/>
              <w:jc w:val="left"/>
              <w:rPr>
                <w:rFonts w:hint="eastAsia" w:ascii="宋体" w:hAnsi="宋体" w:eastAsia="宋体" w:cs="宋体"/>
                <w:sz w:val="24"/>
                <w:szCs w:val="24"/>
              </w:rPr>
            </w:pPr>
            <w:r>
              <w:rPr>
                <w:rFonts w:hint="eastAsia" w:ascii="宋体" w:hAnsi="宋体" w:eastAsia="宋体" w:cs="宋体"/>
                <w:sz w:val="24"/>
                <w:szCs w:val="24"/>
              </w:rPr>
              <w:t>规格：6.5t，</w:t>
            </w:r>
          </w:p>
          <w:p>
            <w:pPr>
              <w:spacing w:line="360" w:lineRule="auto"/>
              <w:jc w:val="left"/>
              <w:rPr>
                <w:rFonts w:hint="eastAsia" w:ascii="宋体" w:hAnsi="宋体" w:eastAsia="宋体" w:cs="宋体"/>
                <w:sz w:val="24"/>
                <w:szCs w:val="24"/>
              </w:rPr>
            </w:pPr>
            <w:r>
              <w:rPr>
                <w:rFonts w:hint="eastAsia" w:ascii="宋体" w:hAnsi="宋体" w:eastAsia="宋体" w:cs="宋体"/>
                <w:sz w:val="24"/>
                <w:szCs w:val="24"/>
              </w:rPr>
              <w:t>尺寸要求：开口长不小于70mm，轴直径不大于29mm，卸扣高135mm左右，</w:t>
            </w:r>
          </w:p>
          <w:p>
            <w:pPr>
              <w:spacing w:line="360" w:lineRule="auto"/>
              <w:jc w:val="left"/>
              <w:rPr>
                <w:rFonts w:hint="eastAsia" w:ascii="宋体" w:hAnsi="宋体" w:eastAsia="宋体" w:cs="宋体"/>
                <w:sz w:val="24"/>
                <w:szCs w:val="24"/>
              </w:rPr>
            </w:pPr>
            <w:r>
              <w:rPr>
                <w:rFonts w:hint="eastAsia" w:ascii="宋体" w:hAnsi="宋体" w:eastAsia="宋体" w:cs="宋体"/>
                <w:sz w:val="24"/>
                <w:szCs w:val="24"/>
              </w:rPr>
              <w:t>要求：提供出厂合格证及第三方检验报告</w:t>
            </w:r>
          </w:p>
        </w:tc>
        <w:tc>
          <w:tcPr>
            <w:tcW w:w="705" w:type="dxa"/>
            <w:shd w:val="clear" w:color="auto" w:fill="auto"/>
            <w:vAlign w:val="center"/>
          </w:tcPr>
          <w:p>
            <w:pPr>
              <w:spacing w:line="360" w:lineRule="auto"/>
              <w:jc w:val="center"/>
              <w:rPr>
                <w:rFonts w:hint="default" w:ascii="Times New Roman" w:hAnsi="Times New Roman" w:eastAsia="宋体" w:cs="Times New Roman"/>
                <w:color w:val="000000" w:themeColor="text1"/>
                <w:kern w:val="0"/>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1"/>
                <w:szCs w:val="21"/>
                <w:lang w:val="en-US" w:eastAsia="zh-CN" w:bidi="ar-SA"/>
                <w14:textFill>
                  <w14:solidFill>
                    <w14:schemeClr w14:val="tx1"/>
                  </w14:solidFill>
                </w14:textFill>
              </w:rPr>
              <w:t>个</w:t>
            </w:r>
          </w:p>
        </w:tc>
        <w:tc>
          <w:tcPr>
            <w:tcW w:w="750" w:type="dxa"/>
            <w:shd w:val="clear" w:color="auto" w:fill="auto"/>
            <w:vAlign w:val="center"/>
          </w:tcPr>
          <w:p>
            <w:pPr>
              <w:spacing w:line="360" w:lineRule="auto"/>
              <w:jc w:val="center"/>
              <w:rPr>
                <w:rFonts w:hint="default" w:ascii="Times New Roman" w:hAnsi="Times New Roman" w:eastAsia="宋体" w:cs="Times New Roman"/>
                <w:color w:val="000000" w:themeColor="text1"/>
                <w:kern w:val="0"/>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1"/>
                <w:szCs w:val="21"/>
                <w:lang w:val="en-US" w:eastAsia="zh-CN" w:bidi="ar-SA"/>
                <w14:textFill>
                  <w14:solidFill>
                    <w14:schemeClr w14:val="tx1"/>
                  </w14:solidFill>
                </w14:textFill>
              </w:rPr>
              <w:t>6</w:t>
            </w:r>
          </w:p>
        </w:tc>
      </w:tr>
    </w:tbl>
    <w:p>
      <w:pPr>
        <w:spacing w:line="360" w:lineRule="auto"/>
        <w:ind w:firstLine="480" w:firstLineChars="200"/>
        <w:rPr>
          <w:rFonts w:hint="default" w:ascii="Times New Roman" w:hAnsi="Times New Roman" w:eastAsia="宋体" w:cs="Times New Roman"/>
          <w:color w:val="000000" w:themeColor="text1"/>
          <w:kern w:val="0"/>
          <w:sz w:val="24"/>
          <w:szCs w:val="24"/>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备注：无</w:t>
      </w:r>
    </w:p>
    <w:p>
      <w:pPr>
        <w:widowControl/>
        <w:spacing w:line="360" w:lineRule="auto"/>
        <w:rPr>
          <w:rFonts w:hint="default" w:ascii="Times New Roman" w:hAnsi="Times New Roman" w:eastAsia="宋体" w:cs="Times New Roman"/>
          <w:b/>
          <w:bCs/>
          <w:iCs/>
          <w:color w:val="000000" w:themeColor="text1"/>
          <w:kern w:val="0"/>
          <w:sz w:val="30"/>
          <w:szCs w:val="28"/>
          <w:lang w:val="en-US" w:eastAsia="zh-CN" w:bidi="ar-SA"/>
          <w14:textFill>
            <w14:solidFill>
              <w14:schemeClr w14:val="tx1"/>
            </w14:solidFill>
          </w14:textFill>
        </w:rPr>
      </w:pPr>
      <w:r>
        <w:rPr>
          <w:rFonts w:hint="default" w:ascii="Times New Roman" w:hAnsi="Times New Roman" w:eastAsia="宋体" w:cs="Times New Roman"/>
          <w:b/>
          <w:bCs/>
          <w:iCs/>
          <w:color w:val="000000" w:themeColor="text1"/>
          <w:kern w:val="0"/>
          <w:sz w:val="30"/>
          <w:szCs w:val="28"/>
          <w:lang w:val="en-US" w:eastAsia="zh-CN" w:bidi="ar-SA"/>
          <w14:textFill>
            <w14:solidFill>
              <w14:schemeClr w14:val="tx1"/>
            </w14:solidFill>
          </w14:textFill>
        </w:rPr>
        <w:t>四、包装、运输技术要求</w:t>
      </w:r>
    </w:p>
    <w:p>
      <w:pPr>
        <w:pStyle w:val="15"/>
        <w:numPr>
          <w:ilvl w:val="0"/>
          <w:numId w:val="0"/>
        </w:numPr>
        <w:tabs>
          <w:tab w:val="left" w:pos="0"/>
        </w:tabs>
        <w:ind w:leftChars="0" w:firstLine="480" w:firstLineChars="200"/>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kern w:val="0"/>
          <w:sz w:val="24"/>
          <w:szCs w:val="24"/>
          <w:lang w:val="en-US" w:eastAsia="zh-CN" w:bidi="ar-SA"/>
          <w14:textFill>
            <w14:solidFill>
              <w14:schemeClr w14:val="tx1"/>
            </w14:solidFill>
          </w14:textFill>
        </w:rPr>
        <w:t>1</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w:t>
      </w:r>
      <w:r>
        <w:rPr>
          <w:rFonts w:hint="eastAsia" w:ascii="Times New Roman" w:hAnsi="Times New Roman" w:cs="Times New Roman"/>
          <w:color w:val="000000" w:themeColor="text1"/>
          <w:kern w:val="0"/>
          <w:sz w:val="24"/>
          <w:szCs w:val="24"/>
          <w:lang w:val="en-US" w:eastAsia="zh-CN" w:bidi="ar-SA"/>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运输与包装应符合以下条款：</w:t>
      </w:r>
    </w:p>
    <w:p>
      <w:pPr>
        <w:pStyle w:val="15"/>
        <w:numPr>
          <w:ilvl w:val="0"/>
          <w:numId w:val="0"/>
        </w:numPr>
        <w:tabs>
          <w:tab w:val="left" w:pos="0"/>
        </w:tabs>
        <w:ind w:leftChars="0" w:firstLine="480" w:firstLineChars="200"/>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pPr>
      <w:r>
        <w:rPr>
          <w:rFonts w:hint="eastAsia" w:ascii="Times New Roman" w:hAnsi="Times New Roman" w:cs="Times New Roman"/>
          <w:b w:val="0"/>
          <w:bCs w:val="0"/>
          <w:color w:val="000000" w:themeColor="text1"/>
          <w:kern w:val="0"/>
          <w:sz w:val="24"/>
          <w:szCs w:val="24"/>
          <w:lang w:val="en-US" w:eastAsia="zh-CN" w:bidi="ar-SA"/>
          <w14:textFill>
            <w14:solidFill>
              <w14:schemeClr w14:val="tx1"/>
            </w14:solidFill>
          </w14:textFill>
        </w:rPr>
        <w:t xml:space="preserve">2. </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本次采购设备的运输应满足《JB/T 5000.13-2007 重型机械通用技术条件第13</w:t>
      </w:r>
      <w:bookmarkStart w:id="2" w:name="OLE_LINK5"/>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部分：包装》、《GB 13384-2008机电产品包装通用技术条件》</w:t>
      </w:r>
      <w:bookmarkEnd w:id="2"/>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、《GB/T 191-2008包装储运图示标志》等相关规定。</w:t>
      </w:r>
    </w:p>
    <w:p>
      <w:pPr>
        <w:pStyle w:val="15"/>
        <w:numPr>
          <w:ilvl w:val="0"/>
          <w:numId w:val="0"/>
        </w:numPr>
        <w:tabs>
          <w:tab w:val="left" w:pos="0"/>
        </w:tabs>
        <w:ind w:leftChars="0" w:firstLine="480" w:firstLineChars="200"/>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pPr>
      <w:r>
        <w:rPr>
          <w:rFonts w:hint="eastAsia" w:ascii="Times New Roman" w:hAnsi="Times New Roman" w:cs="Times New Roman"/>
          <w:b w:val="0"/>
          <w:bCs w:val="0"/>
          <w:color w:val="000000" w:themeColor="text1"/>
          <w:kern w:val="0"/>
          <w:sz w:val="24"/>
          <w:szCs w:val="24"/>
          <w:lang w:val="en-US" w:eastAsia="zh-CN" w:bidi="ar-SA"/>
          <w14:textFill>
            <w14:solidFill>
              <w14:schemeClr w14:val="tx1"/>
            </w14:solidFill>
          </w14:textFill>
        </w:rPr>
        <w:t>3.</w:t>
      </w:r>
      <w:r>
        <w:rPr>
          <w:rFonts w:hint="eastAsia" w:ascii="Times New Roman" w:hAnsi="Times New Roman" w:cs="Times New Roman"/>
          <w:color w:val="000000" w:themeColor="text1"/>
          <w:kern w:val="0"/>
          <w:sz w:val="24"/>
          <w:szCs w:val="24"/>
          <w:lang w:val="en-US" w:eastAsia="zh-CN" w:bidi="ar-SA"/>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交货地点为广东省梅州市五华县龙村镇登畲村梅州抽水蓄能电站业主项目部。</w:t>
      </w:r>
    </w:p>
    <w:p>
      <w:pPr>
        <w:pStyle w:val="15"/>
        <w:numPr>
          <w:ilvl w:val="0"/>
          <w:numId w:val="0"/>
        </w:numPr>
        <w:tabs>
          <w:tab w:val="left" w:pos="0"/>
        </w:tabs>
        <w:ind w:leftChars="0" w:firstLine="480" w:firstLineChars="200"/>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pPr>
      <w:r>
        <w:rPr>
          <w:rFonts w:hint="eastAsia" w:ascii="Times New Roman" w:hAnsi="Times New Roman" w:cs="Times New Roman"/>
          <w:b w:val="0"/>
          <w:bCs w:val="0"/>
          <w:color w:val="000000" w:themeColor="text1"/>
          <w:kern w:val="0"/>
          <w:sz w:val="24"/>
          <w:szCs w:val="24"/>
          <w:lang w:val="en-US" w:eastAsia="zh-CN" w:bidi="ar-SA"/>
          <w14:textFill>
            <w14:solidFill>
              <w14:schemeClr w14:val="tx1"/>
            </w14:solidFill>
          </w14:textFill>
        </w:rPr>
        <w:t>4.</w:t>
      </w:r>
      <w:r>
        <w:rPr>
          <w:rFonts w:hint="eastAsia" w:ascii="Times New Roman" w:hAnsi="Times New Roman" w:cs="Times New Roman"/>
          <w:color w:val="000000" w:themeColor="text1"/>
          <w:kern w:val="0"/>
          <w:sz w:val="24"/>
          <w:szCs w:val="24"/>
          <w:lang w:val="en-US" w:eastAsia="zh-CN" w:bidi="ar-SA"/>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包装与运输标记</w:t>
      </w:r>
    </w:p>
    <w:p>
      <w:pPr>
        <w:pStyle w:val="15"/>
        <w:numPr>
          <w:ilvl w:val="0"/>
          <w:numId w:val="0"/>
        </w:numPr>
        <w:tabs>
          <w:tab w:val="left" w:pos="0"/>
        </w:tabs>
        <w:ind w:leftChars="0" w:firstLine="480" w:firstLineChars="200"/>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卖方交付的所有货物应符合《GB191-2008包装储运图示标志》、《GB/T 13384-2008 机电产品包装通用技术条件》的规定，并按设备特点做好防潮、防霉、防锈、防腐蚀的保护措施，安全地运抵合同规定的安装现场。</w:t>
      </w:r>
    </w:p>
    <w:p>
      <w:pPr>
        <w:pStyle w:val="15"/>
        <w:numPr>
          <w:ilvl w:val="0"/>
          <w:numId w:val="4"/>
        </w:numPr>
        <w:tabs>
          <w:tab w:val="left" w:pos="0"/>
        </w:tabs>
        <w:ind w:leftChars="0" w:firstLine="480" w:firstLineChars="200"/>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卖方对包装箱内的各散装部件在装配图中的部件号、零件号标记清楚。</w:t>
      </w:r>
    </w:p>
    <w:p>
      <w:pPr>
        <w:pStyle w:val="15"/>
        <w:numPr>
          <w:ilvl w:val="0"/>
          <w:numId w:val="0"/>
        </w:numPr>
        <w:tabs>
          <w:tab w:val="left" w:pos="0"/>
        </w:tabs>
        <w:ind w:firstLine="480" w:firstLineChars="200"/>
        <w:rPr>
          <w:rFonts w:hint="eastAsia" w:ascii="宋体" w:hAnsi="宋体" w:eastAsia="宋体" w:cs="宋体"/>
          <w:sz w:val="20"/>
          <w:szCs w:val="20"/>
        </w:rPr>
      </w:pPr>
      <w:r>
        <w:rPr>
          <w:rFonts w:hint="eastAsia" w:ascii="Times New Roman" w:hAnsi="Times New Roman" w:cs="Times New Roman"/>
          <w:color w:val="000000" w:themeColor="text1"/>
          <w:kern w:val="0"/>
          <w:sz w:val="24"/>
          <w:szCs w:val="24"/>
          <w:lang w:val="en-US" w:eastAsia="zh-CN" w:bidi="ar-SA"/>
          <w14:textFill>
            <w14:solidFill>
              <w14:schemeClr w14:val="tx1"/>
            </w14:solidFill>
          </w14:textFill>
        </w:rPr>
        <w:t>2）</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卖方在每件包装箱的两个侧面上，用不褪色的油漆以明显易见的标准文字样印刷以下标记：</w:t>
      </w:r>
    </w:p>
    <w:p>
      <w:pPr>
        <w:pStyle w:val="15"/>
        <w:numPr>
          <w:ilvl w:val="0"/>
          <w:numId w:val="0"/>
        </w:numPr>
        <w:tabs>
          <w:tab w:val="left" w:pos="0"/>
        </w:tabs>
        <w:ind w:firstLine="240" w:firstLineChars="100"/>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pPr>
      <w:r>
        <w:rPr>
          <w:rFonts w:hint="eastAsia" w:ascii="Times New Roman" w:hAnsi="Times New Roman" w:cs="Times New Roman"/>
          <w:color w:val="000000" w:themeColor="text1"/>
          <w:kern w:val="0"/>
          <w:sz w:val="24"/>
          <w:szCs w:val="24"/>
          <w:lang w:val="en-US" w:eastAsia="zh-CN" w:bidi="ar-SA"/>
          <w14:textFill>
            <w14:solidFill>
              <w14:schemeClr w14:val="tx1"/>
            </w14:solidFill>
          </w14:textFill>
        </w:rPr>
        <w:t>（1）</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合同号；</w:t>
      </w:r>
    </w:p>
    <w:p>
      <w:pPr>
        <w:pStyle w:val="15"/>
        <w:numPr>
          <w:ilvl w:val="0"/>
          <w:numId w:val="0"/>
        </w:numPr>
        <w:tabs>
          <w:tab w:val="left" w:pos="0"/>
        </w:tabs>
        <w:ind w:firstLine="240" w:firstLineChars="100"/>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pPr>
      <w:r>
        <w:rPr>
          <w:rFonts w:hint="eastAsia" w:ascii="Times New Roman" w:hAnsi="Times New Roman" w:cs="Times New Roman"/>
          <w:color w:val="000000" w:themeColor="text1"/>
          <w:kern w:val="0"/>
          <w:sz w:val="24"/>
          <w:szCs w:val="24"/>
          <w:lang w:val="en-US" w:eastAsia="zh-CN" w:bidi="ar-SA"/>
          <w14:textFill>
            <w14:solidFill>
              <w14:schemeClr w14:val="tx1"/>
            </w14:solidFill>
          </w14:textFill>
        </w:rPr>
        <w:t>（2）</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发货站；</w:t>
      </w:r>
    </w:p>
    <w:p>
      <w:pPr>
        <w:pStyle w:val="15"/>
        <w:numPr>
          <w:ilvl w:val="0"/>
          <w:numId w:val="0"/>
        </w:numPr>
        <w:tabs>
          <w:tab w:val="left" w:pos="0"/>
        </w:tabs>
        <w:ind w:firstLine="240" w:firstLineChars="100"/>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pPr>
      <w:r>
        <w:rPr>
          <w:rFonts w:hint="eastAsia" w:ascii="Times New Roman" w:hAnsi="Times New Roman" w:cs="Times New Roman"/>
          <w:color w:val="000000" w:themeColor="text1"/>
          <w:kern w:val="0"/>
          <w:sz w:val="24"/>
          <w:szCs w:val="24"/>
          <w:lang w:val="en-US" w:eastAsia="zh-CN" w:bidi="ar-SA"/>
          <w14:textFill>
            <w14:solidFill>
              <w14:schemeClr w14:val="tx1"/>
            </w14:solidFill>
          </w14:textFill>
        </w:rPr>
        <w:t>（3）</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目的站；</w:t>
      </w:r>
    </w:p>
    <w:p>
      <w:pPr>
        <w:pStyle w:val="15"/>
        <w:numPr>
          <w:ilvl w:val="0"/>
          <w:numId w:val="0"/>
        </w:numPr>
        <w:tabs>
          <w:tab w:val="left" w:pos="0"/>
        </w:tabs>
        <w:ind w:firstLine="240" w:firstLineChars="100"/>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pPr>
      <w:r>
        <w:rPr>
          <w:rFonts w:hint="eastAsia" w:ascii="Times New Roman" w:hAnsi="Times New Roman" w:cs="Times New Roman"/>
          <w:color w:val="000000" w:themeColor="text1"/>
          <w:kern w:val="0"/>
          <w:sz w:val="24"/>
          <w:szCs w:val="24"/>
          <w:lang w:val="en-US" w:eastAsia="zh-CN" w:bidi="ar-SA"/>
          <w14:textFill>
            <w14:solidFill>
              <w14:schemeClr w14:val="tx1"/>
            </w14:solidFill>
          </w14:textFill>
        </w:rPr>
        <w:t>（4）</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收货人名称；</w:t>
      </w:r>
    </w:p>
    <w:p>
      <w:pPr>
        <w:pStyle w:val="15"/>
        <w:numPr>
          <w:ilvl w:val="0"/>
          <w:numId w:val="0"/>
        </w:numPr>
        <w:tabs>
          <w:tab w:val="left" w:pos="0"/>
        </w:tabs>
        <w:ind w:firstLine="240" w:firstLineChars="100"/>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pPr>
      <w:r>
        <w:rPr>
          <w:rFonts w:hint="eastAsia" w:ascii="Times New Roman" w:hAnsi="Times New Roman" w:cs="Times New Roman"/>
          <w:color w:val="000000" w:themeColor="text1"/>
          <w:kern w:val="0"/>
          <w:sz w:val="24"/>
          <w:szCs w:val="24"/>
          <w:lang w:val="en-US" w:eastAsia="zh-CN" w:bidi="ar-SA"/>
          <w14:textFill>
            <w14:solidFill>
              <w14:schemeClr w14:val="tx1"/>
            </w14:solidFill>
          </w14:textFill>
        </w:rPr>
        <w:t>（5）</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设备及部件名称；</w:t>
      </w:r>
    </w:p>
    <w:p>
      <w:pPr>
        <w:pStyle w:val="15"/>
        <w:numPr>
          <w:ilvl w:val="0"/>
          <w:numId w:val="0"/>
        </w:numPr>
        <w:tabs>
          <w:tab w:val="left" w:pos="0"/>
        </w:tabs>
        <w:ind w:firstLine="240" w:firstLineChars="100"/>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pPr>
      <w:r>
        <w:rPr>
          <w:rFonts w:hint="eastAsia" w:ascii="Times New Roman" w:hAnsi="Times New Roman" w:cs="Times New Roman"/>
          <w:color w:val="000000" w:themeColor="text1"/>
          <w:kern w:val="0"/>
          <w:sz w:val="24"/>
          <w:szCs w:val="24"/>
          <w:lang w:val="en-US" w:eastAsia="zh-CN" w:bidi="ar-SA"/>
          <w14:textFill>
            <w14:solidFill>
              <w14:schemeClr w14:val="tx1"/>
            </w14:solidFill>
          </w14:textFill>
        </w:rPr>
        <w:t>（6）</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总箱数/箱号/件号；</w:t>
      </w:r>
    </w:p>
    <w:p>
      <w:pPr>
        <w:pStyle w:val="15"/>
        <w:numPr>
          <w:ilvl w:val="0"/>
          <w:numId w:val="0"/>
        </w:numPr>
        <w:tabs>
          <w:tab w:val="left" w:pos="0"/>
        </w:tabs>
        <w:ind w:firstLine="240" w:firstLineChars="100"/>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pPr>
      <w:r>
        <w:rPr>
          <w:rFonts w:hint="eastAsia" w:ascii="Times New Roman" w:hAnsi="Times New Roman" w:cs="Times New Roman"/>
          <w:color w:val="000000" w:themeColor="text1"/>
          <w:kern w:val="0"/>
          <w:sz w:val="24"/>
          <w:szCs w:val="24"/>
          <w:lang w:val="en-US" w:eastAsia="zh-CN" w:bidi="ar-SA"/>
          <w14:textFill>
            <w14:solidFill>
              <w14:schemeClr w14:val="tx1"/>
            </w14:solidFill>
          </w14:textFill>
        </w:rPr>
        <w:t>（7）</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毛重/净重（公斤）；</w:t>
      </w:r>
    </w:p>
    <w:p>
      <w:pPr>
        <w:pStyle w:val="15"/>
        <w:numPr>
          <w:ilvl w:val="0"/>
          <w:numId w:val="0"/>
        </w:numPr>
        <w:tabs>
          <w:tab w:val="left" w:pos="0"/>
        </w:tabs>
        <w:ind w:firstLine="240" w:firstLineChars="100"/>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pPr>
      <w:r>
        <w:rPr>
          <w:rFonts w:hint="eastAsia" w:ascii="Times New Roman" w:hAnsi="Times New Roman" w:cs="Times New Roman"/>
          <w:color w:val="000000" w:themeColor="text1"/>
          <w:kern w:val="0"/>
          <w:sz w:val="24"/>
          <w:szCs w:val="24"/>
          <w:lang w:val="en-US" w:eastAsia="zh-CN" w:bidi="ar-SA"/>
          <w14:textFill>
            <w14:solidFill>
              <w14:schemeClr w14:val="tx1"/>
            </w14:solidFill>
          </w14:textFill>
        </w:rPr>
        <w:t>（8）</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体积（长*宽*高，以毫米表示）。</w:t>
      </w:r>
    </w:p>
    <w:p>
      <w:pPr>
        <w:pStyle w:val="15"/>
        <w:numPr>
          <w:ilvl w:val="0"/>
          <w:numId w:val="0"/>
        </w:numPr>
        <w:tabs>
          <w:tab w:val="left" w:pos="0"/>
        </w:tabs>
        <w:ind w:firstLine="480" w:firstLineChars="200"/>
        <w:rPr>
          <w:rFonts w:hint="eastAsia" w:ascii="宋体" w:hAnsi="宋体" w:eastAsia="宋体" w:cs="宋体"/>
          <w:sz w:val="20"/>
          <w:szCs w:val="20"/>
        </w:rPr>
      </w:pPr>
      <w:r>
        <w:rPr>
          <w:rFonts w:hint="eastAsia" w:ascii="Times New Roman" w:hAnsi="Times New Roman" w:cs="Times New Roman"/>
          <w:b w:val="0"/>
          <w:bCs w:val="0"/>
          <w:color w:val="000000" w:themeColor="text1"/>
          <w:kern w:val="0"/>
          <w:sz w:val="24"/>
          <w:szCs w:val="24"/>
          <w:lang w:val="en-US" w:eastAsia="zh-CN" w:bidi="ar-SA"/>
          <w14:textFill>
            <w14:solidFill>
              <w14:schemeClr w14:val="tx1"/>
            </w14:solidFill>
          </w14:textFill>
        </w:rPr>
        <w:t>5.</w:t>
      </w:r>
      <w:r>
        <w:rPr>
          <w:rFonts w:hint="eastAsia" w:ascii="Times New Roman" w:hAnsi="Times New Roman" w:cs="Times New Roman"/>
          <w:color w:val="000000" w:themeColor="text1"/>
          <w:kern w:val="0"/>
          <w:sz w:val="24"/>
          <w:szCs w:val="24"/>
          <w:lang w:val="en-US" w:eastAsia="zh-CN" w:bidi="ar-SA"/>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运输包装图标志，应包括：</w:t>
      </w:r>
    </w:p>
    <w:p>
      <w:pPr>
        <w:pStyle w:val="15"/>
        <w:numPr>
          <w:ilvl w:val="0"/>
          <w:numId w:val="0"/>
        </w:numPr>
        <w:ind w:firstLine="240" w:firstLineChars="100"/>
        <w:rPr>
          <w:rFonts w:hint="eastAsia" w:ascii="宋体" w:hAnsi="宋体" w:eastAsia="宋体" w:cs="宋体"/>
          <w:sz w:val="20"/>
          <w:szCs w:val="20"/>
        </w:rPr>
      </w:pPr>
      <w:r>
        <w:rPr>
          <w:rFonts w:hint="eastAsia" w:ascii="Times New Roman" w:hAnsi="Times New Roman" w:cs="Times New Roman"/>
          <w:color w:val="000000" w:themeColor="text1"/>
          <w:kern w:val="0"/>
          <w:sz w:val="24"/>
          <w:szCs w:val="24"/>
          <w:lang w:val="en-US" w:eastAsia="zh-CN" w:bidi="ar-SA"/>
          <w14:textFill>
            <w14:solidFill>
              <w14:schemeClr w14:val="tx1"/>
            </w14:solidFill>
          </w14:textFill>
        </w:rPr>
        <w:t>（1）</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大型货物的中心点，起吊位置</w:t>
      </w:r>
      <w:r>
        <w:rPr>
          <w:rFonts w:hint="eastAsia" w:ascii="Times New Roman" w:hAnsi="Times New Roman" w:cs="Times New Roman"/>
          <w:color w:val="000000" w:themeColor="text1"/>
          <w:kern w:val="0"/>
          <w:sz w:val="24"/>
          <w:szCs w:val="24"/>
          <w:lang w:val="en-US" w:eastAsia="zh-CN" w:bidi="ar-SA"/>
          <w14:textFill>
            <w14:solidFill>
              <w14:schemeClr w14:val="tx1"/>
            </w14:solidFill>
          </w14:textFill>
        </w:rPr>
        <w:t>；</w:t>
      </w:r>
    </w:p>
    <w:p>
      <w:pPr>
        <w:pStyle w:val="15"/>
        <w:numPr>
          <w:ilvl w:val="0"/>
          <w:numId w:val="0"/>
        </w:numPr>
        <w:ind w:firstLine="240" w:firstLineChars="100"/>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pPr>
      <w:r>
        <w:rPr>
          <w:rFonts w:hint="eastAsia" w:ascii="Times New Roman" w:hAnsi="Times New Roman" w:cs="Times New Roman"/>
          <w:color w:val="000000" w:themeColor="text1"/>
          <w:kern w:val="0"/>
          <w:sz w:val="24"/>
          <w:szCs w:val="24"/>
          <w:lang w:val="en-US" w:eastAsia="zh-CN" w:bidi="ar-SA"/>
          <w14:textFill>
            <w14:solidFill>
              <w14:schemeClr w14:val="tx1"/>
            </w14:solidFill>
          </w14:textFill>
        </w:rPr>
        <w:t>（2）</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防雨、防湿等作业标志；</w:t>
      </w:r>
    </w:p>
    <w:p>
      <w:pPr>
        <w:spacing w:line="360" w:lineRule="auto"/>
        <w:ind w:firstLine="480" w:firstLineChars="200"/>
        <w:outlineLvl w:val="0"/>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凡由于卖方包装或保管不善致使货物损坏或丢失时，卖方均应按规定负责及时修理、更换或赔偿。</w:t>
      </w:r>
    </w:p>
    <w:p>
      <w:pPr>
        <w:widowControl/>
        <w:spacing w:line="360" w:lineRule="auto"/>
        <w:rPr>
          <w:rFonts w:hint="eastAsia" w:ascii="Times New Roman" w:hAnsi="Times New Roman" w:eastAsia="宋体" w:cs="Times New Roman"/>
          <w:b/>
          <w:bCs/>
          <w:iCs/>
          <w:color w:val="000000" w:themeColor="text1"/>
          <w:kern w:val="0"/>
          <w:sz w:val="30"/>
          <w:szCs w:val="28"/>
          <w:lang w:val="en-US" w:eastAsia="zh-CN" w:bidi="ar-SA"/>
          <w14:textFill>
            <w14:solidFill>
              <w14:schemeClr w14:val="tx1"/>
            </w14:solidFill>
          </w14:textFill>
        </w:rPr>
      </w:pPr>
      <w:r>
        <w:rPr>
          <w:rFonts w:hint="eastAsia" w:ascii="Times New Roman" w:hAnsi="Times New Roman" w:eastAsia="宋体" w:cs="Times New Roman"/>
          <w:b/>
          <w:bCs/>
          <w:iCs/>
          <w:color w:val="000000" w:themeColor="text1"/>
          <w:kern w:val="0"/>
          <w:sz w:val="30"/>
          <w:szCs w:val="28"/>
          <w:lang w:val="en-US" w:eastAsia="zh-CN" w:bidi="ar-SA"/>
          <w14:textFill>
            <w14:solidFill>
              <w14:schemeClr w14:val="tx1"/>
            </w14:solidFill>
          </w14:textFill>
        </w:rPr>
        <w:t>五、供货要求及验收</w:t>
      </w:r>
    </w:p>
    <w:p>
      <w:pPr>
        <w:numPr>
          <w:ilvl w:val="0"/>
          <w:numId w:val="0"/>
        </w:numPr>
        <w:tabs>
          <w:tab w:val="left" w:pos="420"/>
        </w:tabs>
        <w:adjustRightInd w:val="0"/>
        <w:spacing w:line="500" w:lineRule="atLeast"/>
        <w:ind w:leftChars="0" w:firstLine="480" w:firstLineChars="200"/>
        <w:outlineLvl w:val="9"/>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kern w:val="0"/>
          <w:sz w:val="24"/>
          <w:szCs w:val="24"/>
          <w:lang w:val="en-US" w:eastAsia="zh-CN" w:bidi="ar-SA"/>
          <w14:textFill>
            <w14:solidFill>
              <w14:schemeClr w14:val="tx1"/>
            </w14:solidFill>
          </w14:textFill>
        </w:rPr>
        <w:t>1.</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 xml:space="preserve"> 卖方须在约定的时间内向买方提供质量合格、数量准确的物资，同时提供物资的装配、包装、运输及保险、技术资料（包括材料成分检测文件、产品质量证明文件等）及售后服务等。</w:t>
      </w:r>
    </w:p>
    <w:p>
      <w:pPr>
        <w:numPr>
          <w:ilvl w:val="0"/>
          <w:numId w:val="0"/>
        </w:numPr>
        <w:tabs>
          <w:tab w:val="left" w:pos="420"/>
        </w:tabs>
        <w:adjustRightInd w:val="0"/>
        <w:spacing w:line="500" w:lineRule="atLeast"/>
        <w:ind w:leftChars="0" w:firstLine="480" w:firstLineChars="200"/>
        <w:outlineLvl w:val="9"/>
        <w:rPr>
          <w:rFonts w:hint="eastAsia" w:ascii="Times New Roman" w:hAnsi="Times New Roman" w:cs="Times New Roman"/>
          <w:szCs w:val="24"/>
          <w:lang w:val="en-US" w:eastAsia="zh-CN"/>
        </w:rPr>
      </w:pPr>
      <w:r>
        <w:rPr>
          <w:rFonts w:hint="eastAsia" w:ascii="Times New Roman" w:hAnsi="Times New Roman" w:eastAsia="宋体" w:cs="Times New Roman"/>
          <w:b w:val="0"/>
          <w:bCs w:val="0"/>
          <w:color w:val="000000" w:themeColor="text1"/>
          <w:kern w:val="0"/>
          <w:sz w:val="24"/>
          <w:szCs w:val="24"/>
          <w:lang w:val="en-US" w:eastAsia="zh-CN" w:bidi="ar-SA"/>
          <w14:textFill>
            <w14:solidFill>
              <w14:schemeClr w14:val="tx1"/>
            </w14:solidFill>
          </w14:textFill>
        </w:rPr>
        <w:t xml:space="preserve">2. </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合同物资需严格按照规格型号生产制造，材料、尺寸及规格应满足设备相关国标和零部件清单要求，乙方对物资规格型号有疑问需及时同甲方沟通。</w:t>
      </w:r>
    </w:p>
    <w:p>
      <w:pPr>
        <w:widowControl/>
        <w:spacing w:line="360" w:lineRule="auto"/>
        <w:rPr>
          <w:rFonts w:hint="eastAsia" w:ascii="Times New Roman" w:hAnsi="Times New Roman" w:eastAsia="宋体" w:cs="Times New Roman"/>
          <w:b/>
          <w:bCs/>
          <w:iCs/>
          <w:color w:val="000000" w:themeColor="text1"/>
          <w:kern w:val="0"/>
          <w:sz w:val="30"/>
          <w:szCs w:val="28"/>
          <w:lang w:val="en-US" w:eastAsia="zh-CN" w:bidi="ar-SA"/>
          <w14:textFill>
            <w14:solidFill>
              <w14:schemeClr w14:val="tx1"/>
            </w14:solidFill>
          </w14:textFill>
        </w:rPr>
      </w:pPr>
      <w:r>
        <w:rPr>
          <w:rFonts w:hint="eastAsia" w:ascii="Times New Roman" w:hAnsi="Times New Roman" w:eastAsia="宋体" w:cs="Times New Roman"/>
          <w:b/>
          <w:bCs/>
          <w:iCs/>
          <w:color w:val="000000" w:themeColor="text1"/>
          <w:kern w:val="0"/>
          <w:sz w:val="30"/>
          <w:szCs w:val="28"/>
          <w:lang w:val="en-US" w:eastAsia="zh-CN" w:bidi="ar-SA"/>
          <w14:textFill>
            <w14:solidFill>
              <w14:schemeClr w14:val="tx1"/>
            </w14:solidFill>
          </w14:textFill>
        </w:rPr>
        <w:t>六、售后服务要求</w:t>
      </w:r>
    </w:p>
    <w:p>
      <w:pPr>
        <w:widowControl/>
        <w:spacing w:line="360" w:lineRule="auto"/>
        <w:ind w:firstLine="480" w:firstLineChars="200"/>
        <w:rPr>
          <w:rFonts w:hint="eastAsia" w:ascii="新宋体" w:hAnsi="新宋体" w:eastAsia="新宋体" w:cs="新宋体"/>
          <w:b w:val="0"/>
          <w:bCs w:val="0"/>
          <w:color w:val="auto"/>
          <w:sz w:val="21"/>
          <w:szCs w:val="21"/>
        </w:rPr>
      </w:pPr>
      <w:r>
        <w:rPr>
          <w:rFonts w:hint="eastAsia" w:ascii="Times New Roman" w:hAnsi="Times New Roman" w:eastAsia="宋体" w:cs="Times New Roman"/>
          <w:b w:val="0"/>
          <w:bCs w:val="0"/>
          <w:color w:val="000000" w:themeColor="text1"/>
          <w:kern w:val="0"/>
          <w:sz w:val="24"/>
          <w:szCs w:val="24"/>
          <w:lang w:val="en-US" w:eastAsia="zh-CN" w:bidi="ar-SA"/>
          <w14:textFill>
            <w14:solidFill>
              <w14:schemeClr w14:val="tx1"/>
            </w14:solidFill>
          </w14:textFill>
        </w:rPr>
        <w:t>1.</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 xml:space="preserve"> 合同货物的质量保证期内，如发现卖方提供的合同货物有缺陷，不符合合同规定，卖方应按照买方要求进行更换，同时在此基础上重新计算质保期。</w:t>
      </w:r>
    </w:p>
    <w:p>
      <w:pPr>
        <w:widowControl/>
        <w:spacing w:line="360" w:lineRule="auto"/>
        <w:ind w:firstLine="480" w:firstLineChars="200"/>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kern w:val="0"/>
          <w:sz w:val="24"/>
          <w:szCs w:val="24"/>
          <w:lang w:val="en-US" w:eastAsia="zh-CN" w:bidi="ar-SA"/>
          <w14:textFill>
            <w14:solidFill>
              <w14:schemeClr w14:val="tx1"/>
            </w14:solidFill>
          </w14:textFill>
        </w:rPr>
        <w:t xml:space="preserve">2. </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卖方负责提供设备安装及调试服务，并负责对买方工作人员进行设备操作培训。</w:t>
      </w:r>
    </w:p>
    <w:p>
      <w:pPr>
        <w:widowControl/>
        <w:spacing w:line="360" w:lineRule="auto"/>
        <w:ind w:firstLine="480" w:firstLineChars="200"/>
        <w:rPr>
          <w:rFonts w:hint="eastAsia" w:ascii="新宋体" w:hAnsi="新宋体" w:eastAsia="新宋体" w:cs="新宋体"/>
          <w:sz w:val="21"/>
          <w:szCs w:val="21"/>
          <w:lang w:eastAsia="zh-CN"/>
        </w:rPr>
      </w:pPr>
      <w:r>
        <w:rPr>
          <w:rFonts w:hint="eastAsia" w:ascii="Times New Roman" w:hAnsi="Times New Roman" w:eastAsia="宋体" w:cs="Times New Roman"/>
          <w:b w:val="0"/>
          <w:bCs w:val="0"/>
          <w:color w:val="000000" w:themeColor="text1"/>
          <w:kern w:val="0"/>
          <w:sz w:val="24"/>
          <w:szCs w:val="24"/>
          <w:lang w:val="en-US" w:eastAsia="zh-CN" w:bidi="ar-SA"/>
          <w14:textFill>
            <w14:solidFill>
              <w14:schemeClr w14:val="tx1"/>
            </w14:solidFill>
          </w14:textFill>
        </w:rPr>
        <w:t>3.</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 xml:space="preserve"> 卖方应提供相应的技术指导和现场技术服务。买方在设备安装使用期间如遇问题，卖方应提供相应的技术指导；买方根据问题情况进行评估，如有需要，卖方须派有丰富经验的技术人员到现场进行技术服务，卖方应在接到买方通知的24小时内给予答复，并派技术人员在3天内到达现场。</w:t>
      </w:r>
    </w:p>
    <w:p>
      <w:pPr>
        <w:widowControl/>
        <w:spacing w:line="360" w:lineRule="auto"/>
        <w:ind w:firstLine="480" w:firstLineChars="200"/>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kern w:val="0"/>
          <w:sz w:val="24"/>
          <w:szCs w:val="24"/>
          <w:lang w:val="en-US" w:eastAsia="zh-CN" w:bidi="ar-SA"/>
          <w14:textFill>
            <w14:solidFill>
              <w14:schemeClr w14:val="tx1"/>
            </w14:solidFill>
          </w14:textFill>
        </w:rPr>
        <w:t xml:space="preserve">4. </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如遇有重大问题需要双方立即研究协商时，任何一方均可建议召开会议，除特殊情况外，另一方应配合参加。</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黑体">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swiss"/>
    <w:pitch w:val="default"/>
    <w:sig w:usb0="00000001" w:usb1="080E0000" w:usb2="00000000" w:usb3="00000000" w:csb0="00040000" w:csb1="00000000"/>
  </w:font>
  <w:font w:name="新宋体">
    <w:panose1 w:val="02010609030101010101"/>
    <w:charset w:val="86"/>
    <w:family w:val="auto"/>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BCE38A"/>
    <w:multiLevelType w:val="singleLevel"/>
    <w:tmpl w:val="10BCE38A"/>
    <w:lvl w:ilvl="0" w:tentative="0">
      <w:start w:val="1"/>
      <w:numFmt w:val="decimal"/>
      <w:suff w:val="nothing"/>
      <w:lvlText w:val="%1）"/>
      <w:lvlJc w:val="left"/>
    </w:lvl>
  </w:abstractNum>
  <w:abstractNum w:abstractNumId="1">
    <w:nsid w:val="1CEF6C32"/>
    <w:multiLevelType w:val="multilevel"/>
    <w:tmpl w:val="1CEF6C32"/>
    <w:lvl w:ilvl="0" w:tentative="0">
      <w:start w:val="1"/>
      <w:numFmt w:val="decimal"/>
      <w:pStyle w:val="10"/>
      <w:isLgl/>
      <w:suff w:val="space"/>
      <w:lvlText w:val="%1"/>
      <w:lvlJc w:val="left"/>
      <w:pPr>
        <w:tabs>
          <w:tab w:val="left" w:pos="0"/>
        </w:tabs>
        <w:ind w:left="0" w:leftChars="0" w:firstLine="0" w:firstLineChars="0"/>
      </w:pPr>
      <w:rPr>
        <w:rFonts w:hint="default" w:ascii="宋体" w:hAnsi="宋体" w:eastAsia="宋体" w:cs="宋体"/>
        <w:snapToGrid w:val="0"/>
        <w:sz w:val="21"/>
      </w:rPr>
    </w:lvl>
    <w:lvl w:ilvl="1" w:tentative="0">
      <w:start w:val="1"/>
      <w:numFmt w:val="decimal"/>
      <w:pStyle w:val="11"/>
      <w:isLgl/>
      <w:suff w:val="space"/>
      <w:lvlText w:val="%1.%2"/>
      <w:lvlJc w:val="left"/>
      <w:pPr>
        <w:tabs>
          <w:tab w:val="left" w:pos="0"/>
        </w:tabs>
        <w:ind w:left="575" w:leftChars="0" w:hanging="575" w:firstLineChars="0"/>
      </w:pPr>
      <w:rPr>
        <w:rFonts w:hint="default" w:ascii="宋体" w:hAnsi="宋体" w:eastAsia="宋体" w:cs="宋体"/>
      </w:rPr>
    </w:lvl>
    <w:lvl w:ilvl="2" w:tentative="0">
      <w:start w:val="1"/>
      <w:numFmt w:val="decimal"/>
      <w:pStyle w:val="12"/>
      <w:isLgl/>
      <w:lvlText w:val="%1.%2.%3"/>
      <w:lvlJc w:val="left"/>
      <w:pPr>
        <w:ind w:left="720" w:leftChars="0" w:hanging="720" w:firstLineChars="0"/>
      </w:pPr>
      <w:rPr>
        <w:rFonts w:hint="default" w:ascii="宋体" w:hAnsi="宋体" w:eastAsia="宋体" w:cs="宋体"/>
      </w:rPr>
    </w:lvl>
    <w:lvl w:ilvl="3" w:tentative="0">
      <w:start w:val="1"/>
      <w:numFmt w:val="decimal"/>
      <w:lvlText w:val="%1.%2.%3.%4."/>
      <w:lvlJc w:val="left"/>
      <w:pPr>
        <w:ind w:left="864" w:leftChars="0" w:hanging="864" w:firstLineChars="0"/>
      </w:pPr>
      <w:rPr>
        <w:rFonts w:hint="default"/>
      </w:rPr>
    </w:lvl>
    <w:lvl w:ilvl="4" w:tentative="0">
      <w:start w:val="1"/>
      <w:numFmt w:val="decimal"/>
      <w:lvlText w:val="%1.%2.%3.%4.%5."/>
      <w:lvlJc w:val="left"/>
      <w:pPr>
        <w:ind w:left="1008" w:leftChars="0" w:hanging="1008" w:firstLineChars="0"/>
      </w:pPr>
      <w:rPr>
        <w:rFonts w:hint="default"/>
      </w:rPr>
    </w:lvl>
    <w:lvl w:ilvl="5" w:tentative="0">
      <w:start w:val="1"/>
      <w:numFmt w:val="decimal"/>
      <w:lvlText w:val="%1.%2.%3.%4.%5.%6."/>
      <w:lvlJc w:val="left"/>
      <w:pPr>
        <w:ind w:left="1151" w:leftChars="0" w:hanging="1151" w:firstLineChars="0"/>
      </w:pPr>
      <w:rPr>
        <w:rFonts w:hint="default"/>
      </w:rPr>
    </w:lvl>
    <w:lvl w:ilvl="6" w:tentative="0">
      <w:start w:val="1"/>
      <w:numFmt w:val="decimal"/>
      <w:lvlText w:val="%1.%2.%3.%4.%5.%6.%7."/>
      <w:lvlJc w:val="left"/>
      <w:pPr>
        <w:ind w:left="1296" w:leftChars="0" w:hanging="1296" w:firstLineChars="0"/>
      </w:pPr>
      <w:rPr>
        <w:rFonts w:hint="default"/>
      </w:rPr>
    </w:lvl>
    <w:lvl w:ilvl="7" w:tentative="0">
      <w:start w:val="1"/>
      <w:numFmt w:val="decimal"/>
      <w:lvlText w:val="%1.%2.%3.%4.%5.%6.%7.%8."/>
      <w:lvlJc w:val="left"/>
      <w:pPr>
        <w:ind w:left="1440" w:leftChars="0" w:hanging="1440" w:firstLineChars="0"/>
      </w:pPr>
      <w:rPr>
        <w:rFonts w:hint="default"/>
      </w:rPr>
    </w:lvl>
    <w:lvl w:ilvl="8" w:tentative="0">
      <w:start w:val="1"/>
      <w:numFmt w:val="decimal"/>
      <w:lvlText w:val="%1.%2.%3.%4.%5.%6.%7.%8.%9."/>
      <w:lvlJc w:val="left"/>
      <w:pPr>
        <w:ind w:left="1583" w:leftChars="0" w:hanging="1583" w:firstLineChars="0"/>
      </w:pPr>
      <w:rPr>
        <w:rFonts w:hint="default"/>
      </w:rPr>
    </w:lvl>
  </w:abstractNum>
  <w:abstractNum w:abstractNumId="2">
    <w:nsid w:val="2939AB91"/>
    <w:multiLevelType w:val="singleLevel"/>
    <w:tmpl w:val="2939AB91"/>
    <w:lvl w:ilvl="0" w:tentative="0">
      <w:start w:val="1"/>
      <w:numFmt w:val="decimal"/>
      <w:suff w:val="nothing"/>
      <w:lvlText w:val="%1"/>
      <w:lvlJc w:val="left"/>
      <w:pPr>
        <w:tabs>
          <w:tab w:val="left" w:pos="420"/>
        </w:tabs>
        <w:ind w:left="425" w:leftChars="0" w:hanging="425" w:firstLineChars="0"/>
      </w:pPr>
      <w:rPr>
        <w:rFonts w:hint="default"/>
      </w:rPr>
    </w:lvl>
  </w:abstractNum>
  <w:abstractNum w:abstractNumId="3">
    <w:nsid w:val="608A5125"/>
    <w:multiLevelType w:val="multilevel"/>
    <w:tmpl w:val="608A5125"/>
    <w:lvl w:ilvl="0" w:tentative="0">
      <w:start w:val="1"/>
      <w:numFmt w:val="decimal"/>
      <w:lvlText w:val="%1"/>
      <w:lvlJc w:val="left"/>
      <w:pPr>
        <w:ind w:left="0" w:firstLine="0"/>
      </w:pPr>
      <w:rPr>
        <w:rFonts w:hint="eastAsia"/>
      </w:rPr>
    </w:lvl>
    <w:lvl w:ilvl="1" w:tentative="0">
      <w:start w:val="1"/>
      <w:numFmt w:val="decimal"/>
      <w:pStyle w:val="4"/>
      <w:lvlText w:val="%1.%2"/>
      <w:lvlJc w:val="left"/>
      <w:pPr>
        <w:ind w:left="0" w:firstLine="0"/>
      </w:pPr>
      <w:rPr>
        <w:rFonts w:hint="eastAsia"/>
      </w:rPr>
    </w:lvl>
    <w:lvl w:ilvl="2" w:tentative="0">
      <w:start w:val="1"/>
      <w:numFmt w:val="decimal"/>
      <w:lvlText w:val="%1.%2.%3"/>
      <w:lvlJc w:val="left"/>
      <w:pPr>
        <w:ind w:left="0" w:firstLine="0"/>
      </w:pPr>
      <w:rPr>
        <w:rFonts w:hint="eastAsia"/>
      </w:rPr>
    </w:lvl>
    <w:lvl w:ilvl="3" w:tentative="0">
      <w:start w:val="1"/>
      <w:numFmt w:val="decimal"/>
      <w:lvlText w:val="%1.%2.%3.%4"/>
      <w:lvlJc w:val="left"/>
      <w:pPr>
        <w:ind w:left="0" w:firstLine="0"/>
      </w:pPr>
      <w:rPr>
        <w:rFonts w:hint="eastAsia"/>
        <w:vertAlign w:val="baseline"/>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1152" w:hanging="1152"/>
      </w:pPr>
      <w:rPr>
        <w:rFonts w:hint="eastAsia"/>
      </w:rPr>
    </w:lvl>
    <w:lvl w:ilvl="6" w:tentative="0">
      <w:start w:val="1"/>
      <w:numFmt w:val="decimal"/>
      <w:lvlRestart w:val="2"/>
      <w:lvlText w:val="表%1.%2-%7"/>
      <w:lvlJc w:val="center"/>
      <w:pPr>
        <w:ind w:left="0" w:firstLine="0"/>
      </w:pPr>
      <w:rPr>
        <w:rFonts w:hint="default" w:ascii="Times New Roman" w:hAnsi="Times New Roman" w:eastAsia="宋体"/>
        <w:b/>
        <w:i w:val="0"/>
        <w:sz w:val="24"/>
      </w:rPr>
    </w:lvl>
    <w:lvl w:ilvl="7" w:tentative="0">
      <w:start w:val="1"/>
      <w:numFmt w:val="decimal"/>
      <w:lvlRestart w:val="2"/>
      <w:lvlText w:val="图%1.%2-%8"/>
      <w:lvlJc w:val="center"/>
      <w:pPr>
        <w:ind w:left="0" w:firstLine="0"/>
      </w:pPr>
      <w:rPr>
        <w:rFonts w:hint="default" w:ascii="Times New Roman" w:hAnsi="Times New Roman" w:eastAsia="宋体"/>
        <w:b/>
        <w:i w:val="0"/>
        <w:sz w:val="24"/>
      </w:rPr>
    </w:lvl>
    <w:lvl w:ilvl="8" w:tentative="0">
      <w:start w:val="1"/>
      <w:numFmt w:val="decimal"/>
      <w:lvlText w:val="（%9）"/>
      <w:lvlJc w:val="left"/>
      <w:pPr>
        <w:ind w:left="1584" w:hanging="1584"/>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VmZDJiMjg3MjUyNTZjMDE5MTg5N2Y1NGE4ZTFiYTUifQ=="/>
  </w:docVars>
  <w:rsids>
    <w:rsidRoot w:val="433D0F06"/>
    <w:rsid w:val="01226422"/>
    <w:rsid w:val="03235131"/>
    <w:rsid w:val="05F8167E"/>
    <w:rsid w:val="09415B51"/>
    <w:rsid w:val="09944C52"/>
    <w:rsid w:val="0A2C0AF2"/>
    <w:rsid w:val="0B91074D"/>
    <w:rsid w:val="0D3533C0"/>
    <w:rsid w:val="0E783FCD"/>
    <w:rsid w:val="11AF66F3"/>
    <w:rsid w:val="1240709B"/>
    <w:rsid w:val="15F40223"/>
    <w:rsid w:val="17E34DCC"/>
    <w:rsid w:val="18756D42"/>
    <w:rsid w:val="18D711AC"/>
    <w:rsid w:val="18FD122C"/>
    <w:rsid w:val="1D851E1A"/>
    <w:rsid w:val="1DA025D6"/>
    <w:rsid w:val="1F1E3D9B"/>
    <w:rsid w:val="1FF8763D"/>
    <w:rsid w:val="20067A63"/>
    <w:rsid w:val="200929C8"/>
    <w:rsid w:val="2058433B"/>
    <w:rsid w:val="20AB6E87"/>
    <w:rsid w:val="20FC0BC2"/>
    <w:rsid w:val="21CD000A"/>
    <w:rsid w:val="279E07BE"/>
    <w:rsid w:val="27A67F83"/>
    <w:rsid w:val="28005747"/>
    <w:rsid w:val="2C9C34C8"/>
    <w:rsid w:val="2D54008D"/>
    <w:rsid w:val="2F9A3452"/>
    <w:rsid w:val="32DD646E"/>
    <w:rsid w:val="364E6002"/>
    <w:rsid w:val="369C0558"/>
    <w:rsid w:val="37E07B63"/>
    <w:rsid w:val="387E0A6E"/>
    <w:rsid w:val="3ACC3FA7"/>
    <w:rsid w:val="3AF104F3"/>
    <w:rsid w:val="3D621C62"/>
    <w:rsid w:val="3E9F1853"/>
    <w:rsid w:val="3EC9669A"/>
    <w:rsid w:val="433D0F06"/>
    <w:rsid w:val="45626388"/>
    <w:rsid w:val="459019B0"/>
    <w:rsid w:val="461275DA"/>
    <w:rsid w:val="47047830"/>
    <w:rsid w:val="49215FEB"/>
    <w:rsid w:val="4E9F00D6"/>
    <w:rsid w:val="4F42673D"/>
    <w:rsid w:val="50424A0A"/>
    <w:rsid w:val="516359F4"/>
    <w:rsid w:val="51A10A52"/>
    <w:rsid w:val="52280044"/>
    <w:rsid w:val="52563DEB"/>
    <w:rsid w:val="53913AB2"/>
    <w:rsid w:val="547D5CFD"/>
    <w:rsid w:val="54C66879"/>
    <w:rsid w:val="5ADD6BE9"/>
    <w:rsid w:val="5D291463"/>
    <w:rsid w:val="5E0F25E1"/>
    <w:rsid w:val="5F704B63"/>
    <w:rsid w:val="60A84FE4"/>
    <w:rsid w:val="62EC28E9"/>
    <w:rsid w:val="645C4D4B"/>
    <w:rsid w:val="646512C0"/>
    <w:rsid w:val="69721436"/>
    <w:rsid w:val="6ABC4467"/>
    <w:rsid w:val="6BB21EE8"/>
    <w:rsid w:val="6CDF7167"/>
    <w:rsid w:val="6E41758E"/>
    <w:rsid w:val="6FF53596"/>
    <w:rsid w:val="741849D1"/>
    <w:rsid w:val="792E192C"/>
    <w:rsid w:val="7A545117"/>
    <w:rsid w:val="7CBD624D"/>
    <w:rsid w:val="7DD665D7"/>
    <w:rsid w:val="7F8703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9"/>
    <w:pPr>
      <w:keepNext/>
      <w:keepLines/>
      <w:spacing w:line="400" w:lineRule="exact"/>
      <w:jc w:val="center"/>
      <w:outlineLvl w:val="0"/>
    </w:pPr>
    <w:rPr>
      <w:rFonts w:ascii="Times New Roman" w:hAnsi="Times New Roman" w:eastAsia="黑体"/>
      <w:bCs/>
      <w:kern w:val="44"/>
      <w:sz w:val="32"/>
      <w:szCs w:val="44"/>
    </w:rPr>
  </w:style>
  <w:style w:type="paragraph" w:styleId="4">
    <w:name w:val="heading 2"/>
    <w:basedOn w:val="1"/>
    <w:next w:val="1"/>
    <w:unhideWhenUsed/>
    <w:qFormat/>
    <w:uiPriority w:val="0"/>
    <w:pPr>
      <w:keepNext/>
      <w:numPr>
        <w:ilvl w:val="1"/>
        <w:numId w:val="1"/>
      </w:numPr>
      <w:spacing w:before="120" w:after="120"/>
      <w:ind w:firstLineChars="0"/>
      <w:outlineLvl w:val="1"/>
    </w:pPr>
    <w:rPr>
      <w:b/>
      <w:bCs/>
      <w:iCs/>
      <w:sz w:val="30"/>
      <w:szCs w:val="28"/>
      <w:lang w:val="zh-CN"/>
    </w:rPr>
  </w:style>
  <w:style w:type="character" w:default="1" w:styleId="9">
    <w:name w:val="Default Paragraph Font"/>
    <w:semiHidden/>
    <w:qFormat/>
    <w:uiPriority w:val="0"/>
    <w:rPr>
      <w:rFonts w:eastAsia="宋体" w:cs="Times New Roman" w:asciiTheme="minorAscii" w:hAnsiTheme="minorAscii"/>
      <w:sz w:val="21"/>
      <w:szCs w:val="22"/>
    </w:rPr>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napToGrid/>
      <w:spacing w:after="120" w:line="312" w:lineRule="atLeast"/>
      <w:ind w:firstLine="0" w:firstLineChars="0"/>
      <w:textAlignment w:val="baseline"/>
    </w:pPr>
    <w:rPr>
      <w:kern w:val="0"/>
      <w:sz w:val="21"/>
      <w:szCs w:val="24"/>
    </w:rPr>
  </w:style>
  <w:style w:type="paragraph" w:styleId="5">
    <w:name w:val="annotation text"/>
    <w:basedOn w:val="1"/>
    <w:qFormat/>
    <w:uiPriority w:val="0"/>
    <w:pPr>
      <w:jc w:val="left"/>
    </w:pPr>
  </w:style>
  <w:style w:type="paragraph" w:styleId="6">
    <w:name w:val="Title"/>
    <w:basedOn w:val="1"/>
    <w:qFormat/>
    <w:uiPriority w:val="0"/>
    <w:pPr>
      <w:spacing w:before="240" w:beforeLines="0" w:beforeAutospacing="0" w:after="60" w:afterLines="0" w:afterAutospacing="0"/>
      <w:jc w:val="center"/>
      <w:outlineLvl w:val="0"/>
    </w:pPr>
    <w:rPr>
      <w:rFonts w:ascii="Arial" w:hAnsi="Arial"/>
      <w:b/>
      <w:sz w:val="32"/>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
    <w:name w:val="一级标题"/>
    <w:basedOn w:val="6"/>
    <w:qFormat/>
    <w:uiPriority w:val="0"/>
    <w:pPr>
      <w:widowControl w:val="0"/>
      <w:numPr>
        <w:ilvl w:val="0"/>
        <w:numId w:val="2"/>
      </w:numPr>
      <w:tabs>
        <w:tab w:val="clear" w:pos="0"/>
      </w:tabs>
      <w:kinsoku w:val="0"/>
      <w:overflowPunct w:val="0"/>
      <w:spacing w:line="360" w:lineRule="auto"/>
      <w:ind w:left="0" w:firstLine="0" w:firstLineChars="0"/>
      <w:jc w:val="left"/>
      <w:outlineLvl w:val="0"/>
    </w:pPr>
    <w:rPr>
      <w:rFonts w:ascii="Times New Roman" w:hAnsi="Times New Roman" w:eastAsia="黑体" w:cs="Times New Roman"/>
      <w:sz w:val="21"/>
      <w:szCs w:val="21"/>
    </w:rPr>
  </w:style>
  <w:style w:type="paragraph" w:customStyle="1" w:styleId="11">
    <w:name w:val="二级标题"/>
    <w:basedOn w:val="10"/>
    <w:qFormat/>
    <w:uiPriority w:val="0"/>
    <w:pPr>
      <w:numPr>
        <w:ilvl w:val="1"/>
      </w:numPr>
      <w:tabs>
        <w:tab w:val="left" w:pos="420"/>
      </w:tabs>
      <w:spacing w:before="120" w:line="360" w:lineRule="auto"/>
      <w:ind w:left="575" w:hanging="575"/>
    </w:pPr>
    <w:rPr>
      <w:rFonts w:eastAsia="宋体" w:cs="Times New Roman" w:asciiTheme="minorAscii" w:hAnsiTheme="minorAscii"/>
      <w:b w:val="0"/>
      <w:sz w:val="21"/>
      <w:szCs w:val="22"/>
    </w:rPr>
  </w:style>
  <w:style w:type="paragraph" w:customStyle="1" w:styleId="12">
    <w:name w:val="三级标题"/>
    <w:basedOn w:val="6"/>
    <w:qFormat/>
    <w:uiPriority w:val="0"/>
    <w:pPr>
      <w:numPr>
        <w:ilvl w:val="2"/>
        <w:numId w:val="2"/>
      </w:numPr>
      <w:tabs>
        <w:tab w:val="left" w:pos="0"/>
      </w:tabs>
      <w:spacing w:before="120" w:line="240" w:lineRule="auto"/>
      <w:jc w:val="left"/>
    </w:pPr>
    <w:rPr>
      <w:rFonts w:eastAsia="宋体" w:cs="Times New Roman" w:asciiTheme="minorAscii" w:hAnsiTheme="minorAscii"/>
      <w:b w:val="0"/>
      <w:sz w:val="21"/>
      <w:szCs w:val="22"/>
    </w:rPr>
  </w:style>
  <w:style w:type="paragraph" w:customStyle="1" w:styleId="13">
    <w:name w:val="_Style 4"/>
    <w:basedOn w:val="1"/>
    <w:qFormat/>
    <w:uiPriority w:val="34"/>
    <w:pPr>
      <w:ind w:firstLine="420" w:firstLineChars="200"/>
    </w:pPr>
    <w:rPr>
      <w:rFonts w:ascii="Times New Roman" w:hAnsi="Times New Roman" w:eastAsia="宋体" w:cs="Times New Roman"/>
      <w:szCs w:val="24"/>
    </w:rPr>
  </w:style>
  <w:style w:type="paragraph" w:customStyle="1" w:styleId="14">
    <w:name w:val="List Paragraph"/>
    <w:basedOn w:val="1"/>
    <w:qFormat/>
    <w:uiPriority w:val="34"/>
    <w:pPr>
      <w:jc w:val="left"/>
    </w:pPr>
    <w:rPr>
      <w:rFonts w:eastAsiaTheme="minorHAnsi"/>
      <w:kern w:val="0"/>
      <w:sz w:val="22"/>
      <w:lang w:eastAsia="en-US"/>
    </w:rPr>
  </w:style>
  <w:style w:type="paragraph" w:customStyle="1" w:styleId="15">
    <w:name w:val="方案正文"/>
    <w:basedOn w:val="1"/>
    <w:qFormat/>
    <w:uiPriority w:val="0"/>
    <w:pPr>
      <w:spacing w:line="360" w:lineRule="auto"/>
      <w:ind w:firstLine="480" w:firstLineChars="200"/>
    </w:pPr>
    <w:rPr>
      <w:rFonts w:ascii="仿宋_GB2312" w:hAnsi="Calibri" w:eastAsia="宋体" w:cs="Times New Roman"/>
      <w:sz w:val="24"/>
      <w:szCs w:val="24"/>
    </w:rPr>
  </w:style>
  <w:style w:type="character" w:customStyle="1" w:styleId="16">
    <w:name w:val="font41"/>
    <w:basedOn w:val="9"/>
    <w:qFormat/>
    <w:uiPriority w:val="0"/>
    <w:rPr>
      <w:rFonts w:hint="default" w:ascii="Arial" w:hAnsi="Arial" w:cs="Arial"/>
      <w:color w:val="000000"/>
      <w:sz w:val="22"/>
      <w:szCs w:val="22"/>
      <w:u w:val="none"/>
    </w:rPr>
  </w:style>
  <w:style w:type="character" w:customStyle="1" w:styleId="17">
    <w:name w:val="font11"/>
    <w:basedOn w:val="9"/>
    <w:qFormat/>
    <w:uiPriority w:val="0"/>
    <w:rPr>
      <w:rFonts w:hint="eastAsia" w:ascii="宋体" w:hAnsi="宋体" w:eastAsia="宋体" w:cs="宋体"/>
      <w:color w:val="000000"/>
      <w:sz w:val="22"/>
      <w:szCs w:val="22"/>
      <w:u w:val="none"/>
    </w:rPr>
  </w:style>
  <w:style w:type="character" w:customStyle="1" w:styleId="18">
    <w:name w:val="font31"/>
    <w:basedOn w:val="9"/>
    <w:qFormat/>
    <w:uiPriority w:val="0"/>
    <w:rPr>
      <w:rFonts w:hint="default" w:ascii="Times New Roman" w:hAnsi="Times New Roman" w:cs="Times New Roman"/>
      <w:color w:val="000000"/>
      <w:sz w:val="22"/>
      <w:szCs w:val="22"/>
      <w:u w:val="none"/>
    </w:rPr>
  </w:style>
  <w:style w:type="character" w:customStyle="1" w:styleId="19">
    <w:name w:val="font01"/>
    <w:basedOn w:val="9"/>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1992</Words>
  <Characters>2680</Characters>
  <Lines>0</Lines>
  <Paragraphs>0</Paragraphs>
  <TotalTime>33</TotalTime>
  <ScaleCrop>false</ScaleCrop>
  <LinksUpToDate>false</LinksUpToDate>
  <CharactersWithSpaces>2781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2020-06-15T07:13:00Z</dcterms:created>
  <dc:creator>Administrator</dc:creator>
  <cp:lastModifiedBy>张松伟</cp:lastModifiedBy>
  <cp:lastPrinted>2022-07-19T07:04:00Z</cp:lastPrinted>
  <dcterms:modified xsi:type="dcterms:W3CDTF">2025-09-25T07:57:53Z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5379CD0B61DD4B34B9F9F05E7D6DF6D3</vt:lpwstr>
  </property>
</Properties>
</file>