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highlight w:val="none"/>
        </w:rPr>
      </w:pPr>
      <w:bookmarkStart w:id="0" w:name="_Toc354583027"/>
      <w:bookmarkStart w:id="1" w:name="_Toc354577533"/>
      <w:bookmarkStart w:id="2" w:name="_Toc323204861"/>
      <w:bookmarkStart w:id="3" w:name="_Toc354577344"/>
      <w:bookmarkStart w:id="4" w:name="_Toc316743307"/>
      <w:bookmarkStart w:id="5" w:name="OLE_LINK1"/>
      <w:bookmarkStart w:id="6" w:name="OLE_LINK2"/>
      <w:r>
        <w:rPr>
          <w:color w:val="auto"/>
          <w:highlight w:val="none"/>
        </w:rPr>
        <w:drawing>
          <wp:anchor distT="0" distB="0" distL="114300" distR="114300" simplePos="0" relativeHeight="251659264" behindDoc="1" locked="0" layoutInCell="1" allowOverlap="1">
            <wp:simplePos x="0" y="0"/>
            <wp:positionH relativeFrom="column">
              <wp:posOffset>-1080135</wp:posOffset>
            </wp:positionH>
            <wp:positionV relativeFrom="paragraph">
              <wp:posOffset>-909955</wp:posOffset>
            </wp:positionV>
            <wp:extent cx="8663940" cy="2660015"/>
            <wp:effectExtent l="0" t="0" r="3810" b="6985"/>
            <wp:wrapNone/>
            <wp:docPr id="2" name="Picture 21"/>
            <wp:cNvGraphicFramePr/>
            <a:graphic xmlns:a="http://schemas.openxmlformats.org/drawingml/2006/main">
              <a:graphicData uri="http://schemas.openxmlformats.org/drawingml/2006/picture">
                <pic:pic xmlns:pic="http://schemas.openxmlformats.org/drawingml/2006/picture">
                  <pic:nvPicPr>
                    <pic:cNvPr id="2" name="Picture 21"/>
                    <pic:cNvPicPr/>
                  </pic:nvPicPr>
                  <pic:blipFill>
                    <a:blip r:embed="rId13" cstate="print"/>
                    <a:stretch>
                      <a:fillRect/>
                    </a:stretch>
                  </pic:blipFill>
                  <pic:spPr>
                    <a:xfrm>
                      <a:off x="0" y="0"/>
                      <a:ext cx="8663940" cy="2660015"/>
                    </a:xfrm>
                    <a:prstGeom prst="rect">
                      <a:avLst/>
                    </a:prstGeom>
                    <a:noFill/>
                    <a:ln>
                      <a:noFill/>
                    </a:ln>
                  </pic:spPr>
                </pic:pic>
              </a:graphicData>
            </a:graphic>
          </wp:anchor>
        </w:drawing>
      </w:r>
    </w:p>
    <w:p>
      <w:pPr>
        <w:rPr>
          <w:color w:val="auto"/>
          <w:highlight w:val="none"/>
        </w:rPr>
      </w:pPr>
    </w:p>
    <w:p>
      <w:pPr>
        <w:rPr>
          <w:color w:val="auto"/>
          <w:highlight w:val="none"/>
        </w:rPr>
      </w:pPr>
    </w:p>
    <w:p>
      <w:pPr>
        <w:spacing w:before="240" w:beforeLines="100"/>
        <w:jc w:val="center"/>
        <w:rPr>
          <w:rFonts w:ascii="Times New Roman" w:hAnsi="Times New Roman" w:eastAsia="隶书"/>
          <w:color w:val="auto"/>
          <w:kern w:val="0"/>
          <w:sz w:val="58"/>
          <w:szCs w:val="52"/>
          <w:highlight w:val="none"/>
        </w:rPr>
      </w:pPr>
    </w:p>
    <w:p>
      <w:pPr>
        <w:spacing w:before="240" w:beforeLines="100"/>
        <w:jc w:val="center"/>
        <w:rPr>
          <w:rFonts w:ascii="Times New Roman" w:hAnsi="Times New Roman" w:eastAsia="隶书"/>
          <w:color w:val="auto"/>
          <w:kern w:val="0"/>
          <w:sz w:val="58"/>
          <w:szCs w:val="52"/>
          <w:highlight w:val="none"/>
        </w:rPr>
      </w:pPr>
    </w:p>
    <w:p>
      <w:pPr>
        <w:spacing w:before="240" w:beforeLines="100"/>
        <w:jc w:val="center"/>
        <w:rPr>
          <w:rFonts w:ascii="Times New Roman" w:hAnsi="Times New Roman" w:eastAsia="隶书"/>
          <w:color w:val="auto"/>
          <w:kern w:val="0"/>
          <w:sz w:val="58"/>
          <w:szCs w:val="52"/>
          <w:highlight w:val="none"/>
        </w:rPr>
      </w:pPr>
      <w:r>
        <w:rPr>
          <w:rFonts w:hint="eastAsia" w:ascii="Times New Roman" w:hAnsi="Times New Roman" w:eastAsia="隶书"/>
          <w:color w:val="auto"/>
          <w:kern w:val="0"/>
          <w:sz w:val="58"/>
          <w:szCs w:val="52"/>
          <w:highlight w:val="none"/>
        </w:rPr>
        <w:t>广西灌阳抽水蓄能电站</w:t>
      </w:r>
    </w:p>
    <w:p>
      <w:pPr>
        <w:snapToGrid w:val="0"/>
        <w:spacing w:before="120" w:beforeLines="50"/>
        <w:jc w:val="center"/>
        <w:rPr>
          <w:rFonts w:ascii="Times New Roman" w:hAnsi="Times New Roman" w:eastAsia="方正大标宋简体"/>
          <w:color w:val="auto"/>
          <w:spacing w:val="49"/>
          <w:w w:val="73"/>
          <w:kern w:val="0"/>
          <w:sz w:val="78"/>
          <w:szCs w:val="70"/>
          <w:highlight w:val="none"/>
        </w:rPr>
      </w:pPr>
      <w:r>
        <w:rPr>
          <w:rFonts w:hint="eastAsia" w:ascii="Times New Roman" w:hAnsi="Times New Roman" w:eastAsia="方正大标宋简体"/>
          <w:color w:val="auto"/>
          <w:spacing w:val="5"/>
          <w:w w:val="78"/>
          <w:kern w:val="0"/>
          <w:sz w:val="78"/>
          <w:szCs w:val="70"/>
          <w:highlight w:val="none"/>
        </w:rPr>
        <w:t>机电设备安装工程</w:t>
      </w:r>
    </w:p>
    <w:p>
      <w:pPr>
        <w:spacing w:line="240" w:lineRule="exact"/>
        <w:rPr>
          <w:rFonts w:ascii="Times New Roman" w:hAnsi="Times New Roman"/>
          <w:color w:val="auto"/>
          <w:kern w:val="0"/>
          <w:sz w:val="24"/>
          <w:szCs w:val="20"/>
          <w:highlight w:val="none"/>
        </w:rPr>
      </w:pPr>
    </w:p>
    <w:p>
      <w:pPr>
        <w:snapToGrid w:val="0"/>
        <w:jc w:val="center"/>
        <w:rPr>
          <w:rFonts w:ascii="Times New Roman" w:hAnsi="Times New Roman" w:eastAsia="方正大标宋简体"/>
          <w:color w:val="auto"/>
          <w:kern w:val="0"/>
          <w:sz w:val="76"/>
          <w:szCs w:val="70"/>
          <w:highlight w:val="none"/>
        </w:rPr>
      </w:pPr>
      <w:r>
        <w:rPr>
          <w:rFonts w:hint="eastAsia" w:ascii="Times New Roman" w:hAnsi="Times New Roman" w:eastAsia="方正大标宋简体"/>
          <w:color w:val="auto"/>
          <w:kern w:val="0"/>
          <w:sz w:val="80"/>
          <w:szCs w:val="70"/>
          <w:highlight w:val="none"/>
        </w:rPr>
        <w:t>施工招标文件</w:t>
      </w:r>
    </w:p>
    <w:p>
      <w:pPr>
        <w:rPr>
          <w:color w:val="auto"/>
          <w:highlight w:val="none"/>
        </w:rPr>
      </w:pPr>
    </w:p>
    <w:p>
      <w:pPr>
        <w:spacing w:before="240" w:beforeLines="100"/>
        <w:jc w:val="center"/>
        <w:rPr>
          <w:rFonts w:ascii="华文新魏" w:hAnsi="Times New Roman" w:eastAsia="华文新魏"/>
          <w:color w:val="auto"/>
          <w:kern w:val="0"/>
          <w:sz w:val="64"/>
          <w:szCs w:val="48"/>
          <w:highlight w:val="none"/>
        </w:rPr>
      </w:pPr>
      <w:bookmarkStart w:id="7" w:name="_Toc395254904"/>
      <w:r>
        <w:rPr>
          <w:rFonts w:hint="eastAsia" w:ascii="华文新魏" w:hAnsi="Times New Roman" w:eastAsia="华文新魏"/>
          <w:color w:val="auto"/>
          <w:kern w:val="0"/>
          <w:sz w:val="64"/>
          <w:szCs w:val="48"/>
          <w:highlight w:val="none"/>
        </w:rPr>
        <w:t>第二册  技术</w:t>
      </w:r>
      <w:bookmarkEnd w:id="7"/>
      <w:r>
        <w:rPr>
          <w:rFonts w:hint="eastAsia" w:ascii="华文新魏" w:hAnsi="Times New Roman" w:eastAsia="华文新魏"/>
          <w:color w:val="auto"/>
          <w:kern w:val="0"/>
          <w:sz w:val="64"/>
          <w:szCs w:val="48"/>
          <w:highlight w:val="none"/>
        </w:rPr>
        <w:t>条款</w:t>
      </w:r>
    </w:p>
    <w:p>
      <w:pPr>
        <w:snapToGrid w:val="0"/>
        <w:spacing w:before="120" w:beforeLines="50" w:after="120" w:afterLines="50" w:line="600" w:lineRule="atLeast"/>
        <w:jc w:val="center"/>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t>第</w:t>
      </w:r>
      <w:r>
        <w:rPr>
          <w:rFonts w:ascii="Times New Roman" w:hAnsi="Times New Roman" w:eastAsia="楷体" w:cs="Times New Roman"/>
          <w:b/>
          <w:color w:val="auto"/>
          <w:sz w:val="36"/>
          <w:szCs w:val="36"/>
          <w:highlight w:val="none"/>
        </w:rPr>
        <w:t>2</w:t>
      </w:r>
      <w:r>
        <w:rPr>
          <w:rFonts w:hint="eastAsia" w:ascii="楷体" w:hAnsi="楷体" w:eastAsia="楷体"/>
          <w:b/>
          <w:color w:val="auto"/>
          <w:sz w:val="36"/>
          <w:szCs w:val="36"/>
          <w:highlight w:val="none"/>
        </w:rPr>
        <w:t>部分</w:t>
      </w:r>
      <w:r>
        <w:rPr>
          <w:rFonts w:ascii="楷体" w:hAnsi="楷体" w:eastAsia="楷体"/>
          <w:b/>
          <w:color w:val="auto"/>
          <w:sz w:val="36"/>
          <w:szCs w:val="36"/>
          <w:highlight w:val="none"/>
        </w:rPr>
        <w:t xml:space="preserve">  </w:t>
      </w:r>
      <w:r>
        <w:rPr>
          <w:rFonts w:hint="eastAsia" w:ascii="楷体" w:hAnsi="楷体" w:eastAsia="楷体"/>
          <w:b/>
          <w:color w:val="auto"/>
          <w:sz w:val="36"/>
          <w:szCs w:val="36"/>
          <w:highlight w:val="none"/>
        </w:rPr>
        <w:t>专用技术条款</w:t>
      </w:r>
    </w:p>
    <w:p>
      <w:pPr>
        <w:rPr>
          <w:color w:val="auto"/>
          <w:highlight w:val="none"/>
        </w:rPr>
      </w:pPr>
    </w:p>
    <w:p>
      <w:pPr>
        <w:spacing w:line="360" w:lineRule="auto"/>
        <w:ind w:firstLine="510"/>
        <w:rPr>
          <w:rFonts w:ascii="Times New Roman" w:hAnsi="Times New Roman" w:cs="Times New Roman"/>
          <w:color w:val="auto"/>
          <w:kern w:val="0"/>
          <w:sz w:val="24"/>
          <w:szCs w:val="20"/>
          <w:highlight w:val="none"/>
        </w:rPr>
      </w:pPr>
    </w:p>
    <w:bookmarkEnd w:id="0"/>
    <w:bookmarkEnd w:id="1"/>
    <w:bookmarkEnd w:id="2"/>
    <w:bookmarkEnd w:id="3"/>
    <w:bookmarkEnd w:id="4"/>
    <w:p>
      <w:pPr>
        <w:spacing w:line="240" w:lineRule="exact"/>
        <w:ind w:firstLine="510"/>
        <w:rPr>
          <w:rFonts w:ascii="Times New Roman" w:hAnsi="Times New Roman" w:cs="Times New Roman"/>
          <w:color w:val="auto"/>
          <w:kern w:val="0"/>
          <w:sz w:val="24"/>
          <w:szCs w:val="20"/>
          <w:highlight w:val="none"/>
        </w:rPr>
      </w:pPr>
    </w:p>
    <w:p>
      <w:pPr>
        <w:spacing w:line="240" w:lineRule="exact"/>
        <w:ind w:firstLine="510"/>
        <w:rPr>
          <w:rFonts w:ascii="Times New Roman" w:hAnsi="Times New Roman" w:cs="Times New Roman"/>
          <w:color w:val="auto"/>
          <w:kern w:val="0"/>
          <w:sz w:val="24"/>
          <w:szCs w:val="20"/>
          <w:highlight w:val="none"/>
        </w:rPr>
      </w:pPr>
    </w:p>
    <w:p>
      <w:pPr>
        <w:spacing w:line="240" w:lineRule="exact"/>
        <w:ind w:firstLine="510"/>
        <w:rPr>
          <w:rFonts w:ascii="Times New Roman" w:hAnsi="Times New Roman" w:cs="Times New Roman"/>
          <w:color w:val="auto"/>
          <w:kern w:val="0"/>
          <w:sz w:val="24"/>
          <w:szCs w:val="20"/>
          <w:highlight w:val="none"/>
        </w:rPr>
      </w:pPr>
    </w:p>
    <w:p>
      <w:pPr>
        <w:spacing w:line="240" w:lineRule="exact"/>
        <w:ind w:firstLine="510"/>
        <w:rPr>
          <w:rFonts w:ascii="Times New Roman" w:hAnsi="Times New Roman" w:cs="Times New Roman"/>
          <w:color w:val="auto"/>
          <w:kern w:val="0"/>
          <w:sz w:val="24"/>
          <w:szCs w:val="20"/>
          <w:highlight w:val="none"/>
        </w:rPr>
      </w:pPr>
    </w:p>
    <w:p>
      <w:pPr>
        <w:spacing w:line="240" w:lineRule="exact"/>
        <w:ind w:firstLine="510"/>
        <w:rPr>
          <w:rFonts w:ascii="Times New Roman" w:hAnsi="Times New Roman" w:cs="Times New Roman"/>
          <w:color w:val="auto"/>
          <w:kern w:val="0"/>
          <w:sz w:val="24"/>
          <w:szCs w:val="20"/>
          <w:highlight w:val="none"/>
        </w:rPr>
      </w:pPr>
    </w:p>
    <w:p>
      <w:pPr>
        <w:spacing w:line="240" w:lineRule="exact"/>
        <w:ind w:firstLine="510"/>
        <w:rPr>
          <w:rFonts w:ascii="Times New Roman" w:hAnsi="Times New Roman" w:cs="Times New Roman"/>
          <w:color w:val="auto"/>
          <w:kern w:val="0"/>
          <w:sz w:val="24"/>
          <w:szCs w:val="20"/>
          <w:highlight w:val="none"/>
        </w:rPr>
      </w:pPr>
    </w:p>
    <w:bookmarkEnd w:id="5"/>
    <w:bookmarkEnd w:id="6"/>
    <w:p>
      <w:pPr>
        <w:spacing w:line="560" w:lineRule="exact"/>
        <w:jc w:val="center"/>
        <w:rPr>
          <w:rFonts w:ascii="Times New Roman" w:hAnsi="Times New Roman" w:eastAsia="黑体"/>
          <w:color w:val="auto"/>
          <w:kern w:val="0"/>
          <w:sz w:val="32"/>
          <w:szCs w:val="32"/>
          <w:highlight w:val="none"/>
        </w:rPr>
      </w:pPr>
      <w:r>
        <w:rPr>
          <w:rFonts w:hint="eastAsia" w:ascii="Times New Roman" w:hAnsi="Times New Roman" w:eastAsia="黑体"/>
          <w:color w:val="auto"/>
          <w:kern w:val="0"/>
          <w:sz w:val="32"/>
          <w:szCs w:val="32"/>
          <w:highlight w:val="none"/>
        </w:rPr>
        <w:t>编制人：中南勘测设计研究院有限公司</w:t>
      </w:r>
    </w:p>
    <w:p>
      <w:pPr>
        <w:spacing w:line="560" w:lineRule="exact"/>
        <w:jc w:val="center"/>
        <w:rPr>
          <w:rFonts w:ascii="Times New Roman" w:hAnsi="Times New Roman" w:eastAsia="黑体" w:cs="Times New Roman"/>
          <w:color w:val="auto"/>
          <w:kern w:val="0"/>
          <w:sz w:val="34"/>
          <w:szCs w:val="34"/>
          <w:highlight w:val="none"/>
        </w:rPr>
      </w:pPr>
      <w:r>
        <w:rPr>
          <w:rFonts w:hint="eastAsia" w:ascii="Times New Roman" w:hAnsi="Times New Roman" w:eastAsia="黑体"/>
          <w:color w:val="auto"/>
          <w:kern w:val="0"/>
          <w:sz w:val="34"/>
          <w:szCs w:val="34"/>
          <w:highlight w:val="none"/>
        </w:rPr>
        <w:t>二〇二五年四月</w:t>
      </w:r>
    </w:p>
    <w:p>
      <w:pPr>
        <w:jc w:val="center"/>
        <w:rPr>
          <w:color w:val="auto"/>
          <w:sz w:val="52"/>
          <w:szCs w:val="52"/>
          <w:highlight w:val="none"/>
        </w:rPr>
      </w:pPr>
      <w:r>
        <w:rPr>
          <w:rFonts w:ascii="Times New Roman" w:hAnsi="Times New Roman" w:eastAsia="隶书" w:cs="Times New Roman"/>
          <w:color w:val="auto"/>
          <w:kern w:val="0"/>
          <w:sz w:val="52"/>
          <w:szCs w:val="52"/>
          <w:highlight w:val="none"/>
        </w:rPr>
        <w:br w:type="page"/>
      </w:r>
      <w:r>
        <w:rPr>
          <w:rFonts w:hint="eastAsia"/>
          <w:color w:val="auto"/>
          <w:sz w:val="52"/>
          <w:szCs w:val="52"/>
          <w:highlight w:val="none"/>
        </w:rPr>
        <w:t xml:space="preserve">说 </w:t>
      </w:r>
      <w:r>
        <w:rPr>
          <w:color w:val="auto"/>
          <w:sz w:val="52"/>
          <w:szCs w:val="52"/>
          <w:highlight w:val="none"/>
        </w:rPr>
        <w:t xml:space="preserve"> </w:t>
      </w:r>
      <w:r>
        <w:rPr>
          <w:rFonts w:hint="eastAsia"/>
          <w:color w:val="auto"/>
          <w:sz w:val="52"/>
          <w:szCs w:val="52"/>
          <w:highlight w:val="none"/>
        </w:rPr>
        <w:t>明</w:t>
      </w:r>
    </w:p>
    <w:p>
      <w:pPr>
        <w:overflowPunct w:val="0"/>
        <w:autoSpaceDE w:val="0"/>
        <w:autoSpaceDN w:val="0"/>
        <w:ind w:left="238" w:right="675" w:firstLine="454"/>
        <w:rPr>
          <w:color w:val="auto"/>
          <w:sz w:val="28"/>
          <w:szCs w:val="28"/>
          <w:highlight w:val="none"/>
        </w:rPr>
      </w:pPr>
    </w:p>
    <w:p>
      <w:pPr>
        <w:pStyle w:val="76"/>
        <w:spacing w:line="360" w:lineRule="auto"/>
        <w:ind w:firstLine="496"/>
        <w:rPr>
          <w:color w:val="auto"/>
          <w:sz w:val="28"/>
          <w:szCs w:val="28"/>
          <w:highlight w:val="none"/>
        </w:rPr>
      </w:pPr>
      <w:r>
        <w:rPr>
          <w:rFonts w:hint="eastAsia"/>
          <w:color w:val="auto"/>
          <w:sz w:val="28"/>
          <w:szCs w:val="28"/>
          <w:highlight w:val="none"/>
        </w:rPr>
        <w:t>1、招标文件第二册技术条款共3部分，第1部分通用技术条款与第2部分专用技术条款配套使用。第3部分为永久仓库建筑工程技术条款。</w:t>
      </w:r>
    </w:p>
    <w:p>
      <w:pPr>
        <w:pStyle w:val="76"/>
        <w:spacing w:line="360" w:lineRule="auto"/>
        <w:ind w:firstLine="496"/>
        <w:rPr>
          <w:color w:val="auto"/>
          <w:sz w:val="28"/>
          <w:szCs w:val="28"/>
          <w:highlight w:val="none"/>
        </w:rPr>
      </w:pPr>
      <w:r>
        <w:rPr>
          <w:color w:val="auto"/>
          <w:sz w:val="28"/>
          <w:szCs w:val="28"/>
          <w:highlight w:val="none"/>
        </w:rPr>
        <w:t>2</w:t>
      </w:r>
      <w:r>
        <w:rPr>
          <w:rFonts w:hint="eastAsia"/>
          <w:color w:val="auto"/>
          <w:sz w:val="28"/>
          <w:szCs w:val="28"/>
          <w:highlight w:val="none"/>
        </w:rPr>
        <w:t>、第</w:t>
      </w:r>
      <w:r>
        <w:rPr>
          <w:color w:val="auto"/>
          <w:sz w:val="28"/>
          <w:szCs w:val="28"/>
          <w:highlight w:val="none"/>
        </w:rPr>
        <w:t>2</w:t>
      </w:r>
      <w:r>
        <w:rPr>
          <w:rFonts w:hint="eastAsia"/>
          <w:color w:val="auto"/>
          <w:sz w:val="28"/>
          <w:szCs w:val="28"/>
          <w:highlight w:val="none"/>
        </w:rPr>
        <w:t>部分专用技术条款中无特别说明处（包含未列出章节号部分）均按第</w:t>
      </w:r>
      <w:r>
        <w:rPr>
          <w:color w:val="auto"/>
          <w:sz w:val="28"/>
          <w:szCs w:val="28"/>
          <w:highlight w:val="none"/>
        </w:rPr>
        <w:t>1</w:t>
      </w:r>
      <w:r>
        <w:rPr>
          <w:rFonts w:hint="eastAsia"/>
          <w:color w:val="auto"/>
          <w:sz w:val="28"/>
          <w:szCs w:val="28"/>
          <w:highlight w:val="none"/>
        </w:rPr>
        <w:t>部分通用技术条款执行。</w:t>
      </w:r>
    </w:p>
    <w:p>
      <w:pPr>
        <w:pStyle w:val="76"/>
        <w:spacing w:line="360" w:lineRule="auto"/>
        <w:ind w:firstLine="496"/>
        <w:rPr>
          <w:color w:val="auto"/>
          <w:sz w:val="28"/>
          <w:szCs w:val="28"/>
          <w:highlight w:val="none"/>
        </w:rPr>
      </w:pPr>
      <w:r>
        <w:rPr>
          <w:rFonts w:hint="eastAsia"/>
          <w:color w:val="auto"/>
          <w:sz w:val="28"/>
          <w:szCs w:val="28"/>
          <w:highlight w:val="none"/>
        </w:rPr>
        <w:t>3、若通用条款在本项目不适用时，以专用条款相关要求为准。</w:t>
      </w:r>
    </w:p>
    <w:p>
      <w:pPr>
        <w:pStyle w:val="76"/>
        <w:ind w:firstLine="496"/>
        <w:rPr>
          <w:color w:val="auto"/>
          <w:sz w:val="28"/>
          <w:szCs w:val="28"/>
          <w:highlight w:val="none"/>
        </w:rPr>
      </w:pPr>
      <w:r>
        <w:rPr>
          <w:rFonts w:hint="eastAsia"/>
          <w:color w:val="auto"/>
          <w:sz w:val="28"/>
          <w:szCs w:val="28"/>
          <w:highlight w:val="none"/>
        </w:rPr>
        <w:t>4、当专用条款与通用条款有冲突时，执行专用条款相关要求。</w:t>
      </w:r>
    </w:p>
    <w:p>
      <w:pPr>
        <w:rPr>
          <w:color w:val="auto"/>
          <w:highlight w:val="none"/>
        </w:rPr>
      </w:pPr>
    </w:p>
    <w:p>
      <w:pPr>
        <w:rPr>
          <w:color w:val="auto"/>
          <w:highlight w:val="none"/>
        </w:rPr>
      </w:pPr>
    </w:p>
    <w:p>
      <w:pPr>
        <w:rPr>
          <w:color w:val="auto"/>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304" w:right="1559" w:bottom="2155" w:left="1559" w:header="1134" w:footer="1247" w:gutter="0"/>
          <w:pgNumType w:start="1"/>
          <w:cols w:space="720" w:num="1"/>
          <w:docGrid w:linePitch="326" w:charSpace="0"/>
        </w:sectPr>
      </w:pPr>
    </w:p>
    <w:p>
      <w:pPr>
        <w:pStyle w:val="30"/>
        <w:rPr>
          <w:color w:val="auto"/>
          <w:highlight w:val="none"/>
        </w:rPr>
      </w:pPr>
    </w:p>
    <w:p>
      <w:pPr>
        <w:rPr>
          <w:color w:val="auto"/>
          <w:highlight w:val="none"/>
        </w:rPr>
      </w:pPr>
    </w:p>
    <w:p>
      <w:pPr>
        <w:rPr>
          <w:color w:val="auto"/>
          <w:highlight w:val="none"/>
        </w:rPr>
        <w:sectPr>
          <w:headerReference r:id="rId9" w:type="default"/>
          <w:footerReference r:id="rId10" w:type="default"/>
          <w:pgSz w:w="11906" w:h="16838"/>
          <w:pgMar w:top="1440" w:right="1800" w:bottom="1440" w:left="1800" w:header="851" w:footer="992" w:gutter="0"/>
          <w:pgNumType w:fmt="upperRoman"/>
          <w:cols w:space="720" w:num="1"/>
          <w:docGrid w:type="lines" w:linePitch="312" w:charSpace="0"/>
        </w:sectPr>
      </w:pPr>
    </w:p>
    <w:p>
      <w:pPr>
        <w:pStyle w:val="50"/>
        <w:rPr>
          <w:color w:val="auto"/>
          <w:highlight w:val="none"/>
        </w:rPr>
      </w:pPr>
      <w:bookmarkStart w:id="8" w:name="_Toc460092029"/>
      <w:bookmarkStart w:id="9" w:name="_Toc375818203"/>
      <w:bookmarkStart w:id="10" w:name="_Toc469051281"/>
      <w:bookmarkStart w:id="11" w:name="_Toc356522965"/>
      <w:bookmarkStart w:id="12" w:name="_Toc479866772"/>
      <w:bookmarkStart w:id="13" w:name="_Toc1966"/>
      <w:bookmarkStart w:id="14" w:name="_Toc31077"/>
      <w:bookmarkStart w:id="15" w:name="_Toc472500301"/>
      <w:bookmarkStart w:id="16" w:name="_Toc354583700"/>
      <w:bookmarkStart w:id="17" w:name="_Toc369622091"/>
      <w:bookmarkStart w:id="18" w:name="_Toc114042597"/>
      <w:bookmarkStart w:id="19" w:name="_Toc356523650"/>
      <w:bookmarkStart w:id="20" w:name="_Toc465083071"/>
      <w:bookmarkStart w:id="21" w:name="_Toc471804611"/>
      <w:bookmarkStart w:id="22" w:name="_Toc374884946"/>
      <w:bookmarkStart w:id="23" w:name="_Toc354577347"/>
      <w:bookmarkStart w:id="24" w:name="_Toc356522279"/>
      <w:bookmarkStart w:id="25" w:name="_Toc127395695"/>
      <w:bookmarkStart w:id="26" w:name="_Toc354577536"/>
      <w:bookmarkStart w:id="27" w:name="_Toc365020475"/>
      <w:bookmarkStart w:id="28" w:name="_Toc488580749"/>
      <w:bookmarkStart w:id="29" w:name="_Toc479941678"/>
      <w:bookmarkStart w:id="30" w:name="_Toc95838823"/>
      <w:bookmarkStart w:id="31" w:name="_Toc481688848"/>
      <w:r>
        <w:rPr>
          <w:rFonts w:hint="eastAsia"/>
          <w:color w:val="auto"/>
          <w:highlight w:val="none"/>
        </w:rPr>
        <w:t>第1章</w:t>
      </w:r>
      <w:r>
        <w:rPr>
          <w:color w:val="auto"/>
          <w:highlight w:val="none"/>
        </w:rPr>
        <w:t xml:space="preserve">  </w:t>
      </w:r>
      <w:r>
        <w:rPr>
          <w:rFonts w:hint="eastAsia"/>
          <w:color w:val="auto"/>
          <w:highlight w:val="none"/>
        </w:rPr>
        <w:t>一般规定</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pStyle w:val="62"/>
        <w:tabs>
          <w:tab w:val="clear" w:pos="851"/>
        </w:tabs>
        <w:rPr>
          <w:color w:val="auto"/>
          <w:highlight w:val="none"/>
        </w:rPr>
      </w:pPr>
      <w:bookmarkStart w:id="32" w:name="_Toc127395696"/>
      <w:bookmarkStart w:id="33" w:name="_Toc114042598"/>
      <w:bookmarkStart w:id="34" w:name="_Toc15928"/>
      <w:bookmarkStart w:id="35" w:name="_Toc32182"/>
      <w:r>
        <w:rPr>
          <w:color w:val="auto"/>
          <w:highlight w:val="none"/>
        </w:rPr>
        <w:t xml:space="preserve">1.1 </w:t>
      </w:r>
      <w:r>
        <w:rPr>
          <w:rFonts w:hint="eastAsia"/>
          <w:color w:val="auto"/>
          <w:highlight w:val="none"/>
        </w:rPr>
        <w:t>工程说明</w:t>
      </w:r>
      <w:bookmarkEnd w:id="32"/>
      <w:bookmarkEnd w:id="33"/>
      <w:bookmarkEnd w:id="34"/>
      <w:bookmarkEnd w:id="35"/>
    </w:p>
    <w:p>
      <w:pPr>
        <w:pStyle w:val="132"/>
        <w:rPr>
          <w:color w:val="auto"/>
          <w:highlight w:val="none"/>
        </w:rPr>
      </w:pPr>
      <w:r>
        <w:rPr>
          <w:color w:val="auto"/>
          <w:highlight w:val="none"/>
        </w:rPr>
        <w:t>1.1.1  工程概况</w:t>
      </w:r>
    </w:p>
    <w:p>
      <w:pPr>
        <w:autoSpaceDE w:val="0"/>
        <w:autoSpaceDN w:val="0"/>
        <w:spacing w:line="360" w:lineRule="auto"/>
        <w:ind w:firstLine="480" w:firstLineChars="200"/>
        <w:rPr>
          <w:rFonts w:hint="eastAsia" w:ascii="宋体" w:hAnsi="宋体" w:cs="宋体"/>
          <w:color w:val="auto"/>
          <w:sz w:val="24"/>
          <w:szCs w:val="24"/>
          <w:highlight w:val="none"/>
          <w:lang w:bidi="ar"/>
        </w:rPr>
      </w:pPr>
      <w:r>
        <w:rPr>
          <w:rFonts w:ascii="宋体" w:hAnsi="宋体" w:cs="宋体"/>
          <w:color w:val="auto"/>
          <w:sz w:val="24"/>
          <w:highlight w:val="none"/>
        </w:rPr>
        <w:t>（1）电站工程概况</w:t>
      </w:r>
    </w:p>
    <w:p>
      <w:pPr>
        <w:autoSpaceDE w:val="0"/>
        <w:autoSpaceDN w:val="0"/>
        <w:spacing w:line="360" w:lineRule="auto"/>
        <w:ind w:firstLine="480" w:firstLineChars="20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灌阳抽水蓄能电站位于广西壮族自治区桂林市灌阳县西北的新圩镇境内，电站距离灌阳县城、桂林市、南宁市公路里程分别为26.0、148.0、526.0km。上水库位于大龙村流浦源林场管区小江沟内，下水库位于上水库北侧约2.8km的合力村辖区内流溪源沟。电站总装机容量1200MW，安装4台单机容量为300MW的可逆式水轮发电机组，连续满发小时数为6h。枢纽建筑物由上水库、下水库、输水系统、发电厂房系统4部分组成，电站为一等大(1)型工程。电站新建2回220kV线路接入桂北变电站，直线距离约58.4km。电站处在桂东北负荷中心，地属广西区域电网，电站建成后主要承担广西电力系统的调峰、填谷、调频、调相、储能和紧急事故备用等任务。</w:t>
      </w:r>
    </w:p>
    <w:p>
      <w:pPr>
        <w:autoSpaceDE w:val="0"/>
        <w:autoSpaceDN w:val="0"/>
        <w:spacing w:line="360" w:lineRule="auto"/>
        <w:ind w:firstLine="480" w:firstLineChars="200"/>
        <w:rPr>
          <w:color w:val="auto"/>
          <w:highlight w:val="none"/>
        </w:rPr>
      </w:pPr>
      <w:r>
        <w:rPr>
          <w:rFonts w:hint="eastAsia" w:ascii="宋体" w:hAnsi="宋体" w:cs="宋体"/>
          <w:color w:val="auto"/>
          <w:sz w:val="24"/>
          <w:szCs w:val="24"/>
          <w:highlight w:val="none"/>
          <w:lang w:bidi="ar"/>
        </w:rPr>
        <w:t>上水库位于大龙村流浦源林场管区小江沟内，下水库位于上水库北侧约2.8km的合力村辖区内流溪源沟。电站总装机容量1200MW，安装4台单机容量为300MW的可逆式水轮发电机组，连续满发小时数为6h。枢纽建筑物由上水库、下水库、输水系统、发电厂房系统4部分组成，电站为一等大(1)型工程。电站新建2回220kV线路接入桂北变电站，直线距离约58.4km。电站处在桂东北负荷中心，地属广西区域电网，电站建成后主要承担广西电力系统的调峰、填谷、调频、调相、储能和紧急事故备用等任务。</w:t>
      </w:r>
    </w:p>
    <w:p>
      <w:pPr>
        <w:autoSpaceDE w:val="0"/>
        <w:autoSpaceDN w:val="0"/>
        <w:spacing w:line="360" w:lineRule="auto"/>
        <w:ind w:firstLine="480" w:firstLineChars="200"/>
        <w:rPr>
          <w:rFonts w:hint="eastAsia" w:ascii="宋体" w:hAnsi="宋体" w:cs="宋体"/>
          <w:color w:val="auto"/>
          <w:sz w:val="24"/>
          <w:highlight w:val="none"/>
        </w:rPr>
      </w:pPr>
      <w:r>
        <w:rPr>
          <w:rFonts w:ascii="宋体" w:hAnsi="宋体" w:cs="宋体"/>
          <w:color w:val="auto"/>
          <w:sz w:val="24"/>
          <w:highlight w:val="none"/>
        </w:rPr>
        <w:t>（2）本标工程概况</w:t>
      </w:r>
    </w:p>
    <w:p>
      <w:pPr>
        <w:autoSpaceDE w:val="0"/>
        <w:autoSpaceDN w:val="0"/>
        <w:spacing w:line="360" w:lineRule="auto"/>
        <w:ind w:firstLine="480" w:firstLineChars="200"/>
        <w:rPr>
          <w:rFonts w:hint="eastAsia" w:ascii="宋体" w:hAnsi="宋体" w:cs="宋体"/>
          <w:color w:val="auto"/>
          <w:sz w:val="24"/>
          <w:szCs w:val="24"/>
          <w:highlight w:val="none"/>
        </w:rPr>
      </w:pPr>
      <w:r>
        <w:rPr>
          <w:rFonts w:ascii="宋体" w:hAnsi="宋体" w:cs="宋体"/>
          <w:color w:val="auto"/>
          <w:sz w:val="24"/>
          <w:highlight w:val="none"/>
        </w:rPr>
        <w:t>主要建筑物包括：引水系统、尾水系统、</w:t>
      </w:r>
      <w:r>
        <w:rPr>
          <w:rFonts w:hint="eastAsia" w:ascii="宋体" w:hAnsi="宋体" w:cs="宋体"/>
          <w:color w:val="auto"/>
          <w:kern w:val="0"/>
          <w:sz w:val="24"/>
          <w:szCs w:val="24"/>
          <w:highlight w:val="none"/>
          <w:lang w:bidi="ar"/>
        </w:rPr>
        <w:t>厂房系统等。输水发电系统厂房采用中部开发方式，引水及尾水系统均采用1洞4机布置。</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1) 输水系统</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ascii="Times New Roman" w:hAnsi="Times New Roman" w:cs="Times New Roman"/>
          <w:color w:val="auto"/>
          <w:kern w:val="0"/>
          <w:sz w:val="24"/>
          <w:szCs w:val="24"/>
          <w:highlight w:val="none"/>
          <w:lang w:bidi="ar"/>
        </w:rPr>
        <w:t>输水系统由引水系统和尾水系统两部分组成，供水方式均为一洞四机。输水系统衬砌型式：除引水支管、尾水支管采用钢板衬砌外，其余均采用钢筋混凝土衬砌。输水系统总长约3402.283m（</w:t>
      </w:r>
      <w:r>
        <w:rPr>
          <w:rFonts w:hint="eastAsia" w:ascii="宋体" w:hAnsi="宋体" w:cs="宋体"/>
          <w:color w:val="auto"/>
          <w:kern w:val="0"/>
          <w:sz w:val="24"/>
          <w:szCs w:val="24"/>
          <w:highlight w:val="none"/>
          <w:lang w:bidi="ar"/>
        </w:rPr>
        <w:t>④</w:t>
      </w:r>
      <w:r>
        <w:rPr>
          <w:rFonts w:ascii="Times New Roman" w:hAnsi="Times New Roman" w:cs="Times New Roman"/>
          <w:color w:val="auto"/>
          <w:kern w:val="0"/>
          <w:sz w:val="24"/>
          <w:szCs w:val="24"/>
          <w:highlight w:val="none"/>
          <w:lang w:bidi="ar"/>
        </w:rPr>
        <w:t>机，下同），其中，引水系统长1458.458m，尾水系统长1943.825m。</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ascii="Times New Roman" w:hAnsi="Times New Roman" w:cs="Times New Roman"/>
          <w:color w:val="auto"/>
          <w:kern w:val="0"/>
          <w:sz w:val="24"/>
          <w:szCs w:val="24"/>
          <w:highlight w:val="none"/>
          <w:lang w:bidi="ar"/>
        </w:rPr>
        <w:t>从上水库进/出水口开始，引水隧洞洞轴线走向为N31.267°W，经上竖井下弯段后轴线方向变为N19.175°W，经下竖井下弯段轴线变为N00.000°W，再经分岔角为60°的梳子形1分4“卜”型钢筋混凝土岔管后接引水支洞，垂直进厂；尾水支洞轴线方向为N60.000°E，经分岔角为60°的梳子形1分4“卜”型钢筋混凝土岔管后接尾水主洞，起始洞轴线为N00.000°W，经平面弯后洞轴线方向变为N44.747°W，直至下水库进/出水口。</w:t>
      </w:r>
    </w:p>
    <w:p>
      <w:pPr>
        <w:autoSpaceDE w:val="0"/>
        <w:autoSpaceDN w:val="0"/>
        <w:spacing w:line="360" w:lineRule="auto"/>
        <w:ind w:firstLine="480" w:firstLineChars="200"/>
        <w:jc w:val="left"/>
        <w:rPr>
          <w:rFonts w:ascii="Times New Roman" w:hAnsi="Times New Roman" w:cs="Times New Roman"/>
          <w:color w:val="auto"/>
          <w:sz w:val="24"/>
          <w:szCs w:val="24"/>
          <w:highlight w:val="none"/>
        </w:rPr>
      </w:pPr>
      <w:r>
        <w:rPr>
          <w:rFonts w:ascii="Times New Roman" w:hAnsi="Times New Roman" w:cs="Times New Roman"/>
          <w:color w:val="auto"/>
          <w:kern w:val="0"/>
          <w:sz w:val="24"/>
          <w:szCs w:val="24"/>
          <w:highlight w:val="none"/>
          <w:lang w:bidi="ar"/>
        </w:rPr>
        <w:t>上、下水库进/出水口均采用侧式进/出水口型式，闸门井均为埋藏竖井式结构。引水主洞采用两级竖井布置，包括上平段、上竖井段、中平段、下竖井段、下平段，隧洞洞径9.0m/8.0m。高压引水岔洞布置于引水下平段末端，分岔点距离厂房上游边墙211.095m。分岔后4条引水支洞以方位角N60.000°E垂直进厂，支管轴线间距24.50m，管径为4.0m；高压支管末端设渐变段，管径由4.00m渐变为2.4m后与厂内球阀相接。机组尾水管出口后接尾水支管，方位角与厂房轴线正交，洞径为5.5m。尾水钢筋混凝土岔洞采用1分4“卜”型岔洞，将4条尾水支管合并为1条尾水主洞，分岔角为60°，洞径从5.50m渐变至9.00m。尾水闸门室布置在距离厂房机组中心线下游111.000m处，闸门孔口尺寸为4.5m×5.5m(宽×高)，共4扇事故闸门。尾水调压室设置在尾水岔洞分岔点下游30.0m处，采用阻抗式，调压室大井直径18.0m，水平连接管直径9.0m，竖直连接管直径5.2m。尾水主洞立面采用一坡到底布置，洞径9.0m，尾水主洞下平段长97.675m，后以4.150%坡度与下水库进/出水口相接。</w:t>
      </w:r>
    </w:p>
    <w:p>
      <w:pPr>
        <w:autoSpaceDE w:val="0"/>
        <w:autoSpaceDN w:val="0"/>
        <w:spacing w:line="360" w:lineRule="auto"/>
        <w:ind w:firstLine="480" w:firstLineChars="200"/>
        <w:jc w:val="left"/>
        <w:rPr>
          <w:rFonts w:ascii="Times New Roman" w:hAnsi="Times New Roman" w:cs="Times New Roman"/>
          <w:color w:val="auto"/>
          <w:sz w:val="24"/>
          <w:szCs w:val="24"/>
          <w:highlight w:val="none"/>
        </w:rPr>
      </w:pPr>
      <w:r>
        <w:rPr>
          <w:rFonts w:ascii="Times New Roman" w:hAnsi="Times New Roman" w:cs="Times New Roman"/>
          <w:color w:val="auto"/>
          <w:kern w:val="0"/>
          <w:sz w:val="24"/>
          <w:szCs w:val="24"/>
          <w:highlight w:val="none"/>
          <w:lang w:bidi="ar"/>
        </w:rPr>
        <w:t>2)厂房系统</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ascii="Times New Roman" w:hAnsi="Times New Roman" w:cs="Times New Roman"/>
          <w:color w:val="auto"/>
          <w:kern w:val="0"/>
          <w:sz w:val="24"/>
          <w:szCs w:val="24"/>
          <w:highlight w:val="none"/>
          <w:lang w:bidi="ar"/>
        </w:rPr>
        <w:t>地下厂房采用中部式开发方案，距上水库进水口平面直线距离约890m，距下水库出水口约1550m，布置区山体雄厚，地下厂房埋深约315m～420m，地层岩性较简单，主要有泥盆系下统泥质粉砂岩、砂岩及加里东期侵入花岗岩。洞室围岩为黑云母二长花岗岩，以中硬至坚硬岩为主，岩体较完整～完整，强度高，地质构造不发育。厂区围岩初步分类以</w:t>
      </w:r>
      <w:r>
        <w:rPr>
          <w:rFonts w:hint="eastAsia" w:ascii="Times New Roman" w:hAnsi="Times New Roman" w:cs="Times New Roman"/>
          <w:color w:val="auto"/>
          <w:kern w:val="0"/>
          <w:sz w:val="24"/>
          <w:szCs w:val="24"/>
          <w:highlight w:val="none"/>
          <w:lang w:bidi="ar"/>
        </w:rPr>
        <w:t>Ⅱ</w:t>
      </w:r>
      <w:r>
        <w:rPr>
          <w:rFonts w:ascii="Times New Roman" w:hAnsi="Times New Roman" w:cs="Times New Roman"/>
          <w:color w:val="auto"/>
          <w:kern w:val="0"/>
          <w:sz w:val="24"/>
          <w:szCs w:val="24"/>
          <w:highlight w:val="none"/>
          <w:lang w:bidi="ar"/>
        </w:rPr>
        <w:t>类～</w:t>
      </w:r>
      <w:r>
        <w:rPr>
          <w:rFonts w:hint="eastAsia" w:ascii="Times New Roman" w:hAnsi="Times New Roman" w:cs="Times New Roman"/>
          <w:color w:val="auto"/>
          <w:kern w:val="0"/>
          <w:sz w:val="24"/>
          <w:szCs w:val="24"/>
          <w:highlight w:val="none"/>
          <w:lang w:bidi="ar"/>
        </w:rPr>
        <w:t>Ⅲ</w:t>
      </w:r>
      <w:r>
        <w:rPr>
          <w:rFonts w:ascii="Times New Roman" w:hAnsi="Times New Roman" w:cs="Times New Roman"/>
          <w:color w:val="auto"/>
          <w:kern w:val="0"/>
          <w:sz w:val="24"/>
          <w:szCs w:val="24"/>
          <w:highlight w:val="none"/>
          <w:lang w:bidi="ar"/>
        </w:rPr>
        <w:t>类为主，局部蚀变带发育洞段，属</w:t>
      </w:r>
      <w:r>
        <w:rPr>
          <w:rFonts w:hint="eastAsia" w:ascii="Times New Roman" w:hAnsi="Times New Roman" w:cs="Times New Roman"/>
          <w:color w:val="auto"/>
          <w:kern w:val="0"/>
          <w:sz w:val="24"/>
          <w:szCs w:val="24"/>
          <w:highlight w:val="none"/>
          <w:lang w:bidi="ar"/>
        </w:rPr>
        <w:t>Ⅳ</w:t>
      </w:r>
      <w:r>
        <w:rPr>
          <w:rFonts w:ascii="Times New Roman" w:hAnsi="Times New Roman" w:cs="Times New Roman"/>
          <w:color w:val="auto"/>
          <w:kern w:val="0"/>
          <w:sz w:val="24"/>
          <w:szCs w:val="24"/>
          <w:highlight w:val="none"/>
          <w:lang w:bidi="ar"/>
        </w:rPr>
        <w:t>类围岩。地下厂房和主变室洞室整体稳定性较好。厂房高程范围实测最大水平主应力为12.6MPa～13.9MPa，为中等应力水平，地下厂房纵轴线为N30°W。</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hint="eastAsia" w:ascii="Times New Roman" w:hAnsi="Times New Roman" w:cs="Times New Roman"/>
          <w:color w:val="auto"/>
          <w:kern w:val="0"/>
          <w:sz w:val="24"/>
          <w:szCs w:val="24"/>
          <w:highlight w:val="none"/>
          <w:lang w:bidi="ar"/>
        </w:rPr>
        <w:t>厂区建筑物包括地下厂房系统和地面开关站、出线平台、继保楼。地下厂房系统包括主厂房、地下副厂房、主变洞、母线洞、电缆出线洞和厂房主变交通洞、进厂交通洞、通风系统、地下厂房防渗排水系统等建筑物。主厂房洞室开挖总长度为</w:t>
      </w:r>
      <w:r>
        <w:rPr>
          <w:rFonts w:ascii="Times New Roman" w:hAnsi="Times New Roman" w:cs="Times New Roman"/>
          <w:color w:val="auto"/>
          <w:kern w:val="0"/>
          <w:sz w:val="24"/>
          <w:szCs w:val="24"/>
          <w:highlight w:val="none"/>
          <w:lang w:bidi="ar"/>
        </w:rPr>
        <w:t>180.00m</w:t>
      </w:r>
      <w:r>
        <w:rPr>
          <w:rFonts w:hint="eastAsia" w:ascii="Times New Roman" w:hAnsi="Times New Roman" w:cs="Times New Roman"/>
          <w:color w:val="auto"/>
          <w:kern w:val="0"/>
          <w:sz w:val="24"/>
          <w:szCs w:val="24"/>
          <w:highlight w:val="none"/>
          <w:lang w:bidi="ar"/>
        </w:rPr>
        <w:t>，洞内采用岩壁吊车梁，岩壁吊车梁以上开挖跨度</w:t>
      </w:r>
      <w:r>
        <w:rPr>
          <w:rFonts w:ascii="Times New Roman" w:hAnsi="Times New Roman" w:cs="Times New Roman"/>
          <w:color w:val="auto"/>
          <w:kern w:val="0"/>
          <w:sz w:val="24"/>
          <w:szCs w:val="24"/>
          <w:highlight w:val="none"/>
          <w:lang w:bidi="ar"/>
        </w:rPr>
        <w:t>27.50m</w:t>
      </w:r>
      <w:r>
        <w:rPr>
          <w:rFonts w:hint="eastAsia" w:ascii="Times New Roman" w:hAnsi="Times New Roman" w:cs="Times New Roman"/>
          <w:color w:val="auto"/>
          <w:kern w:val="0"/>
          <w:sz w:val="24"/>
          <w:szCs w:val="24"/>
          <w:highlight w:val="none"/>
          <w:lang w:bidi="ar"/>
        </w:rPr>
        <w:t>，以下为</w:t>
      </w:r>
      <w:r>
        <w:rPr>
          <w:rFonts w:ascii="Times New Roman" w:hAnsi="Times New Roman" w:cs="Times New Roman"/>
          <w:color w:val="auto"/>
          <w:kern w:val="0"/>
          <w:sz w:val="24"/>
          <w:szCs w:val="24"/>
          <w:highlight w:val="none"/>
          <w:lang w:bidi="ar"/>
        </w:rPr>
        <w:t>26.00m</w:t>
      </w:r>
      <w:r>
        <w:rPr>
          <w:rFonts w:hint="eastAsia" w:ascii="Times New Roman" w:hAnsi="Times New Roman" w:cs="Times New Roman"/>
          <w:color w:val="auto"/>
          <w:kern w:val="0"/>
          <w:sz w:val="24"/>
          <w:szCs w:val="24"/>
          <w:highlight w:val="none"/>
          <w:lang w:bidi="ar"/>
        </w:rPr>
        <w:t>，厂房最大开挖高度为</w:t>
      </w:r>
      <w:r>
        <w:rPr>
          <w:rFonts w:ascii="Times New Roman" w:hAnsi="Times New Roman" w:cs="Times New Roman"/>
          <w:color w:val="auto"/>
          <w:kern w:val="0"/>
          <w:sz w:val="24"/>
          <w:szCs w:val="24"/>
          <w:highlight w:val="none"/>
          <w:lang w:bidi="ar"/>
        </w:rPr>
        <w:t>57.68m</w:t>
      </w:r>
      <w:r>
        <w:rPr>
          <w:rFonts w:hint="eastAsia" w:ascii="Times New Roman" w:hAnsi="Times New Roman" w:cs="Times New Roman"/>
          <w:color w:val="auto"/>
          <w:kern w:val="0"/>
          <w:sz w:val="24"/>
          <w:szCs w:val="24"/>
          <w:highlight w:val="none"/>
          <w:lang w:bidi="ar"/>
        </w:rPr>
        <w:t>。主机间安装</w:t>
      </w:r>
      <w:r>
        <w:rPr>
          <w:rFonts w:ascii="Times New Roman" w:hAnsi="Times New Roman" w:cs="Times New Roman"/>
          <w:color w:val="auto"/>
          <w:kern w:val="0"/>
          <w:sz w:val="24"/>
          <w:szCs w:val="24"/>
          <w:highlight w:val="none"/>
          <w:lang w:bidi="ar"/>
        </w:rPr>
        <w:t>4</w:t>
      </w:r>
      <w:r>
        <w:rPr>
          <w:rFonts w:hint="eastAsia" w:ascii="Times New Roman" w:hAnsi="Times New Roman" w:cs="Times New Roman"/>
          <w:color w:val="auto"/>
          <w:kern w:val="0"/>
          <w:sz w:val="24"/>
          <w:szCs w:val="24"/>
          <w:highlight w:val="none"/>
          <w:lang w:bidi="ar"/>
        </w:rPr>
        <w:t>台单机容量为</w:t>
      </w:r>
      <w:r>
        <w:rPr>
          <w:rFonts w:ascii="Times New Roman" w:hAnsi="Times New Roman" w:cs="Times New Roman"/>
          <w:color w:val="auto"/>
          <w:kern w:val="0"/>
          <w:sz w:val="24"/>
          <w:szCs w:val="24"/>
          <w:highlight w:val="none"/>
          <w:lang w:bidi="ar"/>
        </w:rPr>
        <w:t>300MW</w:t>
      </w:r>
      <w:r>
        <w:rPr>
          <w:rFonts w:hint="eastAsia" w:ascii="Times New Roman" w:hAnsi="Times New Roman" w:cs="Times New Roman"/>
          <w:color w:val="auto"/>
          <w:kern w:val="0"/>
          <w:sz w:val="24"/>
          <w:szCs w:val="24"/>
          <w:highlight w:val="none"/>
          <w:lang w:bidi="ar"/>
        </w:rPr>
        <w:t>的可逆式水轮水泵发电电动机组，机组中心间距为</w:t>
      </w:r>
      <w:r>
        <w:rPr>
          <w:rFonts w:ascii="Times New Roman" w:hAnsi="Times New Roman" w:cs="Times New Roman"/>
          <w:color w:val="auto"/>
          <w:kern w:val="0"/>
          <w:sz w:val="24"/>
          <w:szCs w:val="24"/>
          <w:highlight w:val="none"/>
          <w:lang w:bidi="ar"/>
        </w:rPr>
        <w:t>24.50m</w:t>
      </w:r>
      <w:r>
        <w:rPr>
          <w:rFonts w:hint="eastAsia" w:ascii="Times New Roman" w:hAnsi="Times New Roman" w:cs="Times New Roman"/>
          <w:color w:val="auto"/>
          <w:kern w:val="0"/>
          <w:sz w:val="24"/>
          <w:szCs w:val="24"/>
          <w:highlight w:val="none"/>
          <w:lang w:bidi="ar"/>
        </w:rPr>
        <w:t>，机组安装高程为</w:t>
      </w:r>
      <w:r>
        <w:rPr>
          <w:rFonts w:ascii="Times New Roman" w:hAnsi="Times New Roman" w:cs="Times New Roman"/>
          <w:color w:val="auto"/>
          <w:kern w:val="0"/>
          <w:sz w:val="24"/>
          <w:szCs w:val="24"/>
          <w:highlight w:val="none"/>
          <w:lang w:bidi="ar"/>
        </w:rPr>
        <w:t>513.00m</w:t>
      </w:r>
      <w:r>
        <w:rPr>
          <w:rFonts w:hint="eastAsia" w:ascii="Times New Roman" w:hAnsi="Times New Roman" w:cs="Times New Roman"/>
          <w:color w:val="auto"/>
          <w:kern w:val="0"/>
          <w:sz w:val="24"/>
          <w:szCs w:val="24"/>
          <w:highlight w:val="none"/>
          <w:lang w:bidi="ar"/>
        </w:rPr>
        <w:t>；主机间左端布置安装场，主机间右端布置机电副厂房。主变洞内安装</w:t>
      </w:r>
      <w:r>
        <w:rPr>
          <w:rFonts w:ascii="Times New Roman" w:hAnsi="Times New Roman" w:cs="Times New Roman"/>
          <w:color w:val="auto"/>
          <w:kern w:val="0"/>
          <w:sz w:val="24"/>
          <w:szCs w:val="24"/>
          <w:highlight w:val="none"/>
          <w:lang w:bidi="ar"/>
        </w:rPr>
        <w:t>4</w:t>
      </w:r>
      <w:r>
        <w:rPr>
          <w:rFonts w:hint="eastAsia" w:ascii="Times New Roman" w:hAnsi="Times New Roman" w:cs="Times New Roman"/>
          <w:color w:val="auto"/>
          <w:kern w:val="0"/>
          <w:sz w:val="24"/>
          <w:szCs w:val="24"/>
          <w:highlight w:val="none"/>
          <w:lang w:bidi="ar"/>
        </w:rPr>
        <w:t>台容量为</w:t>
      </w:r>
      <w:r>
        <w:rPr>
          <w:rFonts w:ascii="Times New Roman" w:hAnsi="Times New Roman" w:cs="Times New Roman"/>
          <w:color w:val="auto"/>
          <w:kern w:val="0"/>
          <w:sz w:val="24"/>
          <w:szCs w:val="24"/>
          <w:highlight w:val="none"/>
          <w:lang w:bidi="ar"/>
        </w:rPr>
        <w:t>360MVA</w:t>
      </w:r>
      <w:r>
        <w:rPr>
          <w:rFonts w:hint="eastAsia" w:ascii="Times New Roman" w:hAnsi="Times New Roman" w:cs="Times New Roman"/>
          <w:color w:val="auto"/>
          <w:kern w:val="0"/>
          <w:sz w:val="24"/>
          <w:szCs w:val="24"/>
          <w:highlight w:val="none"/>
          <w:lang w:bidi="ar"/>
        </w:rPr>
        <w:t>的主变压器，洞室开挖尺寸</w:t>
      </w:r>
      <w:r>
        <w:rPr>
          <w:rFonts w:ascii="Times New Roman" w:hAnsi="Times New Roman" w:cs="Times New Roman"/>
          <w:color w:val="auto"/>
          <w:kern w:val="0"/>
          <w:sz w:val="24"/>
          <w:szCs w:val="24"/>
          <w:highlight w:val="none"/>
          <w:lang w:bidi="ar"/>
        </w:rPr>
        <w:t>174.12m</w:t>
      </w:r>
      <w:r>
        <w:rPr>
          <w:rFonts w:hint="eastAsia" w:ascii="Times New Roman" w:hAnsi="Times New Roman" w:cs="Times New Roman"/>
          <w:color w:val="auto"/>
          <w:kern w:val="0"/>
          <w:sz w:val="24"/>
          <w:szCs w:val="24"/>
          <w:highlight w:val="none"/>
          <w:lang w:bidi="ar"/>
        </w:rPr>
        <w:t>×</w:t>
      </w:r>
      <w:r>
        <w:rPr>
          <w:rFonts w:ascii="Times New Roman" w:hAnsi="Times New Roman" w:cs="Times New Roman"/>
          <w:color w:val="auto"/>
          <w:kern w:val="0"/>
          <w:sz w:val="24"/>
          <w:szCs w:val="24"/>
          <w:highlight w:val="none"/>
          <w:lang w:bidi="ar"/>
        </w:rPr>
        <w:t>20.0m</w:t>
      </w:r>
      <w:r>
        <w:rPr>
          <w:rFonts w:hint="eastAsia" w:ascii="Times New Roman" w:hAnsi="Times New Roman" w:cs="Times New Roman"/>
          <w:color w:val="auto"/>
          <w:kern w:val="0"/>
          <w:sz w:val="24"/>
          <w:szCs w:val="24"/>
          <w:highlight w:val="none"/>
          <w:lang w:bidi="ar"/>
        </w:rPr>
        <w:t>×</w:t>
      </w:r>
      <w:r>
        <w:rPr>
          <w:rFonts w:ascii="Times New Roman" w:hAnsi="Times New Roman" w:cs="Times New Roman"/>
          <w:color w:val="auto"/>
          <w:kern w:val="0"/>
          <w:sz w:val="24"/>
          <w:szCs w:val="24"/>
          <w:highlight w:val="none"/>
          <w:lang w:bidi="ar"/>
        </w:rPr>
        <w:t>22.60m(</w:t>
      </w:r>
      <w:r>
        <w:rPr>
          <w:rFonts w:hint="eastAsia" w:ascii="Times New Roman" w:hAnsi="Times New Roman" w:cs="Times New Roman"/>
          <w:color w:val="auto"/>
          <w:kern w:val="0"/>
          <w:sz w:val="24"/>
          <w:szCs w:val="24"/>
          <w:highlight w:val="none"/>
          <w:lang w:bidi="ar"/>
        </w:rPr>
        <w:t>长×宽×高</w:t>
      </w:r>
      <w:r>
        <w:rPr>
          <w:rFonts w:ascii="Times New Roman" w:hAnsi="Times New Roman" w:cs="Times New Roman"/>
          <w:color w:val="auto"/>
          <w:kern w:val="0"/>
          <w:sz w:val="24"/>
          <w:szCs w:val="24"/>
          <w:highlight w:val="none"/>
          <w:lang w:bidi="ar"/>
        </w:rPr>
        <w:t>)</w:t>
      </w:r>
      <w:r>
        <w:rPr>
          <w:rFonts w:hint="eastAsia" w:ascii="Times New Roman" w:hAnsi="Times New Roman" w:cs="Times New Roman"/>
          <w:color w:val="auto"/>
          <w:kern w:val="0"/>
          <w:sz w:val="24"/>
          <w:szCs w:val="24"/>
          <w:highlight w:val="none"/>
          <w:lang w:bidi="ar"/>
        </w:rPr>
        <w:t>。母线洞位置与每台机组相对应，母线洞长度</w:t>
      </w:r>
      <w:r>
        <w:rPr>
          <w:rFonts w:ascii="Times New Roman" w:hAnsi="Times New Roman" w:cs="Times New Roman"/>
          <w:color w:val="auto"/>
          <w:kern w:val="0"/>
          <w:sz w:val="24"/>
          <w:szCs w:val="24"/>
          <w:highlight w:val="none"/>
          <w:lang w:bidi="ar"/>
        </w:rPr>
        <w:t>40.00m</w:t>
      </w:r>
      <w:r>
        <w:rPr>
          <w:rFonts w:hint="eastAsia" w:ascii="Times New Roman" w:hAnsi="Times New Roman" w:cs="Times New Roman"/>
          <w:color w:val="auto"/>
          <w:kern w:val="0"/>
          <w:sz w:val="24"/>
          <w:szCs w:val="24"/>
          <w:highlight w:val="none"/>
          <w:lang w:bidi="ar"/>
        </w:rPr>
        <w:t>。</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hint="eastAsia" w:ascii="Times New Roman" w:hAnsi="Times New Roman" w:cs="Times New Roman"/>
          <w:color w:val="auto"/>
          <w:kern w:val="0"/>
          <w:sz w:val="24"/>
          <w:szCs w:val="24"/>
          <w:highlight w:val="none"/>
          <w:lang w:bidi="ar"/>
        </w:rPr>
        <w:t>地下厂房交通洞洞口设在下水库环库道路旁，进厂交通洞从主变洞下游边墙垂直进厂，总长</w:t>
      </w:r>
      <w:r>
        <w:rPr>
          <w:rFonts w:ascii="Times New Roman" w:hAnsi="Times New Roman" w:cs="Times New Roman"/>
          <w:color w:val="auto"/>
          <w:kern w:val="0"/>
          <w:sz w:val="24"/>
          <w:szCs w:val="24"/>
          <w:highlight w:val="none"/>
          <w:lang w:bidi="ar"/>
        </w:rPr>
        <w:t>1837m</w:t>
      </w:r>
      <w:r>
        <w:rPr>
          <w:rFonts w:hint="eastAsia" w:ascii="Times New Roman" w:hAnsi="Times New Roman" w:cs="Times New Roman"/>
          <w:color w:val="auto"/>
          <w:kern w:val="0"/>
          <w:sz w:val="24"/>
          <w:szCs w:val="24"/>
          <w:highlight w:val="none"/>
          <w:lang w:bidi="ar"/>
        </w:rPr>
        <w:t>，综合纵坡</w:t>
      </w:r>
      <w:r>
        <w:rPr>
          <w:rFonts w:ascii="Times New Roman" w:hAnsi="Times New Roman" w:cs="Times New Roman"/>
          <w:color w:val="auto"/>
          <w:kern w:val="0"/>
          <w:sz w:val="24"/>
          <w:szCs w:val="24"/>
          <w:highlight w:val="none"/>
          <w:lang w:bidi="ar"/>
        </w:rPr>
        <w:t>4.8%</w:t>
      </w:r>
      <w:r>
        <w:rPr>
          <w:rFonts w:hint="eastAsia" w:ascii="Times New Roman" w:hAnsi="Times New Roman" w:cs="Times New Roman"/>
          <w:color w:val="auto"/>
          <w:kern w:val="0"/>
          <w:sz w:val="24"/>
          <w:szCs w:val="24"/>
          <w:highlight w:val="none"/>
          <w:lang w:bidi="ar"/>
        </w:rPr>
        <w:t>。</w:t>
      </w:r>
    </w:p>
    <w:p>
      <w:pPr>
        <w:autoSpaceDE w:val="0"/>
        <w:autoSpaceDN w:val="0"/>
        <w:spacing w:line="360" w:lineRule="auto"/>
        <w:ind w:firstLine="480" w:firstLineChars="200"/>
        <w:jc w:val="left"/>
        <w:rPr>
          <w:rFonts w:hint="eastAsia" w:ascii="Times New Roman" w:hAnsi="Times New Roman" w:cs="Times New Roman"/>
          <w:color w:val="auto"/>
          <w:kern w:val="0"/>
          <w:sz w:val="24"/>
          <w:szCs w:val="24"/>
          <w:highlight w:val="none"/>
          <w:lang w:bidi="ar"/>
        </w:rPr>
      </w:pPr>
      <w:r>
        <w:rPr>
          <w:rFonts w:hint="eastAsia" w:ascii="Times New Roman" w:hAnsi="Times New Roman" w:cs="Times New Roman"/>
          <w:color w:val="auto"/>
          <w:kern w:val="0"/>
          <w:sz w:val="24"/>
          <w:szCs w:val="24"/>
          <w:highlight w:val="none"/>
          <w:lang w:bidi="ar"/>
        </w:rPr>
        <w:t>厂区地面建筑物包括：继保楼、</w:t>
      </w:r>
      <w:r>
        <w:rPr>
          <w:rFonts w:ascii="Times New Roman" w:hAnsi="Times New Roman" w:cs="Times New Roman"/>
          <w:color w:val="auto"/>
          <w:kern w:val="0"/>
          <w:sz w:val="24"/>
          <w:szCs w:val="24"/>
          <w:highlight w:val="none"/>
          <w:lang w:bidi="ar"/>
        </w:rPr>
        <w:t>GIS</w:t>
      </w:r>
      <w:r>
        <w:rPr>
          <w:rFonts w:hint="eastAsia" w:ascii="Times New Roman" w:hAnsi="Times New Roman" w:cs="Times New Roman"/>
          <w:color w:val="auto"/>
          <w:kern w:val="0"/>
          <w:sz w:val="24"/>
          <w:szCs w:val="24"/>
          <w:highlight w:val="none"/>
          <w:lang w:bidi="ar"/>
        </w:rPr>
        <w:t>开关站以及出线平台。开关站布置在地下厂房北偏东侧</w:t>
      </w:r>
      <w:r>
        <w:rPr>
          <w:rFonts w:ascii="Times New Roman" w:hAnsi="Times New Roman" w:cs="Times New Roman"/>
          <w:color w:val="auto"/>
          <w:kern w:val="0"/>
          <w:sz w:val="24"/>
          <w:szCs w:val="24"/>
          <w:highlight w:val="none"/>
          <w:lang w:bidi="ar"/>
        </w:rPr>
        <w:t>905m</w:t>
      </w:r>
      <w:r>
        <w:rPr>
          <w:rFonts w:hint="eastAsia" w:ascii="Times New Roman" w:hAnsi="Times New Roman" w:cs="Times New Roman"/>
          <w:color w:val="auto"/>
          <w:kern w:val="0"/>
          <w:sz w:val="24"/>
          <w:szCs w:val="24"/>
          <w:highlight w:val="none"/>
          <w:lang w:bidi="ar"/>
        </w:rPr>
        <w:t>山包台地上，平面尺寸为</w:t>
      </w:r>
      <w:r>
        <w:rPr>
          <w:rFonts w:ascii="Times New Roman" w:hAnsi="Times New Roman" w:cs="Times New Roman"/>
          <w:color w:val="auto"/>
          <w:kern w:val="0"/>
          <w:sz w:val="24"/>
          <w:szCs w:val="24"/>
          <w:highlight w:val="none"/>
          <w:lang w:bidi="ar"/>
        </w:rPr>
        <w:t>110.0m</w:t>
      </w:r>
      <w:r>
        <w:rPr>
          <w:rFonts w:hint="eastAsia" w:ascii="Times New Roman" w:hAnsi="Times New Roman" w:cs="Times New Roman"/>
          <w:color w:val="auto"/>
          <w:kern w:val="0"/>
          <w:sz w:val="24"/>
          <w:szCs w:val="24"/>
          <w:highlight w:val="none"/>
          <w:lang w:bidi="ar"/>
        </w:rPr>
        <w:t>×</w:t>
      </w:r>
      <w:r>
        <w:rPr>
          <w:rFonts w:ascii="Times New Roman" w:hAnsi="Times New Roman" w:cs="Times New Roman"/>
          <w:color w:val="auto"/>
          <w:kern w:val="0"/>
          <w:sz w:val="24"/>
          <w:szCs w:val="24"/>
          <w:highlight w:val="none"/>
          <w:lang w:bidi="ar"/>
        </w:rPr>
        <w:t>57.0m(</w:t>
      </w:r>
      <w:r>
        <w:rPr>
          <w:rFonts w:hint="eastAsia" w:ascii="Times New Roman" w:hAnsi="Times New Roman" w:cs="Times New Roman"/>
          <w:color w:val="auto"/>
          <w:kern w:val="0"/>
          <w:sz w:val="24"/>
          <w:szCs w:val="24"/>
          <w:highlight w:val="none"/>
          <w:lang w:bidi="ar"/>
        </w:rPr>
        <w:t>长×宽</w:t>
      </w:r>
      <w:r>
        <w:rPr>
          <w:rFonts w:ascii="Times New Roman" w:hAnsi="Times New Roman" w:cs="Times New Roman"/>
          <w:color w:val="auto"/>
          <w:kern w:val="0"/>
          <w:sz w:val="24"/>
          <w:szCs w:val="24"/>
          <w:highlight w:val="none"/>
          <w:lang w:bidi="ar"/>
        </w:rPr>
        <w:t>)</w:t>
      </w:r>
      <w:r>
        <w:rPr>
          <w:rFonts w:hint="eastAsia" w:ascii="Times New Roman" w:hAnsi="Times New Roman" w:cs="Times New Roman"/>
          <w:color w:val="auto"/>
          <w:kern w:val="0"/>
          <w:sz w:val="24"/>
          <w:szCs w:val="24"/>
          <w:highlight w:val="none"/>
          <w:lang w:bidi="ar"/>
        </w:rPr>
        <w:t>，场地高程</w:t>
      </w:r>
      <w:r>
        <w:rPr>
          <w:rFonts w:ascii="Times New Roman" w:hAnsi="Times New Roman" w:cs="Times New Roman"/>
          <w:color w:val="auto"/>
          <w:kern w:val="0"/>
          <w:sz w:val="24"/>
          <w:szCs w:val="24"/>
          <w:highlight w:val="none"/>
          <w:lang w:bidi="ar"/>
        </w:rPr>
        <w:t>905.00m</w:t>
      </w:r>
      <w:r>
        <w:rPr>
          <w:rFonts w:hint="eastAsia" w:ascii="Times New Roman" w:hAnsi="Times New Roman" w:cs="Times New Roman"/>
          <w:color w:val="auto"/>
          <w:kern w:val="0"/>
          <w:sz w:val="24"/>
          <w:szCs w:val="24"/>
          <w:highlight w:val="none"/>
          <w:lang w:bidi="ar"/>
        </w:rPr>
        <w:t>。</w:t>
      </w:r>
    </w:p>
    <w:p>
      <w:pPr>
        <w:pStyle w:val="132"/>
        <w:rPr>
          <w:color w:val="auto"/>
          <w:highlight w:val="none"/>
        </w:rPr>
      </w:pPr>
      <w:r>
        <w:rPr>
          <w:color w:val="auto"/>
          <w:highlight w:val="none"/>
        </w:rPr>
        <w:t>1.1.2  水文气象和工程地质资料</w:t>
      </w:r>
    </w:p>
    <w:p>
      <w:pPr>
        <w:pBdr>
          <w:bottom w:val="none" w:color="auto" w:sz="0" w:space="0"/>
        </w:pBdr>
        <w:autoSpaceDE w:val="0"/>
        <w:autoSpaceDN w:val="0"/>
        <w:spacing w:line="360" w:lineRule="auto"/>
        <w:ind w:firstLine="480" w:firstLineChars="200"/>
        <w:jc w:val="left"/>
        <w:rPr>
          <w:rFonts w:hint="eastAsia" w:ascii="Times New Roman" w:hAnsi="Times New Roman" w:cs="Times New Roman"/>
          <w:color w:val="auto"/>
          <w:kern w:val="0"/>
          <w:sz w:val="24"/>
          <w:szCs w:val="24"/>
          <w:highlight w:val="none"/>
          <w:lang w:bidi="ar"/>
        </w:rPr>
      </w:pPr>
      <w:r>
        <w:rPr>
          <w:rFonts w:hint="eastAsia" w:ascii="Times New Roman" w:hAnsi="Times New Roman" w:cs="Times New Roman"/>
          <w:color w:val="auto"/>
          <w:kern w:val="0"/>
          <w:sz w:val="24"/>
          <w:szCs w:val="24"/>
          <w:highlight w:val="none"/>
          <w:lang w:bidi="ar"/>
        </w:rPr>
        <w:t>水文气象和工程地质资料见招标附件。</w:t>
      </w:r>
    </w:p>
    <w:p>
      <w:pPr>
        <w:pStyle w:val="132"/>
        <w:rPr>
          <w:color w:val="auto"/>
          <w:highlight w:val="none"/>
        </w:rPr>
      </w:pPr>
      <w:r>
        <w:rPr>
          <w:color w:val="auto"/>
          <w:highlight w:val="none"/>
        </w:rPr>
        <w:t>1.1.3  施工条件</w:t>
      </w:r>
    </w:p>
    <w:p>
      <w:pPr>
        <w:spacing w:line="360" w:lineRule="auto"/>
        <w:ind w:firstLine="480" w:firstLineChars="200"/>
        <w:rPr>
          <w:color w:val="auto"/>
          <w:highlight w:val="none"/>
        </w:rPr>
      </w:pPr>
      <w:r>
        <w:rPr>
          <w:rFonts w:ascii="宋体" w:hAnsi="宋体" w:cs="宋体"/>
          <w:color w:val="auto"/>
          <w:sz w:val="24"/>
          <w:highlight w:val="none"/>
        </w:rPr>
        <w:t>本技术条款1.1.3节内容修改为：</w:t>
      </w:r>
    </w:p>
    <w:p>
      <w:pPr>
        <w:spacing w:line="360" w:lineRule="auto"/>
        <w:ind w:firstLine="480" w:firstLineChars="200"/>
        <w:rPr>
          <w:color w:val="auto"/>
          <w:highlight w:val="none"/>
        </w:rPr>
      </w:pPr>
      <w:r>
        <w:rPr>
          <w:rFonts w:ascii="宋体" w:hAnsi="宋体" w:cs="宋体"/>
          <w:color w:val="auto"/>
          <w:sz w:val="24"/>
          <w:highlight w:val="none"/>
        </w:rPr>
        <w:t>（1）对外交通条件</w:t>
      </w:r>
    </w:p>
    <w:p>
      <w:pPr>
        <w:pStyle w:val="76"/>
        <w:rPr>
          <w:color w:val="auto"/>
          <w:highlight w:val="none"/>
        </w:rPr>
      </w:pPr>
      <w:r>
        <w:rPr>
          <w:rFonts w:hint="eastAsia"/>
          <w:color w:val="auto"/>
          <w:highlight w:val="none"/>
        </w:rPr>
        <w:t>a) 公路</w:t>
      </w:r>
    </w:p>
    <w:p>
      <w:pPr>
        <w:pStyle w:val="76"/>
        <w:rPr>
          <w:color w:val="auto"/>
          <w:highlight w:val="none"/>
        </w:rPr>
      </w:pPr>
      <w:r>
        <w:rPr>
          <w:rFonts w:hint="eastAsia"/>
          <w:color w:val="auto"/>
          <w:highlight w:val="none"/>
        </w:rPr>
        <w:t>灌阳抽水蓄能电站地处灌阳县西北部新圩镇境内，位于桂林市东北方向。</w:t>
      </w:r>
    </w:p>
    <w:p>
      <w:pPr>
        <w:pStyle w:val="76"/>
        <w:rPr>
          <w:color w:val="auto"/>
          <w:highlight w:val="none"/>
        </w:rPr>
      </w:pPr>
      <w:r>
        <w:rPr>
          <w:rFonts w:hint="eastAsia"/>
          <w:color w:val="auto"/>
          <w:highlight w:val="none"/>
        </w:rPr>
        <w:t>上水库位于新圩镇山梁殿主峰正东侧山谷，下水库位于新圩镇火烧柴村。</w:t>
      </w:r>
    </w:p>
    <w:p>
      <w:pPr>
        <w:pStyle w:val="76"/>
        <w:rPr>
          <w:color w:val="auto"/>
          <w:highlight w:val="none"/>
        </w:rPr>
      </w:pPr>
      <w:r>
        <w:rPr>
          <w:rFonts w:hint="eastAsia"/>
          <w:color w:val="auto"/>
          <w:highlight w:val="none"/>
        </w:rPr>
        <w:t>上水库现有林场机耕道连接，路面未硬化，路线线型较差，路宽约3m，可通往新圩镇；</w:t>
      </w:r>
    </w:p>
    <w:p>
      <w:pPr>
        <w:pStyle w:val="76"/>
        <w:rPr>
          <w:color w:val="auto"/>
          <w:highlight w:val="none"/>
        </w:rPr>
      </w:pPr>
      <w:r>
        <w:rPr>
          <w:rFonts w:hint="eastAsia"/>
          <w:color w:val="auto"/>
          <w:highlight w:val="none"/>
        </w:rPr>
        <w:t>下水库现有乡村道路连接，村道沿沟底左岸布置，为硬化路面，路线线型较差，路宽约3.50m，会车困难，经火烧柴村通往新圩镇。</w:t>
      </w:r>
    </w:p>
    <w:p>
      <w:pPr>
        <w:pStyle w:val="76"/>
        <w:rPr>
          <w:color w:val="auto"/>
          <w:highlight w:val="none"/>
        </w:rPr>
      </w:pPr>
      <w:r>
        <w:rPr>
          <w:rFonts w:hint="eastAsia"/>
          <w:color w:val="auto"/>
          <w:highlight w:val="none"/>
        </w:rPr>
        <w:t>电站下水库坝址距灌阳县城26.00km，其中乡道约11.80km，国道G241约14.20km。厦蓉高速在工程北部经过，国道G241从工程东部经过。工程距桂林市公路里程约148.00km。</w:t>
      </w:r>
    </w:p>
    <w:p>
      <w:pPr>
        <w:pStyle w:val="76"/>
        <w:rPr>
          <w:color w:val="auto"/>
          <w:highlight w:val="none"/>
        </w:rPr>
      </w:pPr>
      <w:r>
        <w:rPr>
          <w:rFonts w:hint="eastAsia"/>
          <w:color w:val="auto"/>
          <w:highlight w:val="none"/>
        </w:rPr>
        <w:t>b) 铁路</w:t>
      </w:r>
    </w:p>
    <w:p>
      <w:pPr>
        <w:pStyle w:val="76"/>
        <w:rPr>
          <w:color w:val="auto"/>
          <w:highlight w:val="none"/>
        </w:rPr>
      </w:pPr>
      <w:r>
        <w:rPr>
          <w:rFonts w:hint="eastAsia"/>
          <w:color w:val="auto"/>
          <w:highlight w:val="none"/>
        </w:rPr>
        <w:t>本工程的铁路交通较便利，衡柳铁路从全州市经过，全州站距下库坝址公路里程约85.856km。外来物资及设备器材可由铁路运至全州站，然后转公路运至工地；也可直接采用公路运输至工地。</w:t>
      </w:r>
    </w:p>
    <w:p>
      <w:pPr>
        <w:pStyle w:val="76"/>
        <w:rPr>
          <w:color w:val="auto"/>
          <w:highlight w:val="none"/>
        </w:rPr>
      </w:pPr>
      <w:r>
        <w:rPr>
          <w:rFonts w:hint="eastAsia"/>
          <w:color w:val="auto"/>
          <w:highlight w:val="none"/>
        </w:rPr>
        <w:t>c) 水运</w:t>
      </w:r>
    </w:p>
    <w:p>
      <w:pPr>
        <w:pStyle w:val="76"/>
        <w:rPr>
          <w:color w:val="auto"/>
          <w:highlight w:val="none"/>
        </w:rPr>
      </w:pPr>
      <w:r>
        <w:rPr>
          <w:rFonts w:hint="eastAsia"/>
          <w:color w:val="auto"/>
          <w:highlight w:val="none"/>
        </w:rPr>
        <w:t>本工程附近水系不发达，水路运输条件差，同时也无现存大型港口，水系主要考虑湘江和桂江。</w:t>
      </w:r>
    </w:p>
    <w:p>
      <w:pPr>
        <w:pStyle w:val="76"/>
        <w:rPr>
          <w:color w:val="auto"/>
          <w:highlight w:val="none"/>
        </w:rPr>
      </w:pPr>
      <w:r>
        <w:rPr>
          <w:rFonts w:hint="eastAsia"/>
          <w:color w:val="auto"/>
          <w:highlight w:val="none"/>
        </w:rPr>
        <w:t>湘江航道现状通航条件是：永州萍岛以上为等外级航道，永州萍岛至浯溪航道里程82.00km，目前该段航道等级为Ⅵ级。</w:t>
      </w:r>
    </w:p>
    <w:p>
      <w:pPr>
        <w:pStyle w:val="76"/>
        <w:rPr>
          <w:color w:val="auto"/>
          <w:highlight w:val="none"/>
        </w:rPr>
      </w:pPr>
      <w:r>
        <w:rPr>
          <w:rFonts w:hint="eastAsia"/>
          <w:color w:val="auto"/>
          <w:highlight w:val="none"/>
        </w:rPr>
        <w:t>目前湘江永州至衡阳Ⅲ级航道建设三期工程已于2022年12月18日开工，预计工期36个月，即2025年12月18日完工，可航行至永州萍岛，航道级别为Ⅲ级航道。</w:t>
      </w:r>
    </w:p>
    <w:p>
      <w:pPr>
        <w:pStyle w:val="76"/>
        <w:rPr>
          <w:color w:val="auto"/>
          <w:highlight w:val="none"/>
        </w:rPr>
      </w:pPr>
      <w:r>
        <w:rPr>
          <w:rFonts w:hint="eastAsia"/>
          <w:color w:val="auto"/>
          <w:highlight w:val="none"/>
        </w:rPr>
        <w:t>工程所需的普通外来物资以公路运输为主，大宗设备外来物资采用公路运输为主、水运和铁路运输为辅的方式。</w:t>
      </w:r>
    </w:p>
    <w:p>
      <w:pPr>
        <w:pStyle w:val="76"/>
        <w:rPr>
          <w:color w:val="auto"/>
          <w:highlight w:val="none"/>
        </w:rPr>
      </w:pPr>
      <w:r>
        <w:rPr>
          <w:rFonts w:hint="eastAsia"/>
          <w:color w:val="auto"/>
          <w:highlight w:val="none"/>
        </w:rPr>
        <w:t>目前灌阳抽水蓄能电站现有道路无法满足电站实施及运营期对外交通运输要求。</w:t>
      </w:r>
    </w:p>
    <w:p>
      <w:pPr>
        <w:pStyle w:val="76"/>
        <w:rPr>
          <w:color w:val="auto"/>
          <w:highlight w:val="none"/>
        </w:rPr>
      </w:pPr>
      <w:r>
        <w:rPr>
          <w:rFonts w:hint="eastAsia"/>
          <w:color w:val="auto"/>
          <w:highlight w:val="none"/>
        </w:rPr>
        <w:t>已规划进场路由进场公路标承包人进行。</w:t>
      </w:r>
    </w:p>
    <w:p>
      <w:pPr>
        <w:pStyle w:val="76"/>
        <w:rPr>
          <w:color w:val="auto"/>
          <w:highlight w:val="none"/>
        </w:rPr>
      </w:pPr>
      <w:r>
        <w:rPr>
          <w:rFonts w:hint="eastAsia"/>
          <w:color w:val="auto"/>
          <w:highlight w:val="none"/>
        </w:rPr>
        <w:t>进场路路线起点位于G241新圩镇农技推广站附近，高程约400m左右。路线自东向西沿伸至K1+700.000处，穿过正处于建设阶段的灌平高速门前山高架桥(GK6+814.000 8×20m预应力砼小箱梁，净空高18.00m)，经启梅塘村沿山展线至K3+850.000处，与现有乡道相接，往盐井冲、擂鼓岭村方向对现有乡道进行改扩建2.74km，到达K6+590.000处继续沿山展线至桥梁(K7+401.500～ K7+697.500)，接开挖隧道(K7+746.000～ K9+047.000)到达山体西侧，再沿山坡展线1.394km到达K10+441.000下水库坝址附近，终点高程约为617.00m。</w:t>
      </w:r>
    </w:p>
    <w:p>
      <w:pPr>
        <w:pStyle w:val="55"/>
        <w:ind w:firstLine="480"/>
        <w:rPr>
          <w:color w:val="auto"/>
          <w:highlight w:val="none"/>
        </w:rPr>
      </w:pPr>
      <w:r>
        <w:rPr>
          <w:rFonts w:hint="eastAsia"/>
          <w:color w:val="auto"/>
          <w:highlight w:val="none"/>
        </w:rPr>
        <w:t>进场路计划于本标承包人进场前具备通车条件。</w:t>
      </w:r>
    </w:p>
    <w:p>
      <w:pPr>
        <w:autoSpaceDE w:val="0"/>
        <w:autoSpaceDN w:val="0"/>
        <w:spacing w:line="360" w:lineRule="auto"/>
        <w:ind w:firstLine="480" w:firstLineChars="200"/>
        <w:jc w:val="left"/>
        <w:rPr>
          <w:rFonts w:ascii="Times New Roman" w:hAnsi="Times New Roman" w:cs="Times New Roman"/>
          <w:color w:val="auto"/>
          <w:kern w:val="0"/>
          <w:sz w:val="24"/>
          <w:szCs w:val="24"/>
          <w:highlight w:val="none"/>
          <w:lang w:bidi="ar"/>
        </w:rPr>
      </w:pPr>
      <w:r>
        <w:rPr>
          <w:rFonts w:ascii="Times New Roman" w:hAnsi="Times New Roman" w:cs="Times New Roman"/>
          <w:color w:val="auto"/>
          <w:kern w:val="0"/>
          <w:sz w:val="24"/>
          <w:szCs w:val="24"/>
          <w:highlight w:val="none"/>
          <w:lang w:bidi="ar"/>
        </w:rPr>
        <w:t>(2) 场内交通</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上库沟底有林场机耕道可到达，路面未硬化，路线线型较差，路宽约3m。除此之外上库无其他现有道路。</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至上库临时进场便道由发包人另行委托其他承包人对林场机耕道进行改造并作为前期施工进场道路，改造后路宽3.50m，预计通车时间为2024年9月1日。</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下水库大坝坝址至库尾有火烧柴村村道连接，村道沿沟底左岸布置，为硬化路面，路线线型较差，路宽约3.50m，会车困难。</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下库环库路右岸段预计于2025年5月31日具备通车条件。</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上下库连接路由上下库连接道路标承包人负责，以跨乌石江涵洞为分界线，分为上库段和下库段。</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上下库连接路(上库段)预计于2025年9月30日具备通车条件。</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上下库连接路(下库段)预计于2025年12月31日具备通车条件。</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本工程共计规划场内主干道路17条，其中永久道路5条，临时施工道路12条。永久道路长14.34km，临时道路长15.07km，其他非主干道路长5.00km，共计34.41km。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场内主干道路规划布置及采用的线路标准如下：</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上下水库连接段道路规划</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上下库连接道路：永久道路，从1#下库环库道路下库砂石系统附近接线，起点高程665.00m，接线后进入隧洞段，自西向东穿越下库右岸山体后，经明线和一个回头弯爬升至隧洞口，隧洞形式穿越至乌石江，后进入隧洞到达地面开关站，再以明线形式向上库展线，终点为上水库大坝左坝肩，高程为1085.00m，路线总里程约7.68km，其中包括3条分别长615.00、695.00、875.00m的隧洞。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4#开关站连接道路：永久道路，从3#上下库连接道路接线，起点高程925.00m，终点至开关站，终点高程905.00m，路线总里程约0.27km。设计标准场内三级，双车道，混凝土路面，路面宽度6.50m，路基宽度7.50m。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下水库道路规划</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根据施工场地布置及工程施工需要，下水库施工主干道规划如下：</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下库环库道路：永久道路，起点接对外公路终点，高程617.00m，沿下水库环线布置，由于天然地形陡峭，修建多层道路困难，为兼顾串联库周施工场地，1#道路经过通风兼安全洞口后，爬升至高程665.00m，途经下库泄洪洞进口、下水库进/出水口、通风兼安全洞口、下库石料转存场、下库机械设备停放场、下库扩库区，终点至下水库大坝左坝肩，终点高程为617.00m，路线总里程约4.54km。设计标准场内三级，右岸段双车道，混凝土路面，路面宽度6.50m，路基宽度7.50m，左岸段单车道，混凝土路面，路面宽度3.50m，路基宽度5.00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发包人营地道路：永久道路，起点从1#下库环库道路库尾段接线，高程617.00m，沿库尾右岸山体爬升至施工期发包人营地，终点高程670.00m，路线总里程约0.92km。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坝后右岸道路：临时道路，起点从进场公路接线，高程555.00m，沿下库大坝下游右岸山坡下至竖井式溢洪洞出口施工区域，后经过下库坝基右岸，沿冲沟爬升，终点至下库上游围堰及导流隧洞进口施工区域，终点高程555.00m，路线总里程约1.58km。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扩库区低线道路：临时道路，起点从泄洪洞出口施工场地接线，高程500.00m，途经下库坝基左岸、下库上游围堰、下库扩库区。终点接1#下库环库道路，终点高程617.00m，路线总里程约1.83km。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11#坝后左岸道路：临时道路，起点从左坝肩1#下库环库道路终点接线，高程617.00m，途经下库坝后左岸山坡，终点接下库坝后压坡体，终点高程545.00m，路线总里程约1.53km。设计标准场内三级，双车道，混凝土路面，路面宽度6.50m，路基宽度7.50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13#下库扩库高线施工道路：临时道路，起点从库尾接线，高程617.00m，途经下库库内左岸山坡，终至下库扩库开挖区顶部，高程725.00m，路线总里程约1.06km。设计标准场内三级，单车道，混凝土路面，路面宽度3.50m，路基宽度5.00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15#自流排水洞连接道路：临时道路，起点从溢洪洞出口施工场地接线，高程505.00m，沿下库大坝下游河道向下游至自流排水洞出口施工场地，终点高程480.00m，路线总里程约0.70km。设计标准场内三级，单车道，混凝土路面，路面宽度3.50m，路基宽度5.00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其他场内道路</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通风洞口至下库1#～3#转料场道路，下库导流洞下闸道路，下库左右坝肩施工道路，下库砂石系统连接道路，上库左坝肩施工道路，上库左岸跨趾板沟中线上坝道路，上库右岸跨趾板沟中线上坝道路，上库施工营地道路，上库金结加工厂道路，上库导流洞出口道路，各开挖面、填筑面、堆存场内部道路。除开挖面、填筑面、堆存场内部道路应满足施工需要外，其他场内道路设计标准场内三级，双车道，混凝土路面，路面宽度3.50m，路基宽度5.00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d) 下库渣场道路规划</w:t>
      </w:r>
    </w:p>
    <w:p>
      <w:pPr>
        <w:pStyle w:val="55"/>
        <w:ind w:firstLine="480"/>
        <w:rPr>
          <w:color w:val="auto"/>
          <w:highlight w:val="none"/>
        </w:rPr>
      </w:pPr>
      <w:r>
        <w:rPr>
          <w:rFonts w:hint="eastAsia"/>
          <w:color w:val="auto"/>
          <w:highlight w:val="none"/>
        </w:rPr>
        <w:t>17#下库北侧渣场施工道路：临时道路，起点接进场道路约K5+620.000桩号处，高程520.00m，途经输水发电系统标钢管加工厂，途中避让基本农田，终点至下库北侧渣场，终点高程535.00m，路线总里程约1.98km。设计标准场内三级，双车道，混凝土路面，路面宽度6.50m，路基宽度7.50m</w:t>
      </w:r>
      <w:r>
        <w:rPr>
          <w:color w:val="auto"/>
          <w:highlight w:val="none"/>
        </w:rPr>
        <w:t>。</w:t>
      </w:r>
    </w:p>
    <w:p>
      <w:pPr>
        <w:spacing w:line="360" w:lineRule="auto"/>
        <w:ind w:firstLine="480" w:firstLineChars="200"/>
        <w:rPr>
          <w:color w:val="auto"/>
          <w:highlight w:val="none"/>
        </w:rPr>
      </w:pPr>
      <w:r>
        <w:rPr>
          <w:rFonts w:ascii="宋体" w:hAnsi="宋体" w:cs="宋体"/>
          <w:color w:val="auto"/>
          <w:sz w:val="24"/>
          <w:highlight w:val="none"/>
        </w:rPr>
        <w:t>（3）施工电源条件</w:t>
      </w:r>
    </w:p>
    <w:p>
      <w:pPr>
        <w:spacing w:after="160" w:line="360" w:lineRule="auto"/>
        <w:ind w:firstLine="480" w:firstLineChars="200"/>
        <w:rPr>
          <w:color w:val="auto"/>
          <w:highlight w:val="none"/>
        </w:rPr>
      </w:pPr>
      <w:r>
        <w:rPr>
          <w:rFonts w:ascii="宋体" w:hAnsi="宋体" w:cs="宋体"/>
          <w:color w:val="auto"/>
          <w:sz w:val="24"/>
          <w:highlight w:val="none"/>
        </w:rPr>
        <w:t>发包人为本工程计划建设施工及永久备用电源从</w:t>
      </w:r>
      <w:r>
        <w:rPr>
          <w:rFonts w:ascii="Times New Roman" w:hAnsi="Times New Roman" w:eastAsia="Times New Roman" w:cs="Times New Roman"/>
          <w:color w:val="auto"/>
          <w:sz w:val="24"/>
          <w:highlight w:val="none"/>
        </w:rPr>
        <w:t>220kV</w:t>
      </w:r>
      <w:r>
        <w:rPr>
          <w:rFonts w:ascii="宋体" w:hAnsi="宋体" w:cs="宋体"/>
          <w:color w:val="auto"/>
          <w:sz w:val="24"/>
          <w:highlight w:val="none"/>
        </w:rPr>
        <w:t>凯歌站架设</w:t>
      </w:r>
      <w:r>
        <w:rPr>
          <w:rFonts w:ascii="Times New Roman" w:hAnsi="Times New Roman" w:eastAsia="Times New Roman" w:cs="Times New Roman"/>
          <w:color w:val="auto"/>
          <w:sz w:val="24"/>
          <w:highlight w:val="none"/>
        </w:rPr>
        <w:t>1</w:t>
      </w:r>
      <w:r>
        <w:rPr>
          <w:rFonts w:ascii="宋体" w:hAnsi="宋体" w:cs="宋体"/>
          <w:color w:val="auto"/>
          <w:sz w:val="24"/>
          <w:highlight w:val="none"/>
        </w:rPr>
        <w:t>回</w:t>
      </w:r>
      <w:r>
        <w:rPr>
          <w:rFonts w:ascii="Times New Roman" w:hAnsi="Times New Roman" w:eastAsia="Times New Roman" w:cs="Times New Roman"/>
          <w:color w:val="auto"/>
          <w:sz w:val="24"/>
          <w:highlight w:val="none"/>
        </w:rPr>
        <w:t>35kV</w:t>
      </w:r>
      <w:r>
        <w:rPr>
          <w:rFonts w:ascii="宋体" w:hAnsi="宋体" w:cs="宋体"/>
          <w:color w:val="auto"/>
          <w:sz w:val="24"/>
          <w:highlight w:val="none"/>
        </w:rPr>
        <w:t>输电线路至施工区变电站，再由</w:t>
      </w:r>
      <w:r>
        <w:rPr>
          <w:rFonts w:ascii="Times New Roman" w:hAnsi="Times New Roman" w:eastAsia="Times New Roman" w:cs="Times New Roman"/>
          <w:color w:val="auto"/>
          <w:sz w:val="24"/>
          <w:highlight w:val="none"/>
        </w:rPr>
        <w:t>35kV</w:t>
      </w:r>
      <w:r>
        <w:rPr>
          <w:rFonts w:ascii="宋体" w:hAnsi="宋体" w:cs="宋体"/>
          <w:color w:val="auto"/>
          <w:sz w:val="24"/>
          <w:highlight w:val="none"/>
        </w:rPr>
        <w:t>施工变电站出线，到各个施工电源点</w:t>
      </w:r>
      <w:r>
        <w:rPr>
          <w:rFonts w:ascii="Times New Roman" w:hAnsi="Times New Roman" w:eastAsia="Times New Roman" w:cs="Times New Roman"/>
          <w:color w:val="auto"/>
          <w:sz w:val="24"/>
          <w:highlight w:val="none"/>
        </w:rPr>
        <w:t>(</w:t>
      </w:r>
      <w:r>
        <w:rPr>
          <w:rFonts w:ascii="宋体" w:hAnsi="宋体" w:cs="宋体"/>
          <w:color w:val="auto"/>
          <w:sz w:val="24"/>
          <w:highlight w:val="none"/>
        </w:rPr>
        <w:t>包括部分负荷点</w:t>
      </w:r>
      <w:r>
        <w:rPr>
          <w:rFonts w:ascii="Times New Roman" w:hAnsi="Times New Roman" w:eastAsia="Times New Roman" w:cs="Times New Roman"/>
          <w:color w:val="auto"/>
          <w:sz w:val="24"/>
          <w:highlight w:val="none"/>
        </w:rPr>
        <w:t>)10kV</w:t>
      </w:r>
      <w:r>
        <w:rPr>
          <w:rFonts w:ascii="宋体" w:hAnsi="宋体" w:cs="宋体"/>
          <w:color w:val="auto"/>
          <w:sz w:val="24"/>
          <w:highlight w:val="none"/>
        </w:rPr>
        <w:t>出线共</w:t>
      </w:r>
      <w:r>
        <w:rPr>
          <w:rFonts w:ascii="Times New Roman" w:hAnsi="Times New Roman" w:eastAsia="Times New Roman" w:cs="Times New Roman"/>
          <w:color w:val="auto"/>
          <w:sz w:val="24"/>
          <w:highlight w:val="none"/>
        </w:rPr>
        <w:t>4</w:t>
      </w:r>
      <w:r>
        <w:rPr>
          <w:rFonts w:ascii="宋体" w:hAnsi="宋体" w:cs="宋体"/>
          <w:color w:val="auto"/>
          <w:sz w:val="24"/>
          <w:highlight w:val="none"/>
        </w:rPr>
        <w:t>回，其中在上水库综合加工厂、上水库混凝土系统、上水库坝区施工区、输水发电系统、上水库进</w:t>
      </w:r>
      <w:r>
        <w:rPr>
          <w:rFonts w:ascii="Times New Roman" w:hAnsi="Times New Roman" w:eastAsia="Times New Roman" w:cs="Times New Roman"/>
          <w:color w:val="auto"/>
          <w:sz w:val="24"/>
          <w:highlight w:val="none"/>
        </w:rPr>
        <w:t>/</w:t>
      </w:r>
      <w:r>
        <w:rPr>
          <w:rFonts w:ascii="宋体" w:hAnsi="宋体" w:cs="宋体"/>
          <w:color w:val="auto"/>
          <w:sz w:val="24"/>
          <w:highlight w:val="none"/>
        </w:rPr>
        <w:t>出水口、上水库导流洞、</w:t>
      </w:r>
      <w:r>
        <w:rPr>
          <w:rFonts w:ascii="Times New Roman" w:hAnsi="Times New Roman" w:eastAsia="Times New Roman" w:cs="Times New Roman"/>
          <w:color w:val="auto"/>
          <w:sz w:val="24"/>
          <w:highlight w:val="none"/>
        </w:rPr>
        <w:t>1#</w:t>
      </w:r>
      <w:r>
        <w:rPr>
          <w:rFonts w:ascii="宋体" w:hAnsi="宋体" w:cs="宋体"/>
          <w:color w:val="auto"/>
          <w:sz w:val="24"/>
          <w:highlight w:val="none"/>
        </w:rPr>
        <w:t>施工支洞、开关站区、下水库砂混系统、下水库导流洞口、自流排水洞出口施工区、下水库进</w:t>
      </w:r>
      <w:r>
        <w:rPr>
          <w:rFonts w:ascii="Times New Roman" w:hAnsi="Times New Roman" w:eastAsia="Times New Roman" w:cs="Times New Roman"/>
          <w:color w:val="auto"/>
          <w:sz w:val="24"/>
          <w:highlight w:val="none"/>
        </w:rPr>
        <w:t>/</w:t>
      </w:r>
      <w:r>
        <w:rPr>
          <w:rFonts w:ascii="宋体" w:hAnsi="宋体" w:cs="宋体"/>
          <w:color w:val="auto"/>
          <w:sz w:val="24"/>
          <w:highlight w:val="none"/>
        </w:rPr>
        <w:t>出水口、业主营地、下水库坝区等供电点设</w:t>
      </w:r>
      <w:r>
        <w:rPr>
          <w:rFonts w:ascii="Times New Roman" w:hAnsi="Times New Roman" w:eastAsia="Times New Roman" w:cs="Times New Roman"/>
          <w:color w:val="auto"/>
          <w:sz w:val="24"/>
          <w:highlight w:val="none"/>
        </w:rPr>
        <w:t>T</w:t>
      </w:r>
      <w:r>
        <w:rPr>
          <w:rFonts w:ascii="宋体" w:hAnsi="宋体" w:cs="宋体"/>
          <w:color w:val="auto"/>
          <w:sz w:val="24"/>
          <w:highlight w:val="none"/>
        </w:rPr>
        <w:t>接点。</w:t>
      </w:r>
    </w:p>
    <w:p>
      <w:pPr>
        <w:spacing w:line="360" w:lineRule="auto"/>
        <w:ind w:firstLine="480" w:firstLineChars="200"/>
        <w:rPr>
          <w:color w:val="auto"/>
          <w:highlight w:val="none"/>
          <w:shd w:val="clear" w:color="auto" w:fill="FFFF00"/>
        </w:rPr>
      </w:pPr>
      <w:r>
        <w:rPr>
          <w:rFonts w:ascii="Times New Roman" w:hAnsi="Times New Roman" w:eastAsia="Times New Roman" w:cs="Times New Roman"/>
          <w:color w:val="auto"/>
          <w:sz w:val="24"/>
          <w:highlight w:val="none"/>
          <w:shd w:val="clear" w:color="auto" w:fill="auto"/>
        </w:rPr>
        <w:t>35kV</w:t>
      </w:r>
      <w:r>
        <w:rPr>
          <w:rFonts w:ascii="宋体" w:hAnsi="宋体" w:cs="宋体"/>
          <w:color w:val="auto"/>
          <w:sz w:val="24"/>
          <w:highlight w:val="none"/>
          <w:shd w:val="clear" w:color="auto" w:fill="auto"/>
        </w:rPr>
        <w:t>施工变电站计划于本标承包人进场前投入使用。</w:t>
      </w:r>
    </w:p>
    <w:p>
      <w:pPr>
        <w:spacing w:line="360" w:lineRule="auto"/>
        <w:ind w:firstLine="480" w:firstLineChars="200"/>
        <w:rPr>
          <w:color w:val="auto"/>
          <w:highlight w:val="none"/>
        </w:rPr>
      </w:pPr>
      <w:r>
        <w:rPr>
          <w:rFonts w:ascii="宋体" w:hAnsi="宋体" w:cs="宋体"/>
          <w:color w:val="auto"/>
          <w:sz w:val="24"/>
          <w:highlight w:val="none"/>
        </w:rPr>
        <w:t>（4）施工水源条件</w:t>
      </w:r>
    </w:p>
    <w:p>
      <w:pPr>
        <w:spacing w:after="160" w:line="360" w:lineRule="auto"/>
        <w:ind w:firstLine="480" w:firstLineChars="200"/>
        <w:rPr>
          <w:color w:val="auto"/>
          <w:highlight w:val="none"/>
        </w:rPr>
      </w:pPr>
      <w:r>
        <w:rPr>
          <w:rFonts w:ascii="宋体" w:hAnsi="宋体" w:cs="宋体"/>
          <w:color w:val="auto"/>
          <w:sz w:val="24"/>
          <w:highlight w:val="none"/>
        </w:rPr>
        <w:t>上库坝址以上流域面积</w:t>
      </w:r>
      <w:r>
        <w:rPr>
          <w:rFonts w:ascii="Times New Roman" w:hAnsi="Times New Roman" w:eastAsia="Times New Roman" w:cs="Times New Roman"/>
          <w:color w:val="auto"/>
          <w:sz w:val="24"/>
          <w:highlight w:val="none"/>
        </w:rPr>
        <w:t>1.606km2</w:t>
      </w:r>
      <w:r>
        <w:rPr>
          <w:rFonts w:ascii="宋体" w:hAnsi="宋体" w:cs="宋体"/>
          <w:color w:val="auto"/>
          <w:sz w:val="24"/>
          <w:highlight w:val="none"/>
        </w:rPr>
        <w:t>，多年平均流量</w:t>
      </w:r>
      <w:r>
        <w:rPr>
          <w:rFonts w:ascii="Times New Roman" w:hAnsi="Times New Roman" w:eastAsia="Times New Roman" w:cs="Times New Roman"/>
          <w:color w:val="auto"/>
          <w:sz w:val="24"/>
          <w:highlight w:val="none"/>
        </w:rPr>
        <w:t>0.053m3/s</w:t>
      </w:r>
      <w:r>
        <w:rPr>
          <w:rFonts w:ascii="宋体" w:hAnsi="宋体" w:cs="宋体"/>
          <w:color w:val="auto"/>
          <w:sz w:val="24"/>
          <w:highlight w:val="none"/>
        </w:rPr>
        <w:t>，主沟道常年有水。</w:t>
      </w:r>
    </w:p>
    <w:p>
      <w:pPr>
        <w:pStyle w:val="55"/>
        <w:ind w:firstLine="480"/>
        <w:rPr>
          <w:rFonts w:hint="eastAsia" w:ascii="宋体" w:hAnsi="宋体" w:cs="宋体"/>
          <w:color w:val="auto"/>
          <w:kern w:val="0"/>
          <w:highlight w:val="none"/>
          <w:shd w:val="clear" w:color="auto" w:fill="FFFF00"/>
          <w:lang w:bidi="ar"/>
        </w:rPr>
      </w:pPr>
      <w:r>
        <w:rPr>
          <w:rFonts w:ascii="宋体" w:hAnsi="宋体" w:cs="宋体"/>
          <w:color w:val="auto"/>
          <w:highlight w:val="none"/>
        </w:rPr>
        <w:t>下库坝址以上流域面积</w:t>
      </w:r>
      <w:r>
        <w:rPr>
          <w:rFonts w:eastAsia="Times New Roman"/>
          <w:color w:val="auto"/>
          <w:highlight w:val="none"/>
        </w:rPr>
        <w:t>21.670km2</w:t>
      </w:r>
      <w:r>
        <w:rPr>
          <w:rFonts w:ascii="宋体" w:hAnsi="宋体" w:cs="宋体"/>
          <w:color w:val="auto"/>
          <w:highlight w:val="none"/>
        </w:rPr>
        <w:t>，多年平均流量</w:t>
      </w:r>
      <w:r>
        <w:rPr>
          <w:rFonts w:eastAsia="Times New Roman"/>
          <w:color w:val="auto"/>
          <w:highlight w:val="none"/>
        </w:rPr>
        <w:t>0.720m3/s</w:t>
      </w:r>
      <w:r>
        <w:rPr>
          <w:rFonts w:ascii="宋体" w:hAnsi="宋体" w:cs="宋体"/>
          <w:color w:val="auto"/>
          <w:highlight w:val="none"/>
        </w:rPr>
        <w:t>，主沟道常年有水。</w:t>
      </w:r>
    </w:p>
    <w:p>
      <w:pPr>
        <w:spacing w:line="360" w:lineRule="auto"/>
        <w:ind w:firstLine="480" w:firstLineChars="200"/>
        <w:rPr>
          <w:color w:val="auto"/>
          <w:highlight w:val="none"/>
        </w:rPr>
      </w:pPr>
      <w:r>
        <w:rPr>
          <w:rFonts w:ascii="宋体" w:hAnsi="宋体" w:cs="宋体"/>
          <w:color w:val="auto"/>
          <w:sz w:val="24"/>
          <w:highlight w:val="none"/>
        </w:rPr>
        <w:t>（5）施工场地</w:t>
      </w:r>
    </w:p>
    <w:p>
      <w:pPr>
        <w:pStyle w:val="76"/>
        <w:adjustRightInd w:val="0"/>
        <w:spacing w:line="480" w:lineRule="exact"/>
        <w:ind w:firstLine="480" w:firstLineChars="200"/>
        <w:rPr>
          <w:color w:val="auto"/>
          <w:highlight w:val="none"/>
        </w:rPr>
      </w:pPr>
      <w:r>
        <w:rPr>
          <w:rFonts w:hint="eastAsia"/>
          <w:color w:val="auto"/>
          <w:highlight w:val="none"/>
        </w:rPr>
        <w:t>发包人提供给本标段施工场地位置详见《施工总布置图》。本标施工场地由承包人根据施工需要自行规划布置、设计、施工(包括场地的开挖、回填、平整、场内交通道路、边坡防护及排水设施等)、管理和维护，且要求进行废水处理。混凝土系统冲洗废水经混凝沉淀后回用；含油废水、洗车废水采用隔油沉淀进行处理后回用；各施工营地生活污水经处理达到《污水综合排放标准》（ GB8978-1996）中的一级标准后可用于周边林地浇灌，不得外排。垃圾集中堆存处理，做好场区绿化工作。布置应满足消防、环保、安全等规定的要求，场地规划布置须经监理人审批同意后方可实施。</w:t>
      </w:r>
    </w:p>
    <w:p>
      <w:pPr>
        <w:pStyle w:val="76"/>
        <w:ind w:firstLine="0" w:firstLineChars="0"/>
        <w:jc w:val="center"/>
        <w:rPr>
          <w:rFonts w:eastAsia="黑体"/>
          <w:snapToGrid w:val="0"/>
          <w:color w:val="auto"/>
          <w:highlight w:val="none"/>
        </w:rPr>
      </w:pPr>
      <w:r>
        <w:rPr>
          <w:rFonts w:eastAsia="黑体"/>
          <w:color w:val="auto"/>
          <w:szCs w:val="20"/>
          <w:highlight w:val="none"/>
        </w:rPr>
        <w:t>表1.1.3-1</w:t>
      </w:r>
      <w:r>
        <w:rPr>
          <w:rFonts w:hint="eastAsia" w:eastAsia="黑体"/>
          <w:snapToGrid w:val="0"/>
          <w:color w:val="auto"/>
          <w:highlight w:val="none"/>
        </w:rPr>
        <w:t>施工场地特性表</w:t>
      </w:r>
    </w:p>
    <w:tbl>
      <w:tblPr>
        <w:tblStyle w:val="3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53"/>
        <w:gridCol w:w="1216"/>
        <w:gridCol w:w="1116"/>
        <w:gridCol w:w="1397"/>
        <w:gridCol w:w="1574"/>
        <w:gridCol w:w="206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153"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场地名称</w:t>
            </w:r>
          </w:p>
        </w:tc>
        <w:tc>
          <w:tcPr>
            <w:tcW w:w="12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占地面积（m</w:t>
            </w:r>
            <w:r>
              <w:rPr>
                <w:rFonts w:ascii="Times New Roman" w:hAnsi="Times New Roman" w:cs="Times New Roman"/>
                <w:color w:val="auto"/>
                <w:kern w:val="0"/>
                <w:sz w:val="22"/>
                <w:highlight w:val="none"/>
                <w:vertAlign w:val="superscript"/>
              </w:rPr>
              <w:t>2</w:t>
            </w:r>
            <w:r>
              <w:rPr>
                <w:rFonts w:ascii="Times New Roman" w:hAnsi="Times New Roman" w:cs="Times New Roman"/>
                <w:color w:val="auto"/>
                <w:kern w:val="0"/>
                <w:sz w:val="22"/>
                <w:highlight w:val="none"/>
              </w:rPr>
              <w:t>）</w:t>
            </w:r>
          </w:p>
        </w:tc>
        <w:tc>
          <w:tcPr>
            <w:tcW w:w="11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场地高程（m）</w:t>
            </w:r>
          </w:p>
        </w:tc>
        <w:tc>
          <w:tcPr>
            <w:tcW w:w="1397" w:type="dxa"/>
            <w:noWrap/>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位置</w:t>
            </w:r>
          </w:p>
        </w:tc>
        <w:tc>
          <w:tcPr>
            <w:tcW w:w="1574"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主要用途</w:t>
            </w:r>
          </w:p>
        </w:tc>
        <w:tc>
          <w:tcPr>
            <w:tcW w:w="206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153" w:type="dxa"/>
            <w:vAlign w:val="center"/>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施工营地</w:t>
            </w:r>
          </w:p>
        </w:tc>
        <w:tc>
          <w:tcPr>
            <w:tcW w:w="12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5700</w:t>
            </w:r>
          </w:p>
        </w:tc>
        <w:tc>
          <w:tcPr>
            <w:tcW w:w="11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545</w:t>
            </w:r>
          </w:p>
        </w:tc>
        <w:tc>
          <w:tcPr>
            <w:tcW w:w="1397" w:type="dxa"/>
            <w:noWrap/>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进场路K5+400附近</w:t>
            </w:r>
          </w:p>
        </w:tc>
        <w:tc>
          <w:tcPr>
            <w:tcW w:w="1574"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本标施工管理及生活设施等</w:t>
            </w:r>
          </w:p>
        </w:tc>
        <w:tc>
          <w:tcPr>
            <w:tcW w:w="2067" w:type="dxa"/>
            <w:vAlign w:val="bottom"/>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机电安装标承包人需自行对场地进行平整清理、场地硬化及布置排水设施等。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153" w:type="dxa"/>
            <w:vAlign w:val="center"/>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机电设备临时仓库</w:t>
            </w:r>
          </w:p>
        </w:tc>
        <w:tc>
          <w:tcPr>
            <w:tcW w:w="12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2700</w:t>
            </w:r>
          </w:p>
        </w:tc>
        <w:tc>
          <w:tcPr>
            <w:tcW w:w="11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520</w:t>
            </w:r>
          </w:p>
        </w:tc>
        <w:tc>
          <w:tcPr>
            <w:tcW w:w="1397" w:type="dxa"/>
            <w:noWrap/>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进场路K5+400附近</w:t>
            </w:r>
          </w:p>
        </w:tc>
        <w:tc>
          <w:tcPr>
            <w:tcW w:w="1574"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中、大型机电设备临时存放、相关辅助设施布置</w:t>
            </w:r>
          </w:p>
        </w:tc>
        <w:tc>
          <w:tcPr>
            <w:tcW w:w="2067" w:type="dxa"/>
            <w:vAlign w:val="bottom"/>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机电安装标承包人需自行对场地进行清理、场地硬化及布置排水设施等。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153"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机电安装标混凝土系统</w:t>
            </w:r>
          </w:p>
        </w:tc>
        <w:tc>
          <w:tcPr>
            <w:tcW w:w="12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2100</w:t>
            </w:r>
          </w:p>
        </w:tc>
        <w:tc>
          <w:tcPr>
            <w:tcW w:w="11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635</w:t>
            </w:r>
          </w:p>
        </w:tc>
        <w:tc>
          <w:tcPr>
            <w:tcW w:w="1397" w:type="dxa"/>
            <w:noWrap/>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下库库尾台地旁冲沟</w:t>
            </w:r>
          </w:p>
        </w:tc>
        <w:tc>
          <w:tcPr>
            <w:tcW w:w="1574"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本标混凝土生产</w:t>
            </w:r>
          </w:p>
        </w:tc>
        <w:tc>
          <w:tcPr>
            <w:tcW w:w="2067" w:type="dxa"/>
            <w:vAlign w:val="bottom"/>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机电安装标承包人需自行对场地进行清理、场地硬化及布置排水设施等。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153"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机电安装标综合加工厂、仓库</w:t>
            </w:r>
          </w:p>
        </w:tc>
        <w:tc>
          <w:tcPr>
            <w:tcW w:w="12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10300</w:t>
            </w:r>
          </w:p>
        </w:tc>
        <w:tc>
          <w:tcPr>
            <w:tcW w:w="1116"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520</w:t>
            </w:r>
          </w:p>
        </w:tc>
        <w:tc>
          <w:tcPr>
            <w:tcW w:w="1397" w:type="dxa"/>
            <w:noWrap/>
            <w:vAlign w:val="center"/>
          </w:tcPr>
          <w:p>
            <w:pPr>
              <w:widowControl/>
              <w:pBdr>
                <w:bottom w:val="none" w:color="auto" w:sz="0" w:space="0"/>
              </w:pBdr>
              <w:jc w:val="center"/>
              <w:rPr>
                <w:rFonts w:ascii="Times New Roman" w:hAnsi="Times New Roman" w:cs="Times New Roman"/>
                <w:color w:val="auto"/>
                <w:kern w:val="0"/>
                <w:sz w:val="22"/>
                <w:highlight w:val="none"/>
                <w:shd w:val="clear" w:color="auto" w:fill="auto"/>
              </w:rPr>
            </w:pPr>
            <w:r>
              <w:rPr>
                <w:rFonts w:ascii="Times New Roman" w:hAnsi="Times New Roman" w:cs="Times New Roman"/>
                <w:color w:val="auto"/>
                <w:kern w:val="0"/>
                <w:sz w:val="22"/>
                <w:highlight w:val="none"/>
                <w:shd w:val="clear" w:color="auto" w:fill="auto"/>
              </w:rPr>
              <w:t>进场路K5+400附近</w:t>
            </w:r>
          </w:p>
        </w:tc>
        <w:tc>
          <w:tcPr>
            <w:tcW w:w="1574"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本标土建加工厂、仓库</w:t>
            </w:r>
          </w:p>
        </w:tc>
        <w:tc>
          <w:tcPr>
            <w:tcW w:w="2067" w:type="dxa"/>
            <w:vAlign w:val="center"/>
          </w:tcPr>
          <w:p>
            <w:pPr>
              <w:widowControl/>
              <w:pBdr>
                <w:bottom w:val="none" w:color="auto" w:sz="0" w:space="0"/>
              </w:pBdr>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机电安装标承包人需自行对场地进行清理、场地硬化及布置排水设施等。</w:t>
            </w:r>
          </w:p>
        </w:tc>
      </w:tr>
    </w:tbl>
    <w:p>
      <w:pPr>
        <w:pStyle w:val="62"/>
        <w:tabs>
          <w:tab w:val="clear" w:pos="851"/>
        </w:tabs>
        <w:rPr>
          <w:color w:val="auto"/>
          <w:highlight w:val="none"/>
        </w:rPr>
      </w:pPr>
      <w:bookmarkStart w:id="36" w:name="_Toc24413"/>
      <w:bookmarkStart w:id="37" w:name="_Toc30378"/>
      <w:bookmarkStart w:id="38" w:name="_Toc16933"/>
      <w:bookmarkStart w:id="39" w:name="_Toc114042599"/>
      <w:bookmarkStart w:id="40" w:name="_Toc127395697"/>
      <w:r>
        <w:rPr>
          <w:color w:val="auto"/>
          <w:highlight w:val="none"/>
        </w:rPr>
        <w:t xml:space="preserve">1.2  </w:t>
      </w:r>
      <w:bookmarkEnd w:id="36"/>
      <w:bookmarkEnd w:id="37"/>
      <w:bookmarkEnd w:id="38"/>
      <w:bookmarkEnd w:id="39"/>
      <w:bookmarkEnd w:id="40"/>
      <w:r>
        <w:rPr>
          <w:color w:val="auto"/>
          <w:highlight w:val="none"/>
        </w:rPr>
        <w:t>本合同工程项目及其工作内容</w:t>
      </w:r>
    </w:p>
    <w:p>
      <w:pPr>
        <w:pStyle w:val="21"/>
        <w:adjustRightInd w:val="0"/>
        <w:snapToGrid w:val="0"/>
        <w:spacing w:before="0" w:after="0" w:line="480" w:lineRule="exact"/>
        <w:ind w:firstLine="480" w:firstLineChars="200"/>
        <w:rPr>
          <w:rFonts w:ascii="Times New Roman" w:hAnsi="Times New Roman" w:cs="Times New Roman"/>
          <w:color w:val="auto"/>
          <w:sz w:val="24"/>
          <w:szCs w:val="24"/>
          <w:highlight w:val="none"/>
        </w:rPr>
      </w:pPr>
      <w:bookmarkStart w:id="41" w:name="_Toc355517083"/>
      <w:r>
        <w:rPr>
          <w:rFonts w:hint="eastAsia" w:ascii="Times New Roman" w:hAnsi="Times New Roman" w:cs="Times New Roman"/>
          <w:color w:val="auto"/>
          <w:sz w:val="24"/>
          <w:szCs w:val="24"/>
          <w:highlight w:val="none"/>
        </w:rPr>
        <w:t>本条所确定的工程项目和工作内容包括按本合同商务文件、技术条款、图纸和监理人指示提供所有劳务、管理人员、本标承包人的设备和材料，以及完成本合同施工所必须进行的所有工作。</w:t>
      </w:r>
    </w:p>
    <w:p>
      <w:pPr>
        <w:pStyle w:val="21"/>
        <w:adjustRightInd w:val="0"/>
        <w:snapToGrid w:val="0"/>
        <w:spacing w:before="0" w:after="0"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本标承包人应完成的主要工程项目及工作内容如下(但不限于)</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w:t>
      </w:r>
    </w:p>
    <w:p>
      <w:pPr>
        <w:pStyle w:val="132"/>
        <w:rPr>
          <w:color w:val="auto"/>
          <w:highlight w:val="none"/>
        </w:rPr>
      </w:pPr>
      <w:bookmarkStart w:id="42" w:name="_Toc21137"/>
      <w:bookmarkStart w:id="43" w:name="_Toc116928177"/>
      <w:bookmarkStart w:id="44" w:name="_Toc21692"/>
      <w:r>
        <w:rPr>
          <w:color w:val="auto"/>
          <w:highlight w:val="none"/>
        </w:rPr>
        <w:t xml:space="preserve">1.2.1  </w:t>
      </w:r>
      <w:r>
        <w:rPr>
          <w:rFonts w:hint="eastAsia"/>
          <w:color w:val="auto"/>
          <w:highlight w:val="none"/>
        </w:rPr>
        <w:t>主体工程项目及其工作内容(但不限于)</w:t>
      </w:r>
      <w:bookmarkEnd w:id="42"/>
      <w:bookmarkEnd w:id="43"/>
      <w:bookmarkEnd w:id="44"/>
      <w:r>
        <w:rPr>
          <w:color w:val="auto"/>
          <w:highlight w:val="none"/>
        </w:rPr>
        <w:t xml:space="preserve"> </w:t>
      </w:r>
      <w:bookmarkEnd w:id="41"/>
    </w:p>
    <w:p>
      <w:pPr>
        <w:pStyle w:val="7"/>
        <w:rPr>
          <w:rFonts w:hint="eastAsia"/>
          <w:color w:val="auto"/>
          <w:highlight w:val="none"/>
        </w:rPr>
      </w:pPr>
      <w:r>
        <w:rPr>
          <w:color w:val="auto"/>
          <w:highlight w:val="none"/>
        </w:rPr>
        <w:t>1.2.1.1  机电安装工程</w:t>
      </w:r>
    </w:p>
    <w:p>
      <w:pPr>
        <w:pStyle w:val="53"/>
        <w:spacing w:line="480" w:lineRule="exact"/>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a) </w:t>
      </w:r>
      <w:r>
        <w:rPr>
          <w:rFonts w:hint="eastAsia" w:ascii="Times New Roman" w:hAnsi="Times New Roman" w:eastAsia="宋体" w:cs="Times New Roman"/>
          <w:color w:val="auto"/>
          <w:sz w:val="24"/>
          <w:szCs w:val="24"/>
          <w:highlight w:val="none"/>
        </w:rPr>
        <w:t>机电及金属结构设备安装工程</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标承包人负责下述机电设备的工地卸货、开箱验收(含开箱资料管理)、二次运输、储存保管、安装、调试、现场试验等，并参与主机性能试验、现场调试、启动试运行直至机组全部移交验收投入商业运行的全部工作。现场试验满足规程规范、南网相关企业标准和厂家要求。</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本标承包人还应负责下述设备所属的备品备件及专用工具的工地卸货、保管并及时移交。</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这些机电设备包括：</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水泵水轮机及其附属设备；</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起重设备(含日常维护和使用管理)</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水力机械辅助设备；</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(4) </w:t>
      </w:r>
      <w:r>
        <w:rPr>
          <w:rFonts w:hint="eastAsia" w:ascii="Times New Roman" w:hAnsi="Times New Roman"/>
          <w:color w:val="auto"/>
          <w:sz w:val="24"/>
          <w:szCs w:val="24"/>
          <w:highlight w:val="none"/>
        </w:rPr>
        <w:t>发电电动机及其附属设备；</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(5) </w:t>
      </w:r>
      <w:r>
        <w:rPr>
          <w:rFonts w:hint="eastAsia" w:ascii="Times New Roman" w:hAnsi="Times New Roman"/>
          <w:color w:val="auto"/>
          <w:sz w:val="24"/>
          <w:szCs w:val="24"/>
          <w:highlight w:val="none"/>
        </w:rPr>
        <w:t>发电机电压设备和厂用电设备；</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(6) </w:t>
      </w:r>
      <w:r>
        <w:rPr>
          <w:rFonts w:hint="eastAsia" w:ascii="Times New Roman" w:hAnsi="Times New Roman"/>
          <w:color w:val="auto"/>
          <w:sz w:val="24"/>
          <w:szCs w:val="24"/>
          <w:highlight w:val="none"/>
        </w:rPr>
        <w:t>计算机监控系统；</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(7) </w:t>
      </w:r>
      <w:r>
        <w:rPr>
          <w:rFonts w:hint="eastAsia" w:ascii="Times New Roman" w:hAnsi="Times New Roman"/>
          <w:color w:val="auto"/>
          <w:sz w:val="24"/>
          <w:szCs w:val="24"/>
          <w:highlight w:val="none"/>
        </w:rPr>
        <w:t>继电保护系统；</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(8) </w:t>
      </w:r>
      <w:r>
        <w:rPr>
          <w:rFonts w:hint="eastAsia" w:ascii="Times New Roman" w:hAnsi="Times New Roman"/>
          <w:color w:val="auto"/>
          <w:sz w:val="24"/>
          <w:szCs w:val="24"/>
          <w:highlight w:val="none"/>
        </w:rPr>
        <w:t>交直流电源系统；</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(9) </w:t>
      </w:r>
      <w:r>
        <w:rPr>
          <w:rFonts w:hint="eastAsia" w:ascii="Times New Roman" w:hAnsi="Times New Roman"/>
          <w:color w:val="auto"/>
          <w:sz w:val="24"/>
          <w:szCs w:val="24"/>
          <w:highlight w:val="none"/>
        </w:rPr>
        <w:t>机组在线监测系统；</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(10) </w:t>
      </w:r>
      <w:r>
        <w:rPr>
          <w:rFonts w:hint="eastAsia" w:ascii="Times New Roman" w:hAnsi="Times New Roman"/>
          <w:color w:val="auto"/>
          <w:sz w:val="24"/>
          <w:szCs w:val="24"/>
          <w:highlight w:val="none"/>
        </w:rPr>
        <w:t>金属结构(尾闸</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(12) 通风空调系统（含集中控制系统）； </w:t>
      </w:r>
    </w:p>
    <w:p>
      <w:pPr>
        <w:pBdr>
          <w:bottom w:val="none" w:color="auto" w:sz="0" w:space="0"/>
        </w:pBdr>
        <w:snapToGrid w:val="0"/>
        <w:spacing w:line="480" w:lineRule="exact"/>
        <w:ind w:left="480"/>
        <w:rPr>
          <w:rFonts w:ascii="Times New Roman" w:hAnsi="Times New Roman"/>
          <w:color w:val="auto"/>
          <w:sz w:val="24"/>
          <w:szCs w:val="24"/>
          <w:highlight w:val="none"/>
        </w:rPr>
      </w:pPr>
      <w:r>
        <w:rPr>
          <w:rFonts w:ascii="Times New Roman" w:hAnsi="Times New Roman"/>
          <w:color w:val="auto"/>
          <w:sz w:val="24"/>
          <w:szCs w:val="24"/>
          <w:highlight w:val="none"/>
        </w:rPr>
        <w:t>(13) 流道充水系统（含流道充水完成后的拆除、复原工作）；</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(14) 施工支洞的永久通风、永久照明以及6号施工支洞抽排系统；</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(15) 其他机电设备安装。</w:t>
      </w:r>
    </w:p>
    <w:p>
      <w:pPr>
        <w:pStyle w:val="53"/>
        <w:spacing w:line="480" w:lineRule="exact"/>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b) </w:t>
      </w:r>
      <w:r>
        <w:rPr>
          <w:rFonts w:hint="eastAsia" w:ascii="Times New Roman" w:hAnsi="Times New Roman" w:eastAsia="宋体" w:cs="Times New Roman"/>
          <w:color w:val="auto"/>
          <w:sz w:val="24"/>
          <w:szCs w:val="24"/>
          <w:highlight w:val="none"/>
        </w:rPr>
        <w:t>机电设备采购及安装工程</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照明系统灯具、装置性材料的采购、安装及移交前的维护</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范围包括：主副厂房各层、安装间、主变洞、母线洞、高压电缆平洞、排水廊道、进厂交通洞、通风兼安全洞、尾闸室等地下洞室</w:t>
      </w:r>
      <w:r>
        <w:rPr>
          <w:rFonts w:hint="eastAsia" w:ascii="Times New Roman" w:hAnsi="Times New Roman"/>
          <w:color w:val="auto"/>
          <w:sz w:val="24"/>
          <w:szCs w:val="24"/>
          <w:highlight w:val="none"/>
          <w:shd w:val="clear" w:color="auto" w:fill="auto"/>
        </w:rPr>
        <w:t>、</w:t>
      </w:r>
      <w:r>
        <w:rPr>
          <w:rFonts w:hint="eastAsia" w:ascii="Times New Roman" w:hAnsi="Times New Roman"/>
          <w:color w:val="auto"/>
          <w:sz w:val="24"/>
          <w:szCs w:val="24"/>
          <w:highlight w:val="none"/>
        </w:rPr>
        <w:t>部分施工支洞等需要照明的场所。</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接地系统采购、安装及试验：</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主副厂房设备层各层及安装间、主变洞、母线洞、尾闸室等地下洞室、全厂明敷接地网的材料采购和安装(包括二次设备等电位接地网的材料采购、运输、制做和敷设)，还包括全厂明敷接地网与暗敷接地网的连接，全厂需要接地的所有设备、电缆架、构架、系统及其基础、预埋件等与接地网的连接，全厂（含C1、C2、C3、高压安装标等）接地电阻、接触电势、跨步电势的测量。</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全厂电力电缆的采购及安装</w:t>
      </w:r>
    </w:p>
    <w:p>
      <w:pPr>
        <w:snapToGrid w:val="0"/>
        <w:spacing w:line="480" w:lineRule="exact"/>
        <w:ind w:firstLine="480" w:firstLineChars="200"/>
        <w:rPr>
          <w:rFonts w:ascii="Times New Roman" w:hAnsi="Times New Roman"/>
          <w:color w:val="auto"/>
          <w:sz w:val="24"/>
          <w:szCs w:val="24"/>
          <w:highlight w:val="none"/>
        </w:rPr>
      </w:pPr>
      <w:r>
        <w:rPr>
          <w:rFonts w:ascii="Times New Roman" w:hAnsi="宋体" w:cs="Times New Roman"/>
          <w:color w:val="auto"/>
          <w:kern w:val="0"/>
          <w:sz w:val="24"/>
          <w:szCs w:val="24"/>
          <w:highlight w:val="none"/>
        </w:rPr>
        <w:t>本标承包人负责全厂除设备合同</w:t>
      </w:r>
      <w:r>
        <w:rPr>
          <w:rFonts w:hint="eastAsia" w:ascii="Times New Roman" w:hAnsi="宋体" w:cs="Times New Roman"/>
          <w:color w:val="auto"/>
          <w:kern w:val="0"/>
          <w:sz w:val="24"/>
          <w:szCs w:val="24"/>
          <w:highlight w:val="none"/>
        </w:rPr>
        <w:t>供货</w:t>
      </w:r>
      <w:r>
        <w:rPr>
          <w:rFonts w:ascii="Times New Roman" w:hAnsi="宋体" w:cs="Times New Roman"/>
          <w:color w:val="auto"/>
          <w:kern w:val="0"/>
          <w:sz w:val="24"/>
          <w:szCs w:val="24"/>
          <w:highlight w:val="none"/>
        </w:rPr>
        <w:t>范围外</w:t>
      </w:r>
      <w:r>
        <w:rPr>
          <w:rFonts w:hint="eastAsia" w:ascii="Times New Roman" w:hAnsi="宋体" w:cs="Times New Roman"/>
          <w:color w:val="auto"/>
          <w:kern w:val="0"/>
          <w:sz w:val="24"/>
          <w:szCs w:val="24"/>
          <w:highlight w:val="none"/>
        </w:rPr>
        <w:t>所有</w:t>
      </w:r>
      <w:r>
        <w:rPr>
          <w:rFonts w:ascii="Times New Roman" w:hAnsi="宋体" w:cs="Times New Roman"/>
          <w:color w:val="auto"/>
          <w:kern w:val="0"/>
          <w:sz w:val="24"/>
          <w:szCs w:val="24"/>
          <w:highlight w:val="none"/>
        </w:rPr>
        <w:t>的</w:t>
      </w:r>
      <w:r>
        <w:rPr>
          <w:rFonts w:ascii="Times New Roman" w:hAnsi="Times New Roman" w:cs="Times New Roman"/>
          <w:color w:val="auto"/>
          <w:kern w:val="0"/>
          <w:sz w:val="24"/>
          <w:szCs w:val="24"/>
          <w:highlight w:val="none"/>
        </w:rPr>
        <w:t>18kV</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10kV</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0.4kV</w:t>
      </w:r>
      <w:r>
        <w:rPr>
          <w:rFonts w:ascii="Times New Roman" w:hAnsi="宋体" w:cs="Times New Roman"/>
          <w:color w:val="auto"/>
          <w:kern w:val="0"/>
          <w:sz w:val="24"/>
          <w:szCs w:val="24"/>
          <w:highlight w:val="none"/>
        </w:rPr>
        <w:t>动力电缆、控制、计算机及信号电缆的采购，全厂电缆敷设</w:t>
      </w:r>
      <w:r>
        <w:rPr>
          <w:rFonts w:hint="eastAsia" w:ascii="Times New Roman" w:hAnsi="宋体" w:cs="Times New Roman"/>
          <w:color w:val="auto"/>
          <w:kern w:val="0"/>
          <w:sz w:val="24"/>
          <w:szCs w:val="24"/>
          <w:highlight w:val="none"/>
        </w:rPr>
        <w:t>、连接</w:t>
      </w:r>
      <w:r>
        <w:rPr>
          <w:rFonts w:ascii="Times New Roman" w:hAnsi="宋体" w:cs="Times New Roman"/>
          <w:color w:val="auto"/>
          <w:kern w:val="0"/>
          <w:sz w:val="24"/>
          <w:szCs w:val="24"/>
          <w:highlight w:val="none"/>
        </w:rPr>
        <w:t>工作</w:t>
      </w:r>
      <w:r>
        <w:rPr>
          <w:rFonts w:hint="eastAsia" w:ascii="Times New Roman" w:hAnsi="宋体" w:cs="Times New Roman"/>
          <w:color w:val="auto"/>
          <w:kern w:val="0"/>
          <w:sz w:val="24"/>
          <w:szCs w:val="24"/>
          <w:highlight w:val="none"/>
        </w:rPr>
        <w:t>。</w:t>
      </w:r>
      <w:r>
        <w:rPr>
          <w:rFonts w:hint="eastAsia" w:ascii="Times New Roman" w:hAnsi="Times New Roman"/>
          <w:color w:val="auto"/>
          <w:kern w:val="0"/>
          <w:sz w:val="24"/>
          <w:szCs w:val="20"/>
          <w:highlight w:val="none"/>
        </w:rPr>
        <w:t>高压安装标安装设备之间的电缆由高压安装标负责。</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(4) </w:t>
      </w:r>
      <w:r>
        <w:rPr>
          <w:rFonts w:hint="eastAsia" w:ascii="Times New Roman" w:hAnsi="Times New Roman"/>
          <w:color w:val="auto"/>
          <w:sz w:val="24"/>
          <w:szCs w:val="24"/>
          <w:highlight w:val="none"/>
        </w:rPr>
        <w:t>全厂电缆桥架及电缆套管、埋件的采购及安装，含户外电缆沟内的桥架。</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(5) </w:t>
      </w:r>
      <w:r>
        <w:rPr>
          <w:rFonts w:hint="eastAsia" w:ascii="Times New Roman" w:hAnsi="Times New Roman"/>
          <w:color w:val="auto"/>
          <w:sz w:val="24"/>
          <w:szCs w:val="24"/>
          <w:highlight w:val="none"/>
        </w:rPr>
        <w:t>桥架中防火隔板、电缆防火涂漆等防火材料的采购及安装。</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(6) </w:t>
      </w:r>
      <w:r>
        <w:rPr>
          <w:rFonts w:hint="eastAsia" w:ascii="Times New Roman" w:hAnsi="Times New Roman"/>
          <w:color w:val="auto"/>
          <w:sz w:val="24"/>
          <w:szCs w:val="24"/>
          <w:highlight w:val="none"/>
        </w:rPr>
        <w:t>吊物孔盖板的采购与安装。</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(7) </w:t>
      </w:r>
      <w:r>
        <w:rPr>
          <w:rFonts w:hint="eastAsia" w:ascii="Times New Roman" w:hAnsi="Times New Roman"/>
          <w:color w:val="auto"/>
          <w:sz w:val="24"/>
          <w:szCs w:val="24"/>
          <w:highlight w:val="none"/>
        </w:rPr>
        <w:t>地下副厂房电梯的采购、安装、调试、取证、年检及移交前的日常维护管理。</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(8) </w:t>
      </w:r>
      <w:r>
        <w:rPr>
          <w:rFonts w:hint="eastAsia" w:ascii="Times New Roman" w:hAnsi="Times New Roman"/>
          <w:color w:val="auto"/>
          <w:sz w:val="24"/>
          <w:szCs w:val="24"/>
          <w:highlight w:val="none"/>
        </w:rPr>
        <w:t>除设备供货商供货以外的管路及其支架等附件的采购和安装。</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(9) </w:t>
      </w:r>
      <w:r>
        <w:rPr>
          <w:rFonts w:hint="eastAsia" w:ascii="Times New Roman" w:hAnsi="Times New Roman"/>
          <w:color w:val="auto"/>
          <w:sz w:val="24"/>
          <w:szCs w:val="24"/>
          <w:highlight w:val="none"/>
        </w:rPr>
        <w:t>地下厂房设备起吊用手拉/电动葫芦、轨道及其埋设件的采购和安装</w:t>
      </w:r>
    </w:p>
    <w:p>
      <w:pPr>
        <w:snapToGrid w:val="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各电动葫芦移交前的维护管理。</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(10) </w:t>
      </w:r>
      <w:r>
        <w:rPr>
          <w:rFonts w:hint="eastAsia" w:ascii="Times New Roman" w:hAnsi="Times New Roman"/>
          <w:color w:val="auto"/>
          <w:sz w:val="24"/>
          <w:szCs w:val="24"/>
          <w:highlight w:val="none"/>
        </w:rPr>
        <w:t>地下厂房、</w:t>
      </w:r>
      <w:r>
        <w:rPr>
          <w:rFonts w:ascii="Times New Roman" w:hAnsi="Times New Roman"/>
          <w:color w:val="auto"/>
          <w:sz w:val="24"/>
          <w:szCs w:val="24"/>
          <w:highlight w:val="none"/>
        </w:rPr>
        <w:t>开关站</w:t>
      </w:r>
      <w:r>
        <w:rPr>
          <w:rFonts w:hint="eastAsia" w:ascii="Times New Roman" w:hAnsi="Times New Roman"/>
          <w:color w:val="auto"/>
          <w:sz w:val="24"/>
          <w:szCs w:val="24"/>
          <w:highlight w:val="none"/>
        </w:rPr>
        <w:t>的通风空调设备</w:t>
      </w:r>
      <w:r>
        <w:rPr>
          <w:rFonts w:ascii="Times New Roman" w:hAnsi="Times New Roman"/>
          <w:color w:val="auto"/>
          <w:sz w:val="24"/>
          <w:szCs w:val="24"/>
          <w:highlight w:val="none"/>
        </w:rPr>
        <w:t>（含控制系统）</w:t>
      </w:r>
      <w:r>
        <w:rPr>
          <w:rFonts w:hint="eastAsia" w:ascii="Times New Roman" w:hAnsi="Times New Roman"/>
          <w:color w:val="auto"/>
          <w:sz w:val="24"/>
          <w:szCs w:val="24"/>
          <w:highlight w:val="none"/>
        </w:rPr>
        <w:t>的安装</w:t>
      </w:r>
      <w:r>
        <w:rPr>
          <w:rFonts w:ascii="Times New Roman" w:hAnsi="Times New Roman"/>
          <w:color w:val="auto"/>
          <w:sz w:val="24"/>
          <w:szCs w:val="24"/>
          <w:highlight w:val="none"/>
        </w:rPr>
        <w:t>及移交前的维护</w:t>
      </w:r>
      <w:r>
        <w:rPr>
          <w:rFonts w:hint="eastAsia" w:ascii="Times New Roman" w:hAnsi="Times New Roman"/>
          <w:color w:val="auto"/>
          <w:sz w:val="24"/>
          <w:szCs w:val="24"/>
          <w:highlight w:val="none"/>
        </w:rPr>
        <w:t>。所属范围内通风空调系统设备管路的安装由本标承包人负责；本标承包人负责所属范围内风管、预埋风管、风管</w:t>
      </w:r>
      <w:r>
        <w:rPr>
          <w:rFonts w:ascii="Times New Roman" w:hAnsi="Times New Roman"/>
          <w:color w:val="auto"/>
          <w:sz w:val="24"/>
          <w:szCs w:val="24"/>
          <w:highlight w:val="none"/>
        </w:rPr>
        <w:t>和水管</w:t>
      </w:r>
      <w:r>
        <w:rPr>
          <w:rFonts w:hint="eastAsia" w:ascii="Times New Roman" w:hAnsi="Times New Roman"/>
          <w:color w:val="auto"/>
          <w:sz w:val="24"/>
          <w:szCs w:val="24"/>
          <w:highlight w:val="none"/>
        </w:rPr>
        <w:t>支吊架、耐火软接、水管保温材料、风口、调节阀、消声器的采购及安装。</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(12) </w:t>
      </w:r>
      <w:r>
        <w:rPr>
          <w:rFonts w:hint="eastAsia" w:ascii="Times New Roman" w:hAnsi="Times New Roman"/>
          <w:color w:val="auto"/>
          <w:sz w:val="24"/>
          <w:szCs w:val="24"/>
          <w:highlight w:val="none"/>
        </w:rPr>
        <w:t>安装间的电子显示屏的采购和安装工作。</w:t>
      </w:r>
    </w:p>
    <w:p>
      <w:pPr>
        <w:snapToGrid w:val="0"/>
        <w:spacing w:line="480" w:lineRule="exact"/>
        <w:ind w:firstLine="480" w:firstLineChars="200"/>
        <w:rPr>
          <w:color w:val="auto"/>
          <w:highlight w:val="none"/>
        </w:rPr>
      </w:pPr>
      <w:r>
        <w:rPr>
          <w:rFonts w:ascii="Times New Roman" w:hAnsi="Times New Roman"/>
          <w:color w:val="auto"/>
          <w:sz w:val="24"/>
          <w:szCs w:val="24"/>
          <w:highlight w:val="none"/>
        </w:rPr>
        <w:t xml:space="preserve">(13) </w:t>
      </w:r>
      <w:r>
        <w:rPr>
          <w:rFonts w:hint="eastAsia" w:ascii="Times New Roman" w:hAnsi="Times New Roman"/>
          <w:color w:val="auto"/>
          <w:sz w:val="24"/>
          <w:szCs w:val="24"/>
          <w:highlight w:val="none"/>
        </w:rPr>
        <w:t>地下厂房的生活给排水系统的采购和安装工作；地下厂房的水消防系统中埋管、埋件的安装工作；</w:t>
      </w:r>
    </w:p>
    <w:p>
      <w:pPr>
        <w:pStyle w:val="7"/>
        <w:rPr>
          <w:rFonts w:hint="eastAsia"/>
          <w:color w:val="auto"/>
          <w:highlight w:val="none"/>
        </w:rPr>
      </w:pPr>
      <w:r>
        <w:rPr>
          <w:color w:val="auto"/>
          <w:highlight w:val="none"/>
        </w:rPr>
        <w:t>1.2.1.2  土建工程</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shd w:val="clear" w:color="auto" w:fill="auto"/>
        </w:rPr>
      </w:pPr>
      <w:r>
        <w:rPr>
          <w:rFonts w:hint="eastAsia" w:ascii="Times New Roman" w:hAnsi="Times New Roman"/>
          <w:b/>
          <w:color w:val="auto"/>
          <w:sz w:val="24"/>
          <w:szCs w:val="24"/>
          <w:highlight w:val="none"/>
          <w:shd w:val="clear" w:color="auto" w:fill="auto"/>
        </w:rPr>
        <w:t>地下厂房</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1)</w:t>
      </w:r>
      <w:r>
        <w:rPr>
          <w:rFonts w:hint="eastAsia" w:ascii="Times New Roman" w:hAnsi="Times New Roman"/>
          <w:color w:val="auto"/>
          <w:sz w:val="24"/>
          <w:szCs w:val="24"/>
          <w:highlight w:val="none"/>
        </w:rPr>
        <w:t>主机间一期、二期混凝土、地下副厂房、安装间端部楼梯及排架、空气处理机房、副厂房侧空调设备室混凝土浇筑及其相应埋件安装；</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2)</w:t>
      </w:r>
      <w:r>
        <w:rPr>
          <w:rFonts w:hint="eastAsia" w:ascii="Times New Roman" w:hAnsi="Times New Roman"/>
          <w:color w:val="auto"/>
          <w:sz w:val="24"/>
          <w:szCs w:val="24"/>
          <w:highlight w:val="none"/>
        </w:rPr>
        <w:t>主厂房岩壁吊车梁二期混凝土浇筑；</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3)</w:t>
      </w:r>
      <w:r>
        <w:rPr>
          <w:rFonts w:hint="eastAsia" w:ascii="Times New Roman" w:hAnsi="Times New Roman"/>
          <w:color w:val="auto"/>
          <w:sz w:val="24"/>
          <w:szCs w:val="24"/>
          <w:highlight w:val="none"/>
        </w:rPr>
        <w:t>主副厂房钻孔与灌浆；</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4)</w:t>
      </w:r>
      <w:r>
        <w:rPr>
          <w:rFonts w:hint="eastAsia" w:ascii="Times New Roman" w:hAnsi="Times New Roman"/>
          <w:color w:val="auto"/>
          <w:sz w:val="24"/>
          <w:szCs w:val="24"/>
          <w:highlight w:val="none"/>
        </w:rPr>
        <w:t>主厂房吊顶网架及防水工程；</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5)</w:t>
      </w:r>
      <w:r>
        <w:rPr>
          <w:rFonts w:hint="eastAsia" w:ascii="Times New Roman" w:hAnsi="Times New Roman"/>
          <w:color w:val="auto"/>
          <w:sz w:val="24"/>
          <w:szCs w:val="24"/>
          <w:highlight w:val="none"/>
        </w:rPr>
        <w:t>地下厂房</w:t>
      </w:r>
      <w:r>
        <w:rPr>
          <w:rFonts w:ascii="Times New Roman" w:hAnsi="Times New Roman"/>
          <w:color w:val="auto"/>
          <w:sz w:val="24"/>
          <w:szCs w:val="24"/>
          <w:highlight w:val="none"/>
        </w:rPr>
        <w:t>(</w:t>
      </w:r>
      <w:r>
        <w:rPr>
          <w:rFonts w:hint="eastAsia" w:ascii="Times New Roman" w:hAnsi="Times New Roman"/>
          <w:color w:val="auto"/>
          <w:sz w:val="24"/>
          <w:szCs w:val="24"/>
          <w:highlight w:val="none"/>
        </w:rPr>
        <w:t>主厂房、副厂房</w:t>
      </w:r>
      <w:r>
        <w:rPr>
          <w:rFonts w:ascii="Times New Roman" w:hAnsi="Times New Roman"/>
          <w:color w:val="auto"/>
          <w:sz w:val="24"/>
          <w:szCs w:val="24"/>
          <w:highlight w:val="none"/>
        </w:rPr>
        <w:t>) </w:t>
      </w:r>
      <w:r>
        <w:rPr>
          <w:rFonts w:hint="eastAsia" w:ascii="Times New Roman" w:hAnsi="Times New Roman"/>
          <w:color w:val="auto"/>
          <w:sz w:val="24"/>
          <w:szCs w:val="24"/>
          <w:highlight w:val="none"/>
        </w:rPr>
        <w:t>装修工程；</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6)</w:t>
      </w:r>
      <w:r>
        <w:rPr>
          <w:rFonts w:hint="eastAsia" w:ascii="Times New Roman" w:hAnsi="Times New Roman"/>
          <w:color w:val="auto"/>
          <w:sz w:val="24"/>
          <w:szCs w:val="24"/>
          <w:highlight w:val="none"/>
        </w:rPr>
        <w:t>地下厂房的给排水工程及消防系统的埋管、埋件工程的施工。</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rPr>
      </w:pPr>
      <w:r>
        <w:rPr>
          <w:rFonts w:hint="eastAsia" w:ascii="Times New Roman" w:hAnsi="Times New Roman"/>
          <w:b/>
          <w:color w:val="auto"/>
          <w:sz w:val="24"/>
          <w:szCs w:val="24"/>
          <w:highlight w:val="none"/>
        </w:rPr>
        <w:t>主变洞</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1)主变洞、主变回车场混凝土浇筑及其相应埋件安装；</w:t>
      </w:r>
    </w:p>
    <w:p>
      <w:pPr>
        <w:numPr>
          <w:ilvl w:val="0"/>
          <w:numId w:val="1"/>
        </w:numPr>
        <w:autoSpaceDE w:val="0"/>
        <w:autoSpaceDN w:val="0"/>
        <w:adjustRightInd w:val="0"/>
        <w:snapToGrid w:val="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地下主变洞桁架及防水工程；</w:t>
      </w:r>
    </w:p>
    <w:p>
      <w:pPr>
        <w:numPr>
          <w:ilvl w:val="0"/>
          <w:numId w:val="1"/>
        </w:numPr>
        <w:pBdr>
          <w:bottom w:val="none" w:color="auto" w:sz="0" w:space="0"/>
        </w:pBdr>
        <w:autoSpaceDE w:val="0"/>
        <w:autoSpaceDN w:val="0"/>
        <w:adjustRightInd w:val="0"/>
        <w:snapToGrid w:val="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主变洞装修工程；</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rPr>
      </w:pPr>
      <w:r>
        <w:rPr>
          <w:rFonts w:hint="eastAsia" w:ascii="Times New Roman" w:hAnsi="Times New Roman"/>
          <w:b/>
          <w:color w:val="auto"/>
          <w:sz w:val="24"/>
          <w:szCs w:val="24"/>
          <w:highlight w:val="none"/>
        </w:rPr>
        <w:t>母线洞</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1)母线洞混凝土浇筑及其相应埋件安装；</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2)母线洞装修工程。</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rPr>
      </w:pPr>
      <w:r>
        <w:rPr>
          <w:rFonts w:hint="eastAsia" w:ascii="Times New Roman" w:hAnsi="Times New Roman"/>
          <w:b/>
          <w:color w:val="auto"/>
          <w:sz w:val="24"/>
          <w:szCs w:val="24"/>
          <w:highlight w:val="none"/>
        </w:rPr>
        <w:t>进厂交通洞</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进厂交通洞门楼，进厂交通洞排水雨棚、二期沥青混凝土路面。</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rPr>
      </w:pPr>
      <w:r>
        <w:rPr>
          <w:rFonts w:hint="eastAsia" w:ascii="Times New Roman" w:hAnsi="Times New Roman"/>
          <w:b/>
          <w:color w:val="auto"/>
          <w:sz w:val="24"/>
          <w:szCs w:val="24"/>
          <w:highlight w:val="none"/>
        </w:rPr>
        <w:t>尾闸室</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尾闸室（不含岩壁吊车梁一期混凝土）混凝土及其相应埋件。</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尾闸室装修工程。</w:t>
      </w:r>
    </w:p>
    <w:p>
      <w:pPr>
        <w:autoSpaceDE w:val="0"/>
        <w:autoSpaceDN w:val="0"/>
        <w:adjustRightInd w:val="0"/>
        <w:snapToGrid w:val="0"/>
        <w:spacing w:line="480" w:lineRule="exact"/>
        <w:ind w:firstLine="0" w:firstLineChars="0"/>
        <w:rPr>
          <w:rFonts w:ascii="Times New Roman" w:hAnsi="Times New Roman"/>
          <w:b/>
          <w:color w:val="auto"/>
          <w:sz w:val="24"/>
          <w:szCs w:val="24"/>
          <w:highlight w:val="none"/>
        </w:rPr>
      </w:pPr>
      <w:r>
        <w:rPr>
          <w:rFonts w:hint="eastAsia" w:ascii="Times New Roman" w:hAnsi="Times New Roman"/>
          <w:b/>
          <w:color w:val="auto"/>
          <w:sz w:val="24"/>
          <w:szCs w:val="24"/>
          <w:highlight w:val="none"/>
        </w:rPr>
        <w:t>尾水支洞</w:t>
      </w:r>
    </w:p>
    <w:p>
      <w:pPr>
        <w:autoSpaceDE w:val="0"/>
        <w:autoSpaceDN w:val="0"/>
        <w:adjustRightInd w:val="0"/>
        <w:snapToGrid w:val="0"/>
        <w:spacing w:line="480" w:lineRule="exact"/>
        <w:ind w:firstLine="480" w:firstLineChars="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本标段范围内的尾水支洞回填混凝土、回填灌浆、接触灌浆、固结灌浆等。</w:t>
      </w:r>
    </w:p>
    <w:p>
      <w:pPr>
        <w:autoSpaceDE w:val="0"/>
        <w:autoSpaceDN w:val="0"/>
        <w:adjustRightInd w:val="0"/>
        <w:snapToGrid w:val="0"/>
        <w:spacing w:line="480" w:lineRule="exact"/>
        <w:ind w:firstLine="0" w:firstLineChars="0"/>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电缆出线洞</w:t>
      </w:r>
    </w:p>
    <w:p>
      <w:pPr>
        <w:autoSpaceDE w:val="0"/>
        <w:autoSpaceDN w:val="0"/>
        <w:adjustRightInd w:val="0"/>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电缆出线洞</w:t>
      </w:r>
      <w:r>
        <w:rPr>
          <w:rFonts w:hint="eastAsia" w:ascii="Times New Roman" w:hAnsi="Times New Roman"/>
          <w:color w:val="auto"/>
          <w:sz w:val="24"/>
          <w:szCs w:val="24"/>
          <w:highlight w:val="none"/>
          <w:lang w:val="en-US" w:eastAsia="zh-CN"/>
        </w:rPr>
        <w:t>装饰工程</w:t>
      </w:r>
      <w:r>
        <w:rPr>
          <w:rFonts w:ascii="Times New Roman" w:hAnsi="Times New Roman"/>
          <w:color w:val="auto"/>
          <w:sz w:val="24"/>
          <w:szCs w:val="24"/>
          <w:highlight w:val="none"/>
        </w:rPr>
        <w:t>。</w:t>
      </w:r>
    </w:p>
    <w:p>
      <w:pPr>
        <w:pStyle w:val="7"/>
        <w:widowControl/>
        <w:rPr>
          <w:rFonts w:hint="eastAsia"/>
          <w:color w:val="auto"/>
          <w:highlight w:val="none"/>
        </w:rPr>
      </w:pPr>
      <w:r>
        <w:rPr>
          <w:color w:val="auto"/>
          <w:highlight w:val="none"/>
        </w:rPr>
        <w:t xml:space="preserve">1.2.1.3  </w:t>
      </w:r>
      <w:r>
        <w:rPr>
          <w:rFonts w:hint="eastAsia" w:ascii="宋体" w:cs="宋体"/>
          <w:color w:val="auto"/>
          <w:highlight w:val="none"/>
        </w:rPr>
        <w:t>钢结构的制作和安装</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宋体" w:hAnsi="宋体" w:cs="宋体"/>
          <w:color w:val="auto"/>
          <w:sz w:val="24"/>
          <w:szCs w:val="24"/>
          <w:highlight w:val="none"/>
          <w:lang w:bidi="ar"/>
        </w:rPr>
        <w:t>钢梯、钢栏杆、钢盖板、安全栏网、永久检修吊点及零星金属件以及上述项目的埋件等钢结构的采购、制作与安装。</w:t>
      </w:r>
    </w:p>
    <w:p>
      <w:pPr>
        <w:pStyle w:val="7"/>
        <w:widowControl/>
        <w:rPr>
          <w:rFonts w:hint="eastAsia"/>
          <w:color w:val="auto"/>
          <w:highlight w:val="none"/>
        </w:rPr>
      </w:pPr>
      <w:r>
        <w:rPr>
          <w:color w:val="auto"/>
          <w:highlight w:val="none"/>
        </w:rPr>
        <w:t xml:space="preserve">1.2.1.4  </w:t>
      </w:r>
      <w:r>
        <w:rPr>
          <w:rFonts w:hint="eastAsia" w:ascii="宋体" w:cs="宋体"/>
          <w:color w:val="auto"/>
          <w:highlight w:val="none"/>
        </w:rPr>
        <w:t>尾支钢管安装</w:t>
      </w:r>
    </w:p>
    <w:p>
      <w:pPr>
        <w:spacing w:line="360" w:lineRule="auto"/>
        <w:rPr>
          <w:color w:val="auto"/>
          <w:highlight w:val="none"/>
        </w:rPr>
      </w:pPr>
      <w:r>
        <w:rPr>
          <w:rFonts w:ascii="宋体" w:hAnsi="宋体" w:cs="宋体"/>
          <w:color w:val="auto"/>
          <w:sz w:val="24"/>
          <w:szCs w:val="24"/>
          <w:highlight w:val="none"/>
          <w:lang w:bidi="ar"/>
        </w:rPr>
        <w:t xml:space="preserve">   </w:t>
      </w:r>
      <w:r>
        <w:rPr>
          <w:rFonts w:hint="eastAsia" w:ascii="宋体" w:hAnsi="宋体" w:cs="宋体"/>
          <w:color w:val="auto"/>
          <w:sz w:val="24"/>
          <w:szCs w:val="24"/>
          <w:highlight w:val="none"/>
          <w:lang w:bidi="ar"/>
        </w:rPr>
        <w:t xml:space="preserve"> </w:t>
      </w:r>
      <w:r>
        <w:rPr>
          <w:rFonts w:hint="eastAsia" w:ascii="宋体" w:hAnsi="宋体" w:cs="宋体"/>
          <w:color w:val="auto"/>
          <w:kern w:val="0"/>
          <w:sz w:val="24"/>
          <w:szCs w:val="24"/>
          <w:highlight w:val="none"/>
          <w:lang w:bidi="ar"/>
        </w:rPr>
        <w:t>尾水管扩散段出口到尾闸室下游侧钢管方变圆渐变段末端之间的尾水钢支管安装以及相应的混凝土回填、浇筑以及灌浆。</w:t>
      </w:r>
    </w:p>
    <w:p>
      <w:pPr>
        <w:pStyle w:val="7"/>
        <w:widowControl/>
        <w:rPr>
          <w:rFonts w:hint="eastAsia" w:ascii="宋体" w:cs="宋体"/>
          <w:color w:val="auto"/>
          <w:highlight w:val="none"/>
        </w:rPr>
      </w:pPr>
      <w:r>
        <w:rPr>
          <w:rFonts w:hint="eastAsia" w:ascii="宋体" w:cs="宋体"/>
          <w:color w:val="auto"/>
          <w:highlight w:val="none"/>
        </w:rPr>
        <w:t>1.2.1.5  其它</w:t>
      </w:r>
    </w:p>
    <w:p>
      <w:pPr>
        <w:spacing w:line="360" w:lineRule="auto"/>
        <w:ind w:firstLine="480" w:firstLineChars="200"/>
        <w:rPr>
          <w:color w:val="auto"/>
          <w:sz w:val="24"/>
          <w:szCs w:val="24"/>
          <w:highlight w:val="none"/>
        </w:rPr>
      </w:pPr>
      <w:r>
        <w:rPr>
          <w:rFonts w:hint="eastAsia"/>
          <w:color w:val="auto"/>
          <w:sz w:val="24"/>
          <w:szCs w:val="24"/>
          <w:highlight w:val="none"/>
        </w:rPr>
        <w:t>(1) 最后一台机组投入商业运行前的桥式起重机操作、使用、维护(包含桥机移交前的维护、刷漆)，按照特种设备法的要求，以承包人的名义申领特种设备使用许可证，履行使用单位的管理职责，至特种设备使用登记证变更完成后移交发包人前的所有工作；其中起重设备安装验收取得特种设备相应证书后首年月度及年度保养由设备厂家负责。</w:t>
      </w:r>
    </w:p>
    <w:p>
      <w:pPr>
        <w:spacing w:line="360" w:lineRule="auto"/>
        <w:ind w:firstLine="480" w:firstLineChars="200"/>
        <w:rPr>
          <w:color w:val="auto"/>
          <w:sz w:val="24"/>
          <w:szCs w:val="24"/>
          <w:highlight w:val="none"/>
        </w:rPr>
      </w:pPr>
      <w:r>
        <w:rPr>
          <w:rFonts w:hint="eastAsia"/>
          <w:color w:val="auto"/>
          <w:sz w:val="24"/>
          <w:szCs w:val="24"/>
          <w:highlight w:val="none"/>
        </w:rPr>
        <w:t>(2) 本标范围内通风空调系统（含控制系统）移交前的日常维护管理。</w:t>
      </w:r>
    </w:p>
    <w:p>
      <w:pPr>
        <w:spacing w:line="360" w:lineRule="auto"/>
        <w:ind w:firstLine="480" w:firstLineChars="200"/>
        <w:rPr>
          <w:color w:val="auto"/>
          <w:sz w:val="24"/>
          <w:szCs w:val="24"/>
          <w:highlight w:val="none"/>
        </w:rPr>
      </w:pPr>
      <w:r>
        <w:rPr>
          <w:rFonts w:hint="eastAsia"/>
          <w:color w:val="auto"/>
          <w:sz w:val="24"/>
          <w:szCs w:val="24"/>
          <w:highlight w:val="none"/>
        </w:rPr>
        <w:t>(3) 本标范围内电梯投用前的注册取证、年检及移交前的日常维护管理。</w:t>
      </w:r>
    </w:p>
    <w:p>
      <w:pPr>
        <w:spacing w:line="360" w:lineRule="auto"/>
        <w:ind w:firstLine="480" w:firstLineChars="200"/>
        <w:rPr>
          <w:color w:val="auto"/>
          <w:sz w:val="24"/>
          <w:szCs w:val="24"/>
          <w:highlight w:val="none"/>
        </w:rPr>
      </w:pPr>
      <w:r>
        <w:rPr>
          <w:rFonts w:hint="eastAsia"/>
          <w:color w:val="auto"/>
          <w:sz w:val="24"/>
          <w:szCs w:val="24"/>
          <w:highlight w:val="none"/>
        </w:rPr>
        <w:t>(4) 最后一台机组投入商业运行前的永久照明系统使用管理、维护。</w:t>
      </w:r>
    </w:p>
    <w:p>
      <w:pPr>
        <w:spacing w:line="360" w:lineRule="auto"/>
        <w:ind w:firstLine="480" w:firstLineChars="200"/>
        <w:rPr>
          <w:color w:val="auto"/>
          <w:sz w:val="24"/>
          <w:szCs w:val="24"/>
          <w:highlight w:val="none"/>
        </w:rPr>
      </w:pPr>
      <w:r>
        <w:rPr>
          <w:rFonts w:hint="eastAsia"/>
          <w:color w:val="auto"/>
          <w:sz w:val="24"/>
          <w:szCs w:val="24"/>
          <w:highlight w:val="none"/>
        </w:rPr>
        <w:t>(5) 电站所有需要质量技术监督检验部门或行业管理部门检验的装置、设备、表计和传感器等送指定部门检验。</w:t>
      </w:r>
    </w:p>
    <w:p>
      <w:pPr>
        <w:spacing w:line="360" w:lineRule="auto"/>
        <w:ind w:firstLine="480" w:firstLineChars="200"/>
        <w:rPr>
          <w:color w:val="auto"/>
          <w:sz w:val="24"/>
          <w:szCs w:val="24"/>
          <w:highlight w:val="none"/>
        </w:rPr>
      </w:pPr>
      <w:r>
        <w:rPr>
          <w:rFonts w:hint="eastAsia"/>
          <w:color w:val="auto"/>
          <w:sz w:val="24"/>
          <w:szCs w:val="24"/>
          <w:highlight w:val="none"/>
        </w:rPr>
        <w:t>(6) 预埋件、明敷接地、电缆桥架及电缆敷设、小管路布置等二次工艺设计及实施(设计方案需报监理业主审批)，具体细节参考附件《建管公司机电安装细部工艺要求》。</w:t>
      </w:r>
    </w:p>
    <w:p>
      <w:pPr>
        <w:spacing w:line="360" w:lineRule="auto"/>
        <w:ind w:firstLine="480" w:firstLineChars="200"/>
        <w:rPr>
          <w:color w:val="auto"/>
          <w:sz w:val="24"/>
          <w:szCs w:val="24"/>
          <w:highlight w:val="none"/>
        </w:rPr>
      </w:pPr>
      <w:r>
        <w:rPr>
          <w:rFonts w:hint="eastAsia"/>
          <w:color w:val="auto"/>
          <w:sz w:val="24"/>
          <w:szCs w:val="24"/>
          <w:highlight w:val="none"/>
        </w:rPr>
        <w:t>(7) 全厂设备、管路、桥架、封闭母线等设备涂料的供货(部分厂家供货的除外)及涂漆。</w:t>
      </w:r>
    </w:p>
    <w:p>
      <w:pPr>
        <w:spacing w:line="360" w:lineRule="auto"/>
        <w:ind w:firstLine="480" w:firstLineChars="200"/>
        <w:rPr>
          <w:color w:val="auto"/>
          <w:sz w:val="24"/>
          <w:szCs w:val="24"/>
          <w:highlight w:val="none"/>
        </w:rPr>
      </w:pPr>
      <w:r>
        <w:rPr>
          <w:rFonts w:hint="eastAsia"/>
          <w:color w:val="auto"/>
          <w:sz w:val="24"/>
          <w:szCs w:val="24"/>
          <w:highlight w:val="none"/>
        </w:rPr>
        <w:t>(8) 临时标示牌的供货及安装，应符合南网要求。</w:t>
      </w:r>
    </w:p>
    <w:p>
      <w:pPr>
        <w:spacing w:line="360" w:lineRule="auto"/>
        <w:ind w:firstLine="480" w:firstLineChars="200"/>
        <w:rPr>
          <w:color w:val="auto"/>
          <w:sz w:val="24"/>
          <w:szCs w:val="24"/>
          <w:highlight w:val="none"/>
        </w:rPr>
      </w:pPr>
      <w:r>
        <w:rPr>
          <w:rFonts w:hint="eastAsia"/>
          <w:color w:val="auto"/>
          <w:sz w:val="24"/>
          <w:szCs w:val="24"/>
          <w:highlight w:val="none"/>
        </w:rPr>
        <w:t>(9) 负责现场安装试验、分部调试；配合系统倒送电、机组启动及试运行、各种相关的性能验收试验和电网要求的试验；上述试验期间或后续的检查消缺维护。</w:t>
      </w:r>
    </w:p>
    <w:p>
      <w:pPr>
        <w:spacing w:line="360" w:lineRule="auto"/>
        <w:ind w:firstLine="480" w:firstLineChars="200"/>
        <w:rPr>
          <w:color w:val="auto"/>
          <w:sz w:val="24"/>
          <w:szCs w:val="24"/>
          <w:highlight w:val="none"/>
        </w:rPr>
      </w:pPr>
      <w:r>
        <w:rPr>
          <w:rFonts w:hint="eastAsia"/>
          <w:color w:val="auto"/>
          <w:sz w:val="24"/>
          <w:szCs w:val="24"/>
          <w:highlight w:val="none"/>
        </w:rPr>
        <w:t>(10) 机电设备仓储管理、治安防范工程。</w:t>
      </w:r>
    </w:p>
    <w:p>
      <w:pPr>
        <w:spacing w:line="360" w:lineRule="auto"/>
        <w:ind w:firstLine="480" w:firstLineChars="200"/>
        <w:rPr>
          <w:color w:val="auto"/>
          <w:sz w:val="24"/>
          <w:szCs w:val="24"/>
          <w:highlight w:val="none"/>
        </w:rPr>
      </w:pPr>
      <w:r>
        <w:rPr>
          <w:rFonts w:hint="eastAsia"/>
          <w:color w:val="auto"/>
          <w:sz w:val="24"/>
          <w:szCs w:val="24"/>
          <w:highlight w:val="none"/>
        </w:rPr>
        <w:t>(11) 安装和投运后设备的保护材料设施，包括设备的防护布、抽湿与防尘设备等。承包人应在投标文件中提供机电设备成品保护方案，包括但不限于以下内容：</w:t>
      </w:r>
    </w:p>
    <w:p>
      <w:pPr>
        <w:spacing w:line="360" w:lineRule="auto"/>
        <w:ind w:firstLine="480" w:firstLineChars="200"/>
        <w:rPr>
          <w:color w:val="auto"/>
          <w:sz w:val="24"/>
          <w:szCs w:val="24"/>
          <w:highlight w:val="none"/>
        </w:rPr>
      </w:pPr>
      <w:r>
        <w:rPr>
          <w:rFonts w:hint="eastAsia"/>
          <w:color w:val="auto"/>
          <w:sz w:val="24"/>
          <w:szCs w:val="24"/>
          <w:highlight w:val="none"/>
        </w:rPr>
        <w:t>1)设备货到仓库，卸货过程的保护方案(重点防止设备碰撞、摔坏、磕碰、踩踏、防锈、防潮等)；</w:t>
      </w:r>
    </w:p>
    <w:p>
      <w:pPr>
        <w:spacing w:line="360" w:lineRule="auto"/>
        <w:ind w:firstLine="480" w:firstLineChars="200"/>
        <w:rPr>
          <w:color w:val="auto"/>
          <w:sz w:val="24"/>
          <w:szCs w:val="24"/>
          <w:highlight w:val="none"/>
        </w:rPr>
      </w:pPr>
      <w:r>
        <w:rPr>
          <w:rFonts w:hint="eastAsia"/>
          <w:color w:val="auto"/>
          <w:sz w:val="24"/>
          <w:szCs w:val="24"/>
          <w:highlight w:val="none"/>
        </w:rPr>
        <w:t>2)设备二次转运过程的保护方案(重点防止设备碰撞、摔坏、磕碰、踩踏等)；</w:t>
      </w:r>
    </w:p>
    <w:p>
      <w:pPr>
        <w:spacing w:line="360" w:lineRule="auto"/>
        <w:ind w:firstLine="480" w:firstLineChars="200"/>
        <w:rPr>
          <w:color w:val="auto"/>
          <w:sz w:val="24"/>
          <w:szCs w:val="24"/>
          <w:highlight w:val="none"/>
        </w:rPr>
      </w:pPr>
      <w:r>
        <w:rPr>
          <w:rFonts w:hint="eastAsia"/>
          <w:color w:val="auto"/>
          <w:sz w:val="24"/>
          <w:szCs w:val="24"/>
          <w:highlight w:val="none"/>
        </w:rPr>
        <w:t>3)设备安装过程的保护方案(重点防止设备碰撞、磕碰、踩踏、防锈、防潮等)；</w:t>
      </w:r>
    </w:p>
    <w:p>
      <w:pPr>
        <w:spacing w:line="360" w:lineRule="auto"/>
        <w:ind w:firstLine="480" w:firstLineChars="200"/>
        <w:rPr>
          <w:color w:val="auto"/>
          <w:sz w:val="24"/>
          <w:szCs w:val="24"/>
          <w:highlight w:val="none"/>
        </w:rPr>
      </w:pPr>
      <w:r>
        <w:rPr>
          <w:rFonts w:hint="eastAsia"/>
          <w:color w:val="auto"/>
          <w:sz w:val="24"/>
          <w:szCs w:val="24"/>
          <w:highlight w:val="none"/>
        </w:rPr>
        <w:t>4)设备安装后到机组投产前的保护方案(做好设备安装后的防护、防锈、防潮等)，应特别包含永久通风空调系统形成前的厂房、设备防潮与防锈方案，如承包人应在大轴表面等设备易生锈部位涂抹防锈油脂防护，但不可对大轴刷漆。</w:t>
      </w:r>
    </w:p>
    <w:p>
      <w:pPr>
        <w:spacing w:line="360" w:lineRule="auto"/>
        <w:ind w:firstLine="480" w:firstLineChars="200"/>
        <w:rPr>
          <w:color w:val="auto"/>
          <w:sz w:val="24"/>
          <w:szCs w:val="24"/>
          <w:highlight w:val="none"/>
        </w:rPr>
      </w:pPr>
      <w:r>
        <w:rPr>
          <w:rFonts w:hint="eastAsia"/>
          <w:color w:val="auto"/>
          <w:sz w:val="24"/>
          <w:szCs w:val="24"/>
          <w:highlight w:val="none"/>
        </w:rPr>
        <w:t>(12) 施工期安全监测。</w:t>
      </w:r>
    </w:p>
    <w:p>
      <w:pPr>
        <w:spacing w:line="360" w:lineRule="auto"/>
        <w:ind w:firstLine="480" w:firstLineChars="200"/>
        <w:rPr>
          <w:rFonts w:hint="eastAsia"/>
          <w:color w:val="auto"/>
          <w:sz w:val="24"/>
          <w:szCs w:val="24"/>
          <w:highlight w:val="none"/>
        </w:rPr>
      </w:pPr>
      <w:r>
        <w:rPr>
          <w:rFonts w:hint="eastAsia"/>
          <w:color w:val="auto"/>
          <w:sz w:val="24"/>
          <w:szCs w:val="24"/>
          <w:highlight w:val="none"/>
        </w:rPr>
        <w:t>(13) 施工期施工工作面的排水清理，施工期工作面的清洁及最后一台机组商运前的本标段范围内已投运区域的保洁，最后一台机商业运行前厂房排水。</w:t>
      </w:r>
    </w:p>
    <w:p>
      <w:pPr>
        <w:spacing w:line="360" w:lineRule="auto"/>
        <w:ind w:firstLine="480" w:firstLineChars="200"/>
        <w:rPr>
          <w:rFonts w:hint="eastAsia"/>
          <w:color w:val="auto"/>
          <w:sz w:val="24"/>
          <w:szCs w:val="24"/>
          <w:highlight w:val="none"/>
        </w:rPr>
      </w:pPr>
      <w:r>
        <w:rPr>
          <w:rFonts w:hint="eastAsia"/>
          <w:color w:val="auto"/>
          <w:sz w:val="24"/>
          <w:szCs w:val="24"/>
          <w:highlight w:val="none"/>
        </w:rPr>
        <w:t>(14) 本合同约定应由承包人负责的其他工作，以及配合工作。</w:t>
      </w:r>
    </w:p>
    <w:p>
      <w:pPr>
        <w:pStyle w:val="102"/>
        <w:rPr>
          <w:color w:val="auto"/>
          <w:highlight w:val="none"/>
        </w:rPr>
      </w:pPr>
      <w:bookmarkStart w:id="45" w:name="_Toc32188"/>
      <w:r>
        <w:rPr>
          <w:color w:val="auto"/>
          <w:highlight w:val="none"/>
        </w:rPr>
        <w:t xml:space="preserve">1.2.2  </w:t>
      </w:r>
      <w:r>
        <w:rPr>
          <w:rFonts w:hint="eastAsia"/>
          <w:color w:val="auto"/>
          <w:highlight w:val="none"/>
        </w:rPr>
        <w:t>施工辅助设施项目及其工作内容</w:t>
      </w:r>
      <w:bookmarkEnd w:id="45"/>
    </w:p>
    <w:p>
      <w:pPr>
        <w:spacing w:line="360" w:lineRule="auto"/>
        <w:ind w:firstLine="480" w:firstLineChars="200"/>
        <w:rPr>
          <w:color w:val="auto"/>
          <w:highlight w:val="none"/>
        </w:rPr>
      </w:pPr>
      <w:bookmarkStart w:id="46" w:name="_Toc31762"/>
      <w:r>
        <w:rPr>
          <w:rFonts w:ascii="宋体" w:hAnsi="宋体" w:cs="宋体"/>
          <w:color w:val="auto"/>
          <w:sz w:val="24"/>
          <w:highlight w:val="none"/>
        </w:rPr>
        <w:t>(1) 现场施工测量</w:t>
      </w:r>
    </w:p>
    <w:p>
      <w:pPr>
        <w:spacing w:line="360" w:lineRule="auto"/>
        <w:ind w:firstLine="480" w:firstLineChars="200"/>
        <w:rPr>
          <w:color w:val="auto"/>
          <w:highlight w:val="none"/>
        </w:rPr>
      </w:pPr>
      <w:r>
        <w:rPr>
          <w:rFonts w:ascii="宋体" w:hAnsi="宋体" w:cs="宋体"/>
          <w:color w:val="auto"/>
          <w:sz w:val="24"/>
          <w:highlight w:val="none"/>
        </w:rPr>
        <w:t>(2) 现场试验</w:t>
      </w:r>
    </w:p>
    <w:p>
      <w:pPr>
        <w:spacing w:line="360" w:lineRule="auto"/>
        <w:ind w:firstLine="480" w:firstLineChars="200"/>
        <w:rPr>
          <w:color w:val="auto"/>
          <w:highlight w:val="none"/>
        </w:rPr>
      </w:pPr>
      <w:r>
        <w:rPr>
          <w:rFonts w:ascii="宋体" w:hAnsi="宋体" w:cs="宋体"/>
          <w:color w:val="auto"/>
          <w:sz w:val="24"/>
          <w:highlight w:val="none"/>
        </w:rPr>
        <w:t>(3) 施工交通</w:t>
      </w:r>
    </w:p>
    <w:p>
      <w:pPr>
        <w:spacing w:line="360" w:lineRule="auto"/>
        <w:ind w:firstLine="480" w:firstLineChars="200"/>
        <w:rPr>
          <w:color w:val="auto"/>
          <w:highlight w:val="none"/>
        </w:rPr>
      </w:pPr>
      <w:r>
        <w:rPr>
          <w:rFonts w:ascii="宋体" w:hAnsi="宋体" w:cs="宋体"/>
          <w:color w:val="auto"/>
          <w:sz w:val="24"/>
          <w:highlight w:val="none"/>
        </w:rPr>
        <w:t>(4) 施工供电</w:t>
      </w:r>
    </w:p>
    <w:p>
      <w:pPr>
        <w:spacing w:line="360" w:lineRule="auto"/>
        <w:ind w:firstLine="480" w:firstLineChars="200"/>
        <w:rPr>
          <w:color w:val="auto"/>
          <w:highlight w:val="none"/>
        </w:rPr>
      </w:pPr>
      <w:r>
        <w:rPr>
          <w:rFonts w:ascii="宋体" w:hAnsi="宋体" w:cs="宋体"/>
          <w:color w:val="auto"/>
          <w:sz w:val="24"/>
          <w:highlight w:val="none"/>
        </w:rPr>
        <w:t>(5) 施工供水</w:t>
      </w:r>
    </w:p>
    <w:p>
      <w:pPr>
        <w:spacing w:line="360" w:lineRule="auto"/>
        <w:ind w:firstLine="480" w:firstLineChars="200"/>
        <w:rPr>
          <w:color w:val="auto"/>
          <w:highlight w:val="none"/>
        </w:rPr>
      </w:pPr>
      <w:r>
        <w:rPr>
          <w:rFonts w:ascii="宋体" w:hAnsi="宋体" w:cs="宋体"/>
          <w:color w:val="auto"/>
          <w:sz w:val="24"/>
          <w:highlight w:val="none"/>
        </w:rPr>
        <w:t>(6) 施工供风</w:t>
      </w:r>
    </w:p>
    <w:p>
      <w:pPr>
        <w:spacing w:line="360" w:lineRule="auto"/>
        <w:ind w:firstLine="480" w:firstLineChars="200"/>
        <w:rPr>
          <w:color w:val="auto"/>
          <w:highlight w:val="none"/>
        </w:rPr>
      </w:pPr>
      <w:r>
        <w:rPr>
          <w:rFonts w:ascii="宋体" w:hAnsi="宋体" w:cs="宋体"/>
          <w:color w:val="auto"/>
          <w:sz w:val="24"/>
          <w:highlight w:val="none"/>
        </w:rPr>
        <w:t>(7) 施工照明</w:t>
      </w:r>
    </w:p>
    <w:p>
      <w:pPr>
        <w:spacing w:line="360" w:lineRule="auto"/>
        <w:ind w:firstLine="480" w:firstLineChars="200"/>
        <w:rPr>
          <w:color w:val="auto"/>
          <w:highlight w:val="none"/>
        </w:rPr>
      </w:pPr>
      <w:r>
        <w:rPr>
          <w:rFonts w:ascii="宋体" w:hAnsi="宋体" w:cs="宋体"/>
          <w:color w:val="auto"/>
          <w:sz w:val="24"/>
          <w:highlight w:val="none"/>
        </w:rPr>
        <w:t>(8) 施工通信和邮政服务</w:t>
      </w:r>
    </w:p>
    <w:p>
      <w:pPr>
        <w:spacing w:line="360" w:lineRule="auto"/>
        <w:ind w:firstLine="480" w:firstLineChars="200"/>
        <w:rPr>
          <w:color w:val="auto"/>
          <w:highlight w:val="none"/>
        </w:rPr>
      </w:pPr>
      <w:r>
        <w:rPr>
          <w:rFonts w:ascii="宋体" w:hAnsi="宋体" w:cs="宋体"/>
          <w:color w:val="auto"/>
          <w:sz w:val="24"/>
          <w:highlight w:val="none"/>
        </w:rPr>
        <w:t>(9) 地下工程施工通风</w:t>
      </w:r>
    </w:p>
    <w:p>
      <w:pPr>
        <w:spacing w:line="360" w:lineRule="auto"/>
        <w:ind w:firstLine="480" w:firstLineChars="200"/>
        <w:rPr>
          <w:color w:val="auto"/>
          <w:highlight w:val="none"/>
        </w:rPr>
      </w:pPr>
      <w:r>
        <w:rPr>
          <w:rFonts w:ascii="宋体" w:hAnsi="宋体" w:cs="宋体"/>
          <w:color w:val="auto"/>
          <w:sz w:val="24"/>
          <w:highlight w:val="none"/>
        </w:rPr>
        <w:t>(10) 混凝土生产系统</w:t>
      </w:r>
    </w:p>
    <w:p>
      <w:pPr>
        <w:spacing w:line="360" w:lineRule="auto"/>
        <w:ind w:firstLine="480" w:firstLineChars="200"/>
        <w:rPr>
          <w:color w:val="auto"/>
          <w:highlight w:val="none"/>
        </w:rPr>
      </w:pPr>
      <w:r>
        <w:rPr>
          <w:rFonts w:ascii="宋体" w:hAnsi="宋体" w:cs="宋体"/>
          <w:color w:val="auto"/>
          <w:sz w:val="24"/>
          <w:highlight w:val="none"/>
        </w:rPr>
        <w:t>(11) 综合加工及机械修配厂</w:t>
      </w:r>
    </w:p>
    <w:p>
      <w:pPr>
        <w:spacing w:line="360" w:lineRule="auto"/>
        <w:ind w:firstLine="480" w:firstLineChars="200"/>
        <w:rPr>
          <w:color w:val="auto"/>
          <w:highlight w:val="none"/>
        </w:rPr>
      </w:pPr>
      <w:r>
        <w:rPr>
          <w:rFonts w:ascii="宋体" w:hAnsi="宋体" w:cs="宋体"/>
          <w:color w:val="auto"/>
          <w:sz w:val="24"/>
          <w:highlight w:val="none"/>
        </w:rPr>
        <w:t>(12) 仓库和堆、存料场，含临时仓库系统</w:t>
      </w:r>
    </w:p>
    <w:p>
      <w:pPr>
        <w:spacing w:line="360" w:lineRule="auto"/>
        <w:ind w:firstLine="480" w:firstLineChars="200"/>
        <w:rPr>
          <w:color w:val="auto"/>
          <w:highlight w:val="none"/>
        </w:rPr>
      </w:pPr>
      <w:r>
        <w:rPr>
          <w:rFonts w:ascii="宋体" w:hAnsi="宋体" w:cs="宋体"/>
          <w:color w:val="auto"/>
          <w:sz w:val="24"/>
          <w:highlight w:val="none"/>
        </w:rPr>
        <w:t>(13) 施工临时生产管理和生活设施</w:t>
      </w:r>
    </w:p>
    <w:p>
      <w:pPr>
        <w:spacing w:line="360" w:lineRule="auto"/>
        <w:ind w:firstLine="480" w:firstLineChars="200"/>
        <w:rPr>
          <w:color w:val="auto"/>
          <w:highlight w:val="none"/>
        </w:rPr>
      </w:pPr>
      <w:r>
        <w:rPr>
          <w:rFonts w:ascii="宋体" w:hAnsi="宋体" w:cs="宋体"/>
          <w:color w:val="auto"/>
          <w:sz w:val="24"/>
          <w:highlight w:val="none"/>
        </w:rPr>
        <w:t>(14) 施工期环境保护和水土保持设施</w:t>
      </w:r>
    </w:p>
    <w:p>
      <w:pPr>
        <w:spacing w:line="360" w:lineRule="auto"/>
        <w:ind w:firstLine="480" w:firstLineChars="200"/>
        <w:rPr>
          <w:color w:val="auto"/>
          <w:highlight w:val="none"/>
        </w:rPr>
      </w:pPr>
      <w:r>
        <w:rPr>
          <w:rFonts w:ascii="宋体" w:hAnsi="宋体" w:cs="宋体"/>
          <w:color w:val="auto"/>
          <w:sz w:val="24"/>
          <w:highlight w:val="none"/>
        </w:rPr>
        <w:t>(15) 施工导流及水流控制</w:t>
      </w:r>
    </w:p>
    <w:p>
      <w:pPr>
        <w:spacing w:line="360" w:lineRule="auto"/>
        <w:ind w:firstLine="480" w:firstLineChars="200"/>
        <w:rPr>
          <w:color w:val="auto"/>
          <w:highlight w:val="none"/>
        </w:rPr>
      </w:pPr>
      <w:r>
        <w:rPr>
          <w:rFonts w:ascii="宋体" w:hAnsi="宋体" w:cs="宋体"/>
          <w:color w:val="auto"/>
          <w:sz w:val="24"/>
          <w:highlight w:val="none"/>
        </w:rPr>
        <w:t>1) 施工期抽排水</w:t>
      </w:r>
    </w:p>
    <w:p>
      <w:pPr>
        <w:spacing w:line="360" w:lineRule="auto"/>
        <w:ind w:firstLine="480" w:firstLineChars="200"/>
        <w:rPr>
          <w:color w:val="auto"/>
          <w:highlight w:val="none"/>
        </w:rPr>
      </w:pPr>
      <w:r>
        <w:rPr>
          <w:rFonts w:ascii="宋体" w:hAnsi="宋体" w:cs="宋体"/>
          <w:color w:val="auto"/>
          <w:sz w:val="24"/>
          <w:highlight w:val="none"/>
        </w:rPr>
        <w:t>2) 施工期防洪度汛</w:t>
      </w:r>
    </w:p>
    <w:p>
      <w:pPr>
        <w:spacing w:line="360" w:lineRule="auto"/>
        <w:ind w:firstLine="480" w:firstLineChars="200"/>
        <w:rPr>
          <w:color w:val="auto"/>
          <w:highlight w:val="none"/>
        </w:rPr>
      </w:pPr>
      <w:r>
        <w:rPr>
          <w:rFonts w:ascii="宋体" w:hAnsi="宋体" w:cs="宋体"/>
          <w:color w:val="auto"/>
          <w:sz w:val="24"/>
          <w:highlight w:val="none"/>
        </w:rPr>
        <w:t>3) 其他施工导流及水流控制</w:t>
      </w:r>
    </w:p>
    <w:p>
      <w:pPr>
        <w:adjustRightInd w:val="0"/>
        <w:snapToGrid w:val="0"/>
        <w:spacing w:line="480" w:lineRule="exact"/>
        <w:ind w:firstLine="480" w:firstLineChars="200"/>
        <w:rPr>
          <w:rFonts w:ascii="Times New Roman" w:hAnsi="Times New Roman"/>
          <w:color w:val="auto"/>
          <w:sz w:val="24"/>
          <w:szCs w:val="24"/>
          <w:highlight w:val="none"/>
        </w:rPr>
      </w:pPr>
      <w:r>
        <w:rPr>
          <w:rFonts w:ascii="宋体" w:hAnsi="宋体" w:cs="宋体"/>
          <w:color w:val="auto"/>
          <w:sz w:val="24"/>
          <w:highlight w:val="none"/>
        </w:rPr>
        <w:t>(16) 本合同约定应由承包人负责的其他工作，以及配合工作</w:t>
      </w:r>
    </w:p>
    <w:p>
      <w:pPr>
        <w:pStyle w:val="132"/>
        <w:rPr>
          <w:color w:val="auto"/>
          <w:highlight w:val="none"/>
        </w:rPr>
      </w:pPr>
      <w:r>
        <w:rPr>
          <w:color w:val="auto"/>
          <w:highlight w:val="none"/>
        </w:rPr>
        <w:t>1.2.3  辅助设施为其他承包人提供服务</w:t>
      </w:r>
      <w:bookmarkEnd w:id="46"/>
    </w:p>
    <w:p>
      <w:pPr>
        <w:spacing w:line="360" w:lineRule="auto"/>
        <w:ind w:firstLine="480" w:firstLineChars="200"/>
        <w:rPr>
          <w:color w:val="auto"/>
          <w:highlight w:val="none"/>
        </w:rPr>
      </w:pPr>
      <w:r>
        <w:rPr>
          <w:rFonts w:ascii="宋体" w:hAnsi="宋体" w:cs="宋体"/>
          <w:color w:val="auto"/>
          <w:sz w:val="24"/>
          <w:highlight w:val="none"/>
        </w:rPr>
        <w:t>本标承包人为其他承包人提供辅助设施及配合工作主要如下：</w:t>
      </w:r>
    </w:p>
    <w:p>
      <w:pPr>
        <w:spacing w:line="360" w:lineRule="auto"/>
        <w:ind w:firstLine="480" w:firstLineChars="200"/>
        <w:rPr>
          <w:color w:val="auto"/>
          <w:highlight w:val="none"/>
        </w:rPr>
      </w:pPr>
      <w:r>
        <w:rPr>
          <w:rFonts w:ascii="宋体" w:hAnsi="宋体" w:cs="宋体"/>
          <w:color w:val="auto"/>
          <w:sz w:val="24"/>
          <w:highlight w:val="none"/>
        </w:rPr>
        <w:t>(1) 安全监测标：提供供水、供电、供风接口，提供施工通道、施工照明、施工通风、脚手架、平台、升降台车等。</w:t>
      </w:r>
    </w:p>
    <w:p>
      <w:pPr>
        <w:spacing w:line="360" w:lineRule="auto"/>
        <w:ind w:firstLine="480" w:firstLineChars="200"/>
        <w:rPr>
          <w:color w:val="auto"/>
          <w:highlight w:val="none"/>
        </w:rPr>
      </w:pPr>
      <w:r>
        <w:rPr>
          <w:rFonts w:ascii="宋体" w:hAnsi="宋体" w:cs="宋体"/>
          <w:color w:val="auto"/>
          <w:sz w:val="24"/>
          <w:highlight w:val="none"/>
        </w:rPr>
        <w:t>(2) 土建工程质量检测标：提供施工通道、施工照明、施工通风等。为锚杆无损检测提供所需的脚手架、平台、升降台车。</w:t>
      </w:r>
    </w:p>
    <w:p>
      <w:pPr>
        <w:spacing w:line="360" w:lineRule="auto"/>
        <w:ind w:firstLine="480" w:firstLineChars="200"/>
        <w:rPr>
          <w:color w:val="auto"/>
          <w:highlight w:val="none"/>
        </w:rPr>
      </w:pPr>
      <w:r>
        <w:rPr>
          <w:rFonts w:ascii="宋体" w:hAnsi="宋体" w:cs="宋体"/>
          <w:color w:val="auto"/>
          <w:sz w:val="24"/>
          <w:highlight w:val="none"/>
        </w:rPr>
        <w:t>(3) 物探检测标：提供施工通道、施工照明、施工通风、登高设施、供水供电、人工配合等。其中，压水试验和注浆试验由物探检测标承包人负责提供检测仪器和现场记录，本标承包人负责按照物探检测标承包人指示进行压水和注浆作业；水道顶拱探地雷达检测或脉冲回波检测，本标承包人负责提供可移动检测平台及检测所需的机械、人工配合。</w:t>
      </w:r>
    </w:p>
    <w:p>
      <w:pPr>
        <w:spacing w:line="360" w:lineRule="auto"/>
        <w:ind w:firstLine="480" w:firstLineChars="200"/>
        <w:rPr>
          <w:color w:val="auto"/>
          <w:highlight w:val="none"/>
        </w:rPr>
      </w:pPr>
      <w:r>
        <w:rPr>
          <w:rFonts w:ascii="宋体" w:hAnsi="宋体" w:cs="宋体"/>
          <w:color w:val="auto"/>
          <w:sz w:val="24"/>
          <w:highlight w:val="none"/>
        </w:rPr>
        <w:t>(4) 金属结构质量检测标：提供施工通道、施工照明、施工通风、登高设施、人工配合等。</w:t>
      </w:r>
    </w:p>
    <w:p>
      <w:pPr>
        <w:adjustRightInd w:val="0"/>
        <w:snapToGrid w:val="0"/>
        <w:spacing w:line="460" w:lineRule="exact"/>
        <w:ind w:firstLine="480" w:firstLineChars="200"/>
        <w:rPr>
          <w:rFonts w:hint="eastAsia" w:ascii="宋体" w:hAnsi="宋体" w:cs="宋体"/>
          <w:color w:val="auto"/>
          <w:sz w:val="24"/>
          <w:highlight w:val="none"/>
        </w:rPr>
      </w:pPr>
      <w:r>
        <w:rPr>
          <w:rFonts w:ascii="宋体" w:hAnsi="宋体" w:cs="宋体"/>
          <w:color w:val="auto"/>
          <w:sz w:val="24"/>
          <w:highlight w:val="none"/>
        </w:rPr>
        <w:t>(5) 本标承包人进行起重设备操作，吊运其他标段负责安装的设备(如消防水泵吊运等)。</w:t>
      </w:r>
    </w:p>
    <w:p>
      <w:pPr>
        <w:spacing w:line="360" w:lineRule="auto"/>
        <w:ind w:firstLine="480" w:firstLineChars="200"/>
        <w:rPr>
          <w:color w:val="auto"/>
          <w:sz w:val="24"/>
          <w:szCs w:val="24"/>
          <w:highlight w:val="none"/>
        </w:rPr>
      </w:pPr>
      <w:r>
        <w:rPr>
          <w:rFonts w:hint="eastAsia"/>
          <w:color w:val="auto"/>
          <w:sz w:val="24"/>
          <w:szCs w:val="24"/>
          <w:highlight w:val="none"/>
        </w:rPr>
        <w:t>本技术条款1.2节增加内容如下：</w:t>
      </w:r>
    </w:p>
    <w:p>
      <w:pPr>
        <w:pStyle w:val="132"/>
        <w:rPr>
          <w:color w:val="auto"/>
          <w:highlight w:val="yellow"/>
        </w:rPr>
      </w:pPr>
      <w:r>
        <w:rPr>
          <w:color w:val="auto"/>
          <w:highlight w:val="yellow"/>
        </w:rPr>
        <w:t>1.2.4  控制工期</w:t>
      </w:r>
    </w:p>
    <w:p>
      <w:pPr>
        <w:adjustRightInd w:val="0"/>
        <w:snapToGrid w:val="0"/>
        <w:spacing w:line="460" w:lineRule="exact"/>
        <w:ind w:firstLine="480" w:firstLineChars="200"/>
        <w:rPr>
          <w:rFonts w:hint="eastAsia" w:ascii="Times New Roman" w:hAnsi="宋体" w:cs="Times New Roman"/>
          <w:snapToGrid w:val="0"/>
          <w:color w:val="auto"/>
          <w:kern w:val="0"/>
          <w:sz w:val="24"/>
          <w:szCs w:val="24"/>
          <w:highlight w:val="yellow"/>
        </w:rPr>
      </w:pPr>
      <w:r>
        <w:rPr>
          <w:rFonts w:hint="eastAsia" w:ascii="Times New Roman" w:hAnsi="宋体" w:cs="Times New Roman"/>
          <w:snapToGrid w:val="0"/>
          <w:color w:val="auto"/>
          <w:kern w:val="0"/>
          <w:sz w:val="24"/>
          <w:szCs w:val="24"/>
          <w:highlight w:val="yellow"/>
        </w:rPr>
        <w:t>电站装机发电的次序为</w:t>
      </w:r>
      <w:r>
        <w:rPr>
          <w:rFonts w:ascii="Times New Roman" w:hAnsi="宋体" w:cs="Times New Roman"/>
          <w:snapToGrid w:val="0"/>
          <w:color w:val="auto"/>
          <w:kern w:val="0"/>
          <w:sz w:val="24"/>
          <w:szCs w:val="24"/>
          <w:highlight w:val="yellow"/>
        </w:rPr>
        <w:t>1#</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2#</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3#</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4#</w:t>
      </w:r>
      <w:r>
        <w:rPr>
          <w:rFonts w:hint="eastAsia" w:ascii="Times New Roman" w:hAnsi="宋体" w:cs="Times New Roman"/>
          <w:snapToGrid w:val="0"/>
          <w:color w:val="auto"/>
          <w:kern w:val="0"/>
          <w:sz w:val="24"/>
          <w:szCs w:val="24"/>
          <w:highlight w:val="yellow"/>
        </w:rPr>
        <w:t>机组，计划分别于</w:t>
      </w:r>
      <w:r>
        <w:rPr>
          <w:rFonts w:ascii="Times New Roman" w:hAnsi="宋体" w:cs="Times New Roman"/>
          <w:snapToGrid w:val="0"/>
          <w:color w:val="auto"/>
          <w:kern w:val="0"/>
          <w:sz w:val="24"/>
          <w:szCs w:val="24"/>
          <w:highlight w:val="yellow"/>
        </w:rPr>
        <w:t>202</w:t>
      </w:r>
      <w:r>
        <w:rPr>
          <w:rFonts w:hint="eastAsia" w:ascii="Times New Roman" w:hAnsi="宋体" w:cs="Times New Roman"/>
          <w:snapToGrid w:val="0"/>
          <w:color w:val="auto"/>
          <w:kern w:val="0"/>
          <w:sz w:val="24"/>
          <w:szCs w:val="24"/>
          <w:highlight w:val="yellow"/>
        </w:rPr>
        <w:t>8年0</w:t>
      </w:r>
      <w:r>
        <w:rPr>
          <w:rFonts w:hint="eastAsia" w:ascii="Times New Roman" w:hAnsi="宋体" w:cs="Times New Roman"/>
          <w:snapToGrid w:val="0"/>
          <w:color w:val="auto"/>
          <w:kern w:val="0"/>
          <w:sz w:val="24"/>
          <w:szCs w:val="24"/>
          <w:highlight w:val="yellow"/>
          <w:lang w:val="en-US" w:eastAsia="zh-CN"/>
        </w:rPr>
        <w:t>1</w:t>
      </w:r>
      <w:r>
        <w:rPr>
          <w:rFonts w:hint="eastAsia" w:ascii="Times New Roman" w:hAnsi="宋体" w:cs="Times New Roman"/>
          <w:snapToGrid w:val="0"/>
          <w:color w:val="auto"/>
          <w:kern w:val="0"/>
          <w:sz w:val="24"/>
          <w:szCs w:val="24"/>
          <w:highlight w:val="yellow"/>
        </w:rPr>
        <w:t>月</w:t>
      </w:r>
      <w:r>
        <w:rPr>
          <w:rFonts w:hint="eastAsia" w:ascii="Times New Roman" w:hAnsi="宋体" w:cs="Times New Roman"/>
          <w:snapToGrid w:val="0"/>
          <w:color w:val="auto"/>
          <w:kern w:val="0"/>
          <w:sz w:val="24"/>
          <w:szCs w:val="24"/>
          <w:highlight w:val="yellow"/>
          <w:lang w:val="en-US" w:eastAsia="zh-CN"/>
        </w:rPr>
        <w:t>15</w:t>
      </w:r>
      <w:r>
        <w:rPr>
          <w:rFonts w:hint="eastAsia" w:ascii="Times New Roman" w:hAnsi="宋体" w:cs="Times New Roman"/>
          <w:snapToGrid w:val="0"/>
          <w:color w:val="auto"/>
          <w:kern w:val="0"/>
          <w:sz w:val="24"/>
          <w:szCs w:val="24"/>
          <w:highlight w:val="yellow"/>
        </w:rPr>
        <w:t>日（</w:t>
      </w:r>
      <w:r>
        <w:rPr>
          <w:rFonts w:ascii="Times New Roman" w:hAnsi="宋体" w:cs="Times New Roman"/>
          <w:snapToGrid w:val="0"/>
          <w:color w:val="auto"/>
          <w:kern w:val="0"/>
          <w:sz w:val="24"/>
          <w:szCs w:val="24"/>
          <w:highlight w:val="yellow"/>
        </w:rPr>
        <w:t>1#）</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202</w:t>
      </w:r>
      <w:r>
        <w:rPr>
          <w:rFonts w:hint="eastAsia" w:ascii="Times New Roman" w:hAnsi="宋体" w:cs="Times New Roman"/>
          <w:snapToGrid w:val="0"/>
          <w:color w:val="auto"/>
          <w:kern w:val="0"/>
          <w:sz w:val="24"/>
          <w:szCs w:val="24"/>
          <w:highlight w:val="yellow"/>
        </w:rPr>
        <w:t>8年0</w:t>
      </w:r>
      <w:r>
        <w:rPr>
          <w:rFonts w:hint="eastAsia" w:ascii="Times New Roman" w:hAnsi="宋体" w:cs="Times New Roman"/>
          <w:snapToGrid w:val="0"/>
          <w:color w:val="auto"/>
          <w:kern w:val="0"/>
          <w:sz w:val="24"/>
          <w:szCs w:val="24"/>
          <w:highlight w:val="yellow"/>
          <w:lang w:val="en-US" w:eastAsia="zh-CN"/>
        </w:rPr>
        <w:t>4</w:t>
      </w:r>
      <w:r>
        <w:rPr>
          <w:rFonts w:ascii="Times New Roman" w:hAnsi="宋体" w:cs="Times New Roman"/>
          <w:snapToGrid w:val="0"/>
          <w:color w:val="auto"/>
          <w:kern w:val="0"/>
          <w:sz w:val="24"/>
          <w:szCs w:val="24"/>
          <w:highlight w:val="yellow"/>
        </w:rPr>
        <w:t>月</w:t>
      </w:r>
      <w:r>
        <w:rPr>
          <w:rFonts w:hint="eastAsia" w:ascii="Times New Roman" w:hAnsi="宋体" w:cs="Times New Roman"/>
          <w:snapToGrid w:val="0"/>
          <w:color w:val="auto"/>
          <w:kern w:val="0"/>
          <w:sz w:val="24"/>
          <w:szCs w:val="24"/>
          <w:highlight w:val="yellow"/>
          <w:lang w:val="en-US" w:eastAsia="zh-CN"/>
        </w:rPr>
        <w:t>15</w:t>
      </w:r>
      <w:r>
        <w:rPr>
          <w:rFonts w:hint="eastAsia" w:ascii="Times New Roman" w:hAnsi="宋体" w:cs="Times New Roman"/>
          <w:snapToGrid w:val="0"/>
          <w:color w:val="auto"/>
          <w:kern w:val="0"/>
          <w:sz w:val="24"/>
          <w:szCs w:val="24"/>
          <w:highlight w:val="yellow"/>
        </w:rPr>
        <w:t>日（2</w:t>
      </w:r>
      <w:r>
        <w:rPr>
          <w:rFonts w:ascii="Times New Roman" w:hAnsi="宋体" w:cs="Times New Roman"/>
          <w:snapToGrid w:val="0"/>
          <w:color w:val="auto"/>
          <w:kern w:val="0"/>
          <w:sz w:val="24"/>
          <w:szCs w:val="24"/>
          <w:highlight w:val="yellow"/>
        </w:rPr>
        <w:t>#）</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202</w:t>
      </w:r>
      <w:r>
        <w:rPr>
          <w:rFonts w:hint="eastAsia" w:ascii="Times New Roman" w:hAnsi="宋体" w:cs="Times New Roman"/>
          <w:snapToGrid w:val="0"/>
          <w:color w:val="auto"/>
          <w:kern w:val="0"/>
          <w:sz w:val="24"/>
          <w:szCs w:val="24"/>
          <w:highlight w:val="yellow"/>
        </w:rPr>
        <w:t>8年</w:t>
      </w:r>
      <w:r>
        <w:rPr>
          <w:rFonts w:hint="eastAsia" w:ascii="Times New Roman" w:hAnsi="宋体" w:cs="Times New Roman"/>
          <w:snapToGrid w:val="0"/>
          <w:color w:val="auto"/>
          <w:kern w:val="0"/>
          <w:sz w:val="24"/>
          <w:szCs w:val="24"/>
          <w:highlight w:val="yellow"/>
          <w:lang w:val="en-US" w:eastAsia="zh-CN"/>
        </w:rPr>
        <w:t>7</w:t>
      </w:r>
      <w:r>
        <w:rPr>
          <w:rFonts w:ascii="Times New Roman" w:hAnsi="宋体" w:cs="Times New Roman"/>
          <w:snapToGrid w:val="0"/>
          <w:color w:val="auto"/>
          <w:kern w:val="0"/>
          <w:sz w:val="24"/>
          <w:szCs w:val="24"/>
          <w:highlight w:val="yellow"/>
        </w:rPr>
        <w:t>月</w:t>
      </w:r>
      <w:r>
        <w:rPr>
          <w:rFonts w:hint="eastAsia" w:ascii="Times New Roman" w:hAnsi="宋体" w:cs="Times New Roman"/>
          <w:snapToGrid w:val="0"/>
          <w:color w:val="auto"/>
          <w:kern w:val="0"/>
          <w:sz w:val="24"/>
          <w:szCs w:val="24"/>
          <w:highlight w:val="yellow"/>
          <w:lang w:val="en-US" w:eastAsia="zh-CN"/>
        </w:rPr>
        <w:t>15</w:t>
      </w:r>
      <w:r>
        <w:rPr>
          <w:rFonts w:hint="eastAsia" w:ascii="Times New Roman" w:hAnsi="宋体" w:cs="Times New Roman"/>
          <w:snapToGrid w:val="0"/>
          <w:color w:val="auto"/>
          <w:kern w:val="0"/>
          <w:sz w:val="24"/>
          <w:szCs w:val="24"/>
          <w:highlight w:val="yellow"/>
        </w:rPr>
        <w:t>日（</w:t>
      </w:r>
      <w:r>
        <w:rPr>
          <w:rFonts w:ascii="Times New Roman" w:hAnsi="宋体" w:cs="Times New Roman"/>
          <w:snapToGrid w:val="0"/>
          <w:color w:val="auto"/>
          <w:kern w:val="0"/>
          <w:sz w:val="24"/>
          <w:szCs w:val="24"/>
          <w:highlight w:val="yellow"/>
        </w:rPr>
        <w:t>3#）</w:t>
      </w:r>
      <w:r>
        <w:rPr>
          <w:rFonts w:hint="eastAsia" w:ascii="Times New Roman" w:hAnsi="宋体"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202</w:t>
      </w:r>
      <w:r>
        <w:rPr>
          <w:rFonts w:hint="eastAsia" w:ascii="Times New Roman" w:hAnsi="宋体" w:cs="Times New Roman"/>
          <w:snapToGrid w:val="0"/>
          <w:color w:val="auto"/>
          <w:kern w:val="0"/>
          <w:sz w:val="24"/>
          <w:szCs w:val="24"/>
          <w:highlight w:val="yellow"/>
        </w:rPr>
        <w:t>8年</w:t>
      </w:r>
      <w:r>
        <w:rPr>
          <w:rFonts w:hint="eastAsia" w:ascii="Times New Roman" w:hAnsi="宋体" w:cs="Times New Roman"/>
          <w:snapToGrid w:val="0"/>
          <w:color w:val="auto"/>
          <w:kern w:val="0"/>
          <w:sz w:val="24"/>
          <w:szCs w:val="24"/>
          <w:highlight w:val="yellow"/>
          <w:lang w:val="en-US" w:eastAsia="zh-CN"/>
        </w:rPr>
        <w:t>9</w:t>
      </w:r>
      <w:r>
        <w:rPr>
          <w:rFonts w:hint="eastAsia" w:ascii="Times New Roman" w:hAnsi="宋体" w:cs="Times New Roman"/>
          <w:snapToGrid w:val="0"/>
          <w:color w:val="auto"/>
          <w:kern w:val="0"/>
          <w:sz w:val="24"/>
          <w:szCs w:val="24"/>
          <w:highlight w:val="yellow"/>
        </w:rPr>
        <w:t>月</w:t>
      </w:r>
      <w:r>
        <w:rPr>
          <w:rFonts w:hint="eastAsia" w:ascii="Times New Roman" w:hAnsi="宋体" w:cs="Times New Roman"/>
          <w:snapToGrid w:val="0"/>
          <w:color w:val="auto"/>
          <w:kern w:val="0"/>
          <w:sz w:val="24"/>
          <w:szCs w:val="24"/>
          <w:highlight w:val="yellow"/>
          <w:lang w:val="en-US" w:eastAsia="zh-CN"/>
        </w:rPr>
        <w:t>15</w:t>
      </w:r>
      <w:r>
        <w:rPr>
          <w:rFonts w:hint="eastAsia" w:ascii="Times New Roman" w:hAnsi="宋体" w:cs="Times New Roman"/>
          <w:snapToGrid w:val="0"/>
          <w:color w:val="auto"/>
          <w:kern w:val="0"/>
          <w:sz w:val="24"/>
          <w:szCs w:val="24"/>
          <w:highlight w:val="yellow"/>
        </w:rPr>
        <w:t>日（</w:t>
      </w:r>
      <w:r>
        <w:rPr>
          <w:rFonts w:ascii="Times New Roman" w:hAnsi="宋体" w:cs="Times New Roman"/>
          <w:snapToGrid w:val="0"/>
          <w:color w:val="auto"/>
          <w:kern w:val="0"/>
          <w:sz w:val="24"/>
          <w:szCs w:val="24"/>
          <w:highlight w:val="yellow"/>
        </w:rPr>
        <w:t>4#）</w:t>
      </w:r>
      <w:r>
        <w:rPr>
          <w:rFonts w:hint="eastAsia" w:ascii="Times New Roman" w:hAnsi="宋体" w:cs="Times New Roman"/>
          <w:snapToGrid w:val="0"/>
          <w:color w:val="auto"/>
          <w:kern w:val="0"/>
          <w:sz w:val="24"/>
          <w:szCs w:val="24"/>
          <w:highlight w:val="yellow"/>
        </w:rPr>
        <w:t>投入考核试运行。</w:t>
      </w:r>
    </w:p>
    <w:p>
      <w:pPr>
        <w:adjustRightInd w:val="0"/>
        <w:snapToGrid w:val="0"/>
        <w:spacing w:line="460" w:lineRule="exact"/>
        <w:ind w:firstLine="480" w:firstLineChars="200"/>
        <w:rPr>
          <w:rFonts w:hint="eastAsia" w:ascii="Times New Roman" w:hAnsi="宋体" w:cs="Times New Roman"/>
          <w:snapToGrid w:val="0"/>
          <w:color w:val="auto"/>
          <w:kern w:val="0"/>
          <w:sz w:val="24"/>
          <w:szCs w:val="24"/>
          <w:highlight w:val="yellow"/>
        </w:rPr>
      </w:pPr>
      <w:r>
        <w:rPr>
          <w:rFonts w:ascii="Times New Roman" w:hAnsi="宋体" w:cs="Times New Roman"/>
          <w:snapToGrid w:val="0"/>
          <w:color w:val="auto"/>
          <w:kern w:val="0"/>
          <w:sz w:val="24"/>
          <w:szCs w:val="24"/>
          <w:highlight w:val="yellow"/>
        </w:rPr>
        <w:t>本标关键项目</w:t>
      </w:r>
      <w:r>
        <w:rPr>
          <w:rFonts w:ascii="Times New Roman" w:hAnsi="Times New Roman"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或节点</w:t>
      </w:r>
      <w:r>
        <w:rPr>
          <w:rFonts w:ascii="Times New Roman" w:hAnsi="Times New Roman" w:cs="Times New Roman"/>
          <w:snapToGrid w:val="0"/>
          <w:color w:val="auto"/>
          <w:kern w:val="0"/>
          <w:sz w:val="24"/>
          <w:szCs w:val="24"/>
          <w:highlight w:val="yellow"/>
        </w:rPr>
        <w:t>)</w:t>
      </w:r>
      <w:r>
        <w:rPr>
          <w:rFonts w:ascii="Times New Roman" w:hAnsi="宋体" w:cs="Times New Roman"/>
          <w:snapToGrid w:val="0"/>
          <w:color w:val="auto"/>
          <w:kern w:val="0"/>
          <w:sz w:val="24"/>
          <w:szCs w:val="24"/>
          <w:highlight w:val="yellow"/>
        </w:rPr>
        <w:t>施工控制工期要求如下：</w:t>
      </w:r>
    </w:p>
    <w:p>
      <w:pPr>
        <w:spacing w:line="520" w:lineRule="atLeast"/>
        <w:ind w:firstLine="480" w:firstLineChars="200"/>
        <w:jc w:val="center"/>
        <w:rPr>
          <w:rFonts w:ascii="Times New Roman" w:hAnsi="Times New Roman" w:cs="Times New Roman"/>
          <w:color w:val="auto"/>
          <w:sz w:val="24"/>
          <w:szCs w:val="24"/>
          <w:highlight w:val="yellow"/>
        </w:rPr>
      </w:pPr>
      <w:r>
        <w:rPr>
          <w:rFonts w:hint="eastAsia" w:ascii="Times New Roman" w:hAnsi="Times New Roman" w:eastAsia="黑体" w:cs="Times New Roman"/>
          <w:color w:val="auto"/>
          <w:sz w:val="24"/>
          <w:szCs w:val="20"/>
          <w:highlight w:val="yellow"/>
        </w:rPr>
        <w:t>表</w:t>
      </w:r>
      <w:r>
        <w:rPr>
          <w:rFonts w:ascii="Times New Roman" w:hAnsi="Times New Roman" w:eastAsia="黑体" w:cs="Times New Roman"/>
          <w:color w:val="auto"/>
          <w:sz w:val="24"/>
          <w:szCs w:val="20"/>
          <w:highlight w:val="yellow"/>
        </w:rPr>
        <w:t>1.2.4-1</w:t>
      </w:r>
      <w:r>
        <w:rPr>
          <w:rFonts w:hint="eastAsia" w:ascii="Times New Roman" w:hAnsi="Times New Roman" w:cs="Times New Roman"/>
          <w:color w:val="auto"/>
          <w:sz w:val="24"/>
          <w:szCs w:val="24"/>
          <w:highlight w:val="yellow"/>
        </w:rPr>
        <w:t>本标工程里程碑项目及控制性节点表</w:t>
      </w:r>
    </w:p>
    <w:tbl>
      <w:tblPr>
        <w:tblStyle w:val="36"/>
        <w:tblW w:w="85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44"/>
        <w:gridCol w:w="4007"/>
        <w:gridCol w:w="354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tblHeader/>
          <w:jc w:val="center"/>
        </w:trPr>
        <w:tc>
          <w:tcPr>
            <w:tcW w:w="1044" w:type="dxa"/>
            <w:vAlign w:val="center"/>
          </w:tcPr>
          <w:p>
            <w:pPr>
              <w:pStyle w:val="109"/>
              <w:spacing w:before="0" w:after="0"/>
              <w:rPr>
                <w:color w:val="auto"/>
                <w:highlight w:val="yellow"/>
              </w:rPr>
            </w:pPr>
            <w:r>
              <w:rPr>
                <w:color w:val="auto"/>
                <w:highlight w:val="yellow"/>
              </w:rPr>
              <w:t>序号</w:t>
            </w:r>
          </w:p>
        </w:tc>
        <w:tc>
          <w:tcPr>
            <w:tcW w:w="4007" w:type="dxa"/>
            <w:vAlign w:val="center"/>
          </w:tcPr>
          <w:p>
            <w:pPr>
              <w:pStyle w:val="109"/>
              <w:spacing w:before="0" w:after="0"/>
              <w:rPr>
                <w:color w:val="auto"/>
                <w:highlight w:val="yellow"/>
              </w:rPr>
            </w:pPr>
            <w:r>
              <w:rPr>
                <w:color w:val="auto"/>
                <w:highlight w:val="yellow"/>
              </w:rPr>
              <w:t>里程碑项目</w:t>
            </w:r>
          </w:p>
        </w:tc>
        <w:tc>
          <w:tcPr>
            <w:tcW w:w="3544" w:type="dxa"/>
            <w:vAlign w:val="center"/>
          </w:tcPr>
          <w:p>
            <w:pPr>
              <w:pStyle w:val="173"/>
              <w:spacing w:before="0" w:after="0"/>
              <w:jc w:val="center"/>
              <w:rPr>
                <w:color w:val="auto"/>
                <w:highlight w:val="yellow"/>
              </w:rPr>
            </w:pPr>
            <w:r>
              <w:rPr>
                <w:color w:val="auto"/>
                <w:highlight w:val="yellow"/>
              </w:rPr>
              <w:t>本标承包人承诺的完工或移交日期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val="en-US" w:eastAsia="zh-CN"/>
              </w:rPr>
            </w:pPr>
            <w:r>
              <w:rPr>
                <w:rFonts w:hint="eastAsia"/>
                <w:color w:val="auto"/>
                <w:highlight w:val="yellow"/>
                <w:lang w:val="en-US" w:eastAsia="zh-CN"/>
              </w:rPr>
              <w:t>一</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承包人进点施工准备</w:t>
            </w:r>
          </w:p>
        </w:tc>
        <w:tc>
          <w:tcPr>
            <w:tcW w:w="3544" w:type="dxa"/>
            <w:vAlign w:val="center"/>
          </w:tcPr>
          <w:p>
            <w:pPr>
              <w:widowControl/>
              <w:spacing w:line="360" w:lineRule="auto"/>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2026.0</w:t>
            </w:r>
            <w:r>
              <w:rPr>
                <w:rFonts w:hint="eastAsia" w:ascii="Times New Roman" w:hAnsi="Times New Roman" w:cs="Times New Roman"/>
                <w:color w:val="auto"/>
                <w:szCs w:val="20"/>
                <w:highlight w:val="yellow"/>
              </w:rPr>
              <w:t>1</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rPr>
              <w:t>31</w:t>
            </w:r>
            <w:r>
              <w:rPr>
                <w:rFonts w:ascii="Times New Roman" w:hAnsi="Times New Roman" w:cs="Times New Roman"/>
                <w:color w:val="auto"/>
                <w:szCs w:val="20"/>
                <w:highlight w:val="yellow"/>
              </w:rPr>
              <w:t>（以监理人通知为准）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二</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桥机安装</w:t>
            </w:r>
          </w:p>
        </w:tc>
        <w:tc>
          <w:tcPr>
            <w:tcW w:w="3544" w:type="dxa"/>
            <w:vAlign w:val="center"/>
          </w:tcPr>
          <w:p>
            <w:pPr>
              <w:widowControl/>
              <w:spacing w:line="360" w:lineRule="auto"/>
              <w:ind w:firstLine="51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1</w:t>
            </w:r>
          </w:p>
        </w:tc>
        <w:tc>
          <w:tcPr>
            <w:tcW w:w="4007" w:type="dxa"/>
            <w:vAlign w:val="center"/>
          </w:tcPr>
          <w:p>
            <w:pPr>
              <w:widowControl/>
              <w:spacing w:line="360" w:lineRule="auto"/>
              <w:ind w:firstLine="510"/>
              <w:rPr>
                <w:rFonts w:hint="eastAsia" w:ascii="Times New Roman" w:hAnsi="Times New Roman" w:eastAsia="宋体" w:cs="Times New Roman"/>
                <w:color w:val="auto"/>
                <w:szCs w:val="20"/>
                <w:highlight w:val="yellow"/>
                <w:lang w:eastAsia="zh-CN"/>
              </w:rPr>
            </w:pPr>
            <w:r>
              <w:rPr>
                <w:rFonts w:ascii="Times New Roman" w:hAnsi="Times New Roman" w:cs="Times New Roman"/>
                <w:color w:val="auto"/>
                <w:szCs w:val="20"/>
                <w:highlight w:val="yellow"/>
              </w:rPr>
              <w:t>厂房小桥机安装开始</w:t>
            </w:r>
            <w:r>
              <w:rPr>
                <w:rFonts w:hint="eastAsia" w:ascii="Times New Roman" w:hAnsi="Times New Roman" w:cs="Times New Roman"/>
                <w:color w:val="auto"/>
                <w:szCs w:val="20"/>
                <w:highlight w:val="yellow"/>
                <w:lang w:eastAsia="zh-CN"/>
              </w:rPr>
              <w:t>（</w:t>
            </w:r>
            <w:r>
              <w:rPr>
                <w:rFonts w:hint="eastAsia" w:ascii="Times New Roman" w:hAnsi="Times New Roman" w:cs="Times New Roman"/>
                <w:color w:val="auto"/>
                <w:szCs w:val="20"/>
                <w:highlight w:val="yellow"/>
                <w:lang w:val="en-US" w:eastAsia="zh-CN"/>
              </w:rPr>
              <w:t>轨道安装及二期混凝土浇筑</w:t>
            </w:r>
            <w:r>
              <w:rPr>
                <w:rFonts w:hint="eastAsia" w:ascii="Times New Roman" w:hAnsi="Times New Roman" w:cs="Times New Roman"/>
                <w:color w:val="auto"/>
                <w:szCs w:val="20"/>
                <w:highlight w:val="yellow"/>
                <w:lang w:eastAsia="zh-CN"/>
              </w:rPr>
              <w:t>）</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4</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厂房小桥机投运</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hint="eastAsia"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6</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44" w:type="dxa"/>
            <w:vAlign w:val="center"/>
          </w:tcPr>
          <w:p>
            <w:pPr>
              <w:pStyle w:val="109"/>
              <w:spacing w:before="0" w:after="0"/>
              <w:rPr>
                <w:color w:val="auto"/>
                <w:highlight w:val="yellow"/>
              </w:rPr>
            </w:pPr>
            <w:r>
              <w:rPr>
                <w:color w:val="auto"/>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厂房大桥机安装开始</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hint="eastAsia"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7</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厂房大桥机投运</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8</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5</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尾闸室桥机安装开始</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2026.09.10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6</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尾闸室桥机投运</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2026.10.30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三</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机组尾水管开始安装</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val="en-US" w:eastAsia="zh-CN"/>
              </w:rPr>
            </w:pPr>
            <w:r>
              <w:rPr>
                <w:rFonts w:hint="eastAsia"/>
                <w:color w:val="auto"/>
                <w:highlight w:val="yellow"/>
                <w:lang w:val="en-US" w:eastAsia="zh-CN"/>
              </w:rPr>
              <w:t>1</w:t>
            </w:r>
          </w:p>
        </w:tc>
        <w:tc>
          <w:tcPr>
            <w:tcW w:w="4007" w:type="dxa"/>
            <w:vAlign w:val="center"/>
          </w:tcPr>
          <w:p>
            <w:pPr>
              <w:widowControl/>
              <w:spacing w:line="360" w:lineRule="auto"/>
              <w:ind w:firstLine="510"/>
              <w:rPr>
                <w:rFonts w:hint="default" w:ascii="Times New Roman" w:hAnsi="Times New Roman" w:eastAsia="宋体" w:cs="Times New Roman"/>
                <w:color w:val="auto"/>
                <w:szCs w:val="20"/>
                <w:highlight w:val="yellow"/>
                <w:lang w:val="en-US" w:eastAsia="zh-CN"/>
              </w:rPr>
            </w:pPr>
            <w:r>
              <w:rPr>
                <w:rFonts w:hint="default" w:ascii="Times New Roman" w:hAnsi="Times New Roman" w:eastAsia="宋体" w:cs="Times New Roman"/>
                <w:color w:val="auto"/>
                <w:szCs w:val="20"/>
                <w:highlight w:val="yellow"/>
                <w:lang w:val="en-US" w:eastAsia="zh-CN"/>
              </w:rPr>
              <w:t>主厂房开挖</w:t>
            </w:r>
            <w:r>
              <w:rPr>
                <w:rFonts w:hint="eastAsia" w:ascii="Times New Roman" w:hAnsi="Times New Roman" w:cs="Times New Roman"/>
                <w:color w:val="auto"/>
                <w:szCs w:val="20"/>
                <w:highlight w:val="yellow"/>
                <w:lang w:val="en-US" w:eastAsia="zh-CN"/>
              </w:rPr>
              <w:t>完成</w:t>
            </w:r>
            <w:r>
              <w:rPr>
                <w:rFonts w:hint="default" w:ascii="Times New Roman" w:hAnsi="Times New Roman" w:eastAsia="宋体" w:cs="Times New Roman"/>
                <w:color w:val="auto"/>
                <w:szCs w:val="20"/>
                <w:highlight w:val="yellow"/>
                <w:lang w:val="en-US" w:eastAsia="zh-CN"/>
              </w:rPr>
              <w:t>向本标移交工作面</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hint="eastAsia" w:ascii="Times New Roman" w:hAnsi="Times New Roman" w:cs="Times New Roman"/>
                <w:color w:val="auto"/>
                <w:szCs w:val="20"/>
                <w:highlight w:val="yellow"/>
                <w:lang w:val="en-US" w:eastAsia="zh-CN"/>
              </w:rPr>
              <w:t>2026.05.30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eastAsia="zh-CN"/>
              </w:rPr>
            </w:pPr>
            <w:r>
              <w:rPr>
                <w:rFonts w:hint="eastAsia"/>
                <w:color w:val="auto"/>
                <w:highlight w:val="yellow"/>
                <w:lang w:val="en-US" w:eastAsia="zh-CN"/>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1#机组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6</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eastAsia="zh-CN"/>
              </w:rPr>
            </w:pPr>
            <w:r>
              <w:rPr>
                <w:rFonts w:hint="eastAsia"/>
                <w:color w:val="auto"/>
                <w:highlight w:val="yellow"/>
                <w:lang w:val="en-US" w:eastAsia="zh-CN"/>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2#机组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2026.0</w:t>
            </w:r>
            <w:r>
              <w:rPr>
                <w:rFonts w:hint="eastAsia" w:ascii="Times New Roman" w:hAnsi="Times New Roman" w:cs="Times New Roman"/>
                <w:color w:val="auto"/>
                <w:szCs w:val="20"/>
                <w:highlight w:val="yellow"/>
                <w:lang w:val="en-US" w:eastAsia="zh-CN"/>
              </w:rPr>
              <w:t>8</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eastAsia="zh-CN"/>
              </w:rPr>
            </w:pPr>
            <w:r>
              <w:rPr>
                <w:rFonts w:hint="eastAsia"/>
                <w:color w:val="auto"/>
                <w:highlight w:val="yellow"/>
                <w:lang w:val="en-US" w:eastAsia="zh-CN"/>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3#机组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w:t>
            </w:r>
            <w:r>
              <w:rPr>
                <w:rFonts w:hint="eastAsia" w:ascii="Times New Roman" w:hAnsi="Times New Roman" w:cs="Times New Roman"/>
                <w:color w:val="auto"/>
                <w:szCs w:val="20"/>
                <w:highlight w:val="yellow"/>
                <w:lang w:val="en-US" w:eastAsia="zh-CN"/>
              </w:rPr>
              <w:t>10</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rFonts w:hint="eastAsia" w:eastAsia="宋体"/>
                <w:color w:val="auto"/>
                <w:highlight w:val="yellow"/>
                <w:lang w:eastAsia="zh-CN"/>
              </w:rPr>
            </w:pPr>
            <w:r>
              <w:rPr>
                <w:rFonts w:hint="eastAsia"/>
                <w:color w:val="auto"/>
                <w:highlight w:val="yellow"/>
                <w:lang w:val="en-US" w:eastAsia="zh-CN"/>
              </w:rPr>
              <w:t>5</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4#机组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w:t>
            </w:r>
            <w:r>
              <w:rPr>
                <w:rFonts w:hint="eastAsia" w:ascii="Times New Roman" w:hAnsi="Times New Roman" w:cs="Times New Roman"/>
                <w:color w:val="auto"/>
                <w:szCs w:val="20"/>
                <w:highlight w:val="yellow"/>
                <w:lang w:val="en-US" w:eastAsia="zh-CN"/>
              </w:rPr>
              <w:t>12</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四</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机组蜗壳/座环开始安装</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1</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1#机组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w:t>
            </w:r>
            <w:r>
              <w:rPr>
                <w:rFonts w:hint="eastAsia" w:ascii="Times New Roman" w:hAnsi="Times New Roman" w:cs="Times New Roman"/>
                <w:color w:val="auto"/>
                <w:szCs w:val="20"/>
                <w:highlight w:val="yellow"/>
                <w:lang w:val="en-US" w:eastAsia="zh-CN"/>
              </w:rPr>
              <w:t>10</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2#机组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w:t>
            </w:r>
            <w:r>
              <w:rPr>
                <w:rFonts w:hint="eastAsia" w:ascii="Times New Roman" w:hAnsi="Times New Roman" w:cs="Times New Roman"/>
                <w:color w:val="auto"/>
                <w:szCs w:val="20"/>
                <w:highlight w:val="yellow"/>
                <w:lang w:val="en-US" w:eastAsia="zh-CN"/>
              </w:rPr>
              <w:t>12</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3#机组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w:t>
            </w:r>
            <w:r>
              <w:rPr>
                <w:rFonts w:hint="eastAsia" w:ascii="Times New Roman" w:hAnsi="Times New Roman" w:cs="Times New Roman"/>
                <w:color w:val="auto"/>
                <w:szCs w:val="20"/>
                <w:highlight w:val="yellow"/>
                <w:lang w:val="en-US" w:eastAsia="zh-CN"/>
              </w:rPr>
              <w:t>02</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28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4#机组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4</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五</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厂房混凝土浇筑</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1</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发电机层楼板浇筑完成时间</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（1）</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1#机组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3.30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2#机组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5</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3#机组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7</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4#机组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w:t>
            </w:r>
            <w:r>
              <w:rPr>
                <w:rFonts w:hint="eastAsia" w:ascii="Times New Roman" w:hAnsi="Times New Roman" w:cs="Times New Roman"/>
                <w:color w:val="auto"/>
                <w:szCs w:val="20"/>
                <w:highlight w:val="yellow"/>
                <w:lang w:val="en-US" w:eastAsia="zh-CN"/>
              </w:rPr>
              <w:t>09</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副厂房混凝土浇筑完成时间</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4</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rFonts w:hint="eastAsia" w:asciiTheme="minorEastAsia" w:hAnsiTheme="minorEastAsia" w:eastAsiaTheme="minorEastAsia" w:cstheme="minorEastAsia"/>
                <w:color w:val="auto"/>
                <w:sz w:val="21"/>
                <w:szCs w:val="21"/>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hint="eastAsia" w:asciiTheme="minorEastAsia" w:hAnsiTheme="minorEastAsia" w:eastAsiaTheme="minorEastAsia" w:cstheme="minorEastAsia"/>
                <w:color w:val="auto"/>
                <w:szCs w:val="21"/>
                <w:highlight w:val="yellow"/>
              </w:rPr>
              <w:t>主变洞混凝土浇筑完成时间</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hint="eastAsia"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4</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六</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屋顶网架及发电电动机层天面永久照明完成</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hint="eastAsia" w:ascii="Times New Roman" w:hAnsi="Times New Roman" w:cs="Times New Roman"/>
                <w:color w:val="auto"/>
                <w:szCs w:val="20"/>
                <w:highlight w:val="yellow"/>
              </w:rPr>
              <w:t>2026.</w:t>
            </w:r>
            <w:r>
              <w:rPr>
                <w:rFonts w:hint="eastAsia" w:ascii="Times New Roman" w:hAnsi="Times New Roman" w:cs="Times New Roman"/>
                <w:color w:val="auto"/>
                <w:szCs w:val="20"/>
                <w:highlight w:val="yellow"/>
                <w:lang w:val="en-US" w:eastAsia="zh-CN"/>
              </w:rPr>
              <w:t>10</w:t>
            </w:r>
            <w:r>
              <w:rPr>
                <w:rFonts w:hint="eastAsia"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七</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电力系统倒送电（至厂用电）完成</w:t>
            </w:r>
          </w:p>
        </w:tc>
        <w:tc>
          <w:tcPr>
            <w:tcW w:w="3544" w:type="dxa"/>
            <w:vAlign w:val="center"/>
          </w:tcPr>
          <w:p>
            <w:pPr>
              <w:widowControl/>
              <w:spacing w:line="360" w:lineRule="auto"/>
              <w:ind w:firstLine="0"/>
              <w:jc w:val="center"/>
              <w:rPr>
                <w:rFonts w:hint="eastAsia" w:ascii="Times New Roman" w:hAnsi="Times New Roman" w:eastAsia="宋体" w:cs="Times New Roman"/>
                <w:color w:val="auto"/>
                <w:szCs w:val="20"/>
                <w:highlight w:val="yellow"/>
                <w:lang w:eastAsia="zh-CN"/>
              </w:rPr>
            </w:pPr>
            <w:r>
              <w:rPr>
                <w:rFonts w:ascii="Times New Roman" w:hAnsi="Times New Roman" w:cs="Times New Roman"/>
                <w:color w:val="auto"/>
                <w:szCs w:val="20"/>
                <w:highlight w:val="yellow"/>
              </w:rPr>
              <w:t>2027.</w:t>
            </w:r>
            <w:r>
              <w:rPr>
                <w:rFonts w:hint="eastAsia" w:ascii="Times New Roman" w:hAnsi="Times New Roman" w:cs="Times New Roman"/>
                <w:color w:val="auto"/>
                <w:szCs w:val="20"/>
                <w:highlight w:val="yellow"/>
                <w:lang w:val="en-US" w:eastAsia="zh-CN"/>
              </w:rPr>
              <w:t>08</w:t>
            </w:r>
            <w:r>
              <w:rPr>
                <w:rFonts w:ascii="Times New Roman" w:hAnsi="Times New Roman" w:cs="Times New Roman"/>
                <w:color w:val="auto"/>
                <w:szCs w:val="20"/>
                <w:highlight w:val="yellow"/>
              </w:rPr>
              <w:t>.3</w:t>
            </w:r>
            <w:r>
              <w:rPr>
                <w:rFonts w:hint="eastAsia" w:ascii="Times New Roman" w:hAnsi="Times New Roman" w:cs="Times New Roman"/>
                <w:color w:val="auto"/>
                <w:szCs w:val="20"/>
                <w:highlight w:val="yellow"/>
                <w:lang w:val="en-US" w:eastAsia="zh-CN"/>
              </w:rPr>
              <w:t>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八</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机组移交考核试运行</w:t>
            </w:r>
          </w:p>
        </w:tc>
        <w:tc>
          <w:tcPr>
            <w:tcW w:w="3544" w:type="dxa"/>
            <w:vAlign w:val="center"/>
          </w:tcPr>
          <w:p>
            <w:pPr>
              <w:widowControl/>
              <w:spacing w:line="360" w:lineRule="auto"/>
              <w:ind w:firstLine="51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1</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1#机组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2028.0</w:t>
            </w:r>
            <w:r>
              <w:rPr>
                <w:rFonts w:hint="eastAsia" w:ascii="Times New Roman" w:hAnsi="Times New Roman" w:cs="Times New Roman"/>
                <w:color w:val="auto"/>
                <w:szCs w:val="20"/>
                <w:highlight w:val="yellow"/>
                <w:lang w:val="en-US" w:eastAsia="zh-CN"/>
              </w:rPr>
              <w:t>1</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2#机组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2028.0</w:t>
            </w:r>
            <w:r>
              <w:rPr>
                <w:rFonts w:hint="eastAsia" w:ascii="Times New Roman" w:hAnsi="Times New Roman" w:cs="Times New Roman"/>
                <w:color w:val="auto"/>
                <w:szCs w:val="20"/>
                <w:highlight w:val="yellow"/>
                <w:lang w:val="en-US" w:eastAsia="zh-CN"/>
              </w:rPr>
              <w:t>4</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3#机组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w:t>
            </w:r>
            <w:r>
              <w:rPr>
                <w:rFonts w:hint="eastAsia" w:ascii="Times New Roman" w:hAnsi="Times New Roman" w:cs="Times New Roman"/>
                <w:color w:val="auto"/>
                <w:szCs w:val="20"/>
                <w:highlight w:val="yellow"/>
                <w:lang w:val="en-US" w:eastAsia="zh-CN"/>
              </w:rPr>
              <w:t>07</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4#机组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09</w:t>
            </w:r>
            <w:r>
              <w:rPr>
                <w:rFonts w:hint="eastAsia"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九</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机组投入商业运行</w:t>
            </w:r>
          </w:p>
        </w:tc>
        <w:tc>
          <w:tcPr>
            <w:tcW w:w="3544" w:type="dxa"/>
            <w:vAlign w:val="center"/>
          </w:tcPr>
          <w:p>
            <w:pPr>
              <w:widowControl/>
              <w:spacing w:line="360" w:lineRule="auto"/>
              <w:ind w:firstLine="510"/>
              <w:jc w:val="center"/>
              <w:rPr>
                <w:rFonts w:ascii="Times New Roman" w:hAnsi="Times New Roman" w:cs="Times New Roman"/>
                <w:color w:val="auto"/>
                <w:szCs w:val="20"/>
                <w:highlight w:val="yellow"/>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1</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1#机组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w:t>
            </w:r>
            <w:r>
              <w:rPr>
                <w:rFonts w:hint="eastAsia" w:ascii="Times New Roman" w:hAnsi="Times New Roman" w:cs="Times New Roman"/>
                <w:color w:val="auto"/>
                <w:szCs w:val="20"/>
                <w:highlight w:val="yellow"/>
                <w:lang w:val="en-US" w:eastAsia="zh-CN"/>
              </w:rPr>
              <w:t>01</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2</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2#机组</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2028.0</w:t>
            </w:r>
            <w:r>
              <w:rPr>
                <w:rFonts w:hint="eastAsia" w:ascii="Times New Roman" w:hAnsi="Times New Roman" w:cs="Times New Roman"/>
                <w:color w:val="auto"/>
                <w:szCs w:val="20"/>
                <w:highlight w:val="yellow"/>
                <w:lang w:val="en-US" w:eastAsia="zh-CN"/>
              </w:rPr>
              <w:t>4</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3</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3#机组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2028.</w:t>
            </w:r>
            <w:r>
              <w:rPr>
                <w:rFonts w:hint="eastAsia" w:ascii="Times New Roman" w:hAnsi="Times New Roman" w:cs="Times New Roman"/>
                <w:color w:val="auto"/>
                <w:szCs w:val="20"/>
                <w:highlight w:val="yellow"/>
                <w:lang w:val="en-US" w:eastAsia="zh-CN"/>
              </w:rPr>
              <w:t>07</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4</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0"/>
                <w:highlight w:val="yellow"/>
              </w:rPr>
              <w:t>4#机组</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w:t>
            </w:r>
            <w:r>
              <w:rPr>
                <w:rFonts w:hint="eastAsia" w:ascii="Times New Roman" w:hAnsi="Times New Roman" w:cs="Times New Roman"/>
                <w:color w:val="auto"/>
                <w:szCs w:val="20"/>
                <w:highlight w:val="yellow"/>
                <w:lang w:val="en-US" w:eastAsia="zh-CN"/>
              </w:rPr>
              <w:t>8</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09</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十</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1"/>
                <w:highlight w:val="yellow"/>
              </w:rPr>
              <w:t>副厂房电梯投入运行</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2027.</w:t>
            </w:r>
            <w:r>
              <w:rPr>
                <w:rFonts w:hint="eastAsia" w:ascii="Times New Roman" w:hAnsi="Times New Roman" w:cs="Times New Roman"/>
                <w:color w:val="auto"/>
                <w:szCs w:val="20"/>
                <w:highlight w:val="yellow"/>
                <w:lang w:val="en-US" w:eastAsia="zh-CN"/>
              </w:rPr>
              <w:t>09</w:t>
            </w:r>
            <w:r>
              <w:rPr>
                <w:rFonts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十一</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1"/>
                <w:highlight w:val="yellow"/>
              </w:rPr>
              <w:t>副厂房卫生间投入运行</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2027.0</w:t>
            </w:r>
            <w:r>
              <w:rPr>
                <w:rFonts w:hint="eastAsia" w:ascii="Times New Roman" w:hAnsi="Times New Roman" w:cs="Times New Roman"/>
                <w:color w:val="auto"/>
                <w:szCs w:val="20"/>
                <w:highlight w:val="yellow"/>
                <w:lang w:val="en-US" w:eastAsia="zh-CN"/>
              </w:rPr>
              <w:t>8</w:t>
            </w:r>
            <w:r>
              <w:rPr>
                <w:rFonts w:ascii="Times New Roman" w:hAnsi="Times New Roman" w:cs="Times New Roman"/>
                <w:color w:val="auto"/>
                <w:szCs w:val="20"/>
                <w:highlight w:val="yellow"/>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十二</w:t>
            </w:r>
          </w:p>
        </w:tc>
        <w:tc>
          <w:tcPr>
            <w:tcW w:w="4007" w:type="dxa"/>
            <w:vAlign w:val="center"/>
          </w:tcPr>
          <w:p>
            <w:pPr>
              <w:widowControl/>
              <w:spacing w:line="360" w:lineRule="auto"/>
              <w:ind w:firstLine="510"/>
              <w:rPr>
                <w:rFonts w:ascii="Times New Roman" w:hAnsi="Times New Roman" w:cs="Times New Roman"/>
                <w:color w:val="auto"/>
                <w:szCs w:val="20"/>
                <w:highlight w:val="yellow"/>
              </w:rPr>
            </w:pPr>
            <w:r>
              <w:rPr>
                <w:rFonts w:ascii="Times New Roman" w:hAnsi="Times New Roman" w:cs="Times New Roman"/>
                <w:color w:val="auto"/>
                <w:szCs w:val="21"/>
                <w:highlight w:val="yellow"/>
              </w:rPr>
              <w:t>副厂房完成装修</w:t>
            </w:r>
          </w:p>
        </w:tc>
        <w:tc>
          <w:tcPr>
            <w:tcW w:w="3544" w:type="dxa"/>
            <w:vAlign w:val="center"/>
          </w:tcPr>
          <w:p>
            <w:pPr>
              <w:widowControl/>
              <w:spacing w:line="360" w:lineRule="auto"/>
              <w:ind w:firstLine="0"/>
              <w:jc w:val="center"/>
              <w:rPr>
                <w:rFonts w:hint="default" w:ascii="Times New Roman" w:hAnsi="Times New Roman" w:eastAsia="宋体" w:cs="Times New Roman"/>
                <w:color w:val="auto"/>
                <w:szCs w:val="20"/>
                <w:highlight w:val="yellow"/>
                <w:lang w:val="en-US" w:eastAsia="zh-CN"/>
              </w:rPr>
            </w:pPr>
            <w:r>
              <w:rPr>
                <w:rFonts w:ascii="Times New Roman" w:hAnsi="Times New Roman" w:cs="Times New Roman"/>
                <w:color w:val="auto"/>
                <w:szCs w:val="20"/>
                <w:highlight w:val="yellow"/>
              </w:rPr>
              <w:t>202</w:t>
            </w:r>
            <w:r>
              <w:rPr>
                <w:rFonts w:hint="eastAsia" w:ascii="Times New Roman" w:hAnsi="Times New Roman" w:cs="Times New Roman"/>
                <w:color w:val="auto"/>
                <w:szCs w:val="20"/>
                <w:highlight w:val="yellow"/>
                <w:lang w:val="en-US" w:eastAsia="zh-CN"/>
              </w:rPr>
              <w:t>7</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09</w:t>
            </w:r>
            <w:r>
              <w:rPr>
                <w:rFonts w:ascii="Times New Roman" w:hAnsi="Times New Roman" w:cs="Times New Roman"/>
                <w:color w:val="auto"/>
                <w:szCs w:val="20"/>
                <w:highlight w:val="yellow"/>
              </w:rPr>
              <w:t>.</w:t>
            </w:r>
            <w:r>
              <w:rPr>
                <w:rFonts w:hint="eastAsia" w:ascii="Times New Roman" w:hAnsi="Times New Roman" w:cs="Times New Roman"/>
                <w:color w:val="auto"/>
                <w:szCs w:val="20"/>
                <w:highlight w:val="yellow"/>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44" w:type="dxa"/>
            <w:vAlign w:val="center"/>
          </w:tcPr>
          <w:p>
            <w:pPr>
              <w:pStyle w:val="109"/>
              <w:spacing w:before="0" w:after="0"/>
              <w:rPr>
                <w:color w:val="auto"/>
                <w:highlight w:val="yellow"/>
              </w:rPr>
            </w:pPr>
            <w:r>
              <w:rPr>
                <w:color w:val="auto"/>
                <w:highlight w:val="yellow"/>
              </w:rPr>
              <w:t>十三</w:t>
            </w:r>
          </w:p>
        </w:tc>
        <w:tc>
          <w:tcPr>
            <w:tcW w:w="4007" w:type="dxa"/>
            <w:vAlign w:val="center"/>
          </w:tcPr>
          <w:p>
            <w:pPr>
              <w:widowControl/>
              <w:spacing w:line="360" w:lineRule="auto"/>
              <w:ind w:firstLine="510"/>
              <w:rPr>
                <w:rFonts w:ascii="Times New Roman" w:hAnsi="Times New Roman" w:cs="Times New Roman"/>
                <w:color w:val="auto"/>
                <w:szCs w:val="21"/>
                <w:highlight w:val="yellow"/>
              </w:rPr>
            </w:pPr>
            <w:r>
              <w:rPr>
                <w:rFonts w:ascii="Times New Roman" w:hAnsi="Times New Roman" w:cs="Times New Roman"/>
                <w:color w:val="auto"/>
                <w:szCs w:val="21"/>
                <w:highlight w:val="yellow"/>
              </w:rPr>
              <w:t>通风空调系统投入运行</w:t>
            </w:r>
          </w:p>
        </w:tc>
        <w:tc>
          <w:tcPr>
            <w:tcW w:w="3544" w:type="dxa"/>
            <w:vAlign w:val="center"/>
          </w:tcPr>
          <w:p>
            <w:pPr>
              <w:widowControl/>
              <w:spacing w:line="360" w:lineRule="auto"/>
              <w:ind w:firstLine="0"/>
              <w:jc w:val="center"/>
              <w:rPr>
                <w:rFonts w:ascii="Times New Roman" w:hAnsi="Times New Roman" w:cs="Times New Roman"/>
                <w:color w:val="auto"/>
                <w:szCs w:val="20"/>
                <w:highlight w:val="yellow"/>
              </w:rPr>
            </w:pPr>
            <w:r>
              <w:rPr>
                <w:rFonts w:ascii="Times New Roman" w:hAnsi="Times New Roman" w:cs="Times New Roman"/>
                <w:color w:val="auto"/>
                <w:szCs w:val="20"/>
                <w:highlight w:val="yellow"/>
              </w:rPr>
              <w:t>2027.</w:t>
            </w:r>
            <w:r>
              <w:rPr>
                <w:rFonts w:hint="eastAsia" w:ascii="Times New Roman" w:hAnsi="Times New Roman" w:cs="Times New Roman"/>
                <w:color w:val="auto"/>
                <w:szCs w:val="20"/>
                <w:highlight w:val="yellow"/>
                <w:lang w:val="en-US" w:eastAsia="zh-CN"/>
              </w:rPr>
              <w:t>10</w:t>
            </w:r>
            <w:r>
              <w:rPr>
                <w:rFonts w:ascii="Times New Roman" w:hAnsi="Times New Roman" w:cs="Times New Roman"/>
                <w:color w:val="auto"/>
                <w:szCs w:val="20"/>
                <w:highlight w:val="yellow"/>
              </w:rPr>
              <w:t>.30</w:t>
            </w:r>
          </w:p>
        </w:tc>
      </w:tr>
    </w:tbl>
    <w:p>
      <w:pPr>
        <w:spacing w:line="360" w:lineRule="auto"/>
        <w:ind w:firstLine="480"/>
        <w:rPr>
          <w:rFonts w:ascii="Times New Roman" w:hAnsi="Times New Roman" w:cs="Times New Roman"/>
          <w:bCs/>
          <w:color w:val="auto"/>
          <w:sz w:val="24"/>
          <w:szCs w:val="20"/>
          <w:highlight w:val="none"/>
        </w:rPr>
      </w:pPr>
      <w:r>
        <w:rPr>
          <w:rFonts w:hint="eastAsia" w:ascii="Times New Roman" w:hAnsi="Times New Roman" w:cs="Times New Roman"/>
          <w:bCs/>
          <w:color w:val="auto"/>
          <w:sz w:val="24"/>
          <w:szCs w:val="20"/>
          <w:highlight w:val="none"/>
        </w:rPr>
        <w:t>备注：</w:t>
      </w:r>
    </w:p>
    <w:p>
      <w:pPr>
        <w:spacing w:line="360" w:lineRule="auto"/>
        <w:ind w:firstLine="480"/>
        <w:rPr>
          <w:rFonts w:hint="eastAsia" w:ascii="Times New Roman" w:hAnsi="Times New Roman" w:cs="Times New Roman"/>
          <w:bCs/>
          <w:color w:val="auto"/>
          <w:sz w:val="24"/>
          <w:szCs w:val="20"/>
          <w:highlight w:val="none"/>
        </w:rPr>
      </w:pPr>
      <w:r>
        <w:rPr>
          <w:rFonts w:ascii="Times New Roman" w:hAnsi="Times New Roman" w:cs="Times New Roman"/>
          <w:bCs/>
          <w:color w:val="auto"/>
          <w:sz w:val="24"/>
          <w:szCs w:val="20"/>
          <w:highlight w:val="none"/>
        </w:rPr>
        <w:t>1</w:t>
      </w:r>
      <w:r>
        <w:rPr>
          <w:rFonts w:hint="eastAsia" w:ascii="Times New Roman" w:hAnsi="Times New Roman" w:cs="Times New Roman"/>
          <w:bCs/>
          <w:color w:val="auto"/>
          <w:sz w:val="24"/>
          <w:szCs w:val="20"/>
          <w:highlight w:val="none"/>
        </w:rPr>
        <w:t>）以上时间为目前根据工程进度编制的计划时间，具体开始时间以监理人通知为准；若主厂房开挖支护完成向本标承包人移交工作面节点时间延后，则机组投产控制性节点时间相应顺延。</w:t>
      </w:r>
    </w:p>
    <w:p>
      <w:pPr>
        <w:spacing w:line="360" w:lineRule="auto"/>
        <w:ind w:firstLine="480"/>
        <w:rPr>
          <w:rFonts w:hint="eastAsia" w:ascii="Times New Roman" w:hAnsi="Times New Roman" w:cs="Times New Roman"/>
          <w:bCs/>
          <w:color w:val="auto"/>
          <w:sz w:val="24"/>
          <w:szCs w:val="20"/>
          <w:highlight w:val="none"/>
        </w:rPr>
      </w:pPr>
      <w:r>
        <w:rPr>
          <w:rFonts w:hint="eastAsia" w:ascii="Times New Roman" w:hAnsi="Times New Roman" w:cs="Times New Roman"/>
          <w:bCs/>
          <w:color w:val="auto"/>
          <w:sz w:val="24"/>
          <w:szCs w:val="20"/>
          <w:highlight w:val="none"/>
        </w:rPr>
        <w:t>2）第一台机组具备投入试运行条件前，主厂房混凝土应全部浇筑完成，调试机组的装修应完成。</w:t>
      </w:r>
    </w:p>
    <w:p>
      <w:pPr>
        <w:spacing w:line="360" w:lineRule="auto"/>
        <w:ind w:firstLine="480"/>
        <w:rPr>
          <w:rFonts w:hint="eastAsia" w:ascii="Times New Roman" w:hAnsi="Times New Roman" w:cs="Times New Roman"/>
          <w:bCs/>
          <w:color w:val="auto"/>
          <w:sz w:val="24"/>
          <w:szCs w:val="20"/>
          <w:highlight w:val="none"/>
        </w:rPr>
      </w:pPr>
      <w:r>
        <w:rPr>
          <w:rFonts w:hint="eastAsia" w:ascii="Times New Roman" w:hAnsi="Times New Roman" w:cs="Times New Roman"/>
          <w:bCs/>
          <w:color w:val="auto"/>
          <w:sz w:val="24"/>
          <w:szCs w:val="20"/>
          <w:highlight w:val="none"/>
        </w:rPr>
        <w:t>3）机电安装首台机组安装工期为</w:t>
      </w:r>
      <w:r>
        <w:rPr>
          <w:rFonts w:hint="eastAsia" w:ascii="Times New Roman" w:hAnsi="Times New Roman" w:cs="Times New Roman"/>
          <w:bCs/>
          <w:color w:val="auto"/>
          <w:sz w:val="24"/>
          <w:szCs w:val="20"/>
          <w:highlight w:val="none"/>
          <w:lang w:val="en-US" w:eastAsia="zh-CN"/>
        </w:rPr>
        <w:t>20</w:t>
      </w:r>
      <w:r>
        <w:rPr>
          <w:rFonts w:hint="eastAsia" w:ascii="Times New Roman" w:hAnsi="Times New Roman" w:cs="Times New Roman"/>
          <w:bCs/>
          <w:color w:val="auto"/>
          <w:sz w:val="24"/>
          <w:szCs w:val="20"/>
          <w:highlight w:val="none"/>
        </w:rPr>
        <w:t>个月（自水道厂房C3标完成主厂房开挖向本标移交工作面开始，至首台机组移</w:t>
      </w:r>
      <w:r>
        <w:rPr>
          <w:rFonts w:hint="default" w:ascii="Times New Roman" w:hAnsi="Times New Roman" w:cs="Times New Roman"/>
          <w:bCs/>
          <w:color w:val="auto"/>
          <w:sz w:val="24"/>
          <w:szCs w:val="20"/>
          <w:highlight w:val="none"/>
        </w:rPr>
        <w:t>投入商业运行</w:t>
      </w:r>
      <w:r>
        <w:rPr>
          <w:rFonts w:hint="eastAsia" w:ascii="Times New Roman" w:hAnsi="Times New Roman" w:cs="Times New Roman"/>
          <w:bCs/>
          <w:color w:val="auto"/>
          <w:sz w:val="24"/>
          <w:szCs w:val="20"/>
          <w:highlight w:val="none"/>
        </w:rPr>
        <w:t>），在整体投产目标工期不变情况下，承包人可根据施工经验及资源保障等情况进行适当优化调整。</w:t>
      </w:r>
    </w:p>
    <w:p>
      <w:pPr>
        <w:pStyle w:val="62"/>
        <w:rPr>
          <w:color w:val="auto"/>
          <w:highlight w:val="none"/>
        </w:rPr>
      </w:pPr>
      <w:bookmarkStart w:id="47" w:name="_Toc114038760"/>
      <w:bookmarkStart w:id="48" w:name="_Toc114038146"/>
      <w:bookmarkStart w:id="49" w:name="_Toc5881"/>
      <w:bookmarkStart w:id="50" w:name="_Toc6933"/>
      <w:bookmarkStart w:id="51" w:name="_Toc127395698"/>
      <w:r>
        <w:rPr>
          <w:color w:val="auto"/>
          <w:highlight w:val="none"/>
        </w:rPr>
        <w:t>1.3</w:t>
      </w:r>
      <w:r>
        <w:rPr>
          <w:rFonts w:hint="eastAsia"/>
          <w:color w:val="auto"/>
          <w:highlight w:val="none"/>
        </w:rPr>
        <w:t xml:space="preserve"> 与本合同有关的其他承包人承担的工程项目及工作界面</w:t>
      </w:r>
      <w:bookmarkEnd w:id="47"/>
      <w:bookmarkEnd w:id="48"/>
      <w:bookmarkEnd w:id="49"/>
      <w:bookmarkEnd w:id="50"/>
      <w:bookmarkEnd w:id="51"/>
    </w:p>
    <w:p>
      <w:pPr>
        <w:pStyle w:val="132"/>
        <w:rPr>
          <w:color w:val="auto"/>
          <w:highlight w:val="none"/>
        </w:rPr>
      </w:pPr>
      <w:bookmarkStart w:id="52" w:name="_Toc366139017"/>
      <w:bookmarkStart w:id="53" w:name="_Toc16058"/>
      <w:bookmarkStart w:id="54" w:name="_Toc369619622"/>
      <w:bookmarkStart w:id="55" w:name="_Toc364872789"/>
      <w:bookmarkStart w:id="56" w:name="_Toc355517091"/>
      <w:bookmarkStart w:id="57" w:name="_Toc360461270"/>
      <w:r>
        <w:rPr>
          <w:color w:val="auto"/>
          <w:highlight w:val="none"/>
        </w:rPr>
        <w:t xml:space="preserve">1.3.1  </w:t>
      </w:r>
      <w:r>
        <w:rPr>
          <w:rFonts w:hint="eastAsia"/>
          <w:color w:val="auto"/>
          <w:highlight w:val="none"/>
        </w:rPr>
        <w:t>与本合同有关的其他承包人承担的工程项目及其工作内容</w:t>
      </w:r>
      <w:bookmarkEnd w:id="52"/>
      <w:bookmarkEnd w:id="53"/>
      <w:bookmarkEnd w:id="54"/>
      <w:bookmarkEnd w:id="55"/>
      <w:bookmarkEnd w:id="56"/>
      <w:bookmarkEnd w:id="57"/>
    </w:p>
    <w:p>
      <w:pPr>
        <w:pStyle w:val="76"/>
        <w:rPr>
          <w:color w:val="auto"/>
          <w:highlight w:val="none"/>
        </w:rPr>
      </w:pPr>
      <w:r>
        <w:rPr>
          <w:rFonts w:hint="eastAsia"/>
          <w:snapToGrid w:val="0"/>
          <w:color w:val="auto"/>
          <w:highlight w:val="none"/>
        </w:rPr>
        <w:t>属于本工程并与本合同工程相关联，但不属于</w:t>
      </w:r>
      <w:r>
        <w:rPr>
          <w:rFonts w:hint="eastAsia"/>
          <w:color w:val="auto"/>
          <w:highlight w:val="none"/>
        </w:rPr>
        <w:t>本标</w:t>
      </w:r>
      <w:r>
        <w:rPr>
          <w:rFonts w:hint="eastAsia"/>
          <w:snapToGrid w:val="0"/>
          <w:color w:val="auto"/>
          <w:highlight w:val="none"/>
        </w:rPr>
        <w:t>承包人承担的工程项目将由发包人委托其他承包人承担，本标承包人在施工过程中应按监理人的指示为其他承包人施工提供方便。这些项目包括(但不限于)</w:t>
      </w:r>
      <w:r>
        <w:rPr>
          <w:snapToGrid w:val="0"/>
          <w:color w:val="auto"/>
          <w:highlight w:val="none"/>
        </w:rPr>
        <w:t xml:space="preserve"> </w:t>
      </w:r>
      <w:r>
        <w:rPr>
          <w:rFonts w:hint="eastAsia"/>
          <w:snapToGrid w:val="0"/>
          <w:color w:val="auto"/>
          <w:highlight w:val="none"/>
        </w:rPr>
        <w:t>：</w:t>
      </w:r>
    </w:p>
    <w:p>
      <w:pPr>
        <w:pStyle w:val="67"/>
        <w:rPr>
          <w:rFonts w:hint="eastAsia"/>
          <w:snapToGrid w:val="0"/>
          <w:color w:val="auto"/>
          <w:highlight w:val="none"/>
        </w:rPr>
      </w:pPr>
      <w:r>
        <w:rPr>
          <w:snapToGrid w:val="0"/>
          <w:color w:val="auto"/>
          <w:highlight w:val="none"/>
        </w:rPr>
        <w:t xml:space="preserve">1.3.1.1  </w:t>
      </w:r>
      <w:r>
        <w:rPr>
          <w:rFonts w:hint="eastAsia"/>
          <w:snapToGrid w:val="0"/>
          <w:color w:val="auto"/>
          <w:highlight w:val="none"/>
        </w:rPr>
        <w:t>上水库土建工程施工标</w:t>
      </w:r>
      <w:r>
        <w:rPr>
          <w:snapToGrid w:val="0"/>
          <w:color w:val="auto"/>
          <w:highlight w:val="none"/>
        </w:rPr>
        <w:t xml:space="preserve">(C1标) </w:t>
      </w:r>
    </w:p>
    <w:p>
      <w:pPr>
        <w:pStyle w:val="76"/>
        <w:rPr>
          <w:rFonts w:hint="eastAsia"/>
          <w:snapToGrid w:val="0"/>
          <w:color w:val="auto"/>
          <w:highlight w:val="none"/>
        </w:rPr>
      </w:pPr>
      <w:r>
        <w:rPr>
          <w:rFonts w:hint="eastAsia"/>
          <w:snapToGrid w:val="0"/>
          <w:color w:val="auto"/>
          <w:highlight w:val="none"/>
        </w:rPr>
        <w:t>包括上水库混凝土面板堆石坝、上水库库周防渗及库岸防护、上水库扩库开挖及防护、上库进/出水口、上水库生态放水管、上水库生态放水管、上水库生态放水管、上库库岸道路、上水库库区清理、上水库进/出水口启闭机室、上水库配电房(含柴油发电机房)、上水库区域安全监测土建施工，包括观测房、量水堰土建部分、观测便道以及安全监测仪器安装和埋设所需的槽挖、槽挖回填等土建工作；</w:t>
      </w:r>
    </w:p>
    <w:p>
      <w:pPr>
        <w:pStyle w:val="76"/>
        <w:pBdr>
          <w:bottom w:val="none" w:color="auto" w:sz="0" w:space="0"/>
        </w:pBdr>
        <w:rPr>
          <w:rFonts w:hint="eastAsia"/>
          <w:snapToGrid w:val="0"/>
          <w:color w:val="auto"/>
          <w:highlight w:val="none"/>
        </w:rPr>
      </w:pPr>
      <w:r>
        <w:rPr>
          <w:rFonts w:hint="eastAsia"/>
          <w:snapToGrid w:val="0"/>
          <w:color w:val="auto"/>
          <w:highlight w:val="none"/>
        </w:rPr>
        <w:t>上水库进/出水口拦污栅、闸门、启闭机和相应埋件及附属设备等的安装与调试、</w:t>
      </w:r>
      <w:r>
        <w:rPr>
          <w:b w:val="0"/>
          <w:i w:val="0"/>
          <w:strike w:val="0"/>
          <w:color w:val="auto"/>
          <w:spacing w:val="0"/>
          <w:highlight w:val="none"/>
          <w:u w:val="none"/>
        </w:rPr>
        <w:t>上水库水力测量系统埋管的采购与安装、上库生态放水管泄放控制设备及流量在线监测设备的安装/调试、上库生态放水管泄放控制设备及流量在线监测设备的安装、调试、上水库室内和室外照明工程、接地工程等机电安装工作。</w:t>
      </w:r>
    </w:p>
    <w:p>
      <w:pPr>
        <w:pStyle w:val="67"/>
        <w:rPr>
          <w:rFonts w:hint="eastAsia"/>
          <w:snapToGrid w:val="0"/>
          <w:color w:val="auto"/>
          <w:highlight w:val="none"/>
        </w:rPr>
      </w:pPr>
      <w:r>
        <w:rPr>
          <w:snapToGrid w:val="0"/>
          <w:color w:val="auto"/>
          <w:highlight w:val="none"/>
        </w:rPr>
        <w:t xml:space="preserve">1.3.1.2  </w:t>
      </w:r>
      <w:r>
        <w:rPr>
          <w:rFonts w:hint="eastAsia"/>
          <w:snapToGrid w:val="0"/>
          <w:color w:val="auto"/>
          <w:highlight w:val="none"/>
        </w:rPr>
        <w:t>下水库土建工程施工标</w:t>
      </w:r>
      <w:r>
        <w:rPr>
          <w:snapToGrid w:val="0"/>
          <w:color w:val="auto"/>
          <w:highlight w:val="none"/>
        </w:rPr>
        <w:t>(C2标)</w:t>
      </w:r>
    </w:p>
    <w:p>
      <w:pPr>
        <w:pStyle w:val="76"/>
        <w:pBdr>
          <w:bottom w:val="none" w:color="auto" w:sz="0" w:space="0"/>
        </w:pBdr>
        <w:rPr>
          <w:b w:val="0"/>
          <w:i w:val="0"/>
          <w:strike w:val="0"/>
          <w:color w:val="auto"/>
          <w:spacing w:val="0"/>
          <w:highlight w:val="none"/>
          <w:u w:val="none"/>
        </w:rPr>
      </w:pPr>
      <w:r>
        <w:rPr>
          <w:b w:val="0"/>
          <w:i w:val="0"/>
          <w:strike w:val="0"/>
          <w:color w:val="auto"/>
          <w:spacing w:val="0"/>
          <w:highlight w:val="none"/>
          <w:u w:val="none"/>
        </w:rPr>
        <w:t>包括下水库混凝土面板堆石坝、下水库库周防渗及库岸防护、下水库扩库开挖及防护、下水库竖井式溢洪洞工程、泄洪放空洞工程、竖井式溢洪洞、泄洪洞出口检修道路(7#坝后右岸道路)、自流排水洞检修道路(15#自流排水洞连接道路)、下水库生态放水管、业主营地兼砂石系统场地平整、下库库岸道路、业主营地道路、下水库库区清理、库底堆填区防护、泄洪洞工作门液压启闭机机房、泄洪洞事故闸门启闭机房、下水库区域安全监测土建施工，包括观测房、量水堰土建部分、观测便道以及安全监测仪器安装和埋设所需的槽挖、槽挖回填、施工期下库右岸渠道的保通等土建工作。</w:t>
      </w:r>
    </w:p>
    <w:p>
      <w:pPr>
        <w:pStyle w:val="76"/>
        <w:rPr>
          <w:b w:val="0"/>
          <w:i w:val="0"/>
          <w:strike w:val="0"/>
          <w:color w:val="auto"/>
          <w:spacing w:val="0"/>
          <w:highlight w:val="none"/>
          <w:u w:val="none"/>
        </w:rPr>
      </w:pPr>
      <w:r>
        <w:rPr>
          <w:b w:val="0"/>
          <w:i w:val="0"/>
          <w:strike w:val="0"/>
          <w:color w:val="auto"/>
          <w:spacing w:val="0"/>
          <w:highlight w:val="none"/>
          <w:u w:val="none"/>
        </w:rPr>
        <w:t>另外还包括泄洪放空洞、竖井式溢洪洞闸门、启闭机和相应埋件及附属设备等的安装与调试、下水库水力测量系统埋管的采购与安装、下库生态放水管泄放控制设备(锥形阀)及流量在线监测设施等附属设施的安装/调试、泄洪洞工作门液压启闭机机房/泄洪洞事故闸门启闭机房等房屋建筑的电气一次电缆预埋管的采购与安装、通风空调设备、风口及附件的采购与安装、下水库室内和室外照明工程、接地工程等工作。</w:t>
      </w:r>
    </w:p>
    <w:p>
      <w:pPr>
        <w:pStyle w:val="67"/>
        <w:rPr>
          <w:rFonts w:hint="eastAsia"/>
          <w:snapToGrid w:val="0"/>
          <w:color w:val="auto"/>
          <w:highlight w:val="none"/>
        </w:rPr>
      </w:pPr>
      <w:r>
        <w:rPr>
          <w:rFonts w:hint="eastAsia"/>
          <w:snapToGrid w:val="0"/>
          <w:color w:val="auto"/>
          <w:highlight w:val="none"/>
        </w:rPr>
        <w:t>1.3.1.3  输水发电系统工程标 （C3标）</w:t>
      </w:r>
    </w:p>
    <w:p>
      <w:pPr>
        <w:pStyle w:val="76"/>
        <w:rPr>
          <w:b w:val="0"/>
          <w:i w:val="0"/>
          <w:strike w:val="0"/>
          <w:color w:val="auto"/>
          <w:spacing w:val="0"/>
          <w:highlight w:val="none"/>
          <w:u w:val="none"/>
        </w:rPr>
      </w:pPr>
      <w:r>
        <w:rPr>
          <w:b w:val="0"/>
          <w:i w:val="0"/>
          <w:strike w:val="0"/>
          <w:color w:val="auto"/>
          <w:spacing w:val="0"/>
          <w:highlight w:val="none"/>
          <w:u w:val="none"/>
        </w:rPr>
        <w:t>输水系统工程：上平洞、上竖井、中平洞、下竖井、下平洞、引水岔管与支管、排水廊道，以及尾水岔管与支管、尾水调压井、尾调通气洞、尾水闸门室、尾闸交通洞、尾闸排风洞的开挖及锚喷支护、施工临时支护，衬砌混凝土及回填混凝土浇筑，固结灌浆与回填灌浆、排水孔钻设、排水管埋设、帷幕灌浆等；引支压力钢管及其部件安装，尾支钢管及其部件采购、制作和安装；施工支洞封堵，包括堵头进人孔的部分制造、安装，以及闷头的部分制造、安装；下库进/出水口公路以下开挖支护、结构、止水设施和预埋件埋设；进出水口检修道路及附属工程(边沟、电缆沟、交通标志标线等)的建设、管理、维护及养护工作；</w:t>
      </w:r>
    </w:p>
    <w:p>
      <w:pPr>
        <w:pStyle w:val="76"/>
        <w:pBdr>
          <w:bottom w:val="none" w:color="auto" w:sz="0" w:space="0"/>
        </w:pBdr>
        <w:rPr>
          <w:b w:val="0"/>
          <w:i w:val="0"/>
          <w:strike w:val="0"/>
          <w:color w:val="auto"/>
          <w:spacing w:val="0"/>
          <w:highlight w:val="none"/>
          <w:u w:val="none"/>
        </w:rPr>
      </w:pPr>
      <w:r>
        <w:rPr>
          <w:b w:val="0"/>
          <w:i w:val="0"/>
          <w:strike w:val="0"/>
          <w:color w:val="auto"/>
          <w:spacing w:val="0"/>
          <w:highlight w:val="none"/>
          <w:u w:val="none"/>
        </w:rPr>
        <w:t>发电系统工程：主厂房、副厂房、安装间、母线洞、主变洞、空气处理机房等部位的石方洞挖、支护、排水、部分混凝土工程、钢筋制安、钻孔和灌浆等；主变排风机房、排水廊道、厂房主变交通洞、电缆交通洞、尾闸至厂房通道、尾闸至主变通道、排风竖井及排风平洞、高压电缆洞、排风廊道、电缆交通洞、主变回车场等部位的土石方明挖、石方洞挖、支护、排水、混凝土工程、钢筋制安、钻孔和灌浆及埋件的埋设等；地面开关站场平、开关站结构工程及建筑装修；开关站连接道路及附属工程(边沟、电缆沟、交通标志标线等)的建设、管理、维护及养护工作；勘探平洞及勘探钻孔封堵；C3标范围内混凝土工程的埋管、埋件的采购和安装；下水库进/出水口拦污栅、闸门、启闭机和相应埋件及附属设备等的安装与调试；接地工程等。</w:t>
      </w:r>
    </w:p>
    <w:p>
      <w:pPr>
        <w:pStyle w:val="67"/>
        <w:rPr>
          <w:rFonts w:hint="eastAsia"/>
          <w:snapToGrid w:val="0"/>
          <w:color w:val="auto"/>
          <w:highlight w:val="none"/>
        </w:rPr>
      </w:pPr>
      <w:r>
        <w:rPr>
          <w:snapToGrid w:val="0"/>
          <w:color w:val="auto"/>
          <w:highlight w:val="none"/>
        </w:rPr>
        <w:t xml:space="preserve">1.3.1.4  </w:t>
      </w:r>
      <w:r>
        <w:rPr>
          <w:rFonts w:hint="eastAsia"/>
          <w:snapToGrid w:val="0"/>
          <w:color w:val="auto"/>
          <w:highlight w:val="none"/>
        </w:rPr>
        <w:t>机组及辅助设备采购标</w:t>
      </w:r>
      <w:r>
        <w:rPr>
          <w:snapToGrid w:val="0"/>
          <w:color w:val="auto"/>
          <w:highlight w:val="none"/>
        </w:rPr>
        <w:t>(EM</w:t>
      </w:r>
      <w:r>
        <w:rPr>
          <w:rFonts w:hint="eastAsia"/>
          <w:snapToGrid w:val="0"/>
          <w:color w:val="auto"/>
          <w:highlight w:val="none"/>
        </w:rPr>
        <w:t>1</w:t>
      </w:r>
      <w:r>
        <w:rPr>
          <w:snapToGrid w:val="0"/>
          <w:color w:val="auto"/>
          <w:highlight w:val="none"/>
        </w:rPr>
        <w:t xml:space="preserve">标) </w:t>
      </w:r>
    </w:p>
    <w:p>
      <w:pPr>
        <w:pStyle w:val="76"/>
        <w:rPr>
          <w:snapToGrid w:val="0"/>
          <w:color w:val="auto"/>
          <w:highlight w:val="none"/>
        </w:rPr>
      </w:pPr>
      <w:r>
        <w:rPr>
          <w:rFonts w:hint="eastAsia"/>
          <w:snapToGrid w:val="0"/>
          <w:color w:val="auto"/>
          <w:highlight w:val="none"/>
        </w:rPr>
        <w:t>水泵水轮机及其附属设备、发电电动机及其附属设备、机组在线监测系统、水力机械辅助设备、计算机监控系统、发电电动机出口电压设备、厂用电设备、交、直流控制电源系统、继电保护系统、尾水事故闸门液压启闭设备、厂房通风空调系统、钥匙闭锁系统、水库及水道泄放设备的设计、制造，设计联络和协调、安装和安装试验的技术督导、现场调试、启动运行试验、考核试运行指导、性能试验、验收、对发包人人员的工厂培训和现场培训服务等。</w:t>
      </w:r>
    </w:p>
    <w:p>
      <w:pPr>
        <w:pStyle w:val="67"/>
        <w:rPr>
          <w:rFonts w:hint="eastAsia"/>
          <w:color w:val="auto"/>
          <w:highlight w:val="none"/>
        </w:rPr>
      </w:pPr>
      <w:r>
        <w:rPr>
          <w:color w:val="auto"/>
          <w:highlight w:val="none"/>
        </w:rPr>
        <w:t xml:space="preserve">1.3.1.5  </w:t>
      </w:r>
      <w:r>
        <w:rPr>
          <w:rFonts w:hint="eastAsia"/>
          <w:color w:val="auto"/>
          <w:highlight w:val="none"/>
        </w:rPr>
        <w:t>其他机电设备采购标</w:t>
      </w:r>
    </w:p>
    <w:p>
      <w:pPr>
        <w:pStyle w:val="76"/>
        <w:pBdr>
          <w:bottom w:val="none" w:color="auto" w:sz="0" w:space="0"/>
        </w:pBdr>
        <w:rPr>
          <w:snapToGrid w:val="0"/>
          <w:color w:val="auto"/>
          <w:highlight w:val="none"/>
        </w:rPr>
      </w:pPr>
      <w:r>
        <w:rPr>
          <w:rFonts w:hint="eastAsia"/>
          <w:snapToGrid w:val="0"/>
          <w:color w:val="auto"/>
          <w:highlight w:val="none"/>
        </w:rPr>
        <w:t>其他机电设备及金属结构采购标主要包括：金属结构设备、中压空压机、起重设备、</w:t>
      </w:r>
      <w:r>
        <w:rPr>
          <w:rFonts w:hint="eastAsia"/>
          <w:color w:val="auto"/>
          <w:highlight w:val="none"/>
        </w:rPr>
        <w:t>厂内通信和工业电视系统、220kV主变压器、220kV电缆、220kV</w:t>
      </w:r>
      <w:r>
        <w:rPr>
          <w:color w:val="auto"/>
          <w:highlight w:val="none"/>
        </w:rPr>
        <w:t xml:space="preserve"> </w:t>
      </w:r>
      <w:r>
        <w:rPr>
          <w:rFonts w:hint="eastAsia"/>
          <w:color w:val="auto"/>
          <w:highlight w:val="none"/>
        </w:rPr>
        <w:t>GIS、线路保护、消防系统设备、接入系统二次设备</w:t>
      </w:r>
      <w:r>
        <w:rPr>
          <w:rFonts w:hint="eastAsia"/>
          <w:snapToGrid w:val="0"/>
          <w:color w:val="auto"/>
          <w:highlight w:val="none"/>
        </w:rPr>
        <w:t>等设备的采购。以上设备均单独成标，相应的承包人负责各自设备或系统的设计、制造、设计联络和协调、安装和安装试验的技术督导、现场调试、性能试验、验收、对发包人人员的工厂培训和现场培训服务等。</w:t>
      </w:r>
    </w:p>
    <w:p>
      <w:pPr>
        <w:pStyle w:val="67"/>
        <w:rPr>
          <w:rFonts w:hint="eastAsia"/>
          <w:color w:val="auto"/>
          <w:highlight w:val="none"/>
        </w:rPr>
      </w:pPr>
      <w:r>
        <w:rPr>
          <w:color w:val="auto"/>
          <w:highlight w:val="none"/>
        </w:rPr>
        <w:t xml:space="preserve">1.3.1.6  </w:t>
      </w:r>
      <w:r>
        <w:rPr>
          <w:rFonts w:hint="eastAsia"/>
          <w:color w:val="auto"/>
          <w:highlight w:val="none"/>
        </w:rPr>
        <w:t>消防标</w:t>
      </w:r>
    </w:p>
    <w:p>
      <w:pPr>
        <w:pStyle w:val="76"/>
        <w:rPr>
          <w:color w:val="auto"/>
          <w:highlight w:val="none"/>
        </w:rPr>
      </w:pPr>
      <w:r>
        <w:rPr>
          <w:rFonts w:hint="eastAsia"/>
          <w:color w:val="auto"/>
          <w:highlight w:val="none"/>
        </w:rPr>
        <w:t>火灾自动报警系统、消防应急照明和疏散指示系统的采购、安装和调试；地下厂房水喷雾灭火系统设备及明管路的采购、安装和调试；七氟丙烷气体灭火系统采购、安装和调试；移动灭火设备的以及其他灭火系统的采购及安装。地下厂房排烟风机的采购、安装和调试。电站全厂消防工程的整体调试、消防报验等工作。</w:t>
      </w:r>
    </w:p>
    <w:p>
      <w:pPr>
        <w:pStyle w:val="76"/>
        <w:rPr>
          <w:color w:val="auto"/>
          <w:highlight w:val="none"/>
        </w:rPr>
      </w:pPr>
      <w:r>
        <w:rPr>
          <w:rFonts w:hint="eastAsia"/>
          <w:color w:val="auto"/>
          <w:highlight w:val="none"/>
        </w:rPr>
        <w:t>地下厂房消火栓灭火系统明装管路及设备的采购、安装和调试；</w:t>
      </w:r>
      <w:r>
        <w:rPr>
          <w:color w:val="auto"/>
          <w:highlight w:val="none"/>
        </w:rPr>
        <w:t>全电站（不含业主营地）</w:t>
      </w:r>
      <w:r>
        <w:rPr>
          <w:rFonts w:hint="eastAsia"/>
          <w:color w:val="auto"/>
          <w:highlight w:val="none"/>
        </w:rPr>
        <w:t>的移动灭火设备（灭火器等）以及其他</w:t>
      </w:r>
      <w:r>
        <w:rPr>
          <w:color w:val="auto"/>
          <w:highlight w:val="none"/>
        </w:rPr>
        <w:t>火灾自救生设备</w:t>
      </w:r>
      <w:r>
        <w:rPr>
          <w:rFonts w:hint="eastAsia"/>
          <w:color w:val="auto"/>
          <w:highlight w:val="none"/>
        </w:rPr>
        <w:t>的采购及安装。</w:t>
      </w:r>
    </w:p>
    <w:p>
      <w:pPr>
        <w:pStyle w:val="67"/>
        <w:rPr>
          <w:color w:val="auto"/>
          <w:highlight w:val="none"/>
        </w:rPr>
      </w:pPr>
      <w:r>
        <w:rPr>
          <w:color w:val="auto"/>
          <w:highlight w:val="none"/>
        </w:rPr>
        <w:t>1.3.1.7 安全监测工程标</w:t>
      </w:r>
    </w:p>
    <w:p>
      <w:pPr>
        <w:pStyle w:val="76"/>
        <w:spacing w:line="360" w:lineRule="auto"/>
        <w:ind w:firstLineChars="200"/>
        <w:rPr>
          <w:color w:val="auto"/>
          <w:highlight w:val="none"/>
        </w:rPr>
      </w:pPr>
      <w:r>
        <w:rPr>
          <w:rFonts w:hint="eastAsia"/>
          <w:color w:val="auto"/>
          <w:highlight w:val="none"/>
        </w:rPr>
        <w:t>发包人另行招标委托其他承包人负责水库大坝监测系统和输水发电监测系统的相关工作。</w:t>
      </w:r>
    </w:p>
    <w:p>
      <w:pPr>
        <w:pStyle w:val="67"/>
        <w:rPr>
          <w:color w:val="auto"/>
          <w:highlight w:val="none"/>
        </w:rPr>
      </w:pPr>
      <w:r>
        <w:rPr>
          <w:color w:val="auto"/>
          <w:highlight w:val="none"/>
        </w:rPr>
        <w:t>1.3.1.8 前期工程标</w:t>
      </w:r>
    </w:p>
    <w:p>
      <w:pPr>
        <w:pStyle w:val="76"/>
        <w:spacing w:line="360" w:lineRule="auto"/>
        <w:ind w:firstLineChars="200"/>
        <w:rPr>
          <w:color w:val="auto"/>
          <w:highlight w:val="none"/>
        </w:rPr>
      </w:pPr>
      <w:r>
        <w:rPr>
          <w:rFonts w:hint="eastAsia"/>
          <w:color w:val="auto"/>
          <w:highlight w:val="none"/>
        </w:rPr>
        <w:t>包括进场道路、交通洞、通风洞以及相应施工辅助设施等工作。</w:t>
      </w:r>
    </w:p>
    <w:p>
      <w:pPr>
        <w:pStyle w:val="67"/>
        <w:rPr>
          <w:rFonts w:hint="eastAsia"/>
          <w:snapToGrid w:val="0"/>
          <w:color w:val="auto"/>
          <w:highlight w:val="none"/>
        </w:rPr>
      </w:pPr>
      <w:r>
        <w:rPr>
          <w:rFonts w:hint="eastAsia"/>
          <w:snapToGrid w:val="0"/>
          <w:color w:val="auto"/>
          <w:highlight w:val="none"/>
        </w:rPr>
        <w:t>1.3.1.9 业主</w:t>
      </w:r>
      <w:r>
        <w:rPr>
          <w:rFonts w:hint="eastAsia"/>
          <w:color w:val="auto"/>
          <w:highlight w:val="none"/>
        </w:rPr>
        <w:t>营地</w:t>
      </w:r>
      <w:r>
        <w:rPr>
          <w:rFonts w:hint="eastAsia"/>
          <w:snapToGrid w:val="0"/>
          <w:color w:val="auto"/>
          <w:highlight w:val="none"/>
        </w:rPr>
        <w:t>标</w:t>
      </w:r>
    </w:p>
    <w:p>
      <w:pPr>
        <w:pStyle w:val="76"/>
        <w:rPr>
          <w:color w:val="auto"/>
          <w:highlight w:val="none"/>
        </w:rPr>
      </w:pPr>
      <w:r>
        <w:rPr>
          <w:rFonts w:hint="eastAsia"/>
          <w:color w:val="auto"/>
          <w:highlight w:val="none"/>
        </w:rPr>
        <w:t>包括业主营地所有房屋建筑工程以及室外工程等。</w:t>
      </w:r>
    </w:p>
    <w:p>
      <w:pPr>
        <w:pStyle w:val="67"/>
        <w:rPr>
          <w:rFonts w:hint="eastAsia"/>
          <w:snapToGrid w:val="0"/>
          <w:color w:val="auto"/>
          <w:highlight w:val="none"/>
        </w:rPr>
      </w:pPr>
      <w:r>
        <w:rPr>
          <w:rFonts w:hint="eastAsia"/>
          <w:snapToGrid w:val="0"/>
          <w:color w:val="auto"/>
          <w:highlight w:val="none"/>
        </w:rPr>
        <w:t>1.3.1.10 高压安装标</w:t>
      </w:r>
    </w:p>
    <w:p>
      <w:pPr>
        <w:pStyle w:val="76"/>
        <w:rPr>
          <w:color w:val="auto"/>
          <w:highlight w:val="none"/>
        </w:rPr>
      </w:pPr>
      <w:r>
        <w:rPr>
          <w:rFonts w:hint="eastAsia"/>
          <w:color w:val="auto"/>
          <w:highlight w:val="none"/>
        </w:rPr>
        <w:t>负责</w:t>
      </w:r>
      <w:r>
        <w:rPr>
          <w:color w:val="auto"/>
          <w:highlight w:val="none"/>
        </w:rPr>
        <w:t>220kV</w:t>
      </w:r>
      <w:r>
        <w:rPr>
          <w:rFonts w:hint="eastAsia"/>
          <w:color w:val="auto"/>
          <w:highlight w:val="none"/>
        </w:rPr>
        <w:t>主变压器及其附属设备；</w:t>
      </w:r>
      <w:r>
        <w:rPr>
          <w:color w:val="auto"/>
          <w:highlight w:val="none"/>
        </w:rPr>
        <w:t>220kV GIS</w:t>
      </w:r>
      <w:r>
        <w:rPr>
          <w:rFonts w:hint="eastAsia"/>
          <w:color w:val="auto"/>
          <w:highlight w:val="none"/>
        </w:rPr>
        <w:t>及附属设备；</w:t>
      </w:r>
      <w:r>
        <w:rPr>
          <w:color w:val="auto"/>
          <w:highlight w:val="none"/>
        </w:rPr>
        <w:t>220kV</w:t>
      </w:r>
      <w:r>
        <w:rPr>
          <w:rFonts w:hint="eastAsia"/>
          <w:color w:val="auto"/>
          <w:highlight w:val="none"/>
        </w:rPr>
        <w:t>电缆及其附属设备；接入系统电力二次设备、</w:t>
      </w:r>
      <w:r>
        <w:rPr>
          <w:rFonts w:hint="eastAsia" w:ascii="宋体" w:hAnsi="宋体" w:cs="宋体"/>
          <w:color w:val="auto"/>
          <w:highlight w:val="none"/>
        </w:rPr>
        <w:t>开关站LCU、开关站直流电源系统</w:t>
      </w:r>
      <w:r>
        <w:rPr>
          <w:rFonts w:hint="eastAsia"/>
          <w:color w:val="auto"/>
          <w:highlight w:val="none"/>
        </w:rPr>
        <w:t>等相关设备的安装工程。</w:t>
      </w:r>
    </w:p>
    <w:p>
      <w:pPr>
        <w:pStyle w:val="67"/>
        <w:rPr>
          <w:rFonts w:hint="eastAsia"/>
          <w:snapToGrid w:val="0"/>
          <w:color w:val="auto"/>
          <w:highlight w:val="none"/>
        </w:rPr>
      </w:pPr>
      <w:r>
        <w:rPr>
          <w:rFonts w:hint="eastAsia"/>
          <w:snapToGrid w:val="0"/>
          <w:color w:val="auto"/>
          <w:highlight w:val="none"/>
        </w:rPr>
        <w:t xml:space="preserve">1.3.1.11 </w:t>
      </w:r>
      <w:r>
        <w:rPr>
          <w:rFonts w:hint="eastAsia"/>
          <w:color w:val="auto"/>
          <w:highlight w:val="none"/>
        </w:rPr>
        <w:t>信息通信及安防</w:t>
      </w:r>
      <w:r>
        <w:rPr>
          <w:rFonts w:hint="eastAsia"/>
          <w:snapToGrid w:val="0"/>
          <w:color w:val="auto"/>
          <w:highlight w:val="none"/>
        </w:rPr>
        <w:t>标</w:t>
      </w:r>
    </w:p>
    <w:p>
      <w:pPr>
        <w:pStyle w:val="76"/>
        <w:rPr>
          <w:rFonts w:hint="eastAsia"/>
          <w:color w:val="auto"/>
          <w:highlight w:val="none"/>
        </w:rPr>
      </w:pPr>
      <w:r>
        <w:rPr>
          <w:rFonts w:hint="eastAsia"/>
          <w:color w:val="auto"/>
          <w:highlight w:val="none"/>
        </w:rPr>
        <w:t>信通及弱电辅助系统设备采购及安装(包括工业电视、安防、门禁等)</w:t>
      </w:r>
      <w:r>
        <w:rPr>
          <w:rFonts w:hint="eastAsia"/>
          <w:color w:val="auto"/>
          <w:highlight w:val="none"/>
          <w:lang w:eastAsia="zh-CN"/>
        </w:rPr>
        <w:t>、</w:t>
      </w:r>
      <w:r>
        <w:rPr>
          <w:rFonts w:hint="eastAsia"/>
          <w:color w:val="auto"/>
          <w:highlight w:val="none"/>
        </w:rPr>
        <w:t>机房装修等。</w:t>
      </w:r>
    </w:p>
    <w:p>
      <w:pPr>
        <w:pStyle w:val="67"/>
        <w:rPr>
          <w:rFonts w:hint="eastAsia"/>
          <w:snapToGrid w:val="0"/>
          <w:color w:val="auto"/>
          <w:highlight w:val="none"/>
        </w:rPr>
      </w:pPr>
      <w:r>
        <w:rPr>
          <w:rFonts w:hint="eastAsia"/>
          <w:snapToGrid w:val="0"/>
          <w:color w:val="auto"/>
          <w:highlight w:val="none"/>
        </w:rPr>
        <w:t>1.3.1.12  土建工程质量检测标</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发包人另行招标委托其他承包人负责对本工程所有土建项目进行质量检测</w:t>
      </w:r>
      <w:r>
        <w:rPr>
          <w:rFonts w:ascii="Times New Roman" w:hAnsi="Times New Roman"/>
          <w:color w:val="auto"/>
          <w:sz w:val="24"/>
          <w:szCs w:val="24"/>
          <w:highlight w:val="none"/>
        </w:rPr>
        <w:t>(</w:t>
      </w:r>
      <w:r>
        <w:rPr>
          <w:rFonts w:hint="eastAsia" w:ascii="Times New Roman" w:hAnsi="Times New Roman"/>
          <w:color w:val="auto"/>
          <w:sz w:val="24"/>
          <w:szCs w:val="24"/>
          <w:highlight w:val="none"/>
        </w:rPr>
        <w:t>包含锚杆的无损检测</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的相关工作。</w:t>
      </w:r>
    </w:p>
    <w:p>
      <w:pPr>
        <w:pStyle w:val="7"/>
        <w:rPr>
          <w:rFonts w:hAnsi="Times New Roman"/>
          <w:color w:val="auto"/>
          <w:highlight w:val="none"/>
        </w:rPr>
      </w:pPr>
      <w:r>
        <w:rPr>
          <w:rFonts w:hAnsi="Times New Roman"/>
          <w:snapToGrid w:val="0"/>
          <w:color w:val="auto"/>
          <w:highlight w:val="none"/>
        </w:rPr>
        <w:t>1.3.1.</w:t>
      </w:r>
      <w:r>
        <w:rPr>
          <w:rFonts w:hAnsi="Times New Roman"/>
          <w:snapToGrid w:val="0"/>
          <w:color w:val="auto"/>
          <w:highlight w:val="none"/>
          <w:lang w:val="en-US"/>
        </w:rPr>
        <w:t>13</w:t>
      </w:r>
      <w:r>
        <w:rPr>
          <w:rFonts w:hAnsi="Times New Roman"/>
          <w:snapToGrid w:val="0"/>
          <w:color w:val="auto"/>
          <w:highlight w:val="none"/>
        </w:rPr>
        <w:t xml:space="preserve">  </w:t>
      </w:r>
      <w:r>
        <w:rPr>
          <w:rFonts w:hint="eastAsia" w:hAnsi="Times New Roman"/>
          <w:snapToGrid w:val="0"/>
          <w:color w:val="auto"/>
          <w:highlight w:val="none"/>
        </w:rPr>
        <w:t>物探</w:t>
      </w:r>
      <w:r>
        <w:rPr>
          <w:rFonts w:hint="eastAsia" w:hAnsi="Times New Roman"/>
          <w:color w:val="auto"/>
          <w:highlight w:val="none"/>
        </w:rPr>
        <w:t>检测标</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发包人另行招标委托其他承包人负责对本工程灌浆等项目进行物探检测的相关工作。</w:t>
      </w:r>
    </w:p>
    <w:p>
      <w:pPr>
        <w:pStyle w:val="7"/>
        <w:rPr>
          <w:rFonts w:hAnsi="Times New Roman"/>
          <w:color w:val="auto"/>
          <w:highlight w:val="none"/>
        </w:rPr>
      </w:pPr>
      <w:r>
        <w:rPr>
          <w:rFonts w:hAnsi="Times New Roman"/>
          <w:snapToGrid w:val="0"/>
          <w:color w:val="auto"/>
          <w:highlight w:val="none"/>
        </w:rPr>
        <w:t>1.3.1.</w:t>
      </w:r>
      <w:r>
        <w:rPr>
          <w:rFonts w:hAnsi="Times New Roman"/>
          <w:snapToGrid w:val="0"/>
          <w:color w:val="auto"/>
          <w:highlight w:val="none"/>
          <w:lang w:val="en-US"/>
        </w:rPr>
        <w:t>14</w:t>
      </w:r>
      <w:r>
        <w:rPr>
          <w:rFonts w:hAnsi="Times New Roman"/>
          <w:snapToGrid w:val="0"/>
          <w:color w:val="auto"/>
          <w:highlight w:val="none"/>
        </w:rPr>
        <w:t xml:space="preserve">  </w:t>
      </w:r>
      <w:r>
        <w:rPr>
          <w:rFonts w:hint="eastAsia" w:hAnsi="Times New Roman"/>
          <w:snapToGrid w:val="0"/>
          <w:color w:val="auto"/>
          <w:highlight w:val="none"/>
        </w:rPr>
        <w:t>金属结构质量</w:t>
      </w:r>
      <w:r>
        <w:rPr>
          <w:rFonts w:hint="eastAsia" w:hAnsi="Times New Roman"/>
          <w:color w:val="auto"/>
          <w:highlight w:val="none"/>
        </w:rPr>
        <w:t>检测标</w:t>
      </w:r>
    </w:p>
    <w:p>
      <w:pPr>
        <w:adjustRightInd w:val="0"/>
        <w:snapToGrid w:val="0"/>
        <w:spacing w:line="480" w:lineRule="exact"/>
        <w:ind w:firstLine="480" w:firstLineChars="200"/>
        <w:rPr>
          <w:rFonts w:hint="eastAsia"/>
          <w:color w:val="auto"/>
          <w:sz w:val="24"/>
          <w:szCs w:val="24"/>
          <w:highlight w:val="none"/>
        </w:rPr>
      </w:pPr>
      <w:r>
        <w:rPr>
          <w:rFonts w:hint="eastAsia"/>
          <w:color w:val="auto"/>
          <w:sz w:val="24"/>
          <w:szCs w:val="24"/>
          <w:highlight w:val="none"/>
        </w:rPr>
        <w:t>对本工程压力钢管等所有金属结构项目进行质量检测的相关工作，发包人另行招标委托其他承包人进行抽检。</w:t>
      </w:r>
    </w:p>
    <w:p>
      <w:pPr>
        <w:pStyle w:val="7"/>
        <w:rPr>
          <w:rFonts w:hAnsi="Times New Roman"/>
          <w:color w:val="auto"/>
          <w:highlight w:val="none"/>
        </w:rPr>
      </w:pPr>
      <w:r>
        <w:rPr>
          <w:rFonts w:hAnsi="Times New Roman"/>
          <w:snapToGrid w:val="0"/>
          <w:color w:val="auto"/>
          <w:highlight w:val="none"/>
        </w:rPr>
        <w:t>1.3.1.</w:t>
      </w:r>
      <w:r>
        <w:rPr>
          <w:rFonts w:hAnsi="Times New Roman"/>
          <w:snapToGrid w:val="0"/>
          <w:color w:val="auto"/>
          <w:highlight w:val="none"/>
          <w:lang w:val="en-US"/>
        </w:rPr>
        <w:t>15</w:t>
      </w:r>
      <w:r>
        <w:rPr>
          <w:rFonts w:hAnsi="Times New Roman"/>
          <w:snapToGrid w:val="0"/>
          <w:color w:val="auto"/>
          <w:highlight w:val="none"/>
        </w:rPr>
        <w:t xml:space="preserve">  </w:t>
      </w:r>
      <w:r>
        <w:rPr>
          <w:rFonts w:hint="eastAsia" w:hAnsi="Times New Roman"/>
          <w:color w:val="auto"/>
          <w:highlight w:val="none"/>
        </w:rPr>
        <w:t>材料</w:t>
      </w:r>
      <w:r>
        <w:rPr>
          <w:rFonts w:hint="eastAsia" w:hAnsi="Times New Roman"/>
          <w:snapToGrid w:val="0"/>
          <w:color w:val="auto"/>
          <w:highlight w:val="none"/>
        </w:rPr>
        <w:t>供应</w:t>
      </w:r>
      <w:r>
        <w:rPr>
          <w:rFonts w:hint="eastAsia" w:hAnsi="Times New Roman"/>
          <w:color w:val="auto"/>
          <w:highlight w:val="none"/>
        </w:rPr>
        <w:t>商</w:t>
      </w:r>
    </w:p>
    <w:p>
      <w:pPr>
        <w:adjustRightInd w:val="0"/>
        <w:spacing w:line="480" w:lineRule="exact"/>
        <w:ind w:firstLine="480" w:firstLineChars="200"/>
        <w:rPr>
          <w:color w:val="auto"/>
          <w:highlight w:val="none"/>
        </w:rPr>
      </w:pPr>
      <w:r>
        <w:rPr>
          <w:rFonts w:hint="eastAsia"/>
          <w:color w:val="auto"/>
          <w:sz w:val="24"/>
          <w:szCs w:val="24"/>
          <w:highlight w:val="none"/>
        </w:rPr>
        <w:t>本工程通过公开招标确定钢筋、水泥、砂石料、动力电缆的供应商、品牌、价格，本合同工程所需的钢筋、水泥、砂石料、动力电缆由承包人分别与钢筋、水泥、砂石料、动力电缆供应商签订合同供应。</w:t>
      </w:r>
    </w:p>
    <w:p>
      <w:pPr>
        <w:pStyle w:val="132"/>
        <w:rPr>
          <w:snapToGrid w:val="0"/>
          <w:color w:val="auto"/>
          <w:highlight w:val="none"/>
          <w:lang w:val="en-US"/>
        </w:rPr>
      </w:pPr>
      <w:bookmarkStart w:id="58" w:name="_Toc28552"/>
      <w:r>
        <w:rPr>
          <w:snapToGrid w:val="0"/>
          <w:color w:val="auto"/>
          <w:highlight w:val="none"/>
        </w:rPr>
        <w:t xml:space="preserve">1.3.2  </w:t>
      </w:r>
      <w:r>
        <w:rPr>
          <w:rFonts w:hint="eastAsia"/>
          <w:snapToGrid w:val="0"/>
          <w:color w:val="auto"/>
          <w:highlight w:val="none"/>
          <w:lang w:val="en-US"/>
        </w:rPr>
        <w:t>本标承包人与其他相关承包人的工作界面</w:t>
      </w:r>
      <w:bookmarkEnd w:id="58"/>
    </w:p>
    <w:p>
      <w:pPr>
        <w:pStyle w:val="67"/>
        <w:rPr>
          <w:rFonts w:hint="eastAsia"/>
          <w:snapToGrid w:val="0"/>
          <w:color w:val="auto"/>
          <w:highlight w:val="none"/>
        </w:rPr>
      </w:pPr>
      <w:r>
        <w:rPr>
          <w:snapToGrid w:val="0"/>
          <w:color w:val="auto"/>
          <w:highlight w:val="none"/>
        </w:rPr>
        <w:t xml:space="preserve">1.3.2.1  </w:t>
      </w:r>
      <w:r>
        <w:rPr>
          <w:rFonts w:hint="eastAsia"/>
          <w:snapToGrid w:val="0"/>
          <w:color w:val="auto"/>
          <w:highlight w:val="none"/>
        </w:rPr>
        <w:t>上水库土建工程施工招标文件</w:t>
      </w:r>
      <w:r>
        <w:rPr>
          <w:snapToGrid w:val="0"/>
          <w:color w:val="auto"/>
          <w:highlight w:val="none"/>
        </w:rPr>
        <w:t xml:space="preserve">(C1标) </w:t>
      </w:r>
    </w:p>
    <w:p>
      <w:pPr>
        <w:pStyle w:val="76"/>
        <w:rPr>
          <w:color w:val="auto"/>
          <w:highlight w:val="none"/>
        </w:rPr>
      </w:pPr>
      <w:r>
        <w:rPr>
          <w:color w:val="auto"/>
          <w:highlight w:val="none"/>
        </w:rPr>
        <w:t>1</w:t>
      </w:r>
      <w:r>
        <w:rPr>
          <w:rFonts w:hint="eastAsia"/>
          <w:color w:val="auto"/>
          <w:highlight w:val="none"/>
        </w:rPr>
        <w:t>）</w:t>
      </w:r>
      <w:r>
        <w:rPr>
          <w:color w:val="auto"/>
          <w:highlight w:val="none"/>
        </w:rPr>
        <w:tab/>
      </w:r>
      <w:r>
        <w:rPr>
          <w:rFonts w:hint="eastAsia"/>
          <w:color w:val="auto"/>
          <w:highlight w:val="none"/>
        </w:rPr>
        <w:t>接地系统：与C1标接地网（接地抽头）的连接、测试属于本标。</w:t>
      </w:r>
    </w:p>
    <w:p>
      <w:pPr>
        <w:pStyle w:val="76"/>
        <w:rPr>
          <w:color w:val="auto"/>
          <w:highlight w:val="none"/>
        </w:rPr>
      </w:pPr>
      <w:r>
        <w:rPr>
          <w:color w:val="auto"/>
          <w:highlight w:val="none"/>
        </w:rPr>
        <w:t>2</w:t>
      </w:r>
      <w:r>
        <w:rPr>
          <w:rFonts w:hint="eastAsia"/>
          <w:color w:val="auto"/>
          <w:highlight w:val="none"/>
        </w:rPr>
        <w:t>）</w:t>
      </w:r>
      <w:r>
        <w:rPr>
          <w:color w:val="auto"/>
          <w:highlight w:val="none"/>
        </w:rPr>
        <w:tab/>
      </w:r>
      <w:r>
        <w:rPr>
          <w:rFonts w:hint="eastAsia"/>
          <w:color w:val="auto"/>
          <w:highlight w:val="none"/>
        </w:rPr>
        <w:t>照明系统：</w:t>
      </w:r>
      <w:r>
        <w:rPr>
          <w:color w:val="auto"/>
          <w:highlight w:val="none"/>
        </w:rPr>
        <w:t>C1</w:t>
      </w:r>
      <w:r>
        <w:rPr>
          <w:rFonts w:hint="eastAsia"/>
          <w:color w:val="auto"/>
          <w:highlight w:val="none"/>
        </w:rPr>
        <w:t>标负责上库照明系统的采购及安装、调试等工作。本标与</w:t>
      </w:r>
      <w:r>
        <w:rPr>
          <w:color w:val="auto"/>
          <w:highlight w:val="none"/>
        </w:rPr>
        <w:t>C1</w:t>
      </w:r>
      <w:r>
        <w:rPr>
          <w:rFonts w:hint="eastAsia"/>
          <w:color w:val="auto"/>
          <w:highlight w:val="none"/>
        </w:rPr>
        <w:t>标的界面在配电主屏或现地动力配电柜处，由本标负责配电主屏/现地动力配电柜至配电箱或箱变之间的电缆及其电缆桥支架（管）等的采购及安装。</w:t>
      </w:r>
    </w:p>
    <w:p>
      <w:pPr>
        <w:pStyle w:val="76"/>
        <w:rPr>
          <w:color w:val="auto"/>
          <w:highlight w:val="none"/>
        </w:rPr>
      </w:pPr>
      <w:r>
        <w:rPr>
          <w:color w:val="auto"/>
          <w:highlight w:val="none"/>
        </w:rPr>
        <w:t>3</w:t>
      </w:r>
      <w:r>
        <w:rPr>
          <w:rFonts w:hint="eastAsia"/>
          <w:color w:val="auto"/>
          <w:highlight w:val="none"/>
        </w:rPr>
        <w:t>）配电系统：</w:t>
      </w:r>
    </w:p>
    <w:p>
      <w:pPr>
        <w:pStyle w:val="76"/>
        <w:pBdr>
          <w:bottom w:val="none" w:color="auto" w:sz="0" w:space="0"/>
        </w:pBdr>
        <w:rPr>
          <w:color w:val="auto"/>
          <w:highlight w:val="none"/>
        </w:rPr>
      </w:pPr>
      <w:r>
        <w:rPr>
          <w:rFonts w:hint="eastAsia"/>
          <w:color w:val="auto"/>
          <w:highlight w:val="none"/>
        </w:rPr>
        <w:t>与C1标启闭设备、生态流量阀、通风空调设备等的配电系统界面：C1标负责设备现地电控柜的安装，以及现地电控柜至设备的电缆安装，本标负责上库进出水口配电房内配电主屏/动力配电柜及监控系统至设备现地电控柜之间的动力电缆、控制电缆、信号电缆及其电缆桥支架（管）等的采购及安装。</w:t>
      </w:r>
    </w:p>
    <w:p>
      <w:pPr>
        <w:pStyle w:val="76"/>
        <w:numPr>
          <w:ilvl w:val="0"/>
          <w:numId w:val="2"/>
        </w:numPr>
        <w:pBdr>
          <w:bottom w:val="none" w:color="auto" w:sz="0" w:space="0"/>
        </w:pBdr>
        <w:rPr>
          <w:rFonts w:hint="eastAsia"/>
          <w:color w:val="auto"/>
          <w:highlight w:val="none"/>
        </w:rPr>
      </w:pPr>
      <w:r>
        <w:rPr>
          <w:rFonts w:hint="eastAsia"/>
          <w:color w:val="auto"/>
          <w:highlight w:val="none"/>
        </w:rPr>
        <w:t>水力机械：</w:t>
      </w:r>
      <w:r>
        <w:rPr>
          <w:color w:val="auto"/>
          <w:highlight w:val="none"/>
        </w:rPr>
        <w:t>C1</w:t>
      </w:r>
      <w:r>
        <w:rPr>
          <w:rFonts w:hint="eastAsia"/>
          <w:color w:val="auto"/>
          <w:highlight w:val="none"/>
        </w:rPr>
        <w:t>标负责上水库水力测量系统埋管采购及安装，本标承包人负责水力量测明装管路及设备的安装、调试及电缆的采购、敷设等工作。</w:t>
      </w:r>
    </w:p>
    <w:p>
      <w:pPr>
        <w:pStyle w:val="67"/>
        <w:rPr>
          <w:rFonts w:hint="eastAsia"/>
          <w:snapToGrid w:val="0"/>
          <w:color w:val="auto"/>
          <w:highlight w:val="none"/>
        </w:rPr>
      </w:pPr>
      <w:r>
        <w:rPr>
          <w:snapToGrid w:val="0"/>
          <w:color w:val="auto"/>
          <w:highlight w:val="none"/>
        </w:rPr>
        <w:t xml:space="preserve">1.3.2.2  </w:t>
      </w:r>
      <w:r>
        <w:rPr>
          <w:rFonts w:hint="eastAsia"/>
          <w:snapToGrid w:val="0"/>
          <w:color w:val="auto"/>
          <w:highlight w:val="none"/>
        </w:rPr>
        <w:t>下水库土建工程施工招标文件</w:t>
      </w:r>
      <w:r>
        <w:rPr>
          <w:snapToGrid w:val="0"/>
          <w:color w:val="auto"/>
          <w:highlight w:val="none"/>
        </w:rPr>
        <w:t xml:space="preserve">(C2标) </w:t>
      </w:r>
    </w:p>
    <w:p>
      <w:pPr>
        <w:pStyle w:val="76"/>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接地系统：与C2标接地网（接地抽头）的连接、测试属于本标。</w:t>
      </w:r>
    </w:p>
    <w:p>
      <w:pPr>
        <w:pStyle w:val="76"/>
        <w:rPr>
          <w:color w:val="auto"/>
          <w:highlight w:val="none"/>
        </w:rPr>
      </w:pPr>
      <w:r>
        <w:rPr>
          <w:rFonts w:hint="eastAsia"/>
          <w:color w:val="auto"/>
          <w:highlight w:val="none"/>
        </w:rPr>
        <w:t>2）照明系统：</w:t>
      </w:r>
      <w:r>
        <w:rPr>
          <w:color w:val="auto"/>
          <w:highlight w:val="none"/>
        </w:rPr>
        <w:t>C</w:t>
      </w:r>
      <w:r>
        <w:rPr>
          <w:rFonts w:hint="eastAsia"/>
          <w:color w:val="auto"/>
          <w:highlight w:val="none"/>
        </w:rPr>
        <w:t>2标负责上库照明系统的采购及安装、调试等工作。本标与</w:t>
      </w:r>
      <w:r>
        <w:rPr>
          <w:color w:val="auto"/>
          <w:highlight w:val="none"/>
        </w:rPr>
        <w:t>C</w:t>
      </w:r>
      <w:r>
        <w:rPr>
          <w:rFonts w:hint="eastAsia"/>
          <w:color w:val="auto"/>
          <w:highlight w:val="none"/>
        </w:rPr>
        <w:t>2标的界面在配电主屏或现地动力配电柜处，由本标负责配电主屏/现地动力配电柜至配电箱或箱变之间的电缆及其电缆桥支架（管）等的采购及安装。</w:t>
      </w:r>
    </w:p>
    <w:p>
      <w:pPr>
        <w:pStyle w:val="76"/>
        <w:rPr>
          <w:color w:val="auto"/>
          <w:highlight w:val="none"/>
        </w:rPr>
      </w:pPr>
      <w:r>
        <w:rPr>
          <w:rFonts w:hint="eastAsia"/>
          <w:color w:val="auto"/>
          <w:highlight w:val="none"/>
        </w:rPr>
        <w:t>3）配电系统：</w:t>
      </w:r>
    </w:p>
    <w:p>
      <w:pPr>
        <w:pStyle w:val="76"/>
        <w:numPr>
          <w:ilvl w:val="0"/>
          <w:numId w:val="3"/>
        </w:numPr>
        <w:rPr>
          <w:color w:val="auto"/>
          <w:highlight w:val="none"/>
        </w:rPr>
      </w:pPr>
      <w:r>
        <w:rPr>
          <w:rFonts w:hint="eastAsia"/>
          <w:color w:val="auto"/>
          <w:highlight w:val="none"/>
        </w:rPr>
        <w:t>与C2标内启闭机、生态流量阀、放水阀、通风设备、生活营地供水等配电系统的界面：在现地电控柜内，C2标负责现地电控柜的安装，及现地电控柜到设备电缆的敷设；本标承包人负责配电主屏/动力配电柜及监控系统至设备现地电控柜之间的动力电缆、控制电缆、信号电缆及其电缆桥支架等的采购、敷设。水力机械：C2标负责下水库水力测量系统埋管采购及安装，本标承包人负责水力量测明装管路、管支架及量测设备的安装、调试及电缆的采购、敷设等工作。</w:t>
      </w:r>
    </w:p>
    <w:p>
      <w:pPr>
        <w:pStyle w:val="67"/>
        <w:rPr>
          <w:rFonts w:hint="eastAsia"/>
          <w:b/>
          <w:bCs/>
          <w:snapToGrid w:val="0"/>
          <w:color w:val="auto"/>
          <w:highlight w:val="none"/>
        </w:rPr>
      </w:pPr>
      <w:r>
        <w:rPr>
          <w:b/>
          <w:bCs/>
          <w:snapToGrid w:val="0"/>
          <w:color w:val="auto"/>
          <w:highlight w:val="none"/>
        </w:rPr>
        <w:t xml:space="preserve">1.3.2.3  </w:t>
      </w:r>
      <w:r>
        <w:rPr>
          <w:rFonts w:hint="eastAsia"/>
          <w:b/>
          <w:bCs/>
          <w:snapToGrid w:val="0"/>
          <w:color w:val="auto"/>
          <w:highlight w:val="none"/>
        </w:rPr>
        <w:t>输水发电系统工程标</w:t>
      </w:r>
      <w:r>
        <w:rPr>
          <w:b/>
          <w:bCs/>
          <w:snapToGrid w:val="0"/>
          <w:color w:val="auto"/>
          <w:highlight w:val="none"/>
        </w:rPr>
        <w:t xml:space="preserve">(C3标) </w:t>
      </w:r>
    </w:p>
    <w:p>
      <w:pPr>
        <w:pStyle w:val="33"/>
        <w:snapToGrid w:val="0"/>
        <w:spacing w:before="0" w:beforeAutospacing="0" w:after="0" w:afterAutospacing="0" w:line="460" w:lineRule="exact"/>
        <w:ind w:firstLine="424" w:firstLineChars="177"/>
        <w:rPr>
          <w:rFonts w:ascii="Times New Roman" w:hAnsi="Times New Roman"/>
          <w:color w:val="auto"/>
          <w:szCs w:val="24"/>
          <w:highlight w:val="none"/>
        </w:rPr>
      </w:pPr>
      <w:r>
        <w:rPr>
          <w:rFonts w:ascii="Times New Roman" w:hAnsi="Times New Roman"/>
          <w:color w:val="auto"/>
          <w:szCs w:val="24"/>
          <w:highlight w:val="none"/>
          <w:lang w:bidi="ar"/>
        </w:rPr>
        <w:t xml:space="preserve">1) </w:t>
      </w:r>
      <w:r>
        <w:rPr>
          <w:rFonts w:hint="eastAsia" w:ascii="宋体" w:hAnsi="宋体" w:cs="宋体"/>
          <w:color w:val="auto"/>
          <w:szCs w:val="24"/>
          <w:highlight w:val="none"/>
          <w:lang w:bidi="ar"/>
        </w:rPr>
        <w:t>主厂房开挖支护、安装间一期混凝土及其相应埋件属于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标。主机间一期、二期混凝土、地下副厂房混凝土浇筑及其相应埋件安装、安装间二期混凝土浇筑和定、转子基础预埋、主厂房的设备安装、安装间的环氧自流平属于本标。</w:t>
      </w:r>
    </w:p>
    <w:p>
      <w:pPr>
        <w:pStyle w:val="33"/>
        <w:snapToGrid w:val="0"/>
        <w:spacing w:before="0" w:beforeAutospacing="0" w:after="0" w:afterAutospacing="0" w:line="460" w:lineRule="exact"/>
        <w:ind w:firstLine="424" w:firstLineChars="177"/>
        <w:rPr>
          <w:rFonts w:ascii="Times New Roman" w:hAnsi="Times New Roman"/>
          <w:color w:val="auto"/>
          <w:spacing w:val="4"/>
          <w:szCs w:val="24"/>
          <w:highlight w:val="none"/>
        </w:rPr>
      </w:pPr>
      <w:r>
        <w:rPr>
          <w:rFonts w:ascii="Times New Roman" w:hAnsi="Times New Roman"/>
          <w:color w:val="auto"/>
          <w:szCs w:val="24"/>
          <w:highlight w:val="none"/>
          <w:lang w:bidi="ar"/>
        </w:rPr>
        <w:t xml:space="preserve">2) </w:t>
      </w:r>
      <w:r>
        <w:rPr>
          <w:rFonts w:hint="eastAsia" w:ascii="宋体" w:hAnsi="宋体" w:cs="宋体"/>
          <w:color w:val="auto"/>
          <w:szCs w:val="24"/>
          <w:highlight w:val="none"/>
          <w:lang w:bidi="ar"/>
        </w:rPr>
        <w:t>地下主厂房</w:t>
      </w:r>
      <w:r>
        <w:rPr>
          <w:rFonts w:hint="eastAsia" w:ascii="宋体" w:hAnsi="宋体" w:cs="宋体"/>
          <w:color w:val="auto"/>
          <w:spacing w:val="4"/>
          <w:szCs w:val="24"/>
          <w:highlight w:val="none"/>
          <w:lang w:bidi="ar"/>
        </w:rPr>
        <w:t>岩壁吊车梁一期混凝土及附壁柱浇筑和预埋件制安属于</w:t>
      </w:r>
      <w:r>
        <w:rPr>
          <w:rFonts w:ascii="Times New Roman" w:hAnsi="Times New Roman"/>
          <w:color w:val="auto"/>
          <w:szCs w:val="24"/>
          <w:highlight w:val="none"/>
          <w:lang w:bidi="ar"/>
        </w:rPr>
        <w:t>C3</w:t>
      </w:r>
      <w:r>
        <w:rPr>
          <w:rFonts w:hint="eastAsia" w:ascii="宋体" w:hAnsi="宋体" w:cs="宋体"/>
          <w:color w:val="auto"/>
          <w:spacing w:val="4"/>
          <w:szCs w:val="24"/>
          <w:highlight w:val="none"/>
          <w:lang w:bidi="ar"/>
        </w:rPr>
        <w:t>标。</w:t>
      </w:r>
      <w:r>
        <w:rPr>
          <w:rFonts w:hint="eastAsia" w:ascii="宋体" w:hAnsi="宋体" w:cs="宋体"/>
          <w:color w:val="auto"/>
          <w:szCs w:val="24"/>
          <w:highlight w:val="none"/>
          <w:lang w:bidi="ar"/>
        </w:rPr>
        <w:t>地下主厂房</w:t>
      </w:r>
      <w:r>
        <w:rPr>
          <w:rFonts w:hint="eastAsia" w:ascii="宋体" w:hAnsi="宋体" w:cs="宋体"/>
          <w:color w:val="auto"/>
          <w:spacing w:val="4"/>
          <w:szCs w:val="24"/>
          <w:highlight w:val="none"/>
          <w:lang w:bidi="ar"/>
        </w:rPr>
        <w:t>岩壁吊车梁上的永久桥机及轨道安装</w:t>
      </w:r>
      <w:r>
        <w:rPr>
          <w:rFonts w:ascii="Times New Roman" w:hAnsi="Times New Roman"/>
          <w:color w:val="auto"/>
          <w:spacing w:val="4"/>
          <w:szCs w:val="24"/>
          <w:highlight w:val="none"/>
          <w:lang w:bidi="ar"/>
        </w:rPr>
        <w:t>(</w:t>
      </w:r>
      <w:r>
        <w:rPr>
          <w:rFonts w:hint="eastAsia" w:ascii="宋体" w:hAnsi="宋体" w:cs="宋体"/>
          <w:color w:val="auto"/>
          <w:spacing w:val="4"/>
          <w:szCs w:val="24"/>
          <w:highlight w:val="none"/>
          <w:lang w:bidi="ar"/>
        </w:rPr>
        <w:t>含二期混凝土浇筑</w:t>
      </w:r>
      <w:r>
        <w:rPr>
          <w:rFonts w:ascii="Times New Roman" w:hAnsi="Times New Roman"/>
          <w:color w:val="auto"/>
          <w:spacing w:val="4"/>
          <w:szCs w:val="24"/>
          <w:highlight w:val="none"/>
          <w:lang w:bidi="ar"/>
        </w:rPr>
        <w:t>)</w:t>
      </w:r>
      <w:r>
        <w:rPr>
          <w:rFonts w:hint="eastAsia" w:ascii="宋体" w:hAnsi="宋体" w:cs="宋体"/>
          <w:color w:val="auto"/>
          <w:spacing w:val="4"/>
          <w:szCs w:val="24"/>
          <w:highlight w:val="none"/>
          <w:lang w:bidi="ar"/>
        </w:rPr>
        <w:t>属于</w:t>
      </w:r>
      <w:r>
        <w:rPr>
          <w:rFonts w:hint="eastAsia" w:ascii="宋体" w:hAnsi="宋体" w:cs="宋体"/>
          <w:color w:val="auto"/>
          <w:szCs w:val="24"/>
          <w:highlight w:val="none"/>
          <w:lang w:bidi="ar"/>
        </w:rPr>
        <w:t>本标。</w:t>
      </w:r>
    </w:p>
    <w:p>
      <w:pPr>
        <w:pStyle w:val="33"/>
        <w:pBdr>
          <w:bottom w:val="none" w:color="auto" w:sz="0" w:space="0"/>
        </w:pBdr>
        <w:snapToGrid w:val="0"/>
        <w:spacing w:before="0" w:beforeAutospacing="0" w:after="0" w:afterAutospacing="0" w:line="460" w:lineRule="exact"/>
        <w:ind w:firstLine="424" w:firstLineChars="177"/>
        <w:rPr>
          <w:rFonts w:hint="eastAsia"/>
          <w:color w:val="auto"/>
          <w:szCs w:val="24"/>
          <w:highlight w:val="none"/>
        </w:rPr>
      </w:pPr>
      <w:r>
        <w:rPr>
          <w:rFonts w:ascii="Times New Roman" w:hAnsi="Times New Roman"/>
          <w:color w:val="auto"/>
          <w:szCs w:val="24"/>
          <w:highlight w:val="none"/>
          <w:lang w:bidi="ar"/>
        </w:rPr>
        <w:t xml:space="preserve">3) </w:t>
      </w:r>
      <w:r>
        <w:rPr>
          <w:rFonts w:hint="eastAsia" w:ascii="宋体" w:hAnsi="宋体" w:cs="宋体"/>
          <w:color w:val="auto"/>
          <w:szCs w:val="24"/>
          <w:highlight w:val="none"/>
          <w:lang w:bidi="ar"/>
        </w:rPr>
        <w:t>主厂房支撑网架结构的带型牛腿和预埋件制安属于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标。主厂房吊顶网架及</w:t>
      </w:r>
      <w:r>
        <w:rPr>
          <w:rFonts w:hint="eastAsia"/>
          <w:color w:val="auto"/>
          <w:szCs w:val="24"/>
          <w:highlight w:val="none"/>
        </w:rPr>
        <w:t>防水工程由本标承包人负责，围岩防水由C3标承包人负责。</w:t>
      </w:r>
    </w:p>
    <w:p>
      <w:pPr>
        <w:pStyle w:val="33"/>
        <w:pBdr>
          <w:bottom w:val="none" w:color="auto" w:sz="0" w:space="0"/>
        </w:pBdr>
        <w:snapToGrid w:val="0"/>
        <w:spacing w:before="0" w:beforeAutospacing="0" w:after="0" w:afterAutospacing="0" w:line="460" w:lineRule="exact"/>
        <w:ind w:firstLine="424" w:firstLineChars="177"/>
        <w:rPr>
          <w:rFonts w:hint="eastAsia" w:ascii="宋体" w:hAnsi="宋体" w:cs="宋体"/>
          <w:color w:val="auto"/>
          <w:szCs w:val="24"/>
          <w:highlight w:val="none"/>
          <w:lang w:bidi="ar"/>
        </w:rPr>
      </w:pPr>
      <w:r>
        <w:rPr>
          <w:rFonts w:hint="eastAsia" w:ascii="宋体" w:hAnsi="宋体" w:cs="宋体"/>
          <w:color w:val="auto"/>
          <w:szCs w:val="24"/>
          <w:highlight w:val="none"/>
          <w:lang w:bidi="ar"/>
        </w:rPr>
        <w:t>4) 主变洞的开挖支护及围岩排水属于C3标。主变洞一期二期混凝土及其相应埋件，主变洞顶拱桁架及防水属于本标。高压电缆出线洞开挖、支护、围岩排水、混凝土浇筑及其相应埋件属于C3标，建筑装修属于本标。</w:t>
      </w:r>
    </w:p>
    <w:p>
      <w:pPr>
        <w:pStyle w:val="33"/>
        <w:snapToGrid w:val="0"/>
        <w:spacing w:before="0" w:beforeAutospacing="0" w:after="0" w:afterAutospacing="0" w:line="460" w:lineRule="exact"/>
        <w:ind w:firstLine="424" w:firstLineChars="177"/>
        <w:rPr>
          <w:rFonts w:hint="eastAsia" w:ascii="宋体" w:hAnsi="宋体" w:cs="宋体"/>
          <w:color w:val="auto"/>
          <w:szCs w:val="24"/>
          <w:highlight w:val="none"/>
          <w:lang w:bidi="ar"/>
        </w:rPr>
      </w:pPr>
      <w:r>
        <w:rPr>
          <w:rFonts w:ascii="Times New Roman" w:hAnsi="Times New Roman"/>
          <w:color w:val="auto"/>
          <w:szCs w:val="24"/>
          <w:highlight w:val="none"/>
          <w:lang w:bidi="ar"/>
        </w:rPr>
        <w:t xml:space="preserve">5) </w:t>
      </w:r>
      <w:r>
        <w:rPr>
          <w:rFonts w:hint="eastAsia" w:ascii="宋体" w:hAnsi="宋体" w:cs="宋体"/>
          <w:color w:val="auto"/>
          <w:szCs w:val="24"/>
          <w:highlight w:val="none"/>
          <w:lang w:bidi="ar"/>
        </w:rPr>
        <w:t>母线洞的开挖、支护属于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标；排水、衬砌结构混凝土、设备、管路安装属于本标。</w:t>
      </w:r>
    </w:p>
    <w:p>
      <w:pPr>
        <w:pStyle w:val="33"/>
        <w:pBdr>
          <w:bottom w:val="none" w:color="auto" w:sz="0" w:space="0"/>
        </w:pBdr>
        <w:snapToGrid w:val="0"/>
        <w:spacing w:before="0" w:beforeAutospacing="0" w:after="0" w:afterAutospacing="0" w:line="460" w:lineRule="exact"/>
        <w:ind w:firstLine="424" w:firstLineChars="177"/>
        <w:rPr>
          <w:rFonts w:hint="eastAsia" w:ascii="宋体" w:hAnsi="宋体" w:cs="宋体"/>
          <w:color w:val="auto"/>
          <w:szCs w:val="24"/>
          <w:highlight w:val="none"/>
          <w:lang w:bidi="ar"/>
        </w:rPr>
      </w:pPr>
      <w:r>
        <w:rPr>
          <w:rFonts w:ascii="Times New Roman" w:hAnsi="Times New Roman"/>
          <w:color w:val="auto"/>
          <w:szCs w:val="24"/>
          <w:highlight w:val="none"/>
          <w:lang w:bidi="ar"/>
        </w:rPr>
        <w:t xml:space="preserve">6) </w:t>
      </w:r>
      <w:r>
        <w:rPr>
          <w:rFonts w:hint="eastAsia" w:ascii="Times New Roman" w:hAnsi="Times New Roman"/>
          <w:color w:val="auto"/>
          <w:szCs w:val="24"/>
          <w:highlight w:val="none"/>
          <w:lang w:bidi="ar"/>
        </w:rPr>
        <w:t>空气处</w:t>
      </w:r>
      <w:r>
        <w:rPr>
          <w:rFonts w:hint="eastAsia" w:ascii="宋体" w:hAnsi="宋体" w:cs="宋体"/>
          <w:color w:val="auto"/>
          <w:szCs w:val="24"/>
          <w:highlight w:val="none"/>
          <w:lang w:bidi="ar"/>
        </w:rPr>
        <w:t>理机房的开挖、支护均属于C3标；排水、混凝土浇筑属于本标。</w:t>
      </w:r>
    </w:p>
    <w:p>
      <w:pPr>
        <w:pStyle w:val="33"/>
        <w:snapToGrid w:val="0"/>
        <w:spacing w:before="0" w:beforeAutospacing="0" w:after="0" w:afterAutospacing="0" w:line="460" w:lineRule="exact"/>
        <w:ind w:firstLine="424" w:firstLineChars="177"/>
        <w:rPr>
          <w:rFonts w:ascii="Times New Roman" w:hAnsi="Times New Roman"/>
          <w:color w:val="auto"/>
          <w:spacing w:val="-4"/>
          <w:szCs w:val="24"/>
          <w:highlight w:val="none"/>
        </w:rPr>
      </w:pPr>
      <w:r>
        <w:rPr>
          <w:rFonts w:hint="eastAsia" w:ascii="Times New Roman" w:hAnsi="Times New Roman"/>
          <w:color w:val="auto"/>
          <w:szCs w:val="24"/>
          <w:highlight w:val="none"/>
          <w:lang w:bidi="ar"/>
        </w:rPr>
        <w:t>7</w:t>
      </w:r>
      <w:r>
        <w:rPr>
          <w:rFonts w:ascii="Times New Roman" w:hAnsi="Times New Roman"/>
          <w:color w:val="auto"/>
          <w:szCs w:val="24"/>
          <w:highlight w:val="none"/>
          <w:lang w:bidi="ar"/>
        </w:rPr>
        <w:t xml:space="preserve">) </w:t>
      </w:r>
      <w:r>
        <w:rPr>
          <w:rFonts w:hint="eastAsia" w:ascii="宋体" w:hAnsi="宋体" w:cs="宋体"/>
          <w:color w:val="auto"/>
          <w:spacing w:val="-4"/>
          <w:szCs w:val="24"/>
          <w:highlight w:val="none"/>
          <w:lang w:bidi="ar"/>
        </w:rPr>
        <w:t>输水系统的充水试验工作由</w:t>
      </w:r>
      <w:r>
        <w:rPr>
          <w:rFonts w:hint="eastAsia" w:ascii="宋体" w:hAnsi="宋体" w:cs="宋体"/>
          <w:color w:val="auto"/>
          <w:szCs w:val="24"/>
          <w:highlight w:val="none"/>
          <w:lang w:bidi="ar"/>
        </w:rPr>
        <w:t>本标</w:t>
      </w:r>
      <w:r>
        <w:rPr>
          <w:rFonts w:hint="eastAsia" w:ascii="宋体" w:hAnsi="宋体" w:cs="宋体"/>
          <w:color w:val="auto"/>
          <w:spacing w:val="-4"/>
          <w:szCs w:val="24"/>
          <w:highlight w:val="none"/>
          <w:lang w:bidi="ar"/>
        </w:rPr>
        <w:t>承包人与</w:t>
      </w:r>
      <w:r>
        <w:rPr>
          <w:rFonts w:ascii="Times New Roman" w:hAnsi="Times New Roman"/>
          <w:color w:val="auto"/>
          <w:spacing w:val="-4"/>
          <w:szCs w:val="24"/>
          <w:highlight w:val="none"/>
          <w:lang w:bidi="ar"/>
        </w:rPr>
        <w:t>C3</w:t>
      </w:r>
      <w:r>
        <w:rPr>
          <w:rFonts w:hint="eastAsia" w:ascii="宋体" w:hAnsi="宋体" w:cs="宋体"/>
          <w:color w:val="auto"/>
          <w:spacing w:val="-4"/>
          <w:szCs w:val="24"/>
          <w:highlight w:val="none"/>
          <w:lang w:bidi="ar"/>
        </w:rPr>
        <w:t>标承包人共同配合实施。</w:t>
      </w:r>
    </w:p>
    <w:p>
      <w:pPr>
        <w:pStyle w:val="33"/>
        <w:snapToGrid w:val="0"/>
        <w:spacing w:before="0" w:beforeAutospacing="0" w:after="0" w:afterAutospacing="0" w:line="460" w:lineRule="exact"/>
        <w:ind w:firstLine="410" w:firstLineChars="177"/>
        <w:rPr>
          <w:rFonts w:ascii="Times New Roman" w:hAnsi="Times New Roman"/>
          <w:color w:val="auto"/>
          <w:szCs w:val="24"/>
          <w:highlight w:val="none"/>
        </w:rPr>
      </w:pPr>
      <w:r>
        <w:rPr>
          <w:rFonts w:hint="eastAsia" w:ascii="Times New Roman" w:hAnsi="Times New Roman"/>
          <w:color w:val="auto"/>
          <w:spacing w:val="-4"/>
          <w:szCs w:val="24"/>
          <w:highlight w:val="none"/>
          <w:lang w:bidi="ar"/>
        </w:rPr>
        <w:t>8</w:t>
      </w:r>
      <w:r>
        <w:rPr>
          <w:rFonts w:ascii="Times New Roman" w:hAnsi="Times New Roman"/>
          <w:color w:val="auto"/>
          <w:szCs w:val="24"/>
          <w:highlight w:val="none"/>
          <w:lang w:bidi="ar"/>
        </w:rPr>
        <w:t xml:space="preserve">) </w:t>
      </w:r>
      <w:r>
        <w:rPr>
          <w:rFonts w:hint="eastAsia" w:ascii="宋体" w:hAnsi="宋体" w:cs="宋体"/>
          <w:color w:val="auto"/>
          <w:szCs w:val="24"/>
          <w:highlight w:val="none"/>
          <w:lang w:bidi="ar"/>
        </w:rPr>
        <w:t>以进水阀延伸段和引支钢管的焊缝为界，上游侧引支钢管的安装、焊接由</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标承包人负责；下游侧进水阀延伸段的安装、焊接由本标承包人负责；引支钢管与进水阀延伸段的对接、焊接工作由本标承包人负责。焊缝往上游方向属于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标，往下游方向属于本标。</w:t>
      </w:r>
    </w:p>
    <w:p>
      <w:pPr>
        <w:pStyle w:val="33"/>
        <w:snapToGrid w:val="0"/>
        <w:spacing w:before="0" w:beforeAutospacing="0" w:after="0" w:afterAutospacing="0" w:line="460" w:lineRule="exact"/>
        <w:ind w:firstLine="424" w:firstLineChars="177"/>
        <w:rPr>
          <w:rFonts w:ascii="Times New Roman" w:hAnsi="Times New Roman"/>
          <w:color w:val="auto"/>
          <w:szCs w:val="24"/>
          <w:highlight w:val="none"/>
        </w:rPr>
      </w:pPr>
      <w:r>
        <w:rPr>
          <w:rFonts w:hint="eastAsia" w:ascii="Times New Roman" w:hAnsi="Times New Roman"/>
          <w:color w:val="auto"/>
          <w:szCs w:val="24"/>
          <w:highlight w:val="none"/>
          <w:lang w:bidi="ar"/>
        </w:rPr>
        <w:t>9</w:t>
      </w:r>
      <w:r>
        <w:rPr>
          <w:rFonts w:ascii="Times New Roman" w:hAnsi="Times New Roman"/>
          <w:color w:val="auto"/>
          <w:szCs w:val="24"/>
          <w:highlight w:val="none"/>
          <w:lang w:bidi="ar"/>
        </w:rPr>
        <w:t xml:space="preserve">) </w:t>
      </w:r>
      <w:r>
        <w:rPr>
          <w:rFonts w:hint="eastAsia"/>
          <w:color w:val="auto"/>
          <w:szCs w:val="24"/>
          <w:highlight w:val="none"/>
        </w:rPr>
        <w:t>尾闸室的开挖支护及围岩排水、岩壁吊车梁一期混凝土及附壁柱和一期预埋件属于C3标。尾闸室其余混凝土及其相应埋件、岩壁吊车梁上的永久桥机及轨道安装(含二期混凝土)属于本标。</w:t>
      </w:r>
    </w:p>
    <w:p>
      <w:pPr>
        <w:pStyle w:val="33"/>
        <w:snapToGrid w:val="0"/>
        <w:spacing w:before="0" w:beforeAutospacing="0" w:after="0" w:afterAutospacing="0" w:line="460" w:lineRule="exact"/>
        <w:ind w:firstLine="424" w:firstLineChars="177"/>
        <w:rPr>
          <w:rFonts w:ascii="Times New Roman" w:hAnsi="Times New Roman"/>
          <w:color w:val="auto"/>
          <w:szCs w:val="24"/>
          <w:highlight w:val="none"/>
        </w:rPr>
      </w:pPr>
      <w:r>
        <w:rPr>
          <w:rFonts w:hint="eastAsia" w:ascii="宋体" w:hAnsi="宋体" w:cs="宋体"/>
          <w:color w:val="auto"/>
          <w:szCs w:val="24"/>
          <w:highlight w:val="none"/>
          <w:lang w:bidi="ar"/>
        </w:rPr>
        <w:t>10）以尾闸室下游侧钢管方变圆渐变段末端为分界，往下游方向的尾支钢管、水机埋管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含尾调测压管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的安装，尾支钢管外排水管路</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含环向集水槽钢、纵向集水角钢、纵向排水钢管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的采购、安装，混凝土回填、浇筑以及灌浆工程由</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标承包人负责；往上游方向的尾支钢管、水机埋管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标剩余的尾调测压管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的安装，尾支钢管外排水管路</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含环向集水槽钢、纵向集水角钢、纵向排水钢管</w:t>
      </w:r>
      <w:r>
        <w:rPr>
          <w:rFonts w:ascii="Times New Roman" w:hAnsi="Times New Roman"/>
          <w:color w:val="auto"/>
          <w:szCs w:val="24"/>
          <w:highlight w:val="none"/>
          <w:lang w:bidi="ar"/>
        </w:rPr>
        <w:t>)</w:t>
      </w:r>
      <w:r>
        <w:rPr>
          <w:rFonts w:hint="eastAsia" w:ascii="宋体" w:hAnsi="宋体" w:cs="宋体"/>
          <w:color w:val="auto"/>
          <w:szCs w:val="24"/>
          <w:highlight w:val="none"/>
          <w:lang w:bidi="ar"/>
        </w:rPr>
        <w:t>的采购、安装，混凝土回填、浇筑以及灌浆工程由本标承包人负责。渐变段末端与尾支钢管的对接、焊接工作由本标承包人负责。水机埋管在尾支钢管上的开孔、补强，以及拦污栅的制作和安装，由本标负责。</w:t>
      </w:r>
    </w:p>
    <w:p>
      <w:pPr>
        <w:pStyle w:val="33"/>
        <w:snapToGrid w:val="0"/>
        <w:spacing w:before="0" w:beforeAutospacing="0" w:after="0" w:afterAutospacing="0" w:line="460" w:lineRule="exact"/>
        <w:ind w:firstLine="424" w:firstLineChars="177"/>
        <w:rPr>
          <w:rFonts w:ascii="Times New Roman" w:hAnsi="Times New Roman"/>
          <w:color w:val="auto"/>
          <w:szCs w:val="24"/>
          <w:highlight w:val="none"/>
        </w:rPr>
      </w:pPr>
      <w:r>
        <w:rPr>
          <w:rFonts w:ascii="Times New Roman" w:hAnsi="Times New Roman"/>
          <w:color w:val="auto"/>
          <w:szCs w:val="24"/>
          <w:highlight w:val="none"/>
          <w:lang w:bidi="ar"/>
        </w:rPr>
        <w:t>11</w:t>
      </w:r>
      <w:r>
        <w:rPr>
          <w:rFonts w:hint="eastAsia" w:ascii="宋体" w:hAnsi="宋体" w:cs="宋体"/>
          <w:color w:val="auto"/>
          <w:szCs w:val="24"/>
          <w:highlight w:val="none"/>
          <w:lang w:bidi="ar"/>
        </w:rPr>
        <w:t>）</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负责向本标提供尾闸室下游侧钢管方变圆渐变段末端上游的尾水钢管。该部分钢管及加劲环、阻水环、止推环、灌浆保护套、灌浆孔塞等附件的钢材制作以及完成加工制作期间的运输及保管、试验和验收，钢管加工厂内的钢管及其附件的制造</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含开孔及补强，但不包括水机埋管的开孔及补强</w:t>
      </w:r>
      <w:r>
        <w:rPr>
          <w:rFonts w:ascii="Times New Roman" w:hAnsi="Times New Roman"/>
          <w:color w:val="auto"/>
          <w:szCs w:val="24"/>
          <w:highlight w:val="none"/>
          <w:lang w:bidi="ar"/>
        </w:rPr>
        <w:t>)</w:t>
      </w:r>
      <w:r>
        <w:rPr>
          <w:rFonts w:hint="eastAsia" w:ascii="宋体" w:hAnsi="宋体" w:cs="宋体"/>
          <w:color w:val="auto"/>
          <w:szCs w:val="24"/>
          <w:highlight w:val="none"/>
          <w:lang w:bidi="ar"/>
        </w:rPr>
        <w:t>、焊接和热处理、焊缝检验、涂装试验和检验、涂装施工等均属于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标。根据施工进度要求在成品管节制作完成并经监理人及本标承包人共同检验合格后移交本标，交货地点为</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标段的钢管加工厂。交货时，管节的吊运装车由</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标承包人负责，运输由本标承包人负责。</w:t>
      </w:r>
    </w:p>
    <w:p>
      <w:pPr>
        <w:pStyle w:val="33"/>
        <w:snapToGrid w:val="0"/>
        <w:spacing w:before="0" w:beforeAutospacing="0" w:after="0" w:afterAutospacing="0" w:line="460" w:lineRule="exact"/>
        <w:ind w:firstLine="410" w:firstLineChars="177"/>
        <w:rPr>
          <w:rFonts w:ascii="Times New Roman" w:hAnsi="Times New Roman"/>
          <w:color w:val="auto"/>
          <w:szCs w:val="24"/>
          <w:highlight w:val="none"/>
        </w:rPr>
      </w:pPr>
      <w:r>
        <w:rPr>
          <w:rFonts w:ascii="Times New Roman" w:hAnsi="Times New Roman"/>
          <w:color w:val="auto"/>
          <w:spacing w:val="-4"/>
          <w:szCs w:val="24"/>
          <w:highlight w:val="none"/>
          <w:lang w:bidi="ar"/>
        </w:rPr>
        <w:t>12</w:t>
      </w:r>
      <w:r>
        <w:rPr>
          <w:rFonts w:hint="eastAsia" w:ascii="宋体" w:hAnsi="宋体" w:cs="宋体"/>
          <w:color w:val="auto"/>
          <w:spacing w:val="-4"/>
          <w:szCs w:val="24"/>
          <w:highlight w:val="none"/>
          <w:lang w:bidi="ar"/>
        </w:rPr>
        <w:t>）</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标承包人负责尾闸室下游侧钢管方变圆渐变段末端往下游的尾水调压室量测管路的安装。本标承包人负责尾闸室下游侧钢管方变圆渐变段末端往上游的尾水调压室量测管路的安装。</w:t>
      </w:r>
    </w:p>
    <w:p>
      <w:pPr>
        <w:pStyle w:val="33"/>
        <w:snapToGrid w:val="0"/>
        <w:spacing w:before="0" w:beforeAutospacing="0" w:after="0" w:afterAutospacing="0" w:line="460" w:lineRule="exact"/>
        <w:ind w:firstLine="424" w:firstLineChars="177"/>
        <w:rPr>
          <w:rFonts w:ascii="Times New Roman" w:hAnsi="Times New Roman"/>
          <w:color w:val="auto"/>
          <w:spacing w:val="-4"/>
          <w:szCs w:val="24"/>
          <w:highlight w:val="none"/>
        </w:rPr>
      </w:pPr>
      <w:r>
        <w:rPr>
          <w:rFonts w:ascii="Times New Roman" w:hAnsi="Times New Roman"/>
          <w:color w:val="auto"/>
          <w:szCs w:val="24"/>
          <w:highlight w:val="none"/>
          <w:lang w:bidi="ar"/>
        </w:rPr>
        <w:t>13)</w:t>
      </w:r>
      <w:r>
        <w:rPr>
          <w:rFonts w:hint="eastAsia" w:ascii="宋体" w:hAnsi="宋体" w:cs="宋体"/>
          <w:color w:val="auto"/>
          <w:szCs w:val="24"/>
          <w:highlight w:val="none"/>
          <w:lang w:bidi="ar"/>
        </w:rPr>
        <w:t>由</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标开挖且由本标衬砌</w:t>
      </w:r>
      <w:r>
        <w:rPr>
          <w:rFonts w:ascii="Times New Roman" w:hAnsi="Times New Roman"/>
          <w:color w:val="auto"/>
          <w:szCs w:val="24"/>
          <w:highlight w:val="none"/>
          <w:lang w:bidi="ar"/>
        </w:rPr>
        <w:t>(</w:t>
      </w:r>
      <w:r>
        <w:rPr>
          <w:rFonts w:hint="eastAsia" w:ascii="宋体" w:hAnsi="宋体" w:cs="宋体"/>
          <w:color w:val="auto"/>
          <w:szCs w:val="24"/>
          <w:highlight w:val="none"/>
          <w:lang w:bidi="ar"/>
        </w:rPr>
        <w:t>含回填</w:t>
      </w:r>
      <w:r>
        <w:rPr>
          <w:rFonts w:ascii="Times New Roman" w:hAnsi="Times New Roman"/>
          <w:color w:val="auto"/>
          <w:szCs w:val="24"/>
          <w:highlight w:val="none"/>
          <w:lang w:bidi="ar"/>
        </w:rPr>
        <w:t>)</w:t>
      </w:r>
      <w:r>
        <w:rPr>
          <w:rFonts w:hint="eastAsia" w:ascii="宋体" w:hAnsi="宋体" w:cs="宋体"/>
          <w:color w:val="auto"/>
          <w:szCs w:val="24"/>
          <w:highlight w:val="none"/>
          <w:lang w:bidi="ar"/>
        </w:rPr>
        <w:t>的洞室，包括但不限于主副厂房、母线洞、主变洞、尾闸室、引水尾水支洞</w:t>
      </w:r>
      <w:r>
        <w:rPr>
          <w:rFonts w:ascii="Times New Roman" w:hAnsi="Times New Roman"/>
          <w:color w:val="auto"/>
          <w:szCs w:val="24"/>
          <w:highlight w:val="none"/>
          <w:lang w:bidi="ar"/>
        </w:rPr>
        <w:t>(</w:t>
      </w:r>
      <w:r>
        <w:rPr>
          <w:rFonts w:hint="eastAsia" w:ascii="宋体" w:hAnsi="宋体" w:cs="宋体"/>
          <w:color w:val="auto"/>
          <w:szCs w:val="24"/>
          <w:highlight w:val="none"/>
          <w:lang w:bidi="ar"/>
        </w:rPr>
        <w:t>部分</w:t>
      </w:r>
      <w:r>
        <w:rPr>
          <w:rFonts w:ascii="Times New Roman" w:hAnsi="Times New Roman"/>
          <w:color w:val="auto"/>
          <w:szCs w:val="24"/>
          <w:highlight w:val="none"/>
          <w:lang w:bidi="ar"/>
        </w:rPr>
        <w:t>)</w:t>
      </w:r>
      <w:r>
        <w:rPr>
          <w:rFonts w:hint="eastAsia" w:ascii="宋体" w:hAnsi="宋体" w:cs="宋体"/>
          <w:color w:val="auto"/>
          <w:szCs w:val="24"/>
          <w:highlight w:val="none"/>
          <w:lang w:bidi="ar"/>
        </w:rPr>
        <w:t>等部位，若实际上述所有部位非地质原因超出设计轮廓线的超挖总工程量大于对应设计允许超挖总工程量，超挖部分的回填混凝土按照发包人实际支付给本标的费用，从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标合同款扣除。开挖收方测量资料以</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标承包人、本标承包人、监理共同确认为准。</w:t>
      </w:r>
    </w:p>
    <w:p>
      <w:pPr>
        <w:pStyle w:val="33"/>
        <w:snapToGrid w:val="0"/>
        <w:spacing w:before="0" w:beforeAutospacing="0" w:after="0" w:afterAutospacing="0" w:line="460" w:lineRule="exact"/>
        <w:ind w:firstLine="424" w:firstLineChars="177"/>
        <w:rPr>
          <w:rFonts w:hint="eastAsia" w:ascii="宋体" w:hAnsi="宋体" w:cs="宋体"/>
          <w:color w:val="auto"/>
          <w:szCs w:val="24"/>
          <w:highlight w:val="none"/>
          <w:lang w:bidi="ar"/>
        </w:rPr>
      </w:pPr>
      <w:r>
        <w:rPr>
          <w:rFonts w:ascii="Times New Roman" w:hAnsi="Times New Roman"/>
          <w:color w:val="auto"/>
          <w:szCs w:val="24"/>
          <w:highlight w:val="none"/>
          <w:lang w:bidi="ar"/>
        </w:rPr>
        <w:t>14</w:t>
      </w:r>
      <w:r>
        <w:rPr>
          <w:rFonts w:hint="eastAsia" w:ascii="宋体" w:hAnsi="宋体" w:cs="宋体"/>
          <w:color w:val="auto"/>
          <w:szCs w:val="24"/>
          <w:highlight w:val="none"/>
          <w:lang w:bidi="ar"/>
        </w:rPr>
        <w:t>）接地系统：</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标负责施工范围内接地网的采购、敷设；本标承包人负责本标范围内地下厂房接地网建设；负责与</w:t>
      </w:r>
      <w:r>
        <w:rPr>
          <w:rFonts w:ascii="Times New Roman" w:hAnsi="Times New Roman"/>
          <w:color w:val="auto"/>
          <w:szCs w:val="24"/>
          <w:highlight w:val="none"/>
          <w:lang w:bidi="ar"/>
        </w:rPr>
        <w:t>C3</w:t>
      </w:r>
      <w:r>
        <w:rPr>
          <w:rFonts w:hint="eastAsia" w:ascii="宋体" w:hAnsi="宋体" w:cs="宋体"/>
          <w:color w:val="auto"/>
          <w:szCs w:val="24"/>
          <w:highlight w:val="none"/>
          <w:lang w:bidi="ar"/>
        </w:rPr>
        <w:t>标接地网（接地抽头）的连接、测试及其材料采购。</w:t>
      </w:r>
    </w:p>
    <w:p>
      <w:pPr>
        <w:pStyle w:val="33"/>
        <w:snapToGrid w:val="0"/>
        <w:spacing w:before="0" w:beforeAutospacing="0" w:after="0" w:afterAutospacing="0" w:line="460" w:lineRule="exact"/>
        <w:ind w:firstLine="424" w:firstLineChars="177"/>
        <w:rPr>
          <w:rFonts w:hint="eastAsia" w:ascii="宋体" w:hAnsi="宋体" w:cs="宋体"/>
          <w:color w:val="auto"/>
          <w:szCs w:val="24"/>
          <w:highlight w:val="none"/>
          <w:lang w:bidi="ar"/>
        </w:rPr>
      </w:pPr>
      <w:r>
        <w:rPr>
          <w:rFonts w:ascii="宋体" w:hAnsi="宋体" w:cs="宋体"/>
          <w:color w:val="auto"/>
          <w:szCs w:val="24"/>
          <w:highlight w:val="none"/>
          <w:lang w:bidi="ar"/>
        </w:rPr>
        <w:t>15</w:t>
      </w:r>
      <w:r>
        <w:rPr>
          <w:rFonts w:hint="eastAsia" w:ascii="宋体" w:hAnsi="宋体" w:cs="宋体"/>
          <w:color w:val="auto"/>
          <w:szCs w:val="24"/>
          <w:highlight w:val="none"/>
          <w:lang w:bidi="ar"/>
        </w:rPr>
        <w:t>）照明系统：</w:t>
      </w:r>
      <w:r>
        <w:rPr>
          <w:rFonts w:ascii="宋体" w:hAnsi="宋体" w:cs="宋体"/>
          <w:color w:val="auto"/>
          <w:szCs w:val="24"/>
          <w:highlight w:val="none"/>
          <w:lang w:bidi="ar"/>
        </w:rPr>
        <w:t>C3</w:t>
      </w:r>
      <w:r>
        <w:rPr>
          <w:rFonts w:hint="eastAsia" w:ascii="宋体" w:hAnsi="宋体" w:cs="宋体"/>
          <w:color w:val="auto"/>
          <w:szCs w:val="24"/>
          <w:highlight w:val="none"/>
          <w:lang w:bidi="ar"/>
        </w:rPr>
        <w:t>标负责开关站、下库进出水口配电房、下库进出水口启闭机室照明系统的采购及安装、调试等工作。本标与</w:t>
      </w:r>
      <w:r>
        <w:rPr>
          <w:rFonts w:ascii="宋体" w:hAnsi="宋体" w:cs="宋体"/>
          <w:color w:val="auto"/>
          <w:szCs w:val="24"/>
          <w:highlight w:val="none"/>
          <w:lang w:bidi="ar"/>
        </w:rPr>
        <w:t>C3</w:t>
      </w:r>
      <w:r>
        <w:rPr>
          <w:rFonts w:hint="eastAsia" w:ascii="宋体" w:hAnsi="宋体" w:cs="宋体"/>
          <w:color w:val="auto"/>
          <w:szCs w:val="24"/>
          <w:highlight w:val="none"/>
          <w:lang w:bidi="ar"/>
        </w:rPr>
        <w:t>标的界面在配电主屏</w:t>
      </w:r>
      <w:r>
        <w:rPr>
          <w:rFonts w:ascii="宋体" w:hAnsi="宋体" w:cs="宋体"/>
          <w:color w:val="auto"/>
          <w:szCs w:val="24"/>
          <w:highlight w:val="none"/>
          <w:lang w:bidi="ar"/>
        </w:rPr>
        <w:t>/</w:t>
      </w:r>
      <w:r>
        <w:rPr>
          <w:rFonts w:hint="eastAsia" w:ascii="宋体" w:hAnsi="宋体" w:cs="宋体"/>
          <w:color w:val="auto"/>
          <w:szCs w:val="24"/>
          <w:highlight w:val="none"/>
          <w:lang w:bidi="ar"/>
        </w:rPr>
        <w:t>现地动力配电柜处，由本标负责配电主屏</w:t>
      </w:r>
      <w:r>
        <w:rPr>
          <w:rFonts w:ascii="宋体" w:hAnsi="宋体" w:cs="宋体"/>
          <w:color w:val="auto"/>
          <w:szCs w:val="24"/>
          <w:highlight w:val="none"/>
          <w:lang w:bidi="ar"/>
        </w:rPr>
        <w:t>/</w:t>
      </w:r>
      <w:r>
        <w:rPr>
          <w:rFonts w:hint="eastAsia" w:ascii="宋体" w:hAnsi="宋体" w:cs="宋体"/>
          <w:color w:val="auto"/>
          <w:szCs w:val="24"/>
          <w:highlight w:val="none"/>
          <w:lang w:bidi="ar"/>
        </w:rPr>
        <w:t>现地动力配电柜至配电箱或开关站</w:t>
      </w:r>
      <w:r>
        <w:rPr>
          <w:rFonts w:ascii="宋体" w:hAnsi="宋体" w:cs="宋体"/>
          <w:color w:val="auto"/>
          <w:szCs w:val="24"/>
          <w:highlight w:val="none"/>
          <w:lang w:bidi="ar"/>
        </w:rPr>
        <w:t>EPS</w:t>
      </w:r>
      <w:r>
        <w:rPr>
          <w:rFonts w:hint="eastAsia" w:ascii="宋体" w:hAnsi="宋体" w:cs="宋体"/>
          <w:color w:val="auto"/>
          <w:szCs w:val="24"/>
          <w:highlight w:val="none"/>
          <w:lang w:bidi="ar"/>
        </w:rPr>
        <w:t>之间的电线及其电缆桥支架（管）等的采购及安装。</w:t>
      </w:r>
    </w:p>
    <w:p>
      <w:pPr>
        <w:pStyle w:val="33"/>
        <w:snapToGrid w:val="0"/>
        <w:spacing w:before="0" w:beforeAutospacing="0" w:after="0" w:afterAutospacing="0" w:line="460" w:lineRule="exact"/>
        <w:ind w:firstLine="424" w:firstLineChars="177"/>
        <w:rPr>
          <w:rFonts w:ascii="宋体" w:hAnsi="宋体" w:cs="宋体"/>
          <w:color w:val="auto"/>
          <w:szCs w:val="24"/>
          <w:highlight w:val="none"/>
          <w:lang w:bidi="ar"/>
        </w:rPr>
      </w:pPr>
      <w:r>
        <w:rPr>
          <w:rFonts w:ascii="宋体" w:hAnsi="宋体" w:cs="宋体"/>
          <w:color w:val="auto"/>
          <w:szCs w:val="24"/>
          <w:highlight w:val="none"/>
          <w:lang w:bidi="ar"/>
        </w:rPr>
        <w:t>16</w:t>
      </w:r>
      <w:r>
        <w:rPr>
          <w:rFonts w:hint="eastAsia" w:ascii="宋体" w:hAnsi="宋体" w:cs="宋体"/>
          <w:color w:val="auto"/>
          <w:szCs w:val="24"/>
          <w:highlight w:val="none"/>
          <w:lang w:bidi="ar"/>
        </w:rPr>
        <w:t>）配电系统：</w:t>
      </w:r>
      <w:r>
        <w:rPr>
          <w:rFonts w:ascii="宋体" w:hAnsi="宋体" w:cs="宋体"/>
          <w:color w:val="auto"/>
          <w:szCs w:val="24"/>
          <w:highlight w:val="none"/>
          <w:lang w:bidi="ar"/>
        </w:rPr>
        <w:t>与C3标内</w:t>
      </w:r>
      <w:r>
        <w:rPr>
          <w:i w:val="0"/>
          <w:strike w:val="0"/>
          <w:color w:val="auto"/>
          <w:spacing w:val="0"/>
          <w:highlight w:val="none"/>
          <w:u w:val="none"/>
        </w:rPr>
        <w:t>下水库进/出水口拦污栅、闸门、启闭机</w:t>
      </w:r>
      <w:r>
        <w:rPr>
          <w:rFonts w:ascii="宋体" w:hAnsi="宋体" w:cs="宋体"/>
          <w:color w:val="auto"/>
          <w:szCs w:val="24"/>
          <w:highlight w:val="none"/>
          <w:lang w:bidi="ar"/>
        </w:rPr>
        <w:t>等配电系统的界面：在现地电控柜内，C3标负责现地电控柜的安装，及现地电控柜到设备电缆的敷设；本标承包人负责配电主屏/动力配电柜及监控系统至设备现地电控柜之间的动力电缆、控制电缆、信号电缆及其电缆桥支架等的采购、敷设。</w:t>
      </w:r>
    </w:p>
    <w:p>
      <w:pPr>
        <w:pStyle w:val="67"/>
        <w:rPr>
          <w:rFonts w:hint="eastAsia"/>
          <w:snapToGrid w:val="0"/>
          <w:color w:val="auto"/>
          <w:highlight w:val="none"/>
        </w:rPr>
      </w:pPr>
      <w:r>
        <w:rPr>
          <w:snapToGrid w:val="0"/>
          <w:color w:val="auto"/>
          <w:highlight w:val="none"/>
        </w:rPr>
        <w:t xml:space="preserve">1.3.2.4  </w:t>
      </w:r>
      <w:r>
        <w:rPr>
          <w:rFonts w:hint="eastAsia"/>
          <w:snapToGrid w:val="0"/>
          <w:color w:val="auto"/>
          <w:highlight w:val="none"/>
        </w:rPr>
        <w:t>机组及辅助设备采购标</w:t>
      </w:r>
      <w:r>
        <w:rPr>
          <w:snapToGrid w:val="0"/>
          <w:color w:val="auto"/>
          <w:highlight w:val="none"/>
        </w:rPr>
        <w:t>(EM</w:t>
      </w:r>
      <w:r>
        <w:rPr>
          <w:rFonts w:hint="eastAsia"/>
          <w:snapToGrid w:val="0"/>
          <w:color w:val="auto"/>
          <w:highlight w:val="none"/>
        </w:rPr>
        <w:t>1</w:t>
      </w:r>
      <w:r>
        <w:rPr>
          <w:snapToGrid w:val="0"/>
          <w:color w:val="auto"/>
          <w:highlight w:val="none"/>
        </w:rPr>
        <w:t xml:space="preserve">标) </w:t>
      </w:r>
    </w:p>
    <w:p>
      <w:pPr>
        <w:pStyle w:val="76"/>
        <w:rPr>
          <w:color w:val="auto"/>
          <w:highlight w:val="none"/>
        </w:rPr>
      </w:pPr>
      <w:r>
        <w:rPr>
          <w:rFonts w:hint="eastAsia"/>
          <w:color w:val="auto"/>
          <w:highlight w:val="none"/>
        </w:rPr>
        <w:t>1）E</w:t>
      </w:r>
      <w:r>
        <w:rPr>
          <w:color w:val="auto"/>
          <w:highlight w:val="none"/>
        </w:rPr>
        <w:t>M</w:t>
      </w:r>
      <w:r>
        <w:rPr>
          <w:rFonts w:hint="eastAsia"/>
          <w:color w:val="auto"/>
          <w:highlight w:val="none"/>
        </w:rPr>
        <w:t>1标供货的A类设备（定义见下文）系统之间的连接电缆由</w:t>
      </w:r>
      <w:r>
        <w:rPr>
          <w:color w:val="auto"/>
          <w:highlight w:val="none"/>
        </w:rPr>
        <w:t>EM</w:t>
      </w:r>
      <w:r>
        <w:rPr>
          <w:rFonts w:hint="eastAsia"/>
          <w:color w:val="auto"/>
          <w:highlight w:val="none"/>
        </w:rPr>
        <w:t>1标提供，例如水泵水轮机与进水阀之间的电缆；B类设备（定义见下文）系统对外(之间)的连接电缆(动力、控制及通信电缆和光缆)由本标提供，例如控制柜到厂用电盘柜之间的电缆由本标提供，直流配电屏到监控系统之间的电缆由本标提供；技术供水盘柜到技术供水泵、通风控制柜到风机之间的电缆由本标提供。A类设备与B类设备之间、A类或B类与其他设备（定义见下文）之间的电缆由本标负责。</w:t>
      </w:r>
    </w:p>
    <w:p>
      <w:pPr>
        <w:pStyle w:val="76"/>
        <w:rPr>
          <w:color w:val="auto"/>
          <w:highlight w:val="none"/>
        </w:rPr>
      </w:pPr>
      <w:r>
        <w:rPr>
          <w:rFonts w:hint="eastAsia"/>
          <w:color w:val="auto"/>
          <w:highlight w:val="none"/>
        </w:rPr>
        <w:t>EM1标提供EM1标所供设备侧的接线端子、备用端子以及通信接口设备(包括光电转换器、电接口转换器、光缆终端盒及附件等)。</w:t>
      </w:r>
    </w:p>
    <w:p>
      <w:pPr>
        <w:pStyle w:val="76"/>
        <w:rPr>
          <w:color w:val="auto"/>
          <w:highlight w:val="none"/>
        </w:rPr>
      </w:pPr>
      <w:r>
        <w:rPr>
          <w:rFonts w:hint="eastAsia"/>
          <w:color w:val="auto"/>
          <w:highlight w:val="none"/>
        </w:rPr>
        <w:t>本标负责连接光缆的熔接、通信网线终端头的提供与制作，EM1标提供技术指导并进行质量监督；但对系统内部专用网络的连接由EM1标负责制作，如PLC内部通信电缆、PLC与其他系统（如励磁、SFC、调速器、球阀、尾闸、油压装置等控制系统PLC或控制器）的连接。</w:t>
      </w:r>
    </w:p>
    <w:p>
      <w:pPr>
        <w:pStyle w:val="76"/>
        <w:rPr>
          <w:color w:val="auto"/>
          <w:highlight w:val="none"/>
        </w:rPr>
      </w:pPr>
      <w:r>
        <w:rPr>
          <w:rFonts w:hint="eastAsia"/>
          <w:color w:val="auto"/>
          <w:highlight w:val="none"/>
        </w:rPr>
        <w:t>静止变频装置设备之间的二次电缆(包括通信光缆、尾纤、通信电缆、控制电缆及低压动力电缆)及其附件由主机标采购。</w:t>
      </w:r>
    </w:p>
    <w:p>
      <w:pPr>
        <w:pStyle w:val="76"/>
        <w:rPr>
          <w:color w:val="auto"/>
          <w:highlight w:val="none"/>
        </w:rPr>
      </w:pPr>
      <w:r>
        <w:rPr>
          <w:rFonts w:hint="eastAsia"/>
          <w:color w:val="auto"/>
          <w:highlight w:val="none"/>
        </w:rPr>
        <w:t>以下为A类设备、B类设备、其他设备的定义：</w:t>
      </w:r>
    </w:p>
    <w:p>
      <w:pPr>
        <w:pStyle w:val="76"/>
        <w:rPr>
          <w:color w:val="auto"/>
          <w:highlight w:val="none"/>
        </w:rPr>
      </w:pPr>
      <w:r>
        <w:rPr>
          <w:rFonts w:hint="eastAsia"/>
          <w:color w:val="auto"/>
          <w:highlight w:val="none"/>
        </w:rPr>
        <w:t>A类设备即机组设备是指电站主机及附属设备，包括水泵水轮机及其附属设备，进水阀及其操作系统，发电电动机及其附属设备等，</w:t>
      </w:r>
      <w:r>
        <w:rPr>
          <w:rFonts w:hint="eastAsia"/>
          <w:color w:val="auto"/>
          <w:szCs w:val="21"/>
          <w:highlight w:val="none"/>
        </w:rPr>
        <w:t>相应的备品备件、专用工具，</w:t>
      </w:r>
      <w:r>
        <w:rPr>
          <w:rFonts w:hint="eastAsia"/>
          <w:color w:val="auto"/>
          <w:highlight w:val="none"/>
        </w:rPr>
        <w:t>以及上述系统(设备)内部及系统(设备)之间</w:t>
      </w:r>
      <w:r>
        <w:rPr>
          <w:rFonts w:hint="eastAsia"/>
          <w:color w:val="auto"/>
          <w:szCs w:val="21"/>
          <w:highlight w:val="none"/>
        </w:rPr>
        <w:t>必要附带的电缆、管路、阀门、桥架、支架、控制设备及其它埋件、附件、材料等，以及配套使用的软件或其他辅助电子应用程序及技术资料</w:t>
      </w:r>
      <w:r>
        <w:rPr>
          <w:rFonts w:hint="eastAsia"/>
          <w:color w:val="auto"/>
          <w:highlight w:val="none"/>
        </w:rPr>
        <w:t>。</w:t>
      </w:r>
    </w:p>
    <w:p>
      <w:pPr>
        <w:pStyle w:val="76"/>
        <w:rPr>
          <w:color w:val="auto"/>
          <w:szCs w:val="21"/>
          <w:highlight w:val="none"/>
        </w:rPr>
      </w:pPr>
      <w:r>
        <w:rPr>
          <w:rFonts w:hint="eastAsia"/>
          <w:color w:val="auto"/>
          <w:highlight w:val="none"/>
        </w:rPr>
        <w:t>B类设备即BOP设备或辅助设备，为除主机及附属设备外的其它辅助设备，包括机组在线监测系统设备、水力机械辅助设备、含油污水处理设备、发电电动机出口电压设备、厂用电设备、计算机监控系统、继电保护系统、交直流控制电源系统、尾水事故闸门液压启闭设备（不含闸门）、通风空调系统设备、钥匙闭锁系统、水库泄放设备等，</w:t>
      </w:r>
      <w:r>
        <w:rPr>
          <w:rFonts w:hint="eastAsia"/>
          <w:color w:val="auto"/>
          <w:szCs w:val="21"/>
          <w:highlight w:val="none"/>
        </w:rPr>
        <w:t>相应的备品备件、专用工具，</w:t>
      </w:r>
      <w:r>
        <w:rPr>
          <w:rFonts w:hint="eastAsia"/>
          <w:color w:val="auto"/>
          <w:highlight w:val="none"/>
        </w:rPr>
        <w:t>以及</w:t>
      </w:r>
      <w:r>
        <w:rPr>
          <w:rFonts w:hint="eastAsia"/>
          <w:color w:val="auto"/>
          <w:szCs w:val="21"/>
          <w:highlight w:val="none"/>
        </w:rPr>
        <w:t>必要附带的电缆、管路、阀门、桥架、支架、控制设备及其它埋件、附件、材料等，以及配套使用的软件或其他辅助电子应用程序及技术资料。</w:t>
      </w:r>
    </w:p>
    <w:p>
      <w:pPr>
        <w:pStyle w:val="76"/>
        <w:rPr>
          <w:color w:val="auto"/>
          <w:highlight w:val="none"/>
        </w:rPr>
      </w:pPr>
      <w:r>
        <w:rPr>
          <w:rFonts w:hint="eastAsia"/>
          <w:color w:val="auto"/>
          <w:highlight w:val="none"/>
        </w:rPr>
        <w:t>其他设备是指与主机标合同范围内设备或系统有关联接口，但不列在主机标合同供货范围内的系统设备、装置性材料等，包括GCB成套设备、厂内通信和工业电视系统、220kV主变压器、220kV</w:t>
      </w:r>
      <w:r>
        <w:rPr>
          <w:color w:val="auto"/>
          <w:highlight w:val="none"/>
        </w:rPr>
        <w:t xml:space="preserve"> </w:t>
      </w:r>
      <w:r>
        <w:rPr>
          <w:rFonts w:hint="eastAsia"/>
          <w:color w:val="auto"/>
          <w:highlight w:val="none"/>
        </w:rPr>
        <w:t>电缆、220kV</w:t>
      </w:r>
      <w:r>
        <w:rPr>
          <w:color w:val="auto"/>
          <w:highlight w:val="none"/>
        </w:rPr>
        <w:t xml:space="preserve"> </w:t>
      </w:r>
      <w:r>
        <w:rPr>
          <w:rFonts w:hint="eastAsia"/>
          <w:color w:val="auto"/>
          <w:highlight w:val="none"/>
        </w:rPr>
        <w:t>GIS、线路保护、中压空压机、消防系统设备、全厂接地系统、全厂照明系统、接入系统二次设备、全厂电缆桥架(机坑内桥架除外)、除主机标供货电缆外的其它电缆及附件、接地材料等。</w:t>
      </w:r>
    </w:p>
    <w:p>
      <w:pPr>
        <w:pStyle w:val="76"/>
        <w:rPr>
          <w:color w:val="auto"/>
          <w:highlight w:val="none"/>
        </w:rPr>
      </w:pPr>
      <w:r>
        <w:rPr>
          <w:rFonts w:hint="eastAsia"/>
          <w:color w:val="auto"/>
          <w:highlight w:val="none"/>
        </w:rPr>
        <w:t>2）本标承包人负责地下洞室主接地网(除EM1标负责供货的设备和系统外)的供货、安装。EM1标负责所有其供货设备和系统的内部接地连接的设计、供货，其内部接地连接的方法应满足相关国家规程、规范的要求，此接地应汇总，汇总后在主设备或其附属设备外壳上不少于两处标示明显的接地符号或“接地”字样，以便本标负责与全厂接地网相连接。如果EM1标认为其供货设备和系统与全厂接地网连接有特殊要求，则应提出此特殊要求并提供接地连接件及其端子。</w:t>
      </w:r>
    </w:p>
    <w:p>
      <w:pPr>
        <w:pStyle w:val="76"/>
        <w:rPr>
          <w:color w:val="auto"/>
          <w:highlight w:val="none"/>
        </w:rPr>
      </w:pPr>
      <w:r>
        <w:rPr>
          <w:rFonts w:hint="eastAsia"/>
          <w:color w:val="auto"/>
          <w:highlight w:val="none"/>
        </w:rPr>
        <w:t>3）柴油发电机、钥匙闭锁设备由EM1标负责安装，本标承包人负责吊装、搬运等配合工作。</w:t>
      </w:r>
    </w:p>
    <w:p>
      <w:pPr>
        <w:pStyle w:val="76"/>
        <w:rPr>
          <w:color w:val="auto"/>
          <w:highlight w:val="none"/>
        </w:rPr>
      </w:pPr>
      <w:r>
        <w:rPr>
          <w:rFonts w:hint="eastAsia"/>
          <w:color w:val="auto"/>
          <w:highlight w:val="none"/>
        </w:rPr>
        <w:t>4）EM1标供货范围内的管路和电缆所需的穿墙套管、过缝套管及过缝处理材料均由本标承包人供货及安装。</w:t>
      </w:r>
    </w:p>
    <w:p>
      <w:pPr>
        <w:pStyle w:val="76"/>
        <w:rPr>
          <w:color w:val="auto"/>
          <w:highlight w:val="none"/>
        </w:rPr>
      </w:pPr>
      <w:r>
        <w:rPr>
          <w:rFonts w:hint="eastAsia"/>
          <w:color w:val="auto"/>
          <w:highlight w:val="none"/>
        </w:rPr>
        <w:t>5）</w:t>
      </w:r>
      <w:r>
        <w:rPr>
          <w:color w:val="auto"/>
          <w:highlight w:val="none"/>
        </w:rPr>
        <w:t>E</w:t>
      </w:r>
      <w:r>
        <w:rPr>
          <w:rFonts w:hint="eastAsia"/>
          <w:color w:val="auto"/>
          <w:highlight w:val="none"/>
        </w:rPr>
        <w:t>M1标供货范围内在电站安装现场需要用到的消防封堵材料由本标承包人供货。</w:t>
      </w:r>
    </w:p>
    <w:p>
      <w:pPr>
        <w:pStyle w:val="76"/>
        <w:rPr>
          <w:color w:val="auto"/>
          <w:highlight w:val="none"/>
        </w:rPr>
      </w:pPr>
      <w:r>
        <w:rPr>
          <w:rFonts w:hint="eastAsia"/>
          <w:color w:val="auto"/>
          <w:highlight w:val="none"/>
        </w:rPr>
        <w:t>6）主要通风空调设备由EM1标供货，本标承包人负责风管(含埋风管)</w:t>
      </w:r>
      <w:r>
        <w:rPr>
          <w:color w:val="auto"/>
          <w:highlight w:val="none"/>
        </w:rPr>
        <w:t xml:space="preserve"> </w:t>
      </w:r>
      <w:r>
        <w:rPr>
          <w:rFonts w:hint="eastAsia"/>
          <w:color w:val="auto"/>
          <w:highlight w:val="none"/>
        </w:rPr>
        <w:t>、耐火软接、风管支吊架及水管保温材料、风口、调节阀、消声器的供货及安装。</w:t>
      </w:r>
    </w:p>
    <w:p>
      <w:pPr>
        <w:pStyle w:val="76"/>
        <w:rPr>
          <w:color w:val="auto"/>
          <w:highlight w:val="none"/>
        </w:rPr>
      </w:pPr>
      <w:r>
        <w:rPr>
          <w:rFonts w:hint="eastAsia"/>
          <w:color w:val="auto"/>
          <w:highlight w:val="none"/>
        </w:rPr>
        <w:t>7）EM1标供货设备的基础、锚固、螺栓、埋件等之间的协调由发包人负责，EM1标应提交其设计和埋设详细要求，进行现场安装督导，并配合发包人的协调工作。本标承包人负责安装标范围内混凝土中的加强锚固和混凝土浇注工作。</w:t>
      </w:r>
    </w:p>
    <w:p>
      <w:pPr>
        <w:pStyle w:val="76"/>
        <w:rPr>
          <w:color w:val="auto"/>
          <w:highlight w:val="none"/>
        </w:rPr>
      </w:pPr>
      <w:r>
        <w:rPr>
          <w:color w:val="auto"/>
          <w:highlight w:val="none"/>
        </w:rPr>
        <w:t>8</w:t>
      </w:r>
      <w:r>
        <w:rPr>
          <w:rFonts w:hint="eastAsia"/>
          <w:color w:val="auto"/>
          <w:highlight w:val="none"/>
        </w:rPr>
        <w:t>）本标承包人负责进水球阀的检修维护和运行操作工作平台的设计、供货和安装。</w:t>
      </w:r>
    </w:p>
    <w:p>
      <w:pPr>
        <w:pStyle w:val="76"/>
        <w:rPr>
          <w:color w:val="auto"/>
          <w:highlight w:val="none"/>
        </w:rPr>
      </w:pPr>
      <w:r>
        <w:rPr>
          <w:color w:val="auto"/>
          <w:highlight w:val="none"/>
        </w:rPr>
        <w:t>9</w:t>
      </w:r>
      <w:r>
        <w:rPr>
          <w:rFonts w:hint="eastAsia"/>
          <w:color w:val="auto"/>
          <w:highlight w:val="none"/>
        </w:rPr>
        <w:t>）</w:t>
      </w:r>
      <w:bookmarkStart w:id="59" w:name="OLE_LINK9"/>
      <w:bookmarkStart w:id="60" w:name="OLE_LINK12"/>
      <w:r>
        <w:rPr>
          <w:rFonts w:hint="eastAsia"/>
          <w:color w:val="auto"/>
          <w:highlight w:val="none"/>
        </w:rPr>
        <w:t>发电电动机转子在安装间的组装由本标负责。本标负责全部转子安装全过程的起重、吊装、连轴、配重安装工作，以及其他现场配合等工作。</w:t>
      </w:r>
      <w:bookmarkEnd w:id="59"/>
      <w:r>
        <w:rPr>
          <w:rFonts w:hint="eastAsia"/>
          <w:color w:val="auto"/>
          <w:highlight w:val="none"/>
        </w:rPr>
        <w:t>转子中心体立轴、电气试验在</w:t>
      </w:r>
      <w:r>
        <w:rPr>
          <w:color w:val="auto"/>
          <w:highlight w:val="none"/>
        </w:rPr>
        <w:t>EM</w:t>
      </w:r>
      <w:r>
        <w:rPr>
          <w:rFonts w:hint="eastAsia"/>
          <w:color w:val="auto"/>
          <w:highlight w:val="none"/>
        </w:rPr>
        <w:t>1标的技术指导下由本标完成。转子吊入机坑后的安装工作由本标完成。</w:t>
      </w:r>
      <w:bookmarkEnd w:id="60"/>
    </w:p>
    <w:p>
      <w:pPr>
        <w:pStyle w:val="67"/>
        <w:rPr>
          <w:rFonts w:hint="eastAsia"/>
          <w:b/>
          <w:bCs/>
          <w:color w:val="auto"/>
          <w:highlight w:val="none"/>
        </w:rPr>
      </w:pPr>
      <w:r>
        <w:rPr>
          <w:b/>
          <w:bCs/>
          <w:color w:val="auto"/>
          <w:highlight w:val="none"/>
        </w:rPr>
        <w:t xml:space="preserve">1.3.2.5  </w:t>
      </w:r>
      <w:r>
        <w:rPr>
          <w:rFonts w:hint="eastAsia"/>
          <w:b/>
          <w:bCs/>
          <w:color w:val="auto"/>
          <w:highlight w:val="none"/>
        </w:rPr>
        <w:t>其他机电设备采购标</w:t>
      </w:r>
    </w:p>
    <w:p>
      <w:pPr>
        <w:pStyle w:val="76"/>
        <w:ind w:firstLine="480" w:firstLineChars="200"/>
        <w:rPr>
          <w:color w:val="auto"/>
          <w:highlight w:val="none"/>
        </w:rPr>
      </w:pPr>
      <w:r>
        <w:rPr>
          <w:rFonts w:hint="eastAsia"/>
          <w:snapToGrid w:val="0"/>
          <w:color w:val="auto"/>
          <w:highlight w:val="none"/>
        </w:rPr>
        <w:t>金属结构设备、中压空压机、起重设备、</w:t>
      </w:r>
      <w:r>
        <w:rPr>
          <w:rFonts w:hint="eastAsia"/>
          <w:color w:val="auto"/>
          <w:highlight w:val="none"/>
        </w:rPr>
        <w:t>厂内通信和工业电视系统、220kV主变压器、220kV</w:t>
      </w:r>
      <w:r>
        <w:rPr>
          <w:color w:val="auto"/>
          <w:highlight w:val="none"/>
        </w:rPr>
        <w:t xml:space="preserve"> </w:t>
      </w:r>
      <w:r>
        <w:rPr>
          <w:rFonts w:hint="eastAsia"/>
          <w:color w:val="auto"/>
          <w:highlight w:val="none"/>
        </w:rPr>
        <w:t>电缆、220kV</w:t>
      </w:r>
      <w:r>
        <w:rPr>
          <w:color w:val="auto"/>
          <w:highlight w:val="none"/>
        </w:rPr>
        <w:t xml:space="preserve"> </w:t>
      </w:r>
      <w:r>
        <w:rPr>
          <w:rFonts w:hint="eastAsia"/>
          <w:color w:val="auto"/>
          <w:highlight w:val="none"/>
        </w:rPr>
        <w:t>GIS、线路保护、消防系统设备、接入系统二次设备等各设备内部的电缆由各机电设备采购标提供；对外的电缆由本标承包人负责采购、敷设。</w:t>
      </w:r>
    </w:p>
    <w:p>
      <w:pPr>
        <w:pStyle w:val="76"/>
        <w:rPr>
          <w:color w:val="auto"/>
          <w:highlight w:val="none"/>
        </w:rPr>
      </w:pPr>
      <w:r>
        <w:rPr>
          <w:rFonts w:hint="eastAsia"/>
          <w:color w:val="auto"/>
          <w:highlight w:val="none"/>
        </w:rPr>
        <w:t>各机电设备的界面为相应标段内所供设备侧的接线端子、备用端子以及通信接口设备。</w:t>
      </w:r>
    </w:p>
    <w:p>
      <w:pPr>
        <w:pStyle w:val="76"/>
        <w:rPr>
          <w:color w:val="auto"/>
          <w:highlight w:val="none"/>
        </w:rPr>
      </w:pPr>
      <w:r>
        <w:rPr>
          <w:rFonts w:hint="eastAsia"/>
          <w:color w:val="auto"/>
          <w:highlight w:val="none"/>
        </w:rPr>
        <w:t>各机电设备标内部的接地系统由各自相应标段负责，汇总后在主设备或其附属设备外壳上不少于两处标示明显的接地符号或“接地”字样，以便本标负责与全厂接地网相连接。如果各机电设备采购标认为其供货设备和系统与全厂接地网连接有特殊要求，则应提出此特殊要求并提供接地连接件及其端子。</w:t>
      </w:r>
    </w:p>
    <w:p>
      <w:pPr>
        <w:pStyle w:val="76"/>
        <w:rPr>
          <w:color w:val="auto"/>
          <w:highlight w:val="none"/>
        </w:rPr>
      </w:pPr>
      <w:r>
        <w:rPr>
          <w:rFonts w:hint="eastAsia"/>
          <w:color w:val="auto"/>
          <w:highlight w:val="none"/>
        </w:rPr>
        <w:t>各机电设备采购标供货范围内的管路和电缆所需的穿墙套管、过缝套管及过缝处理材料均由本标承包人负责供货。</w:t>
      </w:r>
    </w:p>
    <w:p>
      <w:pPr>
        <w:pStyle w:val="76"/>
        <w:rPr>
          <w:color w:val="auto"/>
          <w:highlight w:val="none"/>
        </w:rPr>
      </w:pPr>
      <w:r>
        <w:rPr>
          <w:rFonts w:hint="eastAsia"/>
          <w:color w:val="auto"/>
          <w:highlight w:val="none"/>
        </w:rPr>
        <w:t>各机电设备采购标供货设备的基础、锚固、螺栓、埋件等之间的协调由发包人负责，各机电设备采购标应提交其设计和埋设详细要求，进行现场安装督导，并配合发包人的协调工作。本标承包人将负责安装标范围内混凝土中的加强锚固和混凝土浇注工作。</w:t>
      </w:r>
    </w:p>
    <w:p>
      <w:pPr>
        <w:pStyle w:val="67"/>
        <w:rPr>
          <w:b/>
          <w:bCs/>
          <w:color w:val="auto"/>
          <w:sz w:val="24"/>
          <w:szCs w:val="24"/>
          <w:highlight w:val="none"/>
        </w:rPr>
      </w:pPr>
      <w:r>
        <w:rPr>
          <w:snapToGrid w:val="0"/>
          <w:color w:val="auto"/>
          <w:highlight w:val="none"/>
        </w:rPr>
        <w:t xml:space="preserve">1.3.2.6 </w:t>
      </w:r>
      <w:r>
        <w:rPr>
          <w:rFonts w:hint="eastAsia"/>
          <w:snapToGrid w:val="0"/>
          <w:color w:val="auto"/>
          <w:highlight w:val="none"/>
          <w:lang w:val="en-US" w:eastAsia="zh-CN"/>
        </w:rPr>
        <w:t xml:space="preserve"> </w:t>
      </w:r>
      <w:r>
        <w:rPr>
          <w:rFonts w:hint="eastAsia"/>
          <w:b/>
          <w:bCs/>
          <w:color w:val="auto"/>
          <w:sz w:val="24"/>
          <w:szCs w:val="24"/>
          <w:highlight w:val="none"/>
        </w:rPr>
        <w:t>安全监测工程标</w:t>
      </w:r>
    </w:p>
    <w:p>
      <w:pPr>
        <w:spacing w:line="360" w:lineRule="auto"/>
        <w:ind w:firstLine="480" w:firstLineChars="200"/>
        <w:rPr>
          <w:color w:val="auto"/>
          <w:sz w:val="24"/>
          <w:szCs w:val="24"/>
          <w:highlight w:val="none"/>
        </w:rPr>
      </w:pPr>
      <w:r>
        <w:rPr>
          <w:rFonts w:hint="eastAsia"/>
          <w:color w:val="auto"/>
          <w:sz w:val="24"/>
          <w:szCs w:val="24"/>
          <w:highlight w:val="none"/>
        </w:rPr>
        <w:t>安全监测工程单独设标，监测仪器设备安装及埋设由安全监测工程标负责。服务于施工安全和施工过程的临时安全监测工作由本标承包人负责。</w:t>
      </w:r>
    </w:p>
    <w:p>
      <w:pPr>
        <w:pBdr>
          <w:bottom w:val="none" w:color="auto" w:sz="0" w:space="0"/>
        </w:pBdr>
        <w:spacing w:line="360" w:lineRule="auto"/>
        <w:ind w:firstLine="480" w:firstLineChars="200"/>
        <w:rPr>
          <w:color w:val="auto"/>
          <w:sz w:val="24"/>
          <w:szCs w:val="24"/>
          <w:highlight w:val="none"/>
        </w:rPr>
      </w:pPr>
      <w:r>
        <w:rPr>
          <w:rFonts w:hint="eastAsia"/>
          <w:color w:val="auto"/>
          <w:sz w:val="24"/>
          <w:szCs w:val="24"/>
          <w:highlight w:val="none"/>
        </w:rPr>
        <w:t>承包人应妥善协调好混凝土施工与仪器埋设安装之间的关系，并为安全监测工程标承包人提供仪器埋设安装的施工工作面。承包人向安全监测承包人移交工作面，要保证工作面干净、整洁、没有污泥、污水、废渣等，创造必要的条件保证埋设安装工作顺利进行；承包人为安全监测承包人进行监测设备的埋设、监测数据的采集提供方便，包括提供水、供电、供风接口，提供施工通道、施工照明、脚手架、平台、升降台车等，做好相应的配合工作，并对已埋设安装完成的仪器做好保护工作；承包人向安全监测承包人提供所承担项目的季、月、周施工进度计划，并在安全监测实施部位施工前24小时通知安全监测承包人，监测仪器未埋设安装就绪之前，承包人不得进行下道工序的施工，并且不得以配合埋设安装监测仪器设备为理由，要求发包人延长工期或支付额外费用；承包人须保证已安装的安全监测仪器设备不受到本标施工作业造成损伤、损坏，如因本标施工作业造成仪器设备损伤、损坏，其修复、返工、损失及相关额外费用由本标承包人承担；承包人须按监理人指示完成安全监测其它的配合工作。</w:t>
      </w:r>
    </w:p>
    <w:p>
      <w:pPr>
        <w:pStyle w:val="67"/>
        <w:rPr>
          <w:b/>
          <w:bCs/>
          <w:snapToGrid w:val="0"/>
          <w:color w:val="auto"/>
          <w:highlight w:val="none"/>
        </w:rPr>
      </w:pPr>
      <w:r>
        <w:rPr>
          <w:b/>
          <w:bCs/>
          <w:snapToGrid w:val="0"/>
          <w:color w:val="auto"/>
          <w:highlight w:val="none"/>
        </w:rPr>
        <w:t>1.3.2.7  消防标</w:t>
      </w:r>
    </w:p>
    <w:p>
      <w:pPr>
        <w:pStyle w:val="76"/>
        <w:rPr>
          <w:rFonts w:hint="eastAsia"/>
          <w:snapToGrid w:val="0"/>
          <w:color w:val="auto"/>
          <w:highlight w:val="none"/>
        </w:rPr>
      </w:pPr>
      <w:r>
        <w:rPr>
          <w:rFonts w:hint="eastAsia"/>
          <w:snapToGrid w:val="0"/>
          <w:color w:val="auto"/>
          <w:highlight w:val="none"/>
        </w:rPr>
        <w:t>本标承包人负责安装厂内及开关站消防环管及消防供水管，负责从电厂厂用电盘柜到消防配电柜(动力箱)的永久供电动力电缆的采购和安装。消防系统内部动力、控制、信号电缆的采购及安装由消防标负责。本标负责安装的设备与消防标供货的设备之间的控制、信号电缆，由消防标采购和安装。</w:t>
      </w:r>
    </w:p>
    <w:p>
      <w:pPr>
        <w:pStyle w:val="76"/>
        <w:rPr>
          <w:rFonts w:hint="eastAsia"/>
          <w:snapToGrid w:val="0"/>
          <w:color w:val="auto"/>
          <w:highlight w:val="none"/>
        </w:rPr>
      </w:pPr>
      <w:r>
        <w:rPr>
          <w:rFonts w:hint="eastAsia"/>
          <w:snapToGrid w:val="0"/>
          <w:color w:val="auto"/>
          <w:highlight w:val="none"/>
        </w:rPr>
        <w:t>本标承包人还应负责火灾自动报警系统、消防应急照明和疏散指示系统需要预埋的埋管埋件的采购安装。火灾自动报警系统及消防应急照明和疏散指示系统设备采购、安装及调试由消防标负责，本标承包人应予以配合。</w:t>
      </w:r>
    </w:p>
    <w:p>
      <w:pPr>
        <w:pStyle w:val="76"/>
        <w:pBdr>
          <w:bottom w:val="none" w:color="auto" w:sz="0" w:space="0"/>
        </w:pBdr>
        <w:rPr>
          <w:snapToGrid w:val="0"/>
          <w:color w:val="auto"/>
          <w:highlight w:val="none"/>
        </w:rPr>
      </w:pPr>
      <w:r>
        <w:rPr>
          <w:rFonts w:hint="eastAsia"/>
          <w:snapToGrid w:val="0"/>
          <w:color w:val="auto"/>
          <w:highlight w:val="none"/>
          <w:shd w:val="clear" w:color="auto" w:fill="auto"/>
        </w:rPr>
        <w:t>消防风机和防火类风阀由消防标采购，本标负责安装。相关一次动力电缆由本标负责采购及敷设，二次控制电缆由消防标负责采购及敷设。</w:t>
      </w:r>
      <w:r>
        <w:rPr>
          <w:rFonts w:hint="eastAsia"/>
          <w:snapToGrid w:val="0"/>
          <w:color w:val="auto"/>
          <w:highlight w:val="none"/>
        </w:rPr>
        <w:t>火灾自动报警系统与通风空调控制设备的连接电缆的采购及安装由本标承包人负责，消防标配合。火灾自动报警系统与通风空调控制系统的联动调试由消防标负责，本标配合。</w:t>
      </w:r>
    </w:p>
    <w:p>
      <w:pPr>
        <w:pStyle w:val="76"/>
        <w:rPr>
          <w:snapToGrid w:val="0"/>
          <w:color w:val="auto"/>
          <w:highlight w:val="none"/>
        </w:rPr>
      </w:pPr>
      <w:r>
        <w:rPr>
          <w:rFonts w:hint="eastAsia"/>
          <w:snapToGrid w:val="0"/>
          <w:color w:val="auto"/>
          <w:highlight w:val="none"/>
        </w:rPr>
        <w:t>本标承包人负责本合同混凝土工程里的所有消防系统埋管及埋件的安装，及消防系统所有需要嵌入混凝土墙体内的消火栓及检修阀门的预留边框的制作、安装和混凝土回填。</w:t>
      </w:r>
      <w:r>
        <w:rPr>
          <w:snapToGrid w:val="0"/>
          <w:color w:val="auto"/>
          <w:highlight w:val="none"/>
        </w:rPr>
        <w:t>消火栓灭火系统明管及明装设备、明装附件由消防标负责采购和安装。</w:t>
      </w:r>
    </w:p>
    <w:p>
      <w:pPr>
        <w:pStyle w:val="67"/>
        <w:rPr>
          <w:b/>
          <w:bCs/>
          <w:snapToGrid w:val="0"/>
          <w:color w:val="auto"/>
          <w:highlight w:val="none"/>
          <w:shd w:val="clear" w:color="auto" w:fill="FFFF00"/>
        </w:rPr>
      </w:pPr>
      <w:r>
        <w:rPr>
          <w:rFonts w:hint="eastAsia" w:hAnsi="Times New Roman"/>
          <w:b/>
          <w:bCs/>
          <w:snapToGrid w:val="0"/>
          <w:color w:val="auto"/>
          <w:highlight w:val="none"/>
          <w:shd w:val="clear" w:color="auto" w:fill="auto"/>
          <w:lang w:val="en-US"/>
        </w:rPr>
        <w:t>1.3.2.7  业主营地标</w:t>
      </w:r>
    </w:p>
    <w:p>
      <w:pPr>
        <w:pStyle w:val="76"/>
        <w:jc w:val="both"/>
        <w:rPr>
          <w:rFonts w:hint="eastAsia"/>
          <w:color w:val="auto"/>
          <w:highlight w:val="none"/>
        </w:rPr>
      </w:pPr>
      <w:r>
        <w:rPr>
          <w:rFonts w:hint="eastAsia"/>
          <w:color w:val="auto"/>
          <w:highlight w:val="none"/>
        </w:rPr>
        <w:t>营地红线外部电缆通道、电缆、接地等接口由机电安装标负责实施至红线边缘处；其中电缆敷设施工界面以接入营地内对应的进线柜、出线柜为界面（机电安装标负责接入）。</w:t>
      </w:r>
    </w:p>
    <w:p>
      <w:pPr>
        <w:pStyle w:val="76"/>
        <w:jc w:val="both"/>
        <w:rPr>
          <w:color w:val="auto"/>
          <w:highlight w:val="none"/>
        </w:rPr>
      </w:pPr>
      <w:r>
        <w:rPr>
          <w:rFonts w:hint="eastAsia"/>
          <w:color w:val="auto"/>
          <w:highlight w:val="none"/>
        </w:rPr>
        <w:t>备用应急值班室的监控设备安装，相关连接电缆、光缆等附件的采购安装由机电安装标负责，备用应急值班室的装修由营地标负责。</w:t>
      </w:r>
    </w:p>
    <w:p>
      <w:pPr>
        <w:pStyle w:val="76"/>
        <w:pBdr>
          <w:bottom w:val="none" w:color="auto" w:sz="0" w:space="0"/>
        </w:pBdr>
        <w:rPr>
          <w:rFonts w:hint="eastAsia"/>
          <w:b/>
          <w:bCs/>
          <w:snapToGrid w:val="0"/>
          <w:color w:val="auto"/>
          <w:highlight w:val="none"/>
        </w:rPr>
      </w:pPr>
      <w:r>
        <w:rPr>
          <w:b/>
          <w:bCs/>
          <w:snapToGrid w:val="0"/>
          <w:color w:val="auto"/>
          <w:highlight w:val="none"/>
        </w:rPr>
        <w:t xml:space="preserve">1.3.2.8  </w:t>
      </w:r>
      <w:r>
        <w:rPr>
          <w:rFonts w:hint="eastAsia"/>
          <w:b/>
          <w:bCs/>
          <w:snapToGrid w:val="0"/>
          <w:color w:val="auto"/>
          <w:highlight w:val="none"/>
        </w:rPr>
        <w:t>高压安装标</w:t>
      </w:r>
    </w:p>
    <w:p>
      <w:pPr>
        <w:pStyle w:val="76"/>
        <w:rPr>
          <w:rFonts w:hint="eastAsia" w:ascii="宋体" w:hAnsi="宋体" w:cs="宋体"/>
          <w:color w:val="auto"/>
          <w:highlight w:val="none"/>
        </w:rPr>
      </w:pPr>
      <w:r>
        <w:rPr>
          <w:rFonts w:ascii="宋体" w:hAnsi="宋体" w:cs="宋体"/>
          <w:color w:val="auto"/>
          <w:highlight w:val="none"/>
        </w:rPr>
        <w:t>(1) 主变压器及附件</w:t>
      </w:r>
      <w:r>
        <w:rPr>
          <w:rFonts w:hint="eastAsia" w:ascii="宋体" w:hAnsi="宋体" w:cs="宋体"/>
          <w:color w:val="auto"/>
          <w:highlight w:val="none"/>
        </w:rPr>
        <w:t>（含中性点设备）</w:t>
      </w:r>
      <w:r>
        <w:rPr>
          <w:rFonts w:ascii="宋体" w:hAnsi="宋体" w:cs="宋体"/>
          <w:color w:val="auto"/>
          <w:highlight w:val="none"/>
        </w:rPr>
        <w:t>在安装场的卸车、运输、就位、主变安装、试验和调试工作由其他承包人完成，本标承包人配合。本标承包人负责主变及其冷却器基础埋件、电站冷却供水系统与主变冷却器之间的管路安装和连接(以冷却器法兰为界面)，负责主变事故排油埋管安装。主变压器冷却器控制柜为分界点，接头接线由本标负责。</w:t>
      </w:r>
    </w:p>
    <w:p>
      <w:pPr>
        <w:pStyle w:val="76"/>
        <w:rPr>
          <w:rFonts w:hint="eastAsia"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 本标负责高压电缆洞内建筑与装修；负责防火墙孔洞的封堵。开关站GIS及户外敞开式设备、220kV高压电缆的安装由高压设备安装标负责；</w:t>
      </w:r>
    </w:p>
    <w:p>
      <w:pPr>
        <w:pStyle w:val="76"/>
        <w:rPr>
          <w:rFonts w:hint="eastAsia"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3</w:t>
      </w:r>
      <w:r>
        <w:rPr>
          <w:rFonts w:ascii="宋体" w:hAnsi="宋体" w:cs="宋体"/>
          <w:color w:val="auto"/>
          <w:highlight w:val="none"/>
        </w:rPr>
        <w:t>) 开关站LCU、开关站</w:t>
      </w:r>
      <w:r>
        <w:rPr>
          <w:rFonts w:hint="eastAsia" w:ascii="宋体" w:hAnsi="宋体" w:cs="宋体"/>
          <w:color w:val="auto"/>
          <w:highlight w:val="none"/>
        </w:rPr>
        <w:t>交/</w:t>
      </w:r>
      <w:r>
        <w:rPr>
          <w:rFonts w:ascii="宋体" w:hAnsi="宋体" w:cs="宋体"/>
          <w:color w:val="auto"/>
          <w:highlight w:val="none"/>
        </w:rPr>
        <w:t>直流电源系统由高压设备安装标负责。</w:t>
      </w:r>
    </w:p>
    <w:p>
      <w:pPr>
        <w:pStyle w:val="76"/>
        <w:rPr>
          <w:rFonts w:hint="eastAsia"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4</w:t>
      </w:r>
      <w:r>
        <w:rPr>
          <w:rFonts w:ascii="宋体" w:hAnsi="宋体" w:cs="宋体"/>
          <w:color w:val="auto"/>
          <w:highlight w:val="none"/>
        </w:rPr>
        <w:t>)</w:t>
      </w:r>
      <w:r>
        <w:rPr>
          <w:rFonts w:hint="eastAsia" w:ascii="宋体" w:hAnsi="宋体" w:cs="宋体"/>
          <w:color w:val="auto"/>
          <w:highlight w:val="none"/>
        </w:rPr>
        <w:t xml:space="preserve"> 开关站</w:t>
      </w:r>
      <w:r>
        <w:rPr>
          <w:rFonts w:ascii="宋体" w:hAnsi="宋体" w:cs="宋体"/>
          <w:color w:val="auto"/>
          <w:highlight w:val="none"/>
        </w:rPr>
        <w:t>GIS楼起重设备安装调试由本标负责。</w:t>
      </w:r>
    </w:p>
    <w:p>
      <w:pPr>
        <w:pStyle w:val="76"/>
        <w:rPr>
          <w:color w:val="auto"/>
          <w:highlight w:val="none"/>
        </w:rPr>
      </w:pPr>
      <w:r>
        <w:rPr>
          <w:rFonts w:ascii="宋体" w:hAnsi="宋体" w:cs="宋体"/>
          <w:color w:val="auto"/>
          <w:highlight w:val="none"/>
        </w:rPr>
        <w:t>(</w:t>
      </w:r>
      <w:r>
        <w:rPr>
          <w:rFonts w:hint="eastAsia" w:ascii="宋体" w:hAnsi="宋体" w:cs="宋体"/>
          <w:color w:val="auto"/>
          <w:highlight w:val="none"/>
        </w:rPr>
        <w:t>5</w:t>
      </w:r>
      <w:r>
        <w:rPr>
          <w:rFonts w:ascii="宋体" w:hAnsi="宋体" w:cs="宋体"/>
          <w:color w:val="auto"/>
          <w:highlight w:val="none"/>
        </w:rPr>
        <w:t>)</w:t>
      </w:r>
      <w:r>
        <w:rPr>
          <w:rFonts w:hint="eastAsia" w:ascii="宋体" w:hAnsi="宋体" w:cs="宋体"/>
          <w:color w:val="auto"/>
          <w:highlight w:val="none"/>
        </w:rPr>
        <w:t xml:space="preserve"> </w:t>
      </w:r>
      <w:r>
        <w:rPr>
          <w:color w:val="auto"/>
          <w:highlight w:val="none"/>
        </w:rPr>
        <w:t>以</w:t>
      </w:r>
      <w:r>
        <w:rPr>
          <w:rFonts w:hint="eastAsia"/>
          <w:color w:val="auto"/>
          <w:highlight w:val="none"/>
        </w:rPr>
        <w:t>22</w:t>
      </w:r>
      <w:r>
        <w:rPr>
          <w:color w:val="auto"/>
          <w:highlight w:val="none"/>
        </w:rPr>
        <w:t>0kV电缆保护为边界，</w:t>
      </w:r>
      <w:r>
        <w:rPr>
          <w:rFonts w:hint="eastAsia"/>
          <w:color w:val="auto"/>
          <w:highlight w:val="none"/>
        </w:rPr>
        <w:t>22</w:t>
      </w:r>
      <w:r>
        <w:rPr>
          <w:color w:val="auto"/>
          <w:highlight w:val="none"/>
        </w:rPr>
        <w:t>0kV电缆保护、发变组保护、发变组录波、电站保护信息管理系统等设备安装及调试由本标承包人负责</w:t>
      </w:r>
      <w:r>
        <w:rPr>
          <w:rFonts w:hint="eastAsia"/>
          <w:color w:val="auto"/>
          <w:highlight w:val="none"/>
        </w:rPr>
        <w:t>；</w:t>
      </w:r>
      <w:r>
        <w:rPr>
          <w:color w:val="auto"/>
          <w:highlight w:val="none"/>
        </w:rPr>
        <w:t>220kV短引线保护、220kV线路保护、220kV断路器保护、调度自动化、计量、安稳等涉网设备安装及调试由高压标负责。220kV系统涉网设备与电站发变组保护、计算机监控</w:t>
      </w:r>
      <w:r>
        <w:rPr>
          <w:rFonts w:hint="eastAsia"/>
          <w:color w:val="auto"/>
          <w:highlight w:val="none"/>
        </w:rPr>
        <w:t>(厂房侧)</w:t>
      </w:r>
      <w:r>
        <w:rPr>
          <w:color w:val="auto"/>
          <w:highlight w:val="none"/>
        </w:rPr>
        <w:t>、交直流电源</w:t>
      </w:r>
      <w:r>
        <w:rPr>
          <w:rFonts w:hint="eastAsia"/>
          <w:color w:val="auto"/>
          <w:highlight w:val="none"/>
        </w:rPr>
        <w:t>(厂房侧)</w:t>
      </w:r>
      <w:r>
        <w:rPr>
          <w:color w:val="auto"/>
          <w:highlight w:val="none"/>
        </w:rPr>
        <w:t>等接口连接安装及调试工作由本标承包人负责。</w:t>
      </w:r>
    </w:p>
    <w:p>
      <w:pPr>
        <w:pStyle w:val="76"/>
        <w:ind w:firstLine="480" w:firstLineChars="200"/>
        <w:rPr>
          <w:color w:val="auto"/>
          <w:highlight w:val="none"/>
        </w:rPr>
      </w:pPr>
      <w:r>
        <w:rPr>
          <w:rFonts w:ascii="宋体" w:hAnsi="宋体" w:cs="宋体"/>
          <w:color w:val="auto"/>
          <w:highlight w:val="none"/>
        </w:rPr>
        <w:t>(</w:t>
      </w:r>
      <w:r>
        <w:rPr>
          <w:rFonts w:hint="eastAsia" w:ascii="宋体" w:hAnsi="宋体" w:cs="宋体"/>
          <w:color w:val="auto"/>
          <w:highlight w:val="none"/>
        </w:rPr>
        <w:t>6</w:t>
      </w:r>
      <w:r>
        <w:rPr>
          <w:rFonts w:ascii="宋体" w:hAnsi="宋体" w:cs="宋体"/>
          <w:color w:val="auto"/>
          <w:highlight w:val="none"/>
        </w:rPr>
        <w:t>)</w:t>
      </w:r>
      <w:r>
        <w:rPr>
          <w:rFonts w:hint="eastAsia" w:ascii="宋体" w:hAnsi="宋体" w:cs="宋体"/>
          <w:color w:val="auto"/>
          <w:highlight w:val="none"/>
        </w:rPr>
        <w:t xml:space="preserve">  </w:t>
      </w:r>
      <w:r>
        <w:rPr>
          <w:rFonts w:hint="eastAsia"/>
          <w:color w:val="auto"/>
          <w:highlight w:val="none"/>
        </w:rPr>
        <w:t>22</w:t>
      </w:r>
      <w:r>
        <w:rPr>
          <w:color w:val="auto"/>
          <w:highlight w:val="none"/>
        </w:rPr>
        <w:t>0kV主变在线监测、</w:t>
      </w:r>
      <w:r>
        <w:rPr>
          <w:rFonts w:hint="eastAsia"/>
          <w:color w:val="auto"/>
          <w:highlight w:val="none"/>
        </w:rPr>
        <w:t>22</w:t>
      </w:r>
      <w:r>
        <w:rPr>
          <w:color w:val="auto"/>
          <w:highlight w:val="none"/>
        </w:rPr>
        <w:t>0kV高压电缆在线监测和</w:t>
      </w:r>
      <w:r>
        <w:rPr>
          <w:rFonts w:hint="eastAsia"/>
          <w:color w:val="auto"/>
          <w:highlight w:val="none"/>
        </w:rPr>
        <w:t>22</w:t>
      </w:r>
      <w:r>
        <w:rPr>
          <w:color w:val="auto"/>
          <w:highlight w:val="none"/>
        </w:rPr>
        <w:t>0kVGIS在线监测系统的安装及调试工作由高压标负责，本标承包商需配合以上在线监测系统接入电站在线监测后台的调试工作。</w:t>
      </w:r>
    </w:p>
    <w:p>
      <w:pPr>
        <w:pStyle w:val="67"/>
        <w:rPr>
          <w:rFonts w:hint="eastAsia"/>
          <w:b/>
          <w:bCs/>
          <w:color w:val="auto"/>
          <w:highlight w:val="none"/>
        </w:rPr>
      </w:pPr>
      <w:bookmarkStart w:id="61" w:name="_Hlk126742223"/>
      <w:r>
        <w:rPr>
          <w:b/>
          <w:bCs/>
          <w:snapToGrid w:val="0"/>
          <w:color w:val="auto"/>
          <w:highlight w:val="none"/>
        </w:rPr>
        <w:t xml:space="preserve">1.3.2.9  </w:t>
      </w:r>
      <w:r>
        <w:rPr>
          <w:rFonts w:hint="eastAsia"/>
          <w:b/>
          <w:bCs/>
          <w:snapToGrid w:val="0"/>
          <w:color w:val="auto"/>
          <w:highlight w:val="none"/>
        </w:rPr>
        <w:t>信息通信及安防标</w:t>
      </w:r>
    </w:p>
    <w:bookmarkEnd w:id="61"/>
    <w:p>
      <w:pPr>
        <w:pStyle w:val="76"/>
        <w:rPr>
          <w:color w:val="auto"/>
          <w:highlight w:val="none"/>
        </w:rPr>
      </w:pPr>
      <w:r>
        <w:rPr>
          <w:rFonts w:hint="eastAsia"/>
          <w:color w:val="auto"/>
          <w:highlight w:val="none"/>
        </w:rPr>
        <w:t>本标承包人应负责从电厂厂用电到信息通信及安防各系统的永久供电动力电缆的采购和安装；本标承包人应负责上述工程标中需要预埋的埋管埋件的采购和安装。</w:t>
      </w:r>
    </w:p>
    <w:p>
      <w:pPr>
        <w:pStyle w:val="76"/>
        <w:rPr>
          <w:color w:val="auto"/>
          <w:highlight w:val="none"/>
        </w:rPr>
      </w:pPr>
      <w:r>
        <w:rPr>
          <w:rFonts w:hint="eastAsia"/>
          <w:color w:val="auto"/>
          <w:highlight w:val="none"/>
        </w:rPr>
        <w:t>地下厂房机房内部装修由</w:t>
      </w:r>
      <w:r>
        <w:rPr>
          <w:rFonts w:hint="eastAsia"/>
          <w:color w:val="auto"/>
          <w:highlight w:val="none"/>
          <w:lang w:val="en-US" w:eastAsia="zh-CN"/>
        </w:rPr>
        <w:t>信通</w:t>
      </w:r>
      <w:r>
        <w:rPr>
          <w:rFonts w:hint="eastAsia"/>
          <w:color w:val="auto"/>
          <w:highlight w:val="none"/>
        </w:rPr>
        <w:t>标负责。机房内</w:t>
      </w:r>
      <w:r>
        <w:rPr>
          <w:rFonts w:hint="eastAsia"/>
          <w:color w:val="auto"/>
          <w:highlight w:val="none"/>
          <w:lang w:val="en-US" w:eastAsia="zh-CN"/>
        </w:rPr>
        <w:t>自动化设备安装由机电标负责，</w:t>
      </w:r>
      <w:r>
        <w:rPr>
          <w:rFonts w:hint="eastAsia"/>
          <w:color w:val="auto"/>
          <w:highlight w:val="none"/>
        </w:rPr>
        <w:t>信通设备安装由信通标负责。</w:t>
      </w:r>
    </w:p>
    <w:p>
      <w:pPr>
        <w:pStyle w:val="76"/>
        <w:rPr>
          <w:color w:val="auto"/>
          <w:highlight w:val="none"/>
        </w:rPr>
      </w:pPr>
      <w:r>
        <w:rPr>
          <w:rFonts w:hint="eastAsia"/>
          <w:color w:val="auto"/>
          <w:highlight w:val="none"/>
        </w:rPr>
        <w:t>本标负责其所需供电电缆的采购、敷设及安装，至相应电源室内。到信通房间外埋管由信通提资，本标按照范围负责采购及安装。地下厂房的配电房到通信设备的380V电缆由信通提资</w:t>
      </w:r>
      <w:r>
        <w:rPr>
          <w:rFonts w:hint="eastAsia"/>
          <w:color w:val="auto"/>
          <w:highlight w:val="none"/>
          <w:lang w:eastAsia="zh-CN"/>
        </w:rPr>
        <w:t>，</w:t>
      </w:r>
      <w:r>
        <w:rPr>
          <w:rFonts w:hint="eastAsia"/>
          <w:color w:val="auto"/>
          <w:highlight w:val="none"/>
        </w:rPr>
        <w:t>本标负责采购及安装，安装至通信设备的配电柜处。</w:t>
      </w:r>
    </w:p>
    <w:p>
      <w:pPr>
        <w:pStyle w:val="76"/>
        <w:rPr>
          <w:color w:val="auto"/>
          <w:highlight w:val="none"/>
        </w:rPr>
      </w:pPr>
      <w:r>
        <w:rPr>
          <w:rFonts w:hint="eastAsia"/>
          <w:color w:val="auto"/>
          <w:highlight w:val="none"/>
        </w:rPr>
        <w:t>保护、安稳、自动化等连接到通信设备相关机柜的端子头上缆线由本标负责。</w:t>
      </w:r>
    </w:p>
    <w:p>
      <w:pPr>
        <w:pStyle w:val="7"/>
        <w:rPr>
          <w:rFonts w:hAnsi="Times New Roman"/>
          <w:b/>
          <w:bCs/>
          <w:snapToGrid w:val="0"/>
          <w:color w:val="auto"/>
          <w:highlight w:val="none"/>
        </w:rPr>
      </w:pPr>
      <w:r>
        <w:rPr>
          <w:rFonts w:hAnsi="Times New Roman"/>
          <w:b/>
          <w:bCs/>
          <w:snapToGrid w:val="0"/>
          <w:color w:val="auto"/>
          <w:highlight w:val="none"/>
        </w:rPr>
        <w:t>1.3.2.10 本标与前期工程标的工作界面</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交通洞开挖支护及围岩排水，主要衬砌混凝土、结构混凝土及其相应埋件，属于前期工程标。交通洞剩余衬砌混凝土、结构混凝土及其相应埋件，交通洞门楼、交通洞二期路面属于本标。</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交通洞开挖、支护及排水、结构混凝土、衬砌混凝土及其相应埋管埋件属于交通洞、通风洞标。交通洞门楼、交通洞二期混凝土路面浇筑属于本标。</w:t>
      </w:r>
    </w:p>
    <w:p>
      <w:pPr>
        <w:pStyle w:val="7"/>
        <w:rPr>
          <w:rFonts w:hAnsi="Times New Roman"/>
          <w:snapToGrid w:val="0"/>
          <w:color w:val="auto"/>
          <w:highlight w:val="none"/>
        </w:rPr>
      </w:pPr>
      <w:r>
        <w:rPr>
          <w:rFonts w:hAnsi="Times New Roman"/>
          <w:snapToGrid w:val="0"/>
          <w:color w:val="auto"/>
          <w:highlight w:val="none"/>
        </w:rPr>
        <w:t>1.3.2.</w:t>
      </w:r>
      <w:r>
        <w:rPr>
          <w:rFonts w:hAnsi="Times New Roman"/>
          <w:snapToGrid w:val="0"/>
          <w:color w:val="auto"/>
          <w:highlight w:val="none"/>
          <w:lang w:val="en-US"/>
        </w:rPr>
        <w:t>11</w:t>
      </w:r>
      <w:r>
        <w:rPr>
          <w:rFonts w:hint="eastAsia" w:hAnsi="Times New Roman"/>
          <w:snapToGrid w:val="0"/>
          <w:color w:val="auto"/>
          <w:highlight w:val="none"/>
        </w:rPr>
        <w:t xml:space="preserve"> 与本标相关的其他工作界面</w:t>
      </w:r>
    </w:p>
    <w:p>
      <w:pPr>
        <w:snapToGrid w:val="0"/>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电缆桥架、支架的供货和安装界面</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本标承包人应负责其所有安装设备之间的连接电缆(光缆)</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桥架和电缆沟支架、电缆沟接地材料的采购和安装，并负责其安装设备与其他承包人安装设备之间的连接电缆(光缆)</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桥架和电缆沟支架的采购、安装和连接工作。</w:t>
      </w:r>
    </w:p>
    <w:p>
      <w:pPr>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机坑内电缆桥架由主机供货商负责采购，由本标承包人负责安装。</w:t>
      </w:r>
    </w:p>
    <w:p>
      <w:pPr>
        <w:snapToGrid w:val="0"/>
        <w:spacing w:line="480" w:lineRule="exact"/>
        <w:ind w:firstLine="480" w:firstLineChars="200"/>
        <w:rPr>
          <w:color w:val="auto"/>
          <w:highlight w:val="none"/>
        </w:rPr>
      </w:pPr>
      <w:bookmarkStart w:id="62" w:name="OLE_LINK3"/>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电缆的供货和安装界面</w:t>
      </w:r>
    </w:p>
    <w:p>
      <w:pPr>
        <w:widowControl/>
        <w:spacing w:line="500" w:lineRule="atLeast"/>
        <w:ind w:firstLine="480" w:firstLineChars="200"/>
        <w:rPr>
          <w:rFonts w:ascii="Times New Roman" w:hAnsi="Times New Roman"/>
          <w:color w:val="auto"/>
          <w:sz w:val="24"/>
          <w:szCs w:val="24"/>
          <w:highlight w:val="none"/>
        </w:rPr>
      </w:pPr>
      <w:r>
        <w:rPr>
          <w:rFonts w:hint="eastAsia"/>
          <w:color w:val="auto"/>
          <w:sz w:val="24"/>
          <w:szCs w:val="24"/>
          <w:highlight w:val="none"/>
        </w:rPr>
        <w:t>电缆供货和安装界面详见“本标与机组及辅助设备采购标（EM1）的工作界面”和“本标与其他机电设备采购标的工作界面”相关约定。</w:t>
      </w:r>
      <w:bookmarkEnd w:id="62"/>
    </w:p>
    <w:p>
      <w:pPr>
        <w:widowControl/>
        <w:spacing w:line="500" w:lineRule="atLeast"/>
        <w:ind w:firstLine="480" w:firstLineChars="200"/>
        <w:rPr>
          <w:rFonts w:hint="eastAsia"/>
          <w:color w:val="auto"/>
          <w:sz w:val="24"/>
          <w:szCs w:val="24"/>
          <w:highlight w:val="none"/>
        </w:rPr>
      </w:pPr>
      <w:r>
        <w:rPr>
          <w:rFonts w:hint="eastAsia"/>
          <w:color w:val="auto"/>
          <w:sz w:val="24"/>
          <w:szCs w:val="24"/>
          <w:highlight w:val="none"/>
        </w:rPr>
        <w:t>(3) 承包人应负责所安装的通信光缆与尾纤的熔接、尾纤的提供、通信网线终端头的提供与制作。</w:t>
      </w:r>
    </w:p>
    <w:p>
      <w:pPr>
        <w:widowControl/>
        <w:spacing w:line="500" w:lineRule="atLeast"/>
        <w:ind w:firstLine="480" w:firstLineChars="200"/>
        <w:rPr>
          <w:rFonts w:hint="eastAsia"/>
          <w:color w:val="auto"/>
          <w:sz w:val="24"/>
          <w:szCs w:val="24"/>
          <w:highlight w:val="none"/>
        </w:rPr>
      </w:pPr>
      <w:r>
        <w:rPr>
          <w:rFonts w:hint="eastAsia"/>
          <w:color w:val="auto"/>
          <w:sz w:val="24"/>
          <w:szCs w:val="24"/>
          <w:highlight w:val="none"/>
        </w:rPr>
        <w:t>(4) 承包人应负责安全鉴定、质量监督、消防、档案、枢纽等专项验收和竣工验收的配合工作。</w:t>
      </w:r>
    </w:p>
    <w:p>
      <w:pPr>
        <w:widowControl/>
        <w:spacing w:line="500" w:lineRule="atLeast"/>
        <w:ind w:firstLine="480" w:firstLineChars="200"/>
        <w:rPr>
          <w:rFonts w:ascii="Times New Roman" w:hAnsi="Times New Roman"/>
          <w:color w:val="auto"/>
          <w:sz w:val="24"/>
          <w:szCs w:val="24"/>
          <w:highlight w:val="none"/>
        </w:rPr>
      </w:pPr>
      <w:r>
        <w:rPr>
          <w:rFonts w:hint="eastAsia"/>
          <w:color w:val="auto"/>
          <w:sz w:val="24"/>
          <w:szCs w:val="24"/>
          <w:highlight w:val="none"/>
        </w:rPr>
        <w:t>除另有说明外，本标负责其所有安装设备之间的连接电缆(光缆) 的安装，以及其安装设备与其他标安装设备之间的连接电缆(光缆) 的安装，并负责接口、试验和调试工作。</w:t>
      </w:r>
    </w:p>
    <w:p>
      <w:pPr>
        <w:pStyle w:val="7"/>
        <w:keepNext w:val="0"/>
        <w:keepLines w:val="0"/>
        <w:pageBreakBefore w:val="0"/>
        <w:widowControl w:val="0"/>
        <w:kinsoku/>
        <w:wordWrap/>
        <w:overflowPunct/>
        <w:topLinePunct w:val="0"/>
        <w:autoSpaceDE w:val="0"/>
        <w:autoSpaceDN w:val="0"/>
        <w:bidi w:val="0"/>
        <w:adjustRightInd/>
        <w:snapToGrid/>
        <w:spacing w:line="360" w:lineRule="auto"/>
        <w:ind w:firstLineChars="200"/>
        <w:textAlignment w:val="auto"/>
        <w:rPr>
          <w:rFonts w:hint="default" w:ascii="Times New Roman" w:hAnsi="Times New Roman" w:eastAsia="宋体" w:cs="Times New Roman"/>
          <w:b w:val="0"/>
          <w:bCs w:val="0"/>
          <w:snapToGrid w:val="0"/>
          <w:color w:val="auto"/>
          <w:sz w:val="24"/>
          <w:szCs w:val="24"/>
          <w:highlight w:val="none"/>
        </w:rPr>
      </w:pPr>
      <w:bookmarkStart w:id="63" w:name="_Toc364872808"/>
      <w:bookmarkStart w:id="64" w:name="_Toc369619642"/>
      <w:bookmarkStart w:id="65" w:name="_Toc116929658"/>
      <w:bookmarkStart w:id="66" w:name="_Toc360461272"/>
      <w:bookmarkStart w:id="67" w:name="_Toc28833"/>
      <w:bookmarkStart w:id="68" w:name="_Toc355517108"/>
      <w:bookmarkStart w:id="69" w:name="_Toc366139036"/>
      <w:r>
        <w:rPr>
          <w:rFonts w:hAnsi="Times New Roman"/>
          <w:snapToGrid w:val="0"/>
          <w:color w:val="auto"/>
          <w:highlight w:val="none"/>
        </w:rPr>
        <w:t>1.3.2.</w:t>
      </w:r>
      <w:r>
        <w:rPr>
          <w:rFonts w:hAnsi="Times New Roman"/>
          <w:snapToGrid w:val="0"/>
          <w:color w:val="auto"/>
          <w:highlight w:val="none"/>
          <w:lang w:val="en-US"/>
        </w:rPr>
        <w:t>1</w:t>
      </w:r>
      <w:r>
        <w:rPr>
          <w:rFonts w:hint="eastAsia" w:hAnsi="Times New Roman"/>
          <w:snapToGrid w:val="0"/>
          <w:color w:val="auto"/>
          <w:highlight w:val="none"/>
          <w:lang w:val="en-US" w:eastAsia="zh-CN"/>
        </w:rPr>
        <w:t>2</w:t>
      </w:r>
      <w:r>
        <w:rPr>
          <w:rFonts w:hint="default" w:ascii="Times New Roman" w:hAnsi="Times New Roman" w:eastAsia="宋体" w:cs="Times New Roman"/>
          <w:b w:val="0"/>
          <w:bCs w:val="0"/>
          <w:snapToGrid w:val="0"/>
          <w:color w:val="auto"/>
          <w:sz w:val="24"/>
          <w:szCs w:val="24"/>
          <w:highlight w:val="none"/>
        </w:rPr>
        <w:t xml:space="preserve"> 本标与土建工程质量检测标的工作界面</w:t>
      </w:r>
    </w:p>
    <w:p>
      <w:pPr>
        <w:keepNext w:val="0"/>
        <w:keepLines w:val="0"/>
        <w:pageBreakBefore w:val="0"/>
        <w:widowControl/>
        <w:kinsoku/>
        <w:wordWrap/>
        <w:overflowPunct/>
        <w:topLinePunct w:val="0"/>
        <w:autoSpaceDE/>
        <w:autoSpaceDN/>
        <w:bidi w:val="0"/>
        <w:adjustRightInd/>
        <w:snapToGrid/>
        <w:spacing w:line="500" w:lineRule="atLeast"/>
        <w:ind w:firstLine="480" w:firstLineChars="200"/>
        <w:textAlignment w:val="auto"/>
        <w:rPr>
          <w:rFonts w:hint="eastAsia"/>
          <w:color w:val="auto"/>
          <w:sz w:val="24"/>
          <w:szCs w:val="24"/>
          <w:highlight w:val="none"/>
        </w:rPr>
      </w:pPr>
      <w:r>
        <w:rPr>
          <w:rFonts w:hint="eastAsia"/>
          <w:color w:val="auto"/>
          <w:sz w:val="24"/>
          <w:szCs w:val="24"/>
          <w:highlight w:val="none"/>
        </w:rPr>
        <w:t>主体工程土建质量检测工作由土建工程质量检测标承包人负责，本标承包人应进行配合工作。具体检测工作界面详见通用技术条款1.10.3。</w:t>
      </w:r>
    </w:p>
    <w:p>
      <w:pPr>
        <w:pStyle w:val="7"/>
        <w:keepNext w:val="0"/>
        <w:keepLines w:val="0"/>
        <w:pageBreakBefore w:val="0"/>
        <w:widowControl w:val="0"/>
        <w:kinsoku/>
        <w:wordWrap/>
        <w:overflowPunct/>
        <w:topLinePunct w:val="0"/>
        <w:autoSpaceDE w:val="0"/>
        <w:autoSpaceDN w:val="0"/>
        <w:bidi w:val="0"/>
        <w:adjustRightInd/>
        <w:snapToGrid/>
        <w:spacing w:line="360" w:lineRule="auto"/>
        <w:ind w:firstLineChars="200"/>
        <w:textAlignment w:val="auto"/>
        <w:rPr>
          <w:rFonts w:hint="default" w:ascii="Times New Roman" w:hAnsi="Times New Roman" w:eastAsia="宋体" w:cs="Times New Roman"/>
          <w:b w:val="0"/>
          <w:bCs w:val="0"/>
          <w:snapToGrid w:val="0"/>
          <w:color w:val="auto"/>
          <w:sz w:val="24"/>
          <w:szCs w:val="24"/>
          <w:highlight w:val="none"/>
        </w:rPr>
      </w:pPr>
      <w:r>
        <w:rPr>
          <w:rFonts w:hAnsi="Times New Roman"/>
          <w:snapToGrid w:val="0"/>
          <w:color w:val="auto"/>
          <w:highlight w:val="none"/>
        </w:rPr>
        <w:t>1.3.2.</w:t>
      </w:r>
      <w:r>
        <w:rPr>
          <w:rFonts w:hAnsi="Times New Roman"/>
          <w:snapToGrid w:val="0"/>
          <w:color w:val="auto"/>
          <w:highlight w:val="none"/>
          <w:lang w:val="en-US"/>
        </w:rPr>
        <w:t>1</w:t>
      </w:r>
      <w:r>
        <w:rPr>
          <w:rFonts w:hint="eastAsia" w:hAnsi="Times New Roman"/>
          <w:snapToGrid w:val="0"/>
          <w:color w:val="auto"/>
          <w:highlight w:val="none"/>
          <w:lang w:val="en-US" w:eastAsia="zh-CN"/>
        </w:rPr>
        <w:t>3</w:t>
      </w:r>
      <w:r>
        <w:rPr>
          <w:rFonts w:hint="default" w:ascii="Times New Roman" w:hAnsi="Times New Roman" w:eastAsia="宋体" w:cs="Times New Roman"/>
          <w:b w:val="0"/>
          <w:bCs w:val="0"/>
          <w:snapToGrid w:val="0"/>
          <w:color w:val="auto"/>
          <w:sz w:val="24"/>
          <w:szCs w:val="24"/>
          <w:highlight w:val="none"/>
        </w:rPr>
        <w:t xml:space="preserve"> 本标与物探检测标的工作界面</w:t>
      </w:r>
    </w:p>
    <w:p>
      <w:pPr>
        <w:keepNext w:val="0"/>
        <w:keepLines w:val="0"/>
        <w:pageBreakBefore w:val="0"/>
        <w:widowControl/>
        <w:kinsoku/>
        <w:wordWrap/>
        <w:overflowPunct/>
        <w:topLinePunct w:val="0"/>
        <w:autoSpaceDE/>
        <w:autoSpaceDN/>
        <w:bidi w:val="0"/>
        <w:adjustRightInd/>
        <w:snapToGrid/>
        <w:spacing w:line="500" w:lineRule="atLeast"/>
        <w:ind w:firstLine="480" w:firstLineChars="200"/>
        <w:textAlignment w:val="auto"/>
        <w:rPr>
          <w:rFonts w:hint="eastAsia"/>
          <w:color w:val="auto"/>
          <w:sz w:val="24"/>
          <w:szCs w:val="24"/>
          <w:highlight w:val="none"/>
        </w:rPr>
      </w:pPr>
      <w:r>
        <w:rPr>
          <w:rFonts w:hint="eastAsia"/>
          <w:color w:val="auto"/>
          <w:sz w:val="24"/>
          <w:szCs w:val="24"/>
          <w:highlight w:val="none"/>
        </w:rPr>
        <w:t>具体检测工作界面详见通用技术条款1.10.3。</w:t>
      </w:r>
    </w:p>
    <w:p>
      <w:pPr>
        <w:pStyle w:val="7"/>
        <w:keepNext w:val="0"/>
        <w:keepLines w:val="0"/>
        <w:pageBreakBefore w:val="0"/>
        <w:widowControl w:val="0"/>
        <w:kinsoku/>
        <w:wordWrap/>
        <w:overflowPunct/>
        <w:topLinePunct w:val="0"/>
        <w:autoSpaceDE w:val="0"/>
        <w:autoSpaceDN w:val="0"/>
        <w:bidi w:val="0"/>
        <w:adjustRightInd/>
        <w:snapToGrid/>
        <w:spacing w:line="360" w:lineRule="auto"/>
        <w:ind w:firstLineChars="200"/>
        <w:textAlignment w:val="auto"/>
        <w:rPr>
          <w:rFonts w:hint="default" w:ascii="Times New Roman" w:hAnsi="Times New Roman" w:eastAsia="宋体" w:cs="Times New Roman"/>
          <w:b w:val="0"/>
          <w:bCs w:val="0"/>
          <w:snapToGrid w:val="0"/>
          <w:color w:val="auto"/>
          <w:sz w:val="24"/>
          <w:szCs w:val="24"/>
          <w:highlight w:val="none"/>
        </w:rPr>
      </w:pPr>
      <w:r>
        <w:rPr>
          <w:rFonts w:hAnsi="Times New Roman"/>
          <w:snapToGrid w:val="0"/>
          <w:color w:val="auto"/>
          <w:highlight w:val="none"/>
        </w:rPr>
        <w:t>1.3.2.</w:t>
      </w:r>
      <w:r>
        <w:rPr>
          <w:rFonts w:hAnsi="Times New Roman"/>
          <w:snapToGrid w:val="0"/>
          <w:color w:val="auto"/>
          <w:highlight w:val="none"/>
          <w:lang w:val="en-US"/>
        </w:rPr>
        <w:t>1</w:t>
      </w:r>
      <w:r>
        <w:rPr>
          <w:rFonts w:hint="eastAsia" w:hAnsi="Times New Roman"/>
          <w:snapToGrid w:val="0"/>
          <w:color w:val="auto"/>
          <w:highlight w:val="none"/>
          <w:lang w:val="en-US" w:eastAsia="zh-CN"/>
        </w:rPr>
        <w:t>3</w:t>
      </w:r>
      <w:r>
        <w:rPr>
          <w:rFonts w:hint="default" w:ascii="Times New Roman" w:hAnsi="Times New Roman" w:eastAsia="宋体" w:cs="Times New Roman"/>
          <w:b w:val="0"/>
          <w:bCs w:val="0"/>
          <w:snapToGrid w:val="0"/>
          <w:color w:val="auto"/>
          <w:sz w:val="24"/>
          <w:szCs w:val="24"/>
          <w:highlight w:val="none"/>
        </w:rPr>
        <w:t xml:space="preserve"> 本标与金属结构质量检测标的工作界面</w:t>
      </w:r>
    </w:p>
    <w:p>
      <w:pPr>
        <w:widowControl/>
        <w:spacing w:line="500" w:lineRule="atLeast"/>
        <w:ind w:firstLine="480" w:firstLineChars="200"/>
        <w:rPr>
          <w:rFonts w:hint="eastAsia" w:eastAsia="宋体"/>
          <w:snapToGrid/>
          <w:color w:val="auto"/>
          <w:sz w:val="24"/>
          <w:szCs w:val="24"/>
          <w:highlight w:val="none"/>
          <w:lang w:val="en-US"/>
        </w:rPr>
      </w:pPr>
      <w:r>
        <w:rPr>
          <w:rFonts w:hint="eastAsia" w:eastAsia="宋体"/>
          <w:color w:val="auto"/>
          <w:sz w:val="24"/>
          <w:szCs w:val="24"/>
          <w:highlight w:val="none"/>
        </w:rPr>
        <w:t>本标承包人负责对本工程所有金属结构项目（含原材料）进行质量检测的相关工作，发包人委托金属结构质量检测标承包人对本工程压力钢管、闸门及启闭机焊缝、座环、蜗壳焊缝、管路焊缝等设备进行第三方质量检测的相关工作</w:t>
      </w:r>
      <w:r>
        <w:rPr>
          <w:rFonts w:hint="eastAsia" w:eastAsia="宋体"/>
          <w:color w:val="auto"/>
          <w:sz w:val="24"/>
          <w:szCs w:val="24"/>
          <w:highlight w:val="none"/>
          <w:lang w:eastAsia="zh-CN"/>
        </w:rPr>
        <w:t>，</w:t>
      </w:r>
      <w:r>
        <w:rPr>
          <w:rFonts w:hint="eastAsia" w:eastAsia="宋体"/>
          <w:color w:val="auto"/>
          <w:sz w:val="24"/>
          <w:szCs w:val="24"/>
          <w:highlight w:val="none"/>
        </w:rPr>
        <w:t>本标承包人应进行配合工作</w:t>
      </w:r>
      <w:r>
        <w:rPr>
          <w:rFonts w:hint="eastAsia" w:eastAsia="宋体"/>
          <w:color w:val="auto"/>
          <w:sz w:val="24"/>
          <w:szCs w:val="24"/>
          <w:highlight w:val="none"/>
          <w:lang w:eastAsia="zh-CN"/>
        </w:rPr>
        <w:t>，包括打磨、修复及搭设工作平台等。</w:t>
      </w:r>
    </w:p>
    <w:p>
      <w:pPr>
        <w:pStyle w:val="132"/>
        <w:rPr>
          <w:rFonts w:hint="eastAsia"/>
          <w:snapToGrid w:val="0"/>
          <w:color w:val="auto"/>
          <w:highlight w:val="none"/>
          <w:lang w:val="en-US"/>
        </w:rPr>
      </w:pPr>
      <w:r>
        <w:rPr>
          <w:rFonts w:hint="eastAsia"/>
          <w:snapToGrid w:val="0"/>
          <w:color w:val="auto"/>
          <w:highlight w:val="none"/>
          <w:lang w:val="en-US"/>
        </w:rPr>
        <w:t>1.3.3  本标承包人向其他标段承包人交面时间</w:t>
      </w:r>
      <w:bookmarkEnd w:id="63"/>
      <w:bookmarkEnd w:id="64"/>
      <w:bookmarkEnd w:id="65"/>
      <w:bookmarkEnd w:id="66"/>
      <w:bookmarkEnd w:id="67"/>
      <w:bookmarkEnd w:id="68"/>
      <w:bookmarkEnd w:id="69"/>
    </w:p>
    <w:p>
      <w:pPr>
        <w:widowControl/>
        <w:spacing w:line="500" w:lineRule="atLeast"/>
        <w:ind w:firstLine="480" w:firstLineChars="200"/>
        <w:rPr>
          <w:rFonts w:hint="eastAsia" w:eastAsia="宋体"/>
          <w:color w:val="auto"/>
          <w:sz w:val="24"/>
          <w:szCs w:val="24"/>
          <w:highlight w:val="none"/>
        </w:rPr>
      </w:pPr>
      <w:r>
        <w:rPr>
          <w:rFonts w:hint="eastAsia" w:ascii="Calibri" w:hAnsi="Calibri" w:eastAsia="宋体"/>
          <w:color w:val="auto"/>
          <w:sz w:val="24"/>
          <w:szCs w:val="24"/>
          <w:highlight w:val="none"/>
        </w:rPr>
        <w:t>预计在C3标移交本标桥机安装工作面3个月后，完成尾闸室桥机安装调试，尾闸室桥机具备使用条件，为C3标尾水钢管安装提供便利。</w:t>
      </w:r>
    </w:p>
    <w:p>
      <w:pPr>
        <w:pStyle w:val="132"/>
        <w:tabs>
          <w:tab w:val="left" w:pos="851"/>
        </w:tabs>
        <w:rPr>
          <w:color w:val="auto"/>
          <w:highlight w:val="none"/>
        </w:rPr>
      </w:pPr>
      <w:bookmarkStart w:id="70" w:name="_Toc360461273"/>
      <w:bookmarkStart w:id="71" w:name="_Toc369619643"/>
      <w:bookmarkStart w:id="72" w:name="_Toc116929659"/>
      <w:bookmarkStart w:id="73" w:name="_Toc355517109"/>
      <w:bookmarkStart w:id="74" w:name="_Toc366139037"/>
      <w:bookmarkStart w:id="75" w:name="_Toc364872809"/>
      <w:bookmarkStart w:id="76" w:name="_Toc20413"/>
      <w:r>
        <w:rPr>
          <w:color w:val="auto"/>
          <w:highlight w:val="none"/>
        </w:rPr>
        <w:t xml:space="preserve">1.3.4  </w:t>
      </w:r>
      <w:r>
        <w:rPr>
          <w:rFonts w:hint="eastAsia"/>
          <w:color w:val="auto"/>
          <w:highlight w:val="none"/>
        </w:rPr>
        <w:t>其他标段承包人向本标段交面时间</w:t>
      </w:r>
      <w:bookmarkEnd w:id="70"/>
      <w:bookmarkEnd w:id="71"/>
      <w:bookmarkEnd w:id="72"/>
      <w:bookmarkEnd w:id="73"/>
      <w:bookmarkEnd w:id="74"/>
      <w:bookmarkEnd w:id="75"/>
      <w:bookmarkEnd w:id="76"/>
    </w:p>
    <w:p>
      <w:pPr>
        <w:widowControl/>
        <w:spacing w:line="500" w:lineRule="atLeast"/>
        <w:ind w:firstLine="480" w:firstLineChars="200"/>
        <w:rPr>
          <w:rFonts w:hint="eastAsia" w:eastAsia="宋体"/>
          <w:color w:val="auto"/>
          <w:sz w:val="24"/>
          <w:szCs w:val="24"/>
          <w:highlight w:val="none"/>
        </w:rPr>
      </w:pPr>
      <w:r>
        <w:rPr>
          <w:rFonts w:hint="eastAsia" w:ascii="Calibri" w:hAnsi="Calibri" w:eastAsia="宋体" w:cs="黑体"/>
          <w:color w:val="auto"/>
          <w:sz w:val="24"/>
          <w:szCs w:val="24"/>
          <w:highlight w:val="none"/>
        </w:rPr>
        <w:t>（1）</w:t>
      </w:r>
      <w:r>
        <w:rPr>
          <w:rFonts w:hint="eastAsia" w:eastAsia="宋体"/>
          <w:color w:val="auto"/>
          <w:sz w:val="24"/>
          <w:szCs w:val="24"/>
          <w:highlight w:val="none"/>
        </w:rPr>
        <w:t>预计2026年0</w:t>
      </w:r>
      <w:r>
        <w:rPr>
          <w:rFonts w:hint="eastAsia" w:ascii="Calibri" w:hAnsi="Calibri" w:eastAsia="宋体" w:cs="黑体"/>
          <w:color w:val="auto"/>
          <w:sz w:val="24"/>
          <w:szCs w:val="24"/>
          <w:highlight w:val="none"/>
        </w:rPr>
        <w:t>2</w:t>
      </w:r>
      <w:r>
        <w:rPr>
          <w:rFonts w:hint="eastAsia" w:eastAsia="宋体"/>
          <w:color w:val="auto"/>
          <w:sz w:val="24"/>
          <w:szCs w:val="24"/>
          <w:highlight w:val="none"/>
        </w:rPr>
        <w:t>月</w:t>
      </w:r>
      <w:r>
        <w:rPr>
          <w:rFonts w:hint="eastAsia" w:ascii="Calibri" w:hAnsi="Calibri" w:eastAsia="宋体" w:cs="黑体"/>
          <w:color w:val="auto"/>
          <w:sz w:val="24"/>
          <w:szCs w:val="24"/>
          <w:highlight w:val="none"/>
        </w:rPr>
        <w:t>28</w:t>
      </w:r>
      <w:r>
        <w:rPr>
          <w:rFonts w:hint="eastAsia" w:eastAsia="宋体"/>
          <w:color w:val="auto"/>
          <w:sz w:val="24"/>
          <w:szCs w:val="24"/>
          <w:highlight w:val="none"/>
        </w:rPr>
        <w:t>日，C3标完成主厂房岩壁吊车梁的一期结构施工和安装间底板混凝土浇筑，提供工作面给本标进行桥机安装。</w:t>
      </w:r>
    </w:p>
    <w:p>
      <w:pPr>
        <w:widowControl/>
        <w:spacing w:line="500" w:lineRule="atLeast"/>
        <w:ind w:firstLine="480" w:firstLineChars="200"/>
        <w:rPr>
          <w:rFonts w:hint="eastAsia" w:eastAsia="宋体"/>
          <w:color w:val="auto"/>
          <w:sz w:val="24"/>
          <w:szCs w:val="24"/>
          <w:highlight w:val="none"/>
        </w:rPr>
      </w:pPr>
      <w:r>
        <w:rPr>
          <w:rFonts w:hint="eastAsia" w:eastAsia="宋体"/>
          <w:color w:val="auto"/>
          <w:sz w:val="24"/>
          <w:szCs w:val="24"/>
          <w:highlight w:val="none"/>
        </w:rPr>
        <w:t>（2）预计2026年0</w:t>
      </w:r>
      <w:r>
        <w:rPr>
          <w:rFonts w:hint="eastAsia"/>
          <w:color w:val="auto"/>
          <w:sz w:val="24"/>
          <w:szCs w:val="24"/>
          <w:highlight w:val="none"/>
          <w:lang w:val="en-US" w:eastAsia="zh-CN"/>
        </w:rPr>
        <w:t>5</w:t>
      </w:r>
      <w:r>
        <w:rPr>
          <w:rFonts w:hint="eastAsia" w:eastAsia="宋体"/>
          <w:color w:val="auto"/>
          <w:sz w:val="24"/>
          <w:szCs w:val="24"/>
          <w:highlight w:val="none"/>
        </w:rPr>
        <w:t>月30日，C3标主厂房开挖支护完成，提供工作面给本标进行混凝土浇筑。</w:t>
      </w:r>
    </w:p>
    <w:p>
      <w:pPr>
        <w:widowControl/>
        <w:spacing w:line="500" w:lineRule="atLeast"/>
        <w:ind w:firstLine="480" w:firstLineChars="200"/>
        <w:rPr>
          <w:rFonts w:hint="eastAsia" w:eastAsia="宋体"/>
          <w:color w:val="auto"/>
          <w:sz w:val="24"/>
          <w:szCs w:val="24"/>
          <w:highlight w:val="none"/>
        </w:rPr>
      </w:pPr>
      <w:r>
        <w:rPr>
          <w:rFonts w:hint="eastAsia" w:eastAsia="宋体"/>
          <w:color w:val="auto"/>
          <w:sz w:val="24"/>
          <w:szCs w:val="24"/>
          <w:highlight w:val="none"/>
        </w:rPr>
        <w:t>（3）</w:t>
      </w:r>
      <w:r>
        <w:rPr>
          <w:rFonts w:hint="eastAsia" w:ascii="Calibri" w:hAnsi="Calibri" w:eastAsia="宋体" w:cs="黑体"/>
          <w:color w:val="auto"/>
          <w:sz w:val="24"/>
          <w:szCs w:val="24"/>
          <w:highlight w:val="none"/>
        </w:rPr>
        <w:t>本标进厂前</w:t>
      </w:r>
      <w:r>
        <w:rPr>
          <w:rFonts w:hint="eastAsia" w:eastAsia="宋体"/>
          <w:color w:val="auto"/>
          <w:sz w:val="24"/>
          <w:szCs w:val="24"/>
          <w:highlight w:val="none"/>
        </w:rPr>
        <w:t>，C3标主变洞、母线洞开挖支护完成，提供工作面给本标进行混凝土浇筑（承包人充分考虑电缆出线洞的爆破对主变、母线洞的混凝土施工干扰）。</w:t>
      </w:r>
    </w:p>
    <w:p>
      <w:pPr>
        <w:widowControl/>
        <w:spacing w:line="500" w:lineRule="atLeast"/>
        <w:ind w:firstLine="480" w:firstLineChars="200"/>
        <w:rPr>
          <w:rFonts w:hint="eastAsia" w:eastAsia="宋体"/>
          <w:color w:val="auto"/>
          <w:sz w:val="24"/>
          <w:szCs w:val="24"/>
          <w:highlight w:val="none"/>
        </w:rPr>
      </w:pPr>
      <w:r>
        <w:rPr>
          <w:rFonts w:hint="eastAsia" w:eastAsia="宋体"/>
          <w:color w:val="auto"/>
          <w:sz w:val="24"/>
          <w:szCs w:val="24"/>
          <w:highlight w:val="none"/>
        </w:rPr>
        <w:t>（4）预计2026年08月31日，C3标完成尾闸运输洞、尾闸室开挖及支护，提供工作面给本标。</w:t>
      </w:r>
    </w:p>
    <w:p>
      <w:pPr>
        <w:widowControl/>
        <w:spacing w:line="500" w:lineRule="atLeast"/>
        <w:ind w:firstLine="480" w:firstLineChars="200"/>
        <w:rPr>
          <w:rFonts w:hint="eastAsia" w:eastAsia="宋体"/>
          <w:color w:val="auto"/>
          <w:sz w:val="24"/>
          <w:szCs w:val="24"/>
          <w:highlight w:val="none"/>
        </w:rPr>
      </w:pPr>
      <w:r>
        <w:rPr>
          <w:rFonts w:hint="eastAsia" w:eastAsia="宋体"/>
          <w:color w:val="auto"/>
          <w:sz w:val="24"/>
          <w:szCs w:val="24"/>
          <w:highlight w:val="none"/>
        </w:rPr>
        <w:t>（5）预计2026年08月31日，C3标完成尾闸运输洞、尾闸室开挖及支护，提供工作面给本标。</w:t>
      </w:r>
    </w:p>
    <w:p>
      <w:pPr>
        <w:pStyle w:val="5"/>
        <w:spacing w:before="0" w:after="0" w:line="360" w:lineRule="auto"/>
        <w:rPr>
          <w:color w:val="auto"/>
          <w:highlight w:val="none"/>
          <w:shd w:val="clear" w:color="auto" w:fill="FFFF00"/>
        </w:rPr>
      </w:pPr>
      <w:r>
        <w:rPr>
          <w:rFonts w:hint="eastAsia" w:ascii="Times New Roman" w:hAnsi="Times New Roman" w:eastAsia="黑体" w:cs="Times New Roman"/>
          <w:b w:val="0"/>
          <w:bCs w:val="0"/>
          <w:color w:val="auto"/>
          <w:sz w:val="28"/>
          <w:szCs w:val="20"/>
          <w:highlight w:val="none"/>
          <w:shd w:val="clear" w:color="auto" w:fill="auto"/>
        </w:rPr>
        <w:t>1.6发包人提供的材料和设备</w:t>
      </w:r>
    </w:p>
    <w:p>
      <w:pPr>
        <w:pStyle w:val="132"/>
        <w:tabs>
          <w:tab w:val="left" w:pos="851"/>
        </w:tabs>
        <w:rPr>
          <w:rFonts w:hint="eastAsia"/>
          <w:color w:val="auto"/>
          <w:highlight w:val="none"/>
        </w:rPr>
      </w:pPr>
      <w:r>
        <w:rPr>
          <w:rFonts w:hint="eastAsia"/>
          <w:color w:val="auto"/>
          <w:highlight w:val="none"/>
        </w:rPr>
        <w:t>1.6.1发包人提供的材料</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（1）材料供应计划</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详见商务文件。</w:t>
      </w:r>
    </w:p>
    <w:p>
      <w:pPr>
        <w:pStyle w:val="132"/>
        <w:tabs>
          <w:tab w:val="left" w:pos="851"/>
        </w:tabs>
        <w:rPr>
          <w:rFonts w:hint="eastAsia"/>
          <w:color w:val="auto"/>
          <w:highlight w:val="none"/>
        </w:rPr>
      </w:pPr>
      <w:r>
        <w:rPr>
          <w:rFonts w:hint="eastAsia"/>
          <w:color w:val="auto"/>
          <w:highlight w:val="none"/>
        </w:rPr>
        <w:t>1.6.2发包人提供的工程设备和施工机械设备</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(1) 发包人提供的工程设备（包括相关装置性材料，下同）详见工程量清单和本技术条款相关约定。其中：</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1) 尾支钢管由C3标承包人提供，具体约定详见本技术条款第1.3.2相关约定；</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2) 本技术条款第5~16章约定由发包人提供的工程设备。</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(2) 交货计划和交货验收，商务文件无具体约定的，按本约定为准；与商务文件约定不一致的，按商务文件约定为准。</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1) 交货计划</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a) 合同进度计划批准后，承包人应提交一份工程设备安装进度要求的交货计划，报送监理人审批。监理人应与发包人和承包人协商确定交货日期，并在收到承包人交货计划后的14天内批复承包人。</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b) 交货计划变更</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由于施工安装进度延误，修订了合同进度计划，承包人可根据监理人批准的修订进度计划，要求变更交货计划，但由于承包人原因造成进度计划延误而变更交货计划的，承包人应自费保管按原定交货计划到达的工程设备。由于发包人要求变更交货计划，影响承包人的安装工作进度时，承包人有权按商务文件约定要求延长工期和（或）要求发包人支付增加的费用。</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c) 提前交货</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发包人要求向承包人提前交货的，承包人不得拒绝。提前交货日期超过计划交货日期60天以上的仓储和保管费用由发包人承担，未超过部分由承包人在投标报价中考虑，发包人不另行支付。</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2) 工程设备的交货验收</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a) 由发包人提供的工程设备，由监理人组织发包人和承包人共同进行交货验收。</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b) 发包人应提前7天，将工程设备预计到货日期通知承包人，并在设备到达卸货地点的24h前通知承包人。承包人应在设备到货后1小时内开始卸货，并在8小时内卸车完毕，否则，承包人应承担由此增加的相关费用。</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c) 承包人对发包人提供的工程设备未按约定进行必要的检验或经检验不合格仍然使用的，视为承包人对建设工程质量缺陷存在过错，承包人应承担相应责任。</w:t>
      </w:r>
    </w:p>
    <w:p>
      <w:pPr>
        <w:widowControl/>
        <w:spacing w:line="500" w:lineRule="atLeast"/>
        <w:ind w:firstLine="480" w:firstLineChars="200"/>
        <w:rPr>
          <w:rFonts w:hint="eastAsia"/>
          <w:color w:val="auto"/>
          <w:sz w:val="24"/>
          <w:szCs w:val="24"/>
          <w:highlight w:val="none"/>
          <w:shd w:val="clear" w:color="auto" w:fill="auto"/>
        </w:rPr>
      </w:pPr>
      <w:r>
        <w:rPr>
          <w:rFonts w:hint="eastAsia" w:ascii="Calibri" w:hAnsi="Calibri" w:cs="黑体"/>
          <w:color w:val="auto"/>
          <w:sz w:val="24"/>
          <w:szCs w:val="24"/>
          <w:highlight w:val="none"/>
          <w:shd w:val="clear" w:color="auto" w:fill="auto"/>
        </w:rPr>
        <w:t>d) 除合同另有约定外，发包人提供的工程设备验收后，由承包人负责接收、后续装卸及运输、仓储和保管，因承包人原因发生丢失、毁损的，由承包人负责赔偿。</w:t>
      </w:r>
    </w:p>
    <w:p>
      <w:pPr>
        <w:pStyle w:val="5"/>
        <w:spacing w:before="0" w:after="0" w:line="360" w:lineRule="auto"/>
        <w:rPr>
          <w:rFonts w:hint="eastAsia" w:ascii="Times New Roman" w:hAnsi="Times New Roman" w:eastAsia="黑体" w:cs="Times New Roman"/>
          <w:b w:val="0"/>
          <w:bCs w:val="0"/>
          <w:color w:val="auto"/>
          <w:sz w:val="28"/>
          <w:szCs w:val="20"/>
          <w:highlight w:val="none"/>
          <w:shd w:val="clear" w:color="auto" w:fill="auto"/>
        </w:rPr>
      </w:pPr>
      <w:bookmarkStart w:id="77" w:name="_Toc31649"/>
      <w:r>
        <w:rPr>
          <w:rFonts w:hint="eastAsia" w:ascii="Times New Roman" w:hAnsi="Times New Roman" w:eastAsia="黑体" w:cs="Times New Roman"/>
          <w:b w:val="0"/>
          <w:bCs w:val="0"/>
          <w:color w:val="auto"/>
          <w:sz w:val="28"/>
          <w:szCs w:val="20"/>
          <w:highlight w:val="none"/>
          <w:shd w:val="clear" w:color="auto" w:fill="auto"/>
        </w:rPr>
        <w:t>1.7承包人提供的材料和设备</w:t>
      </w:r>
      <w:bookmarkEnd w:id="77"/>
    </w:p>
    <w:p>
      <w:pPr>
        <w:pStyle w:val="132"/>
        <w:tabs>
          <w:tab w:val="left" w:pos="851"/>
        </w:tabs>
        <w:rPr>
          <w:rFonts w:hint="eastAsia"/>
          <w:color w:val="auto"/>
          <w:highlight w:val="yellow"/>
        </w:rPr>
      </w:pPr>
      <w:bookmarkStart w:id="446" w:name="_GoBack"/>
      <w:r>
        <w:rPr>
          <w:rFonts w:hint="eastAsia"/>
          <w:color w:val="auto"/>
          <w:highlight w:val="yellow"/>
        </w:rPr>
        <w:t>1.7.1承包人提供的材料</w:t>
      </w:r>
    </w:p>
    <w:p>
      <w:pPr>
        <w:widowControl/>
        <w:spacing w:line="500" w:lineRule="atLeast"/>
        <w:ind w:firstLine="480" w:firstLineChars="200"/>
        <w:rPr>
          <w:rFonts w:hint="eastAsia"/>
          <w:color w:val="auto"/>
          <w:sz w:val="24"/>
          <w:szCs w:val="24"/>
          <w:highlight w:val="yellow"/>
          <w:shd w:val="clear" w:color="auto" w:fill="auto"/>
        </w:rPr>
      </w:pPr>
      <w:r>
        <w:rPr>
          <w:rFonts w:hint="eastAsia" w:ascii="Calibri" w:hAnsi="Calibri" w:cs="黑体"/>
          <w:color w:val="auto"/>
          <w:sz w:val="24"/>
          <w:szCs w:val="24"/>
          <w:highlight w:val="yellow"/>
          <w:shd w:val="clear" w:color="auto" w:fill="auto"/>
        </w:rPr>
        <w:t>本技术条款1.7.1（1）条增加内容：</w:t>
      </w:r>
    </w:p>
    <w:p>
      <w:pPr>
        <w:widowControl/>
        <w:spacing w:line="500" w:lineRule="atLeast"/>
        <w:ind w:firstLine="480" w:firstLineChars="200"/>
        <w:rPr>
          <w:rFonts w:hint="eastAsia"/>
          <w:color w:val="auto"/>
          <w:sz w:val="24"/>
          <w:szCs w:val="24"/>
          <w:highlight w:val="yellow"/>
          <w:shd w:val="clear" w:color="auto" w:fill="auto"/>
        </w:rPr>
      </w:pPr>
      <w:r>
        <w:rPr>
          <w:rFonts w:hint="eastAsia" w:ascii="Calibri" w:hAnsi="Calibri" w:cs="黑体"/>
          <w:color w:val="auto"/>
          <w:sz w:val="24"/>
          <w:szCs w:val="24"/>
          <w:highlight w:val="yellow"/>
          <w:shd w:val="clear" w:color="auto" w:fill="auto"/>
        </w:rPr>
        <w:t>（1）材料采购计划</w:t>
      </w:r>
    </w:p>
    <w:p>
      <w:pPr>
        <w:widowControl/>
        <w:spacing w:line="500" w:lineRule="atLeast"/>
        <w:ind w:firstLine="480" w:firstLineChars="200"/>
        <w:rPr>
          <w:rFonts w:hint="eastAsia"/>
          <w:color w:val="auto"/>
          <w:sz w:val="24"/>
          <w:szCs w:val="24"/>
          <w:highlight w:val="yellow"/>
          <w:shd w:val="clear" w:color="auto" w:fill="auto"/>
        </w:rPr>
      </w:pPr>
      <w:r>
        <w:rPr>
          <w:rFonts w:hint="eastAsia" w:ascii="Calibri" w:hAnsi="Calibri" w:cs="黑体"/>
          <w:color w:val="auto"/>
          <w:sz w:val="24"/>
          <w:szCs w:val="24"/>
          <w:highlight w:val="yellow"/>
          <w:shd w:val="clear" w:color="auto" w:fill="auto"/>
        </w:rPr>
        <w:t>承包人自行采购粉煤灰（需选用F类）、减水剂、外加剂等应提前报监理人同意，在合同履行期间保持品牌、厂家稳定，确有特殊原因需更换品牌或厂家的，需报监理人、发包人同意。</w:t>
      </w:r>
    </w:p>
    <w:p>
      <w:pPr>
        <w:widowControl/>
        <w:spacing w:line="500" w:lineRule="atLeast"/>
        <w:ind w:firstLine="480" w:firstLineChars="200"/>
        <w:rPr>
          <w:rFonts w:hint="eastAsia"/>
          <w:color w:val="auto"/>
          <w:sz w:val="24"/>
          <w:szCs w:val="24"/>
          <w:highlight w:val="yellow"/>
          <w:shd w:val="clear" w:color="auto" w:fill="auto"/>
        </w:rPr>
      </w:pPr>
      <w:r>
        <w:rPr>
          <w:rFonts w:hint="eastAsia" w:ascii="Calibri" w:hAnsi="Calibri" w:cs="黑体"/>
          <w:color w:val="auto"/>
          <w:sz w:val="24"/>
          <w:szCs w:val="24"/>
          <w:highlight w:val="yellow"/>
          <w:shd w:val="clear" w:color="auto" w:fill="auto"/>
        </w:rPr>
        <w:t>承包人在选购装修材料前，需与发包人充分沟通，详细提供品牌、样式等关键信息。</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b/>
          <w:bCs/>
          <w:color w:val="auto"/>
          <w:sz w:val="24"/>
          <w:szCs w:val="24"/>
          <w:highlight w:val="yellow"/>
        </w:rPr>
      </w:pPr>
      <w:r>
        <w:rPr>
          <w:rFonts w:ascii="宋体" w:hAnsi="宋体" w:eastAsia="宋体" w:cs="宋体"/>
          <w:color w:val="auto"/>
          <w:sz w:val="24"/>
          <w:szCs w:val="24"/>
          <w:highlight w:val="yellow"/>
        </w:rPr>
        <w:t>本技术条款1.7.1条增加内容：</w:t>
      </w:r>
      <w:r>
        <w:rPr>
          <w:rFonts w:ascii="宋体" w:hAnsi="宋体" w:eastAsia="宋体" w:cs="宋体"/>
          <w:color w:val="auto"/>
          <w:sz w:val="24"/>
          <w:szCs w:val="24"/>
          <w:highlight w:val="yellow"/>
        </w:rPr>
        <w:br w:type="textWrapping"/>
      </w:r>
      <w:r>
        <w:rPr>
          <w:rFonts w:ascii="宋体" w:hAnsi="宋体" w:eastAsia="宋体" w:cs="宋体"/>
          <w:color w:val="auto"/>
          <w:sz w:val="24"/>
          <w:szCs w:val="24"/>
          <w:highlight w:val="yellow"/>
        </w:rPr>
        <w:t>（6）钢筋、水泥、砂石料、动力电缆及其附件的供应详见商务文件及其附件相关约定。</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yellow"/>
        </w:rPr>
      </w:pPr>
      <w:r>
        <w:rPr>
          <w:rFonts w:hint="eastAsia"/>
          <w:b/>
          <w:bCs/>
          <w:color w:val="auto"/>
          <w:sz w:val="24"/>
          <w:szCs w:val="24"/>
          <w:highlight w:val="yellow"/>
        </w:rPr>
        <w:t>本技术条款1.</w:t>
      </w:r>
      <w:r>
        <w:rPr>
          <w:rFonts w:hint="eastAsia"/>
          <w:b/>
          <w:bCs/>
          <w:color w:val="auto"/>
          <w:sz w:val="24"/>
          <w:szCs w:val="24"/>
          <w:highlight w:val="yellow"/>
          <w:lang w:val="en-US" w:eastAsia="zh-CN"/>
        </w:rPr>
        <w:t>7节增加</w:t>
      </w:r>
      <w:r>
        <w:rPr>
          <w:rFonts w:hint="eastAsia"/>
          <w:b/>
          <w:bCs/>
          <w:color w:val="auto"/>
          <w:sz w:val="24"/>
          <w:szCs w:val="24"/>
          <w:highlight w:val="yellow"/>
        </w:rPr>
        <w:t>内容：</w:t>
      </w:r>
    </w:p>
    <w:bookmarkEnd w:id="446"/>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本采购项目范围的重要工程材料，应选用品质和质量可靠</w:t>
      </w:r>
      <w:r>
        <w:rPr>
          <w:rFonts w:hint="eastAsia" w:ascii="Times New Roman" w:cs="Times New Roman"/>
          <w:color w:val="auto"/>
          <w:szCs w:val="24"/>
          <w:highlight w:val="yellow"/>
          <w:lang w:val="en-US" w:eastAsia="zh-CN" w:bidi="ar"/>
        </w:rPr>
        <w:t>的</w:t>
      </w:r>
      <w:r>
        <w:rPr>
          <w:rFonts w:hint="eastAsia" w:ascii="Times New Roman" w:cs="Times New Roman"/>
          <w:color w:val="auto"/>
          <w:szCs w:val="24"/>
          <w:highlight w:val="yellow"/>
          <w:lang w:bidi="ar"/>
        </w:rPr>
        <w:t>产品。投标人在投标阶段应结合报价清单确定一个拟在本项目采用的品牌</w:t>
      </w:r>
      <w:r>
        <w:rPr>
          <w:rFonts w:hint="eastAsia" w:ascii="Times New Roman" w:cs="Times New Roman"/>
          <w:color w:val="auto"/>
          <w:szCs w:val="24"/>
          <w:highlight w:val="yellow"/>
          <w:lang w:eastAsia="zh-CN" w:bidi="ar"/>
        </w:rPr>
        <w:t>（</w:t>
      </w:r>
      <w:r>
        <w:rPr>
          <w:rFonts w:hint="eastAsia" w:ascii="Times New Roman" w:hAnsi="宋体" w:eastAsia="宋体" w:cs="Times New Roman"/>
          <w:b w:val="0"/>
          <w:bCs w:val="0"/>
          <w:color w:val="auto"/>
          <w:sz w:val="24"/>
          <w:szCs w:val="24"/>
          <w:highlight w:val="yellow"/>
          <w:lang w:val="en-US" w:eastAsia="zh-CN" w:bidi="ar"/>
        </w:rPr>
        <w:t>涉及颜色的由发包人在施工前确认，单价不因此调整</w:t>
      </w:r>
      <w:r>
        <w:rPr>
          <w:rFonts w:hint="eastAsia" w:ascii="Times New Roman" w:cs="Times New Roman"/>
          <w:color w:val="auto"/>
          <w:szCs w:val="24"/>
          <w:highlight w:val="yellow"/>
          <w:lang w:eastAsia="zh-CN" w:bidi="ar"/>
        </w:rPr>
        <w:t>）</w:t>
      </w:r>
      <w:r>
        <w:rPr>
          <w:rFonts w:hint="eastAsia" w:ascii="Times New Roman" w:cs="Times New Roman"/>
          <w:color w:val="auto"/>
          <w:szCs w:val="24"/>
          <w:highlight w:val="yellow"/>
          <w:lang w:bidi="ar"/>
        </w:rPr>
        <w:t>。投标人提供的重要工程材料，应采用该品牌中/高档系列产品。重要工程材料包括：</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1.400V低压母线槽</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2.照明光源</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3.全绝缘浇注母线</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4.电缆桥架</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5.电缆桥架无机防火隔板</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6.电动葫芦和手动葫芦</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7.电梯</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8.漆或涂料</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9.风阀</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10.安全省力型盖板</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11.花岗岩地面、抛光砖、墙面砖</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12.自流平地面</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13.乳胶漆墙面</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14.穿孔蜂窝板</w:t>
      </w:r>
    </w:p>
    <w:p>
      <w:pPr>
        <w:pStyle w:val="84"/>
        <w:rPr>
          <w:rFonts w:hint="eastAsia" w:ascii="Times New Roman" w:cs="Times New Roman"/>
          <w:color w:val="auto"/>
          <w:szCs w:val="24"/>
          <w:highlight w:val="yellow"/>
          <w:lang w:bidi="ar"/>
        </w:rPr>
      </w:pPr>
      <w:r>
        <w:rPr>
          <w:rFonts w:hint="eastAsia" w:ascii="Times New Roman" w:cs="Times New Roman"/>
          <w:color w:val="auto"/>
          <w:szCs w:val="24"/>
          <w:highlight w:val="yellow"/>
          <w:lang w:bidi="ar"/>
        </w:rPr>
        <w:t>15.卫生洁具</w:t>
      </w:r>
    </w:p>
    <w:p>
      <w:pPr>
        <w:pStyle w:val="50"/>
        <w:rPr>
          <w:color w:val="auto"/>
          <w:highlight w:val="none"/>
        </w:rPr>
      </w:pPr>
      <w:bookmarkStart w:id="78" w:name="_Toc16724"/>
      <w:bookmarkStart w:id="79" w:name="_Toc127395701"/>
      <w:bookmarkStart w:id="80" w:name="_Toc1854"/>
      <w:r>
        <w:rPr>
          <w:rFonts w:hint="eastAsia"/>
          <w:color w:val="auto"/>
          <w:highlight w:val="none"/>
        </w:rPr>
        <w:t>第2章  施工辅助设施</w:t>
      </w:r>
      <w:bookmarkEnd w:id="78"/>
      <w:bookmarkEnd w:id="79"/>
      <w:bookmarkEnd w:id="80"/>
    </w:p>
    <w:p>
      <w:pPr>
        <w:pStyle w:val="5"/>
        <w:spacing w:before="0" w:after="0" w:line="360" w:lineRule="auto"/>
        <w:rPr>
          <w:color w:val="auto"/>
          <w:highlight w:val="none"/>
        </w:rPr>
      </w:pPr>
      <w:bookmarkStart w:id="81" w:name="_Toc699"/>
      <w:r>
        <w:rPr>
          <w:rFonts w:ascii="宋体" w:hAnsi="宋体" w:cs="宋体"/>
          <w:color w:val="auto"/>
          <w:sz w:val="24"/>
          <w:highlight w:val="none"/>
        </w:rPr>
        <w:t>2.4施工交通</w:t>
      </w:r>
      <w:bookmarkEnd w:id="81"/>
    </w:p>
    <w:p>
      <w:pPr>
        <w:spacing w:line="360" w:lineRule="auto"/>
        <w:ind w:firstLine="480" w:firstLineChars="200"/>
        <w:rPr>
          <w:color w:val="auto"/>
          <w:highlight w:val="none"/>
        </w:rPr>
      </w:pPr>
      <w:r>
        <w:rPr>
          <w:rFonts w:ascii="宋体" w:hAnsi="宋体" w:cs="宋体"/>
          <w:color w:val="auto"/>
          <w:sz w:val="24"/>
          <w:highlight w:val="none"/>
        </w:rPr>
        <w:t>本技术条款2.4.1节增加内容：</w:t>
      </w:r>
    </w:p>
    <w:p>
      <w:pPr>
        <w:pStyle w:val="6"/>
        <w:spacing w:before="0" w:after="0" w:line="360" w:lineRule="auto"/>
        <w:rPr>
          <w:color w:val="auto"/>
          <w:highlight w:val="none"/>
        </w:rPr>
      </w:pPr>
      <w:r>
        <w:rPr>
          <w:rFonts w:ascii="宋体" w:hAnsi="宋体" w:cs="宋体"/>
          <w:color w:val="auto"/>
          <w:sz w:val="24"/>
          <w:highlight w:val="none"/>
        </w:rPr>
        <w:t>2.4.1场内施工道路</w:t>
      </w:r>
    </w:p>
    <w:p>
      <w:pPr>
        <w:spacing w:line="360" w:lineRule="auto"/>
        <w:ind w:firstLine="480" w:firstLineChars="200"/>
        <w:rPr>
          <w:color w:val="auto"/>
          <w:highlight w:val="none"/>
        </w:rPr>
      </w:pPr>
      <w:r>
        <w:rPr>
          <w:rFonts w:ascii="宋体" w:hAnsi="宋体" w:cs="宋体"/>
          <w:color w:val="auto"/>
          <w:sz w:val="24"/>
          <w:highlight w:val="none"/>
        </w:rPr>
        <w:t>（1）利用当地现有交通道路作为施工临时道路，待工程完工后应恢复当地交通道路，其道路标准不低于使用前标准。</w:t>
      </w:r>
    </w:p>
    <w:p>
      <w:pPr>
        <w:spacing w:line="360" w:lineRule="auto"/>
        <w:ind w:firstLine="480" w:firstLineChars="200"/>
        <w:rPr>
          <w:color w:val="auto"/>
          <w:highlight w:val="none"/>
        </w:rPr>
      </w:pPr>
      <w:r>
        <w:rPr>
          <w:rFonts w:ascii="宋体" w:hAnsi="宋体" w:cs="宋体"/>
          <w:color w:val="auto"/>
          <w:sz w:val="24"/>
          <w:highlight w:val="none"/>
        </w:rPr>
        <w:t>（2）承包人应负责在主厂房上游侧从安装场至副厂房间设置临时通道与安全护栏，宽度不小于1.5m，人行通道的高程应和安装场或发电机楼板相适应，并在合同实施期间负责管理、维修和拆除。承包人进行下水库导流洞闸门吊装安装时，应自行规划、设计、施工所需的施工便道。</w:t>
      </w:r>
    </w:p>
    <w:p>
      <w:pPr>
        <w:spacing w:line="360" w:lineRule="auto"/>
        <w:ind w:firstLine="480" w:firstLineChars="200"/>
        <w:rPr>
          <w:color w:val="auto"/>
          <w:highlight w:val="none"/>
        </w:rPr>
      </w:pPr>
      <w:r>
        <w:rPr>
          <w:rFonts w:ascii="宋体" w:hAnsi="宋体" w:cs="宋体"/>
          <w:color w:val="auto"/>
          <w:sz w:val="24"/>
          <w:highlight w:val="none"/>
        </w:rPr>
        <w:t>（3）由于施工需要扩挖施工支洞以及施工支洞间、施工支洞与其它洞室的平交口或与洞室立体交叉部位，均应根据具体情况采取加强、加固措施，支洞布置图、结构图、平交口支护结构图及封堵图均应报监理人会同设计人批准。</w:t>
      </w:r>
    </w:p>
    <w:p>
      <w:pPr>
        <w:spacing w:line="360" w:lineRule="auto"/>
        <w:ind w:firstLine="480" w:firstLineChars="200"/>
        <w:rPr>
          <w:color w:val="auto"/>
          <w:highlight w:val="none"/>
        </w:rPr>
      </w:pPr>
      <w:r>
        <w:rPr>
          <w:rFonts w:ascii="宋体" w:hAnsi="宋体" w:cs="宋体"/>
          <w:color w:val="auto"/>
          <w:sz w:val="24"/>
          <w:highlight w:val="none"/>
        </w:rPr>
        <w:t>（4）本标承包人应保证施工期间交通或临时交通的畅通，如确因工程需要而必须临时中断某些现有交通时，本标承包人提出临时道路切实可行的措施，报请监理人批准。且不得因施工道路的修建而使跨越路线的工区供电、通信、供水和排水等受到影响。</w:t>
      </w:r>
    </w:p>
    <w:p>
      <w:pPr>
        <w:pStyle w:val="5"/>
        <w:spacing w:before="0" w:after="0" w:line="360" w:lineRule="auto"/>
        <w:rPr>
          <w:rFonts w:hint="eastAsia" w:ascii="宋体" w:hAnsi="宋体" w:cs="宋体"/>
          <w:color w:val="auto"/>
          <w:sz w:val="24"/>
          <w:highlight w:val="none"/>
        </w:rPr>
      </w:pPr>
      <w:r>
        <w:rPr>
          <w:rFonts w:ascii="宋体" w:hAnsi="宋体" w:cs="宋体"/>
          <w:color w:val="auto"/>
          <w:sz w:val="24"/>
          <w:highlight w:val="none"/>
        </w:rPr>
        <w:t xml:space="preserve">2.5 </w:t>
      </w:r>
      <w:bookmarkStart w:id="82" w:name="_Hlk114045847"/>
      <w:r>
        <w:rPr>
          <w:rFonts w:ascii="宋体" w:hAnsi="宋体" w:cs="宋体"/>
          <w:color w:val="auto"/>
          <w:sz w:val="24"/>
          <w:highlight w:val="none"/>
        </w:rPr>
        <w:t xml:space="preserve"> 施工和生活供电</w:t>
      </w:r>
      <w:bookmarkEnd w:id="82"/>
    </w:p>
    <w:p>
      <w:pPr>
        <w:pStyle w:val="76"/>
        <w:rPr>
          <w:color w:val="auto"/>
          <w:highlight w:val="none"/>
        </w:rPr>
      </w:pPr>
      <w:r>
        <w:rPr>
          <w:rFonts w:hint="eastAsia"/>
          <w:color w:val="auto"/>
          <w:highlight w:val="none"/>
        </w:rPr>
        <w:t>本技术条款2.5节内容增加：</w:t>
      </w:r>
    </w:p>
    <w:p>
      <w:pPr>
        <w:spacing w:line="360" w:lineRule="auto"/>
        <w:ind w:firstLine="480" w:firstLineChars="200"/>
        <w:rPr>
          <w:color w:val="auto"/>
          <w:highlight w:val="none"/>
        </w:rPr>
      </w:pPr>
      <w:r>
        <w:rPr>
          <w:rFonts w:ascii="宋体" w:hAnsi="宋体" w:cs="宋体"/>
          <w:color w:val="auto"/>
          <w:sz w:val="24"/>
          <w:highlight w:val="none"/>
        </w:rPr>
        <w:t>（1) 发包人已建成35kV进线至电站进厂交通洞、通风兼安全洞附近，承包方施工用电在该双回路T接，承包人应充分认识施工供电条件，为保证施工连续性，应配备一定容量的自发施工电源，以满足施工进度要求，不能因电网停电而要求发包人给予额外支付和影响施工进度。承包人应自行负责其电力设备或备用电源出现故障而引起的损失。</w:t>
      </w:r>
    </w:p>
    <w:p>
      <w:pPr>
        <w:spacing w:line="360" w:lineRule="auto"/>
        <w:ind w:firstLine="480" w:firstLineChars="200"/>
        <w:rPr>
          <w:color w:val="auto"/>
          <w:highlight w:val="none"/>
        </w:rPr>
      </w:pPr>
      <w:r>
        <w:rPr>
          <w:rFonts w:ascii="宋体" w:hAnsi="宋体" w:cs="宋体"/>
          <w:color w:val="auto"/>
          <w:sz w:val="24"/>
          <w:highlight w:val="none"/>
        </w:rPr>
        <w:t>（2) 承包人应负责从发包人指定的施工电源输出端接口处至所有施工区和生活区的输电线路、配电变压器及其全部配电装置（包括调压器及功率补偿装置等）的设计、施工、采购、安装、调试、管理和运行维修、线路拆除等全周期工作，并且必须符合当地供电部门相关的安全、质量和技术标准要求。施工用电的设备设施配置、架设路径、配电变压器的容量等设计方案须报监理人和发包方批准后，获得供电局认可后方能实施。</w:t>
      </w:r>
    </w:p>
    <w:p>
      <w:pPr>
        <w:spacing w:line="360" w:lineRule="auto"/>
        <w:ind w:firstLine="480" w:firstLineChars="200"/>
        <w:rPr>
          <w:color w:val="auto"/>
          <w:highlight w:val="none"/>
        </w:rPr>
      </w:pPr>
      <w:r>
        <w:rPr>
          <w:rFonts w:ascii="宋体" w:hAnsi="宋体" w:cs="宋体"/>
          <w:color w:val="auto"/>
          <w:sz w:val="24"/>
          <w:highlight w:val="none"/>
        </w:rPr>
        <w:t>（3）临时施工电源的用电业扩报装由承包方负责，其中包括业扩报装、施工图纸设计、审核及提交、电子化移交、现场试验、验收等施工用电的全过程工作，上述工作严格按照供电局的流程及要求执行（如现场试验需要邀请当地供电局或供电所进行现场旁站验收）。</w:t>
      </w:r>
    </w:p>
    <w:p>
      <w:pPr>
        <w:spacing w:line="360" w:lineRule="auto"/>
        <w:ind w:firstLine="480" w:firstLineChars="200"/>
        <w:rPr>
          <w:color w:val="auto"/>
          <w:highlight w:val="none"/>
        </w:rPr>
      </w:pPr>
      <w:r>
        <w:rPr>
          <w:rFonts w:ascii="宋体" w:hAnsi="宋体" w:cs="宋体"/>
          <w:color w:val="auto"/>
          <w:sz w:val="24"/>
          <w:highlight w:val="none"/>
        </w:rPr>
        <w:t>（4）承包人应邀请具备设计资质的电力设计单位，根据本工程实际情况、电站可研设计及施工电源设计成果进行输电线路、变压器容量设计，设计满足广东电网配网的技术规范要求，满足《供配电系统设计规范》、南方电网公司《10kV及以下业扩受电工程典型设计》等技术要求，并配置完善的设备及线路保护、接地、防雷（过电压保护）、短路等功能。</w:t>
      </w:r>
    </w:p>
    <w:p>
      <w:pPr>
        <w:spacing w:line="360" w:lineRule="auto"/>
        <w:ind w:firstLine="480" w:firstLineChars="200"/>
        <w:rPr>
          <w:color w:val="auto"/>
          <w:highlight w:val="none"/>
        </w:rPr>
      </w:pPr>
      <w:r>
        <w:rPr>
          <w:rFonts w:ascii="宋体" w:hAnsi="宋体" w:cs="宋体"/>
          <w:color w:val="auto"/>
          <w:sz w:val="24"/>
          <w:highlight w:val="none"/>
        </w:rPr>
        <w:t>（5）承包方应邀请具备试验资质的电力试验单位开展施工用电的设备设施试验工作，邀请监理、供电局进行旁站或现场验收，出具试验报告并经监理、供电局认可。</w:t>
      </w:r>
    </w:p>
    <w:p>
      <w:pPr>
        <w:spacing w:line="360" w:lineRule="auto"/>
        <w:ind w:firstLine="480" w:firstLineChars="200"/>
        <w:rPr>
          <w:color w:val="auto"/>
          <w:highlight w:val="none"/>
        </w:rPr>
      </w:pPr>
      <w:r>
        <w:rPr>
          <w:rFonts w:ascii="宋体" w:hAnsi="宋体" w:cs="宋体"/>
          <w:color w:val="auto"/>
          <w:sz w:val="24"/>
          <w:highlight w:val="none"/>
        </w:rPr>
        <w:t>（6) 承包方从发包方的施工电源线路进行T接，在T接的第一杆处安装分支令克或是分段开关（容量为800kVA及以上要求安装开关，含隔离刀闸、进出线避雷器各一组），减少故障影响的供电范围，以有效保障施工电源主回路的安全。配置的开关应为智能开关，应具备完善的短路跳闸、雷击保护、接地保护等功能，配置的定值应该和主回路的保护定值相匹配，避免越级跳闸。</w:t>
      </w:r>
    </w:p>
    <w:p>
      <w:pPr>
        <w:spacing w:line="360" w:lineRule="auto"/>
        <w:ind w:firstLine="480" w:firstLineChars="200"/>
        <w:rPr>
          <w:color w:val="auto"/>
          <w:highlight w:val="none"/>
        </w:rPr>
      </w:pPr>
      <w:r>
        <w:rPr>
          <w:rFonts w:ascii="宋体" w:hAnsi="宋体" w:cs="宋体"/>
          <w:color w:val="auto"/>
          <w:sz w:val="24"/>
          <w:highlight w:val="none"/>
        </w:rPr>
        <w:t>（7）承包方的临时施工用电所用变压器一律采用箱式变压器，在变压器容量大于800kVA时，必须配置独立的开关；每台变压器须配置单独的隔离刀闸，确保该变压器区域的故障情况下能有效隔离。</w:t>
      </w:r>
    </w:p>
    <w:p>
      <w:pPr>
        <w:spacing w:line="360" w:lineRule="auto"/>
        <w:ind w:firstLine="480" w:firstLineChars="200"/>
        <w:rPr>
          <w:color w:val="auto"/>
          <w:highlight w:val="none"/>
        </w:rPr>
      </w:pPr>
      <w:r>
        <w:rPr>
          <w:rFonts w:ascii="宋体" w:hAnsi="宋体" w:cs="宋体"/>
          <w:color w:val="auto"/>
          <w:sz w:val="24"/>
          <w:highlight w:val="none"/>
        </w:rPr>
        <w:t>（8）每台箱式变压器配置独立的电量计量表计，计量表计向供电局进行申请，由供电局进行统一配置；如果供电局不配置计量表计，则由承包人负责配置，计量柜内表计精度应达到 0.2 级或满足供电部门的要求，并出具校验报告并经监理审核通过方可进行安装。</w:t>
      </w:r>
    </w:p>
    <w:p>
      <w:pPr>
        <w:spacing w:line="360" w:lineRule="auto"/>
        <w:ind w:firstLine="480" w:firstLineChars="200"/>
        <w:rPr>
          <w:color w:val="auto"/>
          <w:highlight w:val="none"/>
        </w:rPr>
      </w:pPr>
      <w:r>
        <w:rPr>
          <w:rFonts w:ascii="宋体" w:hAnsi="宋体" w:cs="宋体"/>
          <w:color w:val="auto"/>
          <w:sz w:val="24"/>
          <w:highlight w:val="none"/>
        </w:rPr>
        <w:t>（9）</w:t>
      </w:r>
      <w:r>
        <w:rPr>
          <w:rFonts w:ascii="宋体" w:hAnsi="宋体" w:cs="宋体"/>
          <w:b/>
          <w:color w:val="auto"/>
          <w:sz w:val="24"/>
          <w:highlight w:val="none"/>
        </w:rPr>
        <w:t>二、三级配电箱均须使用本质安全型智能配电箱，应为全新设备。</w:t>
      </w:r>
      <w:r>
        <w:rPr>
          <w:rFonts w:ascii="宋体" w:hAnsi="宋体" w:cs="宋体"/>
          <w:color w:val="auto"/>
          <w:sz w:val="24"/>
          <w:highlight w:val="none"/>
        </w:rPr>
        <w:t>并满足以下要求：1）接线应满足三相五线制接线（配电箱门背部应附有电气接线图）及“一机一闸一漏”安全要求，内部线路禁止私拉乱接，箱体设置一键断电按钮；2）具备高效自动测量接地电阻的能力；3）配电箱箱体防护等级不低于IP65，金属箱体当箱体出现超过36V（包含）电压时，有声光报警；4）配电箱具有定位功能；5）配电箱具备漏电断路器的测量功能；6）配电箱63A及以下接线应采用航空工业插头，插头插座之间有锁定装置，防护等级不低于IP65；7）配电箱具备信息传输功能和4/5G及WIFI联网功能，自动采集配电箱状态数据，能够上传配电箱信息管理系统 。</w:t>
      </w:r>
    </w:p>
    <w:p>
      <w:pPr>
        <w:spacing w:line="360" w:lineRule="auto"/>
        <w:ind w:firstLine="480" w:firstLineChars="200"/>
        <w:rPr>
          <w:color w:val="auto"/>
          <w:highlight w:val="none"/>
        </w:rPr>
      </w:pPr>
      <w:r>
        <w:rPr>
          <w:rFonts w:ascii="宋体" w:hAnsi="宋体" w:cs="宋体"/>
          <w:color w:val="auto"/>
          <w:sz w:val="24"/>
          <w:highlight w:val="none"/>
        </w:rPr>
        <w:t>（10) 临时用电工程完工后，由本项目的监理组织业主项目部、施工单位、供电局进行验收，其中供电局参与验收的内容以供电局的验收结果为准（如供电局提出整改要求，整改完成后须经供电局复检，直至验收通过为止）。验收内容包括但不局限于10kV线路T接部分、T接变压器、一级总配电箱、二级配电箱、三级配电箱、电缆敷设及接线、接地系统等。监理负责出具验收报告，验收报告及记录应提交至业主项目部留底。</w:t>
      </w:r>
    </w:p>
    <w:p>
      <w:pPr>
        <w:spacing w:line="360" w:lineRule="auto"/>
        <w:ind w:firstLine="480" w:firstLineChars="200"/>
        <w:rPr>
          <w:color w:val="auto"/>
          <w:highlight w:val="none"/>
        </w:rPr>
      </w:pPr>
      <w:r>
        <w:rPr>
          <w:rFonts w:ascii="宋体" w:hAnsi="宋体" w:cs="宋体"/>
          <w:color w:val="auto"/>
          <w:sz w:val="24"/>
          <w:highlight w:val="none"/>
        </w:rPr>
        <w:t>（11) 承包方建设的线路及变压器等所有设备设施，由承包方进行运行和维护（包括定期试验、缺陷及故障处理等），发生的所有费用由承包方负责，分界点为施工电源主线的T接处，该供电区域内的设备设施操作由承包方进行操作，在故障发生时，需要尽快隔离故障供电区域设备，不影响施工电源的主回路运行，并将故障情况及时汇报监理及发包方；在完成停电故障处理后，需通知监理到现场开展设备试验，试验合格后、监理将相应的情况通报供电局，得到供电局送电许可后，监理现场监护承包方进行复电操作，有效确保送电的安全。承包需严格遵守供电局、业主方、监理制定的停电故障处理、故障处理后检验、送电申请审批等管理流程，以确保用电的安全。</w:t>
      </w:r>
    </w:p>
    <w:p>
      <w:pPr>
        <w:spacing w:line="360" w:lineRule="auto"/>
        <w:ind w:firstLine="480" w:firstLineChars="200"/>
        <w:rPr>
          <w:color w:val="auto"/>
          <w:highlight w:val="none"/>
        </w:rPr>
      </w:pPr>
      <w:r>
        <w:rPr>
          <w:rFonts w:ascii="宋体" w:hAnsi="宋体" w:cs="宋体"/>
          <w:color w:val="auto"/>
          <w:sz w:val="24"/>
          <w:highlight w:val="none"/>
        </w:rPr>
        <w:t>（12）承包方应按照用电标准规程要求进行规范、安全地用电，依据标准配置完善的标示标牌、警示牌等；定期开展设备设施的巡视检查，定期开展设备维护工作，增强施工用电安全措施，以确保本工程供电区域的供电可靠性与供电安全。</w:t>
      </w:r>
    </w:p>
    <w:p>
      <w:pPr>
        <w:spacing w:line="360" w:lineRule="auto"/>
        <w:ind w:firstLine="480" w:firstLineChars="200"/>
        <w:rPr>
          <w:color w:val="auto"/>
          <w:highlight w:val="none"/>
        </w:rPr>
      </w:pPr>
      <w:r>
        <w:rPr>
          <w:rFonts w:ascii="宋体" w:hAnsi="宋体" w:cs="宋体"/>
          <w:color w:val="auto"/>
          <w:sz w:val="24"/>
          <w:highlight w:val="none"/>
        </w:rPr>
        <w:t>（13）承包人应为其出现停电事故后急需恢复用电的重要工程部位(如地下工程照明和排水、基坑抽水、补救中断的混凝土浇筑、办公和生活区的安全照明等)配备足够容量的施工急需的事故备用电源（足够容量和台数的柴油发电机），同时承包人应充分认识施工供电条件，不能因电网停电而要求发包人给予额外支付。承包人应自行负责其电源接口后承包人的电力设备(包括事故备用电源)出现故障所造成的损失。</w:t>
      </w:r>
    </w:p>
    <w:p>
      <w:pPr>
        <w:spacing w:line="360" w:lineRule="auto"/>
        <w:ind w:firstLine="480" w:firstLineChars="200"/>
        <w:rPr>
          <w:color w:val="auto"/>
          <w:highlight w:val="none"/>
        </w:rPr>
      </w:pPr>
      <w:r>
        <w:rPr>
          <w:rFonts w:ascii="宋体" w:hAnsi="宋体" w:cs="宋体"/>
          <w:color w:val="auto"/>
          <w:sz w:val="24"/>
          <w:highlight w:val="none"/>
        </w:rPr>
        <w:t>（14) 除合同另有规定外，承包人应按商务文件的有关规定和监理人的指示，为进入现场的发包人、监理人无偿提供值班房内办公、照明用电；除合同另有规定外，承包人应按商务条款的有关规定和监理人的指示，为进入现场的其他承包人提供用电方便。</w:t>
      </w:r>
    </w:p>
    <w:p>
      <w:pPr>
        <w:spacing w:line="360" w:lineRule="auto"/>
        <w:ind w:firstLine="480" w:firstLineChars="200"/>
        <w:rPr>
          <w:color w:val="auto"/>
          <w:highlight w:val="none"/>
        </w:rPr>
      </w:pPr>
      <w:r>
        <w:rPr>
          <w:rFonts w:ascii="宋体" w:hAnsi="宋体" w:cs="宋体"/>
          <w:color w:val="auto"/>
          <w:sz w:val="24"/>
          <w:highlight w:val="none"/>
        </w:rPr>
        <w:t>（15）承包人的供用电设施在工程完工后须按监理人和发包人指示进行拆除，并恢复原貌。</w:t>
      </w:r>
    </w:p>
    <w:p>
      <w:pPr>
        <w:pStyle w:val="76"/>
        <w:rPr>
          <w:color w:val="auto"/>
          <w:highlight w:val="none"/>
        </w:rPr>
      </w:pPr>
      <w:r>
        <w:rPr>
          <w:rFonts w:ascii="宋体" w:hAnsi="宋体" w:cs="宋体"/>
          <w:color w:val="auto"/>
          <w:highlight w:val="none"/>
        </w:rPr>
        <w:t>（16）其余：上述内容未涵盖的工作内容及承包方施工用电的日常管理要求按照《工程建设管理分公司工程施工用电管理业务指导书》执行。</w:t>
      </w:r>
    </w:p>
    <w:p>
      <w:pPr>
        <w:pStyle w:val="62"/>
        <w:rPr>
          <w:color w:val="auto"/>
          <w:highlight w:val="none"/>
        </w:rPr>
      </w:pPr>
      <w:bookmarkStart w:id="83" w:name="_Toc30259"/>
      <w:r>
        <w:rPr>
          <w:color w:val="auto"/>
          <w:highlight w:val="none"/>
        </w:rPr>
        <w:t>2.</w:t>
      </w:r>
      <w:r>
        <w:rPr>
          <w:rFonts w:hint="eastAsia"/>
          <w:color w:val="auto"/>
          <w:highlight w:val="none"/>
        </w:rPr>
        <w:t>8</w:t>
      </w:r>
      <w:r>
        <w:rPr>
          <w:color w:val="auto"/>
          <w:highlight w:val="none"/>
        </w:rPr>
        <w:t xml:space="preserve"> </w:t>
      </w:r>
      <w:r>
        <w:rPr>
          <w:rFonts w:hint="eastAsia"/>
          <w:color w:val="auto"/>
          <w:highlight w:val="none"/>
        </w:rPr>
        <w:t xml:space="preserve"> 施工照明</w:t>
      </w:r>
      <w:bookmarkEnd w:id="83"/>
    </w:p>
    <w:p>
      <w:pPr>
        <w:pStyle w:val="76"/>
        <w:rPr>
          <w:color w:val="auto"/>
          <w:highlight w:val="none"/>
        </w:rPr>
      </w:pPr>
      <w:r>
        <w:rPr>
          <w:rFonts w:hint="eastAsia"/>
          <w:color w:val="auto"/>
          <w:highlight w:val="none"/>
        </w:rPr>
        <w:t>本技术条款2.8节内容增加：</w:t>
      </w:r>
    </w:p>
    <w:p>
      <w:pPr>
        <w:pStyle w:val="76"/>
        <w:rPr>
          <w:color w:val="auto"/>
          <w:highlight w:val="none"/>
        </w:rPr>
      </w:pPr>
      <w:r>
        <w:rPr>
          <w:rFonts w:ascii="宋体" w:hAnsi="宋体" w:cs="宋体"/>
          <w:color w:val="auto"/>
          <w:highlight w:val="none"/>
        </w:rPr>
        <w:t>施工期需要投入厂房发电机层的永久照明，相关照明灯具、电缆、施工期照明配电箱及相关安装附件均由本承包商负责采购、安装、运行及维护。在设备移交运行单位前，承包人应对主厂房永久照明系统进行检查、维修、更换等，确保所有灯具、配电设施等全部完好。施工期需要投入厂房发电机层的永久照明，电费由发包人承担(承包人采购和安装该电费计量表，该计量表须专用，不能用作其它施工用电负荷的计量，违反此规定，当月电费由承包人承担)。</w:t>
      </w:r>
    </w:p>
    <w:p>
      <w:pPr>
        <w:pStyle w:val="76"/>
        <w:rPr>
          <w:color w:val="auto"/>
          <w:highlight w:val="none"/>
          <w:shd w:val="clear" w:color="auto" w:fill="FFFF00"/>
        </w:rPr>
      </w:pPr>
      <w:r>
        <w:rPr>
          <w:rFonts w:ascii="宋体" w:hAnsi="宋体" w:cs="宋体"/>
          <w:color w:val="auto"/>
          <w:highlight w:val="none"/>
        </w:rPr>
        <w:t>引水系统充水完成后，进厂交通洞施工照明由本标承包人负责，直至进厂交通洞永久照明投用且移交发包人。</w:t>
      </w:r>
    </w:p>
    <w:p>
      <w:pPr>
        <w:pStyle w:val="62"/>
        <w:rPr>
          <w:color w:val="auto"/>
          <w:highlight w:val="none"/>
        </w:rPr>
      </w:pPr>
      <w:r>
        <w:rPr>
          <w:color w:val="auto"/>
          <w:highlight w:val="none"/>
        </w:rPr>
        <w:t>2.9施工通信和邮政服务</w:t>
      </w:r>
    </w:p>
    <w:p>
      <w:pPr>
        <w:spacing w:line="360" w:lineRule="auto"/>
        <w:ind w:firstLine="480" w:firstLineChars="200"/>
        <w:rPr>
          <w:color w:val="auto"/>
          <w:highlight w:val="none"/>
        </w:rPr>
      </w:pPr>
      <w:r>
        <w:rPr>
          <w:rFonts w:ascii="宋体" w:hAnsi="宋体" w:cs="宋体"/>
          <w:color w:val="auto"/>
          <w:sz w:val="24"/>
          <w:highlight w:val="none"/>
        </w:rPr>
        <w:t>本技术条款2.9节增加内容：</w:t>
      </w:r>
    </w:p>
    <w:p>
      <w:pPr>
        <w:spacing w:line="360" w:lineRule="auto"/>
        <w:ind w:firstLine="480" w:firstLineChars="200"/>
        <w:rPr>
          <w:color w:val="auto"/>
          <w:highlight w:val="none"/>
        </w:rPr>
      </w:pPr>
      <w:r>
        <w:rPr>
          <w:rFonts w:ascii="宋体" w:hAnsi="宋体" w:cs="宋体"/>
          <w:color w:val="auto"/>
          <w:sz w:val="24"/>
          <w:highlight w:val="none"/>
        </w:rPr>
        <w:t>(1) 承包人应当根据机电安装作业调度指挥、安全应急管理需要设置内部和对外的</w:t>
      </w:r>
      <w:r>
        <w:rPr>
          <w:rFonts w:hint="eastAsia" w:ascii="宋体" w:hAnsi="宋体" w:cs="宋体"/>
          <w:color w:val="auto"/>
          <w:sz w:val="24"/>
          <w:highlight w:val="none"/>
        </w:rPr>
        <w:t>有线通信</w:t>
      </w:r>
      <w:r>
        <w:rPr>
          <w:rFonts w:ascii="宋体" w:hAnsi="宋体" w:cs="宋体"/>
          <w:color w:val="auto"/>
          <w:sz w:val="24"/>
          <w:highlight w:val="none"/>
        </w:rPr>
        <w:t>，有线通信须接入到地下厂房内各个安装施工工作面，有线通信方案经监理、发包人审核批准后实施，通信费用由承包人自行与运营商结算。施工通信应符合 DL/T 5080 《水利水电工程通信设计技术规程》第 7 章施工通信的规定。</w:t>
      </w:r>
    </w:p>
    <w:p>
      <w:pPr>
        <w:spacing w:line="360" w:lineRule="auto"/>
        <w:ind w:firstLine="480" w:firstLineChars="200"/>
        <w:rPr>
          <w:color w:val="auto"/>
          <w:highlight w:val="none"/>
        </w:rPr>
      </w:pPr>
      <w:r>
        <w:rPr>
          <w:rFonts w:ascii="宋体" w:hAnsi="宋体" w:cs="宋体"/>
          <w:color w:val="auto"/>
          <w:sz w:val="24"/>
          <w:highlight w:val="none"/>
        </w:rPr>
        <w:t>(2) 承包人负责施工期机电安装作业工作面范围内的无线通信建设，无线通信须覆盖地下厂房范围内主副厂房各层、母线洞、主变洞各层、尾闸洞、进场交通洞、高压电缆洞各个安装施工工作面，至少含可移动手机信号终端，数量不少于30个，无线通信方案经监理、发包人审核批准后实施，通信费用由承包人自行与运营商结算。</w:t>
      </w:r>
    </w:p>
    <w:p>
      <w:pPr>
        <w:pStyle w:val="62"/>
        <w:rPr>
          <w:color w:val="auto"/>
          <w:highlight w:val="none"/>
        </w:rPr>
      </w:pPr>
      <w:r>
        <w:rPr>
          <w:color w:val="auto"/>
          <w:highlight w:val="none"/>
        </w:rPr>
        <w:t>2.10</w:t>
      </w:r>
      <w:r>
        <w:rPr>
          <w:rFonts w:hint="eastAsia"/>
          <w:color w:val="auto"/>
          <w:highlight w:val="none"/>
        </w:rPr>
        <w:t xml:space="preserve">  地下工程施工通风</w:t>
      </w:r>
    </w:p>
    <w:p>
      <w:pPr>
        <w:spacing w:line="360" w:lineRule="auto"/>
        <w:ind w:firstLine="480" w:firstLineChars="200"/>
        <w:rPr>
          <w:color w:val="auto"/>
          <w:highlight w:val="none"/>
        </w:rPr>
      </w:pPr>
      <w:r>
        <w:rPr>
          <w:rFonts w:ascii="宋体" w:hAnsi="宋体" w:cs="宋体"/>
          <w:color w:val="auto"/>
          <w:sz w:val="24"/>
          <w:highlight w:val="none"/>
        </w:rPr>
        <w:t>本技术条款2.10节增加内容：</w:t>
      </w:r>
    </w:p>
    <w:p>
      <w:pPr>
        <w:spacing w:line="360" w:lineRule="auto"/>
        <w:ind w:firstLine="480" w:firstLineChars="200"/>
        <w:rPr>
          <w:color w:val="auto"/>
          <w:highlight w:val="none"/>
        </w:rPr>
      </w:pPr>
      <w:r>
        <w:rPr>
          <w:rFonts w:ascii="宋体" w:hAnsi="宋体" w:cs="宋体"/>
          <w:color w:val="auto"/>
          <w:sz w:val="24"/>
          <w:highlight w:val="none"/>
        </w:rPr>
        <w:t>输水发电系统工程标向本标移交地下厂房安装工作面后，交通洞、通风洞至三大洞室（主副厂房、主变洞、尾闸室）的通风仍由输水发电系统工程标负责。本标需负责除此之外三大洞室内部及排风竖井等有关洞室及各作业面的施工通风工作（直至永久通风形成），并负责所需的通风设备的采购及运行管理工作，优化地下洞室及作业面施工通风环境。</w:t>
      </w:r>
    </w:p>
    <w:p>
      <w:pPr>
        <w:spacing w:line="360" w:lineRule="auto"/>
        <w:ind w:firstLine="480" w:firstLineChars="200"/>
        <w:rPr>
          <w:color w:val="auto"/>
          <w:highlight w:val="none"/>
        </w:rPr>
      </w:pPr>
      <w:r>
        <w:rPr>
          <w:rFonts w:ascii="宋体" w:hAnsi="宋体" w:cs="宋体"/>
          <w:color w:val="auto"/>
          <w:sz w:val="24"/>
          <w:highlight w:val="none"/>
        </w:rPr>
        <w:t>若本标施工期(从本标进场至机组投入商业运行)通风设备配置、通风强度或运行时间、空气质量(粉尘、湿度、温度等)低于相关标准规范(《工业企业设计卫生标准》(GBZ 1)、《水工建筑物地下工程开挖施工技术规范》(DL/T5099)和《南网绿色抽水蓄能电站设计原则及评价标准指导意见》等)的要求，致使地下工程工作环境不满足机电设备安装和参建各方人员的健康卫生要求，发包人可委托其他承包人进行地下工程施工通风工作，其费用由承包人承担(发包人在月或年进度款中予以扣除)。</w:t>
      </w:r>
    </w:p>
    <w:p>
      <w:pPr>
        <w:pStyle w:val="76"/>
        <w:ind w:firstLine="480" w:firstLineChars="200"/>
        <w:rPr>
          <w:rFonts w:hint="eastAsia" w:ascii="宋体" w:hAnsi="宋体" w:cs="宋体"/>
          <w:color w:val="auto"/>
          <w:highlight w:val="none"/>
        </w:rPr>
      </w:pPr>
      <w:r>
        <w:rPr>
          <w:rFonts w:ascii="宋体" w:hAnsi="宋体" w:cs="宋体"/>
          <w:color w:val="auto"/>
          <w:highlight w:val="none"/>
        </w:rPr>
        <w:t>在蜗壳层、机坑、SFC室、高低压开关柜室等部位配置足够的塑料布，用于安装期间设备的防潮、防尘。</w:t>
      </w:r>
    </w:p>
    <w:p>
      <w:pPr>
        <w:pStyle w:val="62"/>
        <w:rPr>
          <w:color w:val="auto"/>
          <w:highlight w:val="none"/>
        </w:rPr>
      </w:pPr>
      <w:r>
        <w:rPr>
          <w:color w:val="auto"/>
          <w:highlight w:val="none"/>
        </w:rPr>
        <w:t xml:space="preserve">2.11 </w:t>
      </w:r>
      <w:r>
        <w:rPr>
          <w:rFonts w:hint="eastAsia"/>
          <w:color w:val="auto"/>
          <w:highlight w:val="none"/>
        </w:rPr>
        <w:t xml:space="preserve"> </w:t>
      </w:r>
      <w:r>
        <w:rPr>
          <w:color w:val="auto"/>
          <w:highlight w:val="none"/>
        </w:rPr>
        <w:t>砂石料加工系统</w:t>
      </w:r>
    </w:p>
    <w:p>
      <w:pPr>
        <w:pStyle w:val="76"/>
        <w:rPr>
          <w:color w:val="auto"/>
          <w:highlight w:val="none"/>
        </w:rPr>
      </w:pPr>
      <w:r>
        <w:rPr>
          <w:rFonts w:hint="eastAsia"/>
          <w:color w:val="auto"/>
          <w:highlight w:val="none"/>
        </w:rPr>
        <w:t>本技术条款2.11节内容为：</w:t>
      </w:r>
    </w:p>
    <w:p>
      <w:pPr>
        <w:pStyle w:val="76"/>
        <w:rPr>
          <w:color w:val="auto"/>
          <w:highlight w:val="none"/>
        </w:rPr>
      </w:pPr>
      <w:r>
        <w:rPr>
          <w:color w:val="auto"/>
          <w:highlight w:val="none"/>
        </w:rPr>
        <w:t xml:space="preserve">(1) </w:t>
      </w:r>
      <w:r>
        <w:rPr>
          <w:rFonts w:hint="eastAsia"/>
          <w:color w:val="auto"/>
          <w:highlight w:val="none"/>
        </w:rPr>
        <w:t>本标不设置砂石加工系统，下库砂石加工系统已由发包人委托其他承包人建设、运行和管理，并明确了砂石骨料价格。上库砂石加工系统布置在上库左坝肩山头东面山地，下库砂石加工系统布置在下库右岸库内台地，计划投产时间详见合同条款。提供本标混凝土粗、细骨料。</w:t>
      </w:r>
    </w:p>
    <w:p>
      <w:pPr>
        <w:pStyle w:val="76"/>
        <w:rPr>
          <w:color w:val="auto"/>
          <w:highlight w:val="none"/>
        </w:rPr>
      </w:pPr>
      <w:r>
        <w:rPr>
          <w:color w:val="auto"/>
          <w:highlight w:val="none"/>
        </w:rPr>
        <w:t xml:space="preserve">(2) </w:t>
      </w:r>
      <w:r>
        <w:rPr>
          <w:rFonts w:hint="eastAsia"/>
          <w:color w:val="auto"/>
          <w:highlight w:val="none"/>
        </w:rPr>
        <w:t>砂石加工系统工程标承包人向本标承包人供应混凝土骨料，应按双方签订的供货合同要求进行供货、接收、计量、支付等。</w:t>
      </w:r>
    </w:p>
    <w:p>
      <w:pPr>
        <w:pStyle w:val="62"/>
        <w:rPr>
          <w:color w:val="auto"/>
          <w:highlight w:val="none"/>
        </w:rPr>
      </w:pPr>
      <w:r>
        <w:rPr>
          <w:color w:val="auto"/>
          <w:highlight w:val="none"/>
        </w:rPr>
        <w:t>2.12 混凝土生产系统</w:t>
      </w:r>
    </w:p>
    <w:p>
      <w:pPr>
        <w:spacing w:line="360" w:lineRule="auto"/>
        <w:ind w:firstLine="480" w:firstLineChars="200"/>
        <w:rPr>
          <w:color w:val="auto"/>
          <w:highlight w:val="none"/>
        </w:rPr>
      </w:pPr>
      <w:bookmarkStart w:id="84" w:name="_Toc6682"/>
      <w:r>
        <w:rPr>
          <w:rFonts w:ascii="宋体" w:hAnsi="宋体" w:cs="宋体"/>
          <w:color w:val="auto"/>
          <w:sz w:val="24"/>
          <w:highlight w:val="none"/>
        </w:rPr>
        <w:t>本技术条款</w:t>
      </w:r>
      <w:bookmarkEnd w:id="84"/>
      <w:r>
        <w:rPr>
          <w:rFonts w:ascii="宋体" w:hAnsi="宋体" w:cs="宋体"/>
          <w:color w:val="auto"/>
          <w:sz w:val="24"/>
          <w:highlight w:val="none"/>
        </w:rPr>
        <w:t>2.12节增加内容：</w:t>
      </w:r>
    </w:p>
    <w:p>
      <w:pPr>
        <w:spacing w:line="360" w:lineRule="auto"/>
        <w:ind w:firstLine="480" w:firstLineChars="200"/>
        <w:rPr>
          <w:color w:val="auto"/>
          <w:highlight w:val="none"/>
        </w:rPr>
      </w:pPr>
      <w:r>
        <w:rPr>
          <w:rFonts w:ascii="宋体" w:hAnsi="宋体" w:cs="宋体"/>
          <w:color w:val="auto"/>
          <w:sz w:val="24"/>
          <w:highlight w:val="none"/>
        </w:rPr>
        <w:t>(4) 混凝土生产能力必须满足混凝土的质量、品种、出机口温度和浇筑强度等要求，拌和楼生产能力不低于75m</w:t>
      </w:r>
      <w:r>
        <w:rPr>
          <w:rFonts w:ascii="宋体" w:hAnsi="宋体" w:cs="宋体"/>
          <w:color w:val="auto"/>
          <w:sz w:val="24"/>
          <w:highlight w:val="none"/>
          <w:vertAlign w:val="superscript"/>
        </w:rPr>
        <w:t>3</w:t>
      </w:r>
      <w:r>
        <w:rPr>
          <w:rFonts w:ascii="宋体" w:hAnsi="宋体" w:cs="宋体"/>
          <w:color w:val="auto"/>
          <w:sz w:val="24"/>
          <w:highlight w:val="none"/>
        </w:rPr>
        <w:t>/h，需包含混凝土制冷（热）系统的温控措施。承包人应根据进度复核生产能力，不得因生产能力不足向业主索赔。</w:t>
      </w:r>
    </w:p>
    <w:p>
      <w:pPr>
        <w:keepNext/>
        <w:keepLines/>
        <w:spacing w:before="120" w:after="60" w:line="480" w:lineRule="exact"/>
        <w:outlineLvl w:val="1"/>
        <w:rPr>
          <w:rFonts w:ascii="Times New Roman" w:hAnsi="Times New Roman" w:eastAsia="黑体"/>
          <w:bCs/>
          <w:color w:val="auto"/>
          <w:sz w:val="28"/>
          <w:szCs w:val="32"/>
          <w:highlight w:val="none"/>
        </w:rPr>
      </w:pPr>
      <w:r>
        <w:rPr>
          <w:rFonts w:ascii="Times New Roman" w:hAnsi="Times New Roman" w:eastAsia="黑体"/>
          <w:bCs/>
          <w:color w:val="auto"/>
          <w:sz w:val="28"/>
          <w:szCs w:val="32"/>
          <w:highlight w:val="none"/>
        </w:rPr>
        <w:t xml:space="preserve">2.14 </w:t>
      </w:r>
      <w:r>
        <w:rPr>
          <w:rFonts w:ascii="黑体" w:hAnsi="黑体" w:eastAsia="黑体"/>
          <w:color w:val="auto"/>
          <w:sz w:val="28"/>
          <w:highlight w:val="none"/>
        </w:rPr>
        <w:t>仓库和堆、存料场</w:t>
      </w:r>
    </w:p>
    <w:p>
      <w:pPr>
        <w:pStyle w:val="76"/>
        <w:spacing w:line="480" w:lineRule="exact"/>
        <w:ind w:firstLine="480" w:firstLineChars="200"/>
        <w:jc w:val="both"/>
        <w:rPr>
          <w:color w:val="auto"/>
          <w:highlight w:val="none"/>
        </w:rPr>
      </w:pPr>
      <w:r>
        <w:rPr>
          <w:rFonts w:hint="eastAsia"/>
          <w:color w:val="auto"/>
          <w:highlight w:val="none"/>
        </w:rPr>
        <w:t>本款增加内容如下：</w:t>
      </w:r>
    </w:p>
    <w:p>
      <w:pPr>
        <w:pStyle w:val="76"/>
        <w:spacing w:line="480" w:lineRule="exact"/>
        <w:ind w:firstLine="480" w:firstLineChars="200"/>
        <w:jc w:val="both"/>
        <w:rPr>
          <w:color w:val="auto"/>
          <w:highlight w:val="none"/>
        </w:rPr>
      </w:pPr>
      <w:r>
        <w:rPr>
          <w:color w:val="auto"/>
          <w:highlight w:val="none"/>
        </w:rPr>
        <w:t xml:space="preserve">(8) </w:t>
      </w:r>
      <w:r>
        <w:rPr>
          <w:rFonts w:ascii="宋体" w:hAnsi="宋体" w:cs="宋体"/>
          <w:color w:val="auto"/>
          <w:highlight w:val="none"/>
        </w:rPr>
        <w:t>承包人负责建设安装临时仓储区（3000平方），并负责工程设备在工地仓库保管、储存、卸、装及从工地仓库运至安装现场的二次运输和装卸工作。承包人应在投标文件中提出仓库面积使用规划，进场后应编制详细设计方案，经监理人审批同意后方可实施。承包人应在本标工程完工并完成物资清理移交后，按监理人指示拆除安装临时仓储区并对场地进行恢复。临时仓储区不得低于以下主要技术要求</w:t>
      </w:r>
      <w:r>
        <w:rPr>
          <w:rFonts w:hint="eastAsia"/>
          <w:color w:val="auto"/>
          <w:highlight w:val="none"/>
        </w:rPr>
        <w:t>：</w:t>
      </w:r>
    </w:p>
    <w:p>
      <w:pPr>
        <w:pStyle w:val="76"/>
        <w:spacing w:line="480" w:lineRule="exact"/>
        <w:ind w:firstLine="480" w:firstLineChars="200"/>
        <w:jc w:val="both"/>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rPr>
        <w:t>场地内部整体比场外地面抬高不少于</w:t>
      </w:r>
      <w:r>
        <w:rPr>
          <w:rFonts w:ascii="宋体" w:hAnsi="宋体" w:cs="宋体"/>
          <w:color w:val="auto"/>
          <w:highlight w:val="none"/>
        </w:rPr>
        <w:t>30cm</w:t>
      </w:r>
      <w:r>
        <w:rPr>
          <w:rFonts w:hint="eastAsia" w:ascii="宋体" w:hAnsi="宋体" w:cs="宋体"/>
          <w:color w:val="auto"/>
          <w:highlight w:val="none"/>
        </w:rPr>
        <w:t>，场内地面采用</w:t>
      </w:r>
      <w:r>
        <w:rPr>
          <w:rFonts w:ascii="宋体" w:hAnsi="宋体" w:cs="宋体"/>
          <w:color w:val="auto"/>
          <w:highlight w:val="none"/>
        </w:rPr>
        <w:t>C25</w:t>
      </w:r>
      <w:r>
        <w:rPr>
          <w:rFonts w:hint="eastAsia" w:ascii="宋体" w:hAnsi="宋体" w:cs="宋体"/>
          <w:color w:val="auto"/>
          <w:highlight w:val="none"/>
        </w:rPr>
        <w:t>混凝土垫层</w:t>
      </w:r>
      <w:r>
        <w:rPr>
          <w:rFonts w:ascii="宋体" w:hAnsi="宋体" w:cs="宋体"/>
          <w:color w:val="auto"/>
          <w:highlight w:val="none"/>
        </w:rPr>
        <w:t>+</w:t>
      </w:r>
      <w:r>
        <w:rPr>
          <w:rFonts w:hint="eastAsia" w:ascii="宋体" w:hAnsi="宋体" w:cs="宋体"/>
          <w:color w:val="auto"/>
          <w:highlight w:val="none"/>
        </w:rPr>
        <w:t>环氧自流平面层，地面按照中间高四周低找坡，场外设置环形排水沟。</w:t>
      </w:r>
    </w:p>
    <w:p>
      <w:pPr>
        <w:pStyle w:val="76"/>
        <w:spacing w:line="48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rPr>
        <w:t>2.临时仓库区采用全封闭，顶棚设置采光瓦，必要时需设置遮光膜。主体采用钢棚架结构，净高约10m，需充分考虑防台风需求，以及可靠接地。</w:t>
      </w:r>
    </w:p>
    <w:p>
      <w:pPr>
        <w:pStyle w:val="76"/>
        <w:spacing w:line="480" w:lineRule="exact"/>
        <w:ind w:firstLine="480" w:firstLineChars="200"/>
        <w:jc w:val="both"/>
        <w:rPr>
          <w:rFonts w:hint="default" w:ascii="宋体" w:hAnsi="宋体" w:cs="宋体"/>
          <w:color w:val="auto"/>
          <w:highlight w:val="none"/>
        </w:rPr>
      </w:pPr>
      <w:r>
        <w:rPr>
          <w:rFonts w:hint="eastAsia" w:ascii="宋体" w:hAnsi="宋体" w:cs="宋体"/>
          <w:color w:val="auto"/>
          <w:highlight w:val="none"/>
        </w:rPr>
        <w:t>3.配置移动龙门吊，以及电动葫芦，其起吊重量不得低于单个磁极装、卸车。</w:t>
      </w:r>
    </w:p>
    <w:p>
      <w:pPr>
        <w:pStyle w:val="76"/>
        <w:spacing w:line="48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该临时</w:t>
      </w:r>
      <w:r>
        <w:rPr>
          <w:rFonts w:hint="eastAsia" w:ascii="宋体" w:hAnsi="宋体" w:eastAsia="宋体" w:cs="宋体"/>
          <w:color w:val="auto"/>
          <w:highlight w:val="none"/>
        </w:rPr>
        <w:t>仓储</w:t>
      </w:r>
      <w:r>
        <w:rPr>
          <w:rFonts w:hint="eastAsia" w:ascii="宋体" w:hAnsi="宋体" w:cs="宋体"/>
          <w:color w:val="auto"/>
          <w:highlight w:val="none"/>
        </w:rPr>
        <w:t>区须为其他标段设备存放提供便利。</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(10) 本标段开挖无用料需运输至下库北侧弃渣场堆置，该渣场为各标段共用弃渣场，由下水库工程标负责管理。</w:t>
      </w:r>
    </w:p>
    <w:p>
      <w:pPr>
        <w:pStyle w:val="62"/>
        <w:rPr>
          <w:color w:val="auto"/>
          <w:highlight w:val="none"/>
        </w:rPr>
      </w:pPr>
      <w:r>
        <w:rPr>
          <w:color w:val="auto"/>
          <w:highlight w:val="none"/>
        </w:rPr>
        <w:t xml:space="preserve">2.15 </w:t>
      </w:r>
      <w:r>
        <w:rPr>
          <w:rFonts w:hint="eastAsia"/>
          <w:color w:val="auto"/>
          <w:highlight w:val="none"/>
        </w:rPr>
        <w:t xml:space="preserve"> </w:t>
      </w:r>
      <w:r>
        <w:rPr>
          <w:color w:val="auto"/>
          <w:highlight w:val="none"/>
        </w:rPr>
        <w:t>施工管理及生活设施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本技术条款2.15.1节增加内容：</w:t>
      </w:r>
    </w:p>
    <w:p>
      <w:pPr>
        <w:pStyle w:val="132"/>
        <w:rPr>
          <w:snapToGrid w:val="0"/>
          <w:color w:val="auto"/>
          <w:highlight w:val="none"/>
        </w:rPr>
      </w:pPr>
      <w:r>
        <w:rPr>
          <w:snapToGrid w:val="0"/>
          <w:color w:val="auto"/>
          <w:highlight w:val="none"/>
        </w:rPr>
        <w:t xml:space="preserve">2.15.1  </w:t>
      </w:r>
      <w:r>
        <w:rPr>
          <w:rFonts w:hint="eastAsia"/>
          <w:snapToGrid w:val="0"/>
          <w:color w:val="auto"/>
          <w:highlight w:val="none"/>
        </w:rPr>
        <w:t>承包人自建施工管理及生活设施</w:t>
      </w:r>
    </w:p>
    <w:p>
      <w:pPr>
        <w:spacing w:line="360" w:lineRule="auto"/>
        <w:ind w:firstLine="480" w:firstLineChars="200"/>
        <w:rPr>
          <w:color w:val="auto"/>
          <w:highlight w:val="none"/>
        </w:rPr>
      </w:pPr>
      <w:r>
        <w:rPr>
          <w:rFonts w:ascii="宋体" w:hAnsi="宋体" w:cs="宋体"/>
          <w:color w:val="auto"/>
          <w:sz w:val="24"/>
          <w:highlight w:val="none"/>
        </w:rPr>
        <w:t>(3) 除合同另有规定外，承包人应负责设计和修建其施工所需的全部临时房屋建筑和公用设施，其内容包括：</w:t>
      </w:r>
    </w:p>
    <w:p>
      <w:pPr>
        <w:spacing w:line="360" w:lineRule="auto"/>
        <w:ind w:firstLine="480" w:firstLineChars="200"/>
        <w:rPr>
          <w:color w:val="auto"/>
          <w:highlight w:val="none"/>
        </w:rPr>
      </w:pPr>
      <w:r>
        <w:rPr>
          <w:rFonts w:ascii="宋体" w:hAnsi="宋体" w:cs="宋体"/>
          <w:color w:val="auto"/>
          <w:sz w:val="24"/>
          <w:highlight w:val="none"/>
        </w:rPr>
        <w:t>1) 职工宿舍、食堂、急救站、通信机房和公共卫生等房屋建筑及设施；</w:t>
      </w:r>
    </w:p>
    <w:p>
      <w:pPr>
        <w:spacing w:line="360" w:lineRule="auto"/>
        <w:ind w:firstLine="480" w:firstLineChars="200"/>
        <w:rPr>
          <w:color w:val="auto"/>
          <w:highlight w:val="none"/>
        </w:rPr>
      </w:pPr>
      <w:r>
        <w:rPr>
          <w:rFonts w:ascii="宋体" w:hAnsi="宋体" w:cs="宋体"/>
          <w:color w:val="auto"/>
          <w:sz w:val="24"/>
          <w:highlight w:val="none"/>
        </w:rPr>
        <w:t>2) 文化娱乐和体育场地及其设施；</w:t>
      </w:r>
    </w:p>
    <w:p>
      <w:pPr>
        <w:spacing w:line="360" w:lineRule="auto"/>
        <w:ind w:firstLine="480" w:firstLineChars="200"/>
        <w:rPr>
          <w:color w:val="auto"/>
          <w:highlight w:val="none"/>
        </w:rPr>
      </w:pPr>
      <w:r>
        <w:rPr>
          <w:rFonts w:ascii="宋体" w:hAnsi="宋体" w:cs="宋体"/>
          <w:color w:val="auto"/>
          <w:sz w:val="24"/>
          <w:highlight w:val="none"/>
        </w:rPr>
        <w:t>3) 治安房屋建筑及设施。</w:t>
      </w:r>
    </w:p>
    <w:p>
      <w:pPr>
        <w:spacing w:line="360" w:lineRule="auto"/>
        <w:ind w:firstLine="480" w:firstLineChars="200"/>
        <w:rPr>
          <w:color w:val="auto"/>
          <w:highlight w:val="none"/>
        </w:rPr>
      </w:pPr>
      <w:r>
        <w:rPr>
          <w:rFonts w:ascii="宋体" w:hAnsi="宋体" w:cs="宋体"/>
          <w:color w:val="auto"/>
          <w:sz w:val="24"/>
          <w:highlight w:val="none"/>
        </w:rPr>
        <w:t>(4) 临时房屋建筑和公用设施必须进行规划布置，并制定环保措施，须报送监理人批准后才能修建。临时房屋应满足下列标准：</w:t>
      </w:r>
    </w:p>
    <w:p>
      <w:pPr>
        <w:spacing w:line="360" w:lineRule="auto"/>
        <w:ind w:firstLine="480" w:firstLineChars="200"/>
        <w:rPr>
          <w:color w:val="auto"/>
          <w:highlight w:val="none"/>
        </w:rPr>
      </w:pPr>
      <w:r>
        <w:rPr>
          <w:rFonts w:ascii="宋体" w:hAnsi="宋体" w:cs="宋体"/>
          <w:color w:val="auto"/>
          <w:sz w:val="24"/>
          <w:highlight w:val="none"/>
        </w:rPr>
        <w:t>1) 库区内施工营地房屋修建于正常蓄水位高程以上；</w:t>
      </w:r>
    </w:p>
    <w:p>
      <w:pPr>
        <w:spacing w:line="360" w:lineRule="auto"/>
        <w:ind w:firstLine="480" w:firstLineChars="200"/>
        <w:rPr>
          <w:color w:val="auto"/>
          <w:highlight w:val="none"/>
        </w:rPr>
      </w:pPr>
      <w:r>
        <w:rPr>
          <w:rFonts w:ascii="宋体" w:hAnsi="宋体" w:cs="宋体"/>
          <w:color w:val="auto"/>
          <w:sz w:val="24"/>
          <w:highlight w:val="none"/>
        </w:rPr>
        <w:t>2) 用外墙漆涂刷；</w:t>
      </w:r>
    </w:p>
    <w:p>
      <w:pPr>
        <w:spacing w:line="360" w:lineRule="auto"/>
        <w:ind w:firstLine="480" w:firstLineChars="200"/>
        <w:rPr>
          <w:color w:val="auto"/>
          <w:highlight w:val="none"/>
        </w:rPr>
      </w:pPr>
      <w:r>
        <w:rPr>
          <w:rFonts w:ascii="宋体" w:hAnsi="宋体" w:cs="宋体"/>
          <w:color w:val="auto"/>
          <w:sz w:val="24"/>
          <w:highlight w:val="none"/>
        </w:rPr>
        <w:t>3) 配备三级化粪池及污水处理设施。</w:t>
      </w:r>
    </w:p>
    <w:p>
      <w:pPr>
        <w:spacing w:line="360" w:lineRule="auto"/>
        <w:ind w:firstLine="480" w:firstLineChars="200"/>
        <w:rPr>
          <w:color w:val="auto"/>
          <w:highlight w:val="none"/>
        </w:rPr>
      </w:pPr>
      <w:r>
        <w:rPr>
          <w:rFonts w:ascii="宋体" w:hAnsi="宋体" w:cs="宋体"/>
          <w:color w:val="auto"/>
          <w:sz w:val="24"/>
          <w:highlight w:val="none"/>
        </w:rPr>
        <w:t>(5) 所有临时房屋由承包人按上述建筑标准统一建造，提供给自己管辖的劳务人员使用。</w:t>
      </w:r>
    </w:p>
    <w:p>
      <w:pPr>
        <w:spacing w:line="360" w:lineRule="auto"/>
        <w:ind w:firstLine="480" w:firstLineChars="200"/>
        <w:rPr>
          <w:color w:val="auto"/>
          <w:highlight w:val="none"/>
        </w:rPr>
      </w:pPr>
      <w:r>
        <w:rPr>
          <w:rFonts w:ascii="宋体" w:hAnsi="宋体" w:cs="宋体"/>
          <w:color w:val="auto"/>
          <w:sz w:val="24"/>
          <w:highlight w:val="none"/>
        </w:rPr>
        <w:t>(6) 生活营地、临建等必须开展地质灾害评估，出具报告。</w:t>
      </w:r>
    </w:p>
    <w:p>
      <w:pPr>
        <w:adjustRightInd w:val="0"/>
        <w:spacing w:line="360" w:lineRule="auto"/>
        <w:ind w:firstLine="480" w:firstLineChars="200"/>
        <w:rPr>
          <w:rFonts w:hint="eastAsia" w:ascii="宋体" w:hAnsi="宋体" w:cs="宋体"/>
          <w:color w:val="auto"/>
          <w:sz w:val="24"/>
          <w:highlight w:val="none"/>
        </w:rPr>
      </w:pPr>
      <w:r>
        <w:rPr>
          <w:rFonts w:ascii="宋体" w:hAnsi="宋体" w:cs="宋体"/>
          <w:color w:val="auto"/>
          <w:sz w:val="24"/>
          <w:highlight w:val="none"/>
        </w:rPr>
        <w:t>(7) 承包人应在地下厂房安装现场为监理人提供不小于20m</w:t>
      </w:r>
      <w:r>
        <w:rPr>
          <w:rFonts w:ascii="宋体" w:hAnsi="宋体" w:cs="宋体"/>
          <w:color w:val="auto"/>
          <w:sz w:val="24"/>
          <w:highlight w:val="none"/>
          <w:vertAlign w:val="superscript"/>
        </w:rPr>
        <w:t>2</w:t>
      </w:r>
      <w:r>
        <w:rPr>
          <w:rFonts w:ascii="宋体" w:hAnsi="宋体" w:cs="宋体"/>
          <w:color w:val="auto"/>
          <w:sz w:val="24"/>
          <w:highlight w:val="none"/>
        </w:rPr>
        <w:t>的值班、办公用房，且配齐办公桌椅等必需用品。</w:t>
      </w:r>
    </w:p>
    <w:p>
      <w:pPr>
        <w:spacing w:line="360" w:lineRule="auto"/>
        <w:ind w:firstLine="480" w:firstLineChars="200"/>
        <w:rPr>
          <w:color w:val="auto"/>
          <w:sz w:val="24"/>
          <w:highlight w:val="none"/>
        </w:rPr>
      </w:pPr>
      <w:r>
        <w:rPr>
          <w:rFonts w:hint="eastAsia"/>
          <w:color w:val="auto"/>
          <w:sz w:val="24"/>
          <w:highlight w:val="none"/>
        </w:rPr>
        <w:t xml:space="preserve">(8) </w:t>
      </w:r>
      <w:r>
        <w:rPr>
          <w:rFonts w:hint="eastAsia"/>
          <w:b/>
          <w:bCs/>
          <w:color w:val="auto"/>
          <w:sz w:val="24"/>
          <w:highlight w:val="none"/>
        </w:rPr>
        <w:t>承包人应单独设计、新建一栋施工管理及生活设施楼（永临结合建筑）</w:t>
      </w:r>
      <w:r>
        <w:rPr>
          <w:rFonts w:hint="eastAsia"/>
          <w:color w:val="auto"/>
          <w:sz w:val="24"/>
          <w:highlight w:val="none"/>
          <w:lang w:eastAsia="zh-CN"/>
        </w:rPr>
        <w:t>。</w:t>
      </w:r>
      <w:r>
        <w:rPr>
          <w:rFonts w:hint="eastAsia"/>
          <w:color w:val="auto"/>
          <w:sz w:val="24"/>
          <w:highlight w:val="none"/>
        </w:rPr>
        <w:t>该建筑场地平整由发包人负责。该建筑施工期为承包人使用；本标完工后、承包人本标撤场前需进行清理和修复，经监理及发包人验收后，无偿移交给发包人。该建筑建设要求如下：</w:t>
      </w:r>
    </w:p>
    <w:p>
      <w:pPr>
        <w:spacing w:line="360" w:lineRule="auto"/>
        <w:ind w:firstLine="480" w:firstLineChars="200"/>
        <w:rPr>
          <w:color w:val="auto"/>
          <w:sz w:val="24"/>
          <w:highlight w:val="none"/>
        </w:rPr>
      </w:pPr>
      <w:r>
        <w:rPr>
          <w:rFonts w:hint="eastAsia"/>
          <w:color w:val="auto"/>
          <w:sz w:val="24"/>
          <w:highlight w:val="none"/>
        </w:rPr>
        <w:t>1) 单层建筑面积约600m²，总建筑面积约1800m²，层数3层，首层层高≥4.0m，二、三层层高≥3.2m。</w:t>
      </w:r>
    </w:p>
    <w:p>
      <w:pPr>
        <w:spacing w:line="360" w:lineRule="auto"/>
        <w:ind w:firstLine="480" w:firstLineChars="200"/>
        <w:rPr>
          <w:color w:val="auto"/>
          <w:sz w:val="24"/>
          <w:highlight w:val="none"/>
        </w:rPr>
      </w:pPr>
      <w:r>
        <w:rPr>
          <w:rFonts w:hint="eastAsia"/>
          <w:color w:val="auto"/>
          <w:sz w:val="24"/>
          <w:highlight w:val="none"/>
        </w:rPr>
        <w:t>2) 结构类型采用框架或剪力墙结构，抗震等级不低于Ⅶ度，结构安全等级二级，结构使用年限不低于50年，应选择耐久、耐候的外墙材料，确保建筑的结构安全和良好的隔热、隔音性能。</w:t>
      </w:r>
    </w:p>
    <w:p>
      <w:pPr>
        <w:spacing w:line="360" w:lineRule="auto"/>
        <w:ind w:firstLine="480" w:firstLineChars="200"/>
        <w:rPr>
          <w:color w:val="auto"/>
          <w:sz w:val="24"/>
          <w:highlight w:val="none"/>
        </w:rPr>
      </w:pPr>
      <w:r>
        <w:rPr>
          <w:rFonts w:hint="eastAsia"/>
          <w:color w:val="auto"/>
          <w:sz w:val="24"/>
          <w:highlight w:val="none"/>
        </w:rPr>
        <w:t>3) 框架柱截面不小于450×450mm，或剪力墙厚度不小于200mm；框架梁截面不小于300×450mm；板厚不小于120mm。每层楼面活荷载标准值不小于2.5KN/m²，特殊部位按照现行规范要求执行。</w:t>
      </w:r>
    </w:p>
    <w:p>
      <w:pPr>
        <w:spacing w:line="360" w:lineRule="auto"/>
        <w:ind w:firstLine="480" w:firstLineChars="200"/>
        <w:rPr>
          <w:color w:val="auto"/>
          <w:sz w:val="24"/>
          <w:highlight w:val="none"/>
        </w:rPr>
      </w:pPr>
      <w:r>
        <w:rPr>
          <w:rFonts w:hint="eastAsia"/>
          <w:color w:val="auto"/>
          <w:sz w:val="24"/>
          <w:highlight w:val="none"/>
        </w:rPr>
        <w:t>4) 建筑功能分区可根据实际情况分为一层食堂和仓库、办公，二、三层宿舍，各功能分区应设有专门的出入口，防止人流交叉。室内外疏散楼梯宽度和数量需满足建筑消防设计要求，应考虑无障碍需求，确保入口宽敞。</w:t>
      </w:r>
    </w:p>
    <w:p>
      <w:pPr>
        <w:spacing w:line="360" w:lineRule="auto"/>
        <w:ind w:firstLine="480" w:firstLineChars="200"/>
        <w:rPr>
          <w:color w:val="auto"/>
          <w:sz w:val="24"/>
          <w:highlight w:val="none"/>
        </w:rPr>
      </w:pPr>
      <w:r>
        <w:rPr>
          <w:rFonts w:hint="eastAsia"/>
          <w:color w:val="auto"/>
          <w:sz w:val="24"/>
          <w:highlight w:val="none"/>
        </w:rPr>
        <w:t>5) 合理设置窗户位置和大小，保证每个房间都有良好的采光和通风条件。食堂区、办公区和住宿区的窗户面积与地面面积之比应满足相关规范要求。</w:t>
      </w:r>
    </w:p>
    <w:p>
      <w:pPr>
        <w:spacing w:line="360" w:lineRule="auto"/>
        <w:ind w:firstLine="480" w:firstLineChars="200"/>
        <w:rPr>
          <w:color w:val="auto"/>
          <w:sz w:val="24"/>
          <w:highlight w:val="none"/>
        </w:rPr>
      </w:pPr>
      <w:r>
        <w:rPr>
          <w:rFonts w:hint="eastAsia"/>
          <w:color w:val="auto"/>
          <w:sz w:val="24"/>
          <w:highlight w:val="none"/>
        </w:rPr>
        <w:t>6) 按照相关消防规范，设置消防设施，如消火栓、喷淋系统等。每层设置火灾报警装置，楼梯间为封闭楼梯间或防烟楼梯间，保证人员在火灾发生时能够安全疏散。消防设施的配备、通道、安全出口和联动性需满足——GB55037-2022建筑防火通用规范。</w:t>
      </w:r>
    </w:p>
    <w:p>
      <w:pPr>
        <w:spacing w:line="360" w:lineRule="auto"/>
        <w:ind w:firstLine="480" w:firstLineChars="200"/>
        <w:rPr>
          <w:color w:val="auto"/>
          <w:sz w:val="24"/>
          <w:highlight w:val="none"/>
        </w:rPr>
      </w:pPr>
      <w:r>
        <w:rPr>
          <w:rFonts w:hint="eastAsia"/>
          <w:color w:val="auto"/>
          <w:sz w:val="24"/>
          <w:highlight w:val="none"/>
        </w:rPr>
        <w:t>7) 外观设计上整体建筑风格简洁大方，可以采用现代简约风格，色彩搭配协调，与周边环境相融合。</w:t>
      </w:r>
    </w:p>
    <w:p>
      <w:pPr>
        <w:spacing w:line="360" w:lineRule="auto"/>
        <w:ind w:firstLine="480" w:firstLineChars="200"/>
        <w:rPr>
          <w:color w:val="auto"/>
          <w:sz w:val="24"/>
          <w:highlight w:val="none"/>
        </w:rPr>
      </w:pPr>
      <w:r>
        <w:rPr>
          <w:rFonts w:hint="eastAsia"/>
          <w:color w:val="auto"/>
          <w:sz w:val="24"/>
          <w:highlight w:val="none"/>
        </w:rPr>
        <w:t>8）整体建筑采用普通装修标准。屋面防水标准一级；地面采用地砖、外墙真石漆、内墙抹灰刷漆等，所用材料应选用国内主流品牌产品。</w:t>
      </w:r>
    </w:p>
    <w:p>
      <w:pPr>
        <w:spacing w:line="360" w:lineRule="auto"/>
        <w:ind w:firstLine="480" w:firstLineChars="200"/>
        <w:rPr>
          <w:color w:val="auto"/>
          <w:sz w:val="24"/>
          <w:highlight w:val="none"/>
        </w:rPr>
      </w:pPr>
      <w:r>
        <w:rPr>
          <w:rFonts w:hint="eastAsia"/>
          <w:color w:val="auto"/>
          <w:sz w:val="24"/>
          <w:highlight w:val="none"/>
        </w:rPr>
        <w:t>9) 严格按照国家现行规程、规范和相关标准进行建设。</w:t>
      </w:r>
    </w:p>
    <w:p>
      <w:pPr>
        <w:spacing w:line="360" w:lineRule="auto"/>
        <w:ind w:firstLine="480" w:firstLineChars="200"/>
        <w:rPr>
          <w:color w:val="auto"/>
          <w:sz w:val="24"/>
          <w:highlight w:val="none"/>
        </w:rPr>
      </w:pPr>
      <w:r>
        <w:rPr>
          <w:rFonts w:hint="eastAsia"/>
          <w:color w:val="auto"/>
          <w:sz w:val="24"/>
          <w:highlight w:val="none"/>
        </w:rPr>
        <w:t>10）需由相应设计资质单位出具的正式设计方案和图纸，并经监理人及发包人审批后方可实施，并配合业主开展不动产办理相关工作。</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 营地选址应满足《水电工程施工组织设计规范》（NB/T10491）、</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《水电工程施工总布置设计规范》（NB/T35120）、《绿色办公建筑评价标准》（GB/T 50908）《建筑与市政工程抗震通用规范》（GB 55002）中关于营地选址的要求，并满足以下要求：</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 严禁在冲沟及冲沟口附近选择。</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 严禁在滑坡体、岩石倒挂体、崩塌体等存在地质灾害风险的区域选址。</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 严禁在尾矿坝下游附近选址。</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 严禁在河道洪水淹没区域内选址。</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 严禁在道路下坡急弯处或弯道坡下方选址。</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 严禁使用燃烧性能非A级彩钢板材料建设办公、生活用房。</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 严禁将未经验收合格的建筑物用作办公、生活用房。</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 严禁在施工隧洞内设置生活用房。</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 选址必须进行灾害风险评估。</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10) 营地投用前必须经上一级安全管理部门组织验收。</w:t>
      </w:r>
    </w:p>
    <w:p>
      <w:pPr>
        <w:pStyle w:val="6"/>
        <w:spacing w:before="0" w:after="0" w:line="360" w:lineRule="auto"/>
        <w:rPr>
          <w:color w:val="auto"/>
          <w:highlight w:val="none"/>
        </w:rPr>
      </w:pPr>
      <w:r>
        <w:rPr>
          <w:rFonts w:ascii="宋体" w:hAnsi="宋体" w:cs="宋体"/>
          <w:color w:val="auto"/>
          <w:sz w:val="24"/>
          <w:highlight w:val="none"/>
        </w:rPr>
        <w:t>2.15.2发包人提供施工管理及生活设施</w:t>
      </w:r>
    </w:p>
    <w:p>
      <w:pPr>
        <w:spacing w:line="360" w:lineRule="auto"/>
        <w:ind w:firstLine="480" w:firstLineChars="200"/>
        <w:rPr>
          <w:color w:val="auto"/>
          <w:highlight w:val="none"/>
        </w:rPr>
      </w:pPr>
      <w:r>
        <w:rPr>
          <w:rFonts w:ascii="宋体" w:hAnsi="宋体" w:cs="宋体"/>
          <w:color w:val="auto"/>
          <w:sz w:val="24"/>
          <w:highlight w:val="none"/>
        </w:rPr>
        <w:t>本合同不含此内容。</w:t>
      </w:r>
    </w:p>
    <w:p>
      <w:pPr>
        <w:pStyle w:val="62"/>
        <w:rPr>
          <w:color w:val="auto"/>
          <w:highlight w:val="none"/>
        </w:rPr>
      </w:pPr>
      <w:r>
        <w:rPr>
          <w:rFonts w:hint="eastAsia" w:eastAsia="宋体"/>
          <w:color w:val="auto"/>
          <w:highlight w:val="none"/>
        </w:rPr>
        <w:t>2</w:t>
      </w:r>
      <w:r>
        <w:rPr>
          <w:rFonts w:eastAsia="宋体"/>
          <w:color w:val="auto"/>
          <w:highlight w:val="none"/>
        </w:rPr>
        <w:t xml:space="preserve">.16 </w:t>
      </w:r>
      <w:r>
        <w:rPr>
          <w:rFonts w:hint="eastAsia" w:eastAsia="宋体"/>
          <w:color w:val="auto"/>
          <w:highlight w:val="none"/>
        </w:rPr>
        <w:t xml:space="preserve"> 起重机及电梯的管理</w:t>
      </w:r>
    </w:p>
    <w:p>
      <w:pPr>
        <w:spacing w:line="360" w:lineRule="auto"/>
        <w:ind w:firstLine="480" w:firstLineChars="200"/>
        <w:rPr>
          <w:color w:val="auto"/>
          <w:sz w:val="24"/>
          <w:highlight w:val="none"/>
        </w:rPr>
      </w:pPr>
      <w:r>
        <w:rPr>
          <w:rFonts w:hint="eastAsia"/>
          <w:color w:val="auto"/>
          <w:sz w:val="24"/>
          <w:highlight w:val="none"/>
        </w:rPr>
        <w:t>本技术条款2.16.1（2）条内容修改为：</w:t>
      </w:r>
    </w:p>
    <w:p>
      <w:pPr>
        <w:spacing w:line="360" w:lineRule="auto"/>
        <w:ind w:firstLine="480" w:firstLineChars="200"/>
        <w:rPr>
          <w:color w:val="auto"/>
          <w:sz w:val="24"/>
          <w:highlight w:val="none"/>
        </w:rPr>
      </w:pPr>
      <w:r>
        <w:rPr>
          <w:rFonts w:hint="eastAsia"/>
          <w:color w:val="auto"/>
          <w:sz w:val="24"/>
          <w:highlight w:val="none"/>
        </w:rPr>
        <w:t>(2) 起重机械安装验收并取得特种设备相应证书后，第一年的月度及年度定期维护由设备厂家负责，承包人应配合开展工作；第一年后的月度及年度定期维护，以及取得特种设备相应证书后的日常检查及维护管理，均由承包人负责。起重机械如果发生管理、使用不当导致的故障，承包人应及时修理并承担费用，但因原部件质量问题导致的外购更换件及起重机械供货商进行检修的费用除外。</w:t>
      </w:r>
    </w:p>
    <w:p>
      <w:pPr>
        <w:spacing w:line="360" w:lineRule="auto"/>
        <w:ind w:firstLine="480" w:firstLineChars="200"/>
        <w:rPr>
          <w:color w:val="auto"/>
          <w:sz w:val="24"/>
          <w:highlight w:val="none"/>
        </w:rPr>
      </w:pPr>
      <w:r>
        <w:rPr>
          <w:rFonts w:hint="eastAsia"/>
          <w:color w:val="auto"/>
          <w:sz w:val="24"/>
          <w:highlight w:val="none"/>
        </w:rPr>
        <w:t>本技术条款2.16.1节增加内容：</w:t>
      </w:r>
    </w:p>
    <w:p>
      <w:pPr>
        <w:pStyle w:val="76"/>
        <w:spacing w:line="480" w:lineRule="exact"/>
        <w:jc w:val="both"/>
        <w:rPr>
          <w:color w:val="auto"/>
          <w:highlight w:val="none"/>
        </w:rPr>
      </w:pPr>
      <w:r>
        <w:rPr>
          <w:rFonts w:hint="eastAsia" w:ascii="宋体" w:hAnsi="宋体" w:cs="宋体"/>
          <w:color w:val="auto"/>
          <w:highlight w:val="none"/>
        </w:rPr>
        <w:t>本标承包人应负责本标安装的全部特种设备的管理、取证工作，包括但不限于洞内GIS和开关站起重等设备。洞内GIS和开关站起重设备的操作由高压安装标负责。</w:t>
      </w:r>
    </w:p>
    <w:p>
      <w:pPr>
        <w:pStyle w:val="62"/>
        <w:rPr>
          <w:color w:val="auto"/>
          <w:highlight w:val="none"/>
        </w:rPr>
      </w:pPr>
      <w:r>
        <w:rPr>
          <w:color w:val="auto"/>
          <w:highlight w:val="none"/>
        </w:rPr>
        <w:t>2.18 厂房及地下洞室施工期排水</w:t>
      </w:r>
    </w:p>
    <w:p>
      <w:pPr>
        <w:pStyle w:val="76"/>
        <w:rPr>
          <w:color w:val="auto"/>
          <w:highlight w:val="none"/>
        </w:rPr>
      </w:pPr>
      <w:r>
        <w:rPr>
          <w:color w:val="auto"/>
          <w:highlight w:val="none"/>
        </w:rPr>
        <w:t>本款增加内容如下：</w:t>
      </w:r>
    </w:p>
    <w:p>
      <w:pPr>
        <w:pStyle w:val="76"/>
        <w:ind w:firstLine="480" w:firstLineChars="200"/>
        <w:rPr>
          <w:color w:val="auto"/>
          <w:highlight w:val="none"/>
        </w:rPr>
      </w:pPr>
      <w:r>
        <w:rPr>
          <w:rFonts w:hint="eastAsia"/>
          <w:color w:val="auto"/>
          <w:highlight w:val="none"/>
        </w:rPr>
        <w:t>根据前期勘察工作，本项目工程区地下水丰富，预计自流排水洞具备排水时间为</w:t>
      </w:r>
      <w:r>
        <w:rPr>
          <w:color w:val="auto"/>
          <w:highlight w:val="none"/>
        </w:rPr>
        <w:t>2025</w:t>
      </w:r>
      <w:r>
        <w:rPr>
          <w:rFonts w:hint="eastAsia"/>
          <w:color w:val="auto"/>
          <w:highlight w:val="none"/>
        </w:rPr>
        <w:t>年12月</w:t>
      </w:r>
      <w:r>
        <w:rPr>
          <w:color w:val="auto"/>
          <w:highlight w:val="none"/>
        </w:rPr>
        <w:t>30</w:t>
      </w:r>
      <w:r>
        <w:rPr>
          <w:rFonts w:hint="eastAsia"/>
          <w:color w:val="auto"/>
          <w:highlight w:val="none"/>
        </w:rPr>
        <w:t>日，本标负责施工期间三大洞室及各作业面施工期排水工作。</w:t>
      </w:r>
      <w:r>
        <w:rPr>
          <w:rFonts w:ascii="宋体" w:hAnsi="宋体" w:cs="宋体"/>
          <w:color w:val="auto"/>
          <w:highlight w:val="none"/>
        </w:rPr>
        <w:t>本标考虑地下工程洞内施工弃水及山岩渗水的排</w:t>
      </w:r>
      <w:r>
        <w:rPr>
          <w:rFonts w:hint="eastAsia" w:ascii="宋体" w:hAnsi="宋体" w:cs="宋体"/>
          <w:color w:val="auto"/>
          <w:highlight w:val="none"/>
        </w:rPr>
        <w:t>出</w:t>
      </w:r>
      <w:r>
        <w:rPr>
          <w:rFonts w:ascii="宋体" w:hAnsi="宋体" w:cs="宋体"/>
          <w:color w:val="auto"/>
          <w:highlight w:val="none"/>
        </w:rPr>
        <w:t>，提供施工排水所需的全部排水设施和设备，并负责这些设施和设备的采购、运输安装、维修和运行，保证排水设备的持续运行，并应配置应急的备用设备和设施（包括备用电源），以避免施工场地造成积水而影响本标及其他标段的正常施工。</w:t>
      </w:r>
    </w:p>
    <w:p>
      <w:pPr>
        <w:pStyle w:val="76"/>
        <w:spacing w:line="480" w:lineRule="exact"/>
        <w:jc w:val="both"/>
        <w:rPr>
          <w:color w:val="auto"/>
          <w:highlight w:val="none"/>
        </w:rPr>
      </w:pPr>
    </w:p>
    <w:p>
      <w:pPr>
        <w:pStyle w:val="5"/>
        <w:spacing w:before="0" w:after="0" w:line="360" w:lineRule="auto"/>
        <w:rPr>
          <w:color w:val="auto"/>
          <w:highlight w:val="none"/>
        </w:rPr>
      </w:pPr>
      <w:r>
        <w:rPr>
          <w:rFonts w:ascii="宋体" w:hAnsi="宋体" w:cs="宋体"/>
          <w:color w:val="auto"/>
          <w:sz w:val="24"/>
          <w:highlight w:val="none"/>
        </w:rPr>
        <w:t>2.19</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计量和支付</w:t>
      </w:r>
    </w:p>
    <w:p>
      <w:pPr>
        <w:spacing w:line="360" w:lineRule="auto"/>
        <w:ind w:firstLine="480" w:firstLineChars="200"/>
        <w:rPr>
          <w:color w:val="auto"/>
          <w:highlight w:val="none"/>
        </w:rPr>
      </w:pPr>
      <w:r>
        <w:rPr>
          <w:rFonts w:ascii="宋体" w:hAnsi="宋体" w:cs="宋体"/>
          <w:color w:val="auto"/>
          <w:sz w:val="24"/>
          <w:highlight w:val="none"/>
        </w:rPr>
        <w:t>（4）施工供电</w:t>
      </w:r>
    </w:p>
    <w:p>
      <w:pPr>
        <w:spacing w:line="360" w:lineRule="auto"/>
        <w:ind w:firstLine="480" w:firstLineChars="200"/>
        <w:rPr>
          <w:color w:val="auto"/>
          <w:highlight w:val="none"/>
        </w:rPr>
      </w:pPr>
      <w:r>
        <w:rPr>
          <w:rFonts w:ascii="宋体" w:hAnsi="宋体" w:cs="宋体"/>
          <w:color w:val="auto"/>
          <w:sz w:val="24"/>
          <w:highlight w:val="none"/>
        </w:rPr>
        <w:t>1）承包人为保证施工连续性，配备一定容量的自发施工电源，以满足施工进度要求，该费用包括在相关清单项目报价中，发包人不另行支付。</w:t>
      </w:r>
    </w:p>
    <w:p>
      <w:pPr>
        <w:spacing w:line="360" w:lineRule="auto"/>
        <w:ind w:firstLine="480" w:firstLineChars="200"/>
        <w:rPr>
          <w:color w:val="auto"/>
          <w:highlight w:val="none"/>
        </w:rPr>
      </w:pPr>
      <w:r>
        <w:rPr>
          <w:rFonts w:ascii="宋体" w:hAnsi="宋体" w:cs="宋体"/>
          <w:color w:val="auto"/>
          <w:sz w:val="24"/>
          <w:highlight w:val="none"/>
        </w:rPr>
        <w:t>2）本质安全型智能配电箱（二、三级），按《工程量清单》所列项目单价支付，本标完工后，若有残值，由承包人回收，费用在投标单价中综合考虑；承包人根据合同要求完成的其它施工供电设施的建设（含报装）、设备设施购置、安装调试、试验、验收、运行维护、故障处理、拆除，以及供电线路可能涉及的赔偿等全过程费用，按《工程量清单》所列项目总价支付。</w:t>
      </w:r>
    </w:p>
    <w:p>
      <w:pPr>
        <w:spacing w:line="360" w:lineRule="auto"/>
        <w:ind w:firstLine="480" w:firstLineChars="200"/>
        <w:rPr>
          <w:color w:val="auto"/>
          <w:highlight w:val="none"/>
        </w:rPr>
      </w:pPr>
      <w:r>
        <w:rPr>
          <w:rFonts w:ascii="宋体" w:hAnsi="宋体" w:cs="宋体"/>
          <w:color w:val="auto"/>
          <w:sz w:val="24"/>
          <w:highlight w:val="none"/>
        </w:rPr>
        <w:t>（7）施工照明</w:t>
      </w:r>
    </w:p>
    <w:p>
      <w:pPr>
        <w:spacing w:line="360" w:lineRule="auto"/>
        <w:ind w:firstLine="480" w:firstLineChars="200"/>
        <w:rPr>
          <w:color w:val="auto"/>
          <w:highlight w:val="none"/>
        </w:rPr>
      </w:pPr>
      <w:r>
        <w:rPr>
          <w:rFonts w:ascii="宋体" w:hAnsi="宋体" w:cs="宋体"/>
          <w:color w:val="auto"/>
          <w:sz w:val="24"/>
          <w:highlight w:val="none"/>
        </w:rPr>
        <w:t>本技术条款2.19.（7）条增加内容：</w:t>
      </w:r>
    </w:p>
    <w:p>
      <w:pPr>
        <w:spacing w:line="360" w:lineRule="auto"/>
        <w:ind w:firstLine="480" w:firstLineChars="200"/>
        <w:rPr>
          <w:color w:val="auto"/>
          <w:highlight w:val="none"/>
        </w:rPr>
      </w:pPr>
      <w:r>
        <w:rPr>
          <w:rFonts w:ascii="宋体" w:hAnsi="宋体" w:cs="宋体"/>
          <w:color w:val="auto"/>
          <w:sz w:val="24"/>
          <w:highlight w:val="none"/>
        </w:rPr>
        <w:t>承包人应按照监理人指示，在进场后尽快完成网架下永久照明工程的施工，并负责施工期内的运行、管理和维护，其临时电源从本标承包人施工供电系统接入，专用变压器、连接电缆、配电箱和计量装置等设备和材料均由本标承包人负责配置。上述费用包括在相应项目的报价中，发包人不再另行支付。厂房网架永久照明的电费由发包人承担。</w:t>
      </w:r>
    </w:p>
    <w:p>
      <w:pPr>
        <w:spacing w:line="360" w:lineRule="auto"/>
        <w:ind w:firstLine="480" w:firstLineChars="200"/>
        <w:rPr>
          <w:color w:val="auto"/>
          <w:highlight w:val="none"/>
        </w:rPr>
      </w:pPr>
      <w:r>
        <w:rPr>
          <w:rFonts w:ascii="宋体" w:hAnsi="宋体" w:cs="宋体"/>
          <w:color w:val="auto"/>
          <w:sz w:val="24"/>
          <w:highlight w:val="none"/>
        </w:rPr>
        <w:t>（9）地下工程施工通风</w:t>
      </w:r>
    </w:p>
    <w:p>
      <w:pPr>
        <w:spacing w:line="360" w:lineRule="auto"/>
        <w:ind w:firstLine="480" w:firstLineChars="200"/>
        <w:rPr>
          <w:color w:val="auto"/>
          <w:highlight w:val="none"/>
        </w:rPr>
      </w:pPr>
      <w:r>
        <w:rPr>
          <w:rFonts w:ascii="宋体" w:hAnsi="宋体" w:cs="宋体"/>
          <w:color w:val="auto"/>
          <w:sz w:val="24"/>
          <w:highlight w:val="none"/>
        </w:rPr>
        <w:t>本技术条款2.19（9）条内容修改为：</w:t>
      </w:r>
    </w:p>
    <w:p>
      <w:pPr>
        <w:spacing w:line="360" w:lineRule="auto"/>
        <w:ind w:firstLine="480" w:firstLineChars="200"/>
        <w:rPr>
          <w:color w:val="auto"/>
          <w:highlight w:val="none"/>
        </w:rPr>
      </w:pPr>
      <w:r>
        <w:rPr>
          <w:rFonts w:ascii="宋体" w:hAnsi="宋体" w:cs="宋体"/>
          <w:color w:val="auto"/>
          <w:sz w:val="24"/>
          <w:highlight w:val="none"/>
        </w:rPr>
        <w:t>本标段地下工程施工通风建设及管理费用按《工程量清单》所列项目总价支付，总价中包括施工通风系统(包含除湿设施)的设计、施工、采购、安装、管理和维护及拆除等费用；施工通风运行费按《工程量清单》所列运行电费以单价形式进行支付。施工通风运行电费单价为非竞争性报价，投标人在投标报价时统一按发包人规定的价格进行报价。若投标人认为发包人规定的价格还有不足部分，则在“施工通风设施建设及管理维护费”项目报价中予以考虑，除合同条款另有约定外，发包人不再支付其他费用。</w:t>
      </w:r>
    </w:p>
    <w:p>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（11）混凝土生产系统</w:t>
      </w:r>
    </w:p>
    <w:p>
      <w:pPr>
        <w:spacing w:line="360" w:lineRule="auto"/>
        <w:ind w:firstLine="480" w:firstLineChars="200"/>
        <w:rPr>
          <w:color w:val="auto"/>
          <w:highlight w:val="none"/>
        </w:rPr>
      </w:pPr>
      <w:r>
        <w:rPr>
          <w:rFonts w:ascii="宋体" w:hAnsi="宋体" w:cs="宋体"/>
          <w:color w:val="auto"/>
          <w:sz w:val="24"/>
          <w:highlight w:val="none"/>
        </w:rPr>
        <w:t>本技术条款2.19（11）条内容修改为：</w:t>
      </w:r>
    </w:p>
    <w:p>
      <w:pPr>
        <w:spacing w:line="360" w:lineRule="auto"/>
        <w:ind w:firstLine="480" w:firstLineChars="200"/>
        <w:rPr>
          <w:color w:val="auto"/>
          <w:highlight w:val="none"/>
        </w:rPr>
      </w:pPr>
      <w:r>
        <w:rPr>
          <w:rFonts w:ascii="宋体" w:hAnsi="宋体" w:cs="宋体"/>
          <w:color w:val="auto"/>
          <w:sz w:val="24"/>
          <w:highlight w:val="none"/>
        </w:rPr>
        <w:t>混凝土生产系统，按《工程量清单》所列项目总价支付。总价中包括混凝土生产系统的设计、施工、混凝土生产系统设备的安装和调试及拆除等费用（含混凝土制冷系统的设计和施工，制冷设备的采购、安装、调试、运行管理和维修）。混凝土生产系统的生产运行费用及设备摊销费用包括在相应项目的报价中，发包人不另行支付。</w:t>
      </w:r>
    </w:p>
    <w:p>
      <w:pPr>
        <w:spacing w:line="360" w:lineRule="auto"/>
        <w:ind w:firstLine="480" w:firstLineChars="200"/>
        <w:rPr>
          <w:color w:val="auto"/>
          <w:highlight w:val="none"/>
        </w:rPr>
      </w:pPr>
      <w:r>
        <w:rPr>
          <w:rFonts w:ascii="宋体" w:hAnsi="宋体" w:cs="宋体"/>
          <w:color w:val="auto"/>
          <w:sz w:val="24"/>
          <w:highlight w:val="none"/>
        </w:rPr>
        <w:t>本技术条款2.19节增加内容：</w:t>
      </w:r>
    </w:p>
    <w:p>
      <w:pPr>
        <w:spacing w:line="360" w:lineRule="auto"/>
        <w:ind w:firstLine="480" w:firstLineChars="200"/>
        <w:rPr>
          <w:color w:val="auto"/>
          <w:highlight w:val="none"/>
        </w:rPr>
      </w:pPr>
      <w:r>
        <w:rPr>
          <w:rFonts w:ascii="宋体" w:hAnsi="宋体" w:cs="宋体"/>
          <w:color w:val="auto"/>
          <w:sz w:val="24"/>
          <w:highlight w:val="none"/>
        </w:rPr>
        <w:t>（20）定子工棚（含工棚设备）</w:t>
      </w:r>
    </w:p>
    <w:p>
      <w:pPr>
        <w:spacing w:line="360" w:lineRule="auto"/>
        <w:ind w:firstLine="480" w:firstLineChars="200"/>
        <w:rPr>
          <w:color w:val="auto"/>
          <w:highlight w:val="none"/>
        </w:rPr>
      </w:pPr>
      <w:r>
        <w:rPr>
          <w:rFonts w:ascii="宋体" w:hAnsi="宋体" w:cs="宋体"/>
          <w:color w:val="auto"/>
          <w:sz w:val="24"/>
          <w:highlight w:val="none"/>
        </w:rPr>
        <w:t>本标承包人根据合同要求完成安装间定子棚架示范工程的建设、移设、维护管理和拆除工作（具体参考详见附件：《定子组装防尘棚技术要求》）所需的费用，按《工程量清单》所列项目总价支付。</w:t>
      </w:r>
    </w:p>
    <w:p>
      <w:pPr>
        <w:pStyle w:val="76"/>
        <w:spacing w:line="480" w:lineRule="exact"/>
        <w:jc w:val="both"/>
        <w:rPr>
          <w:color w:val="auto"/>
          <w:highlight w:val="none"/>
        </w:rPr>
      </w:pPr>
      <w:r>
        <w:rPr>
          <w:rFonts w:ascii="宋体" w:hAnsi="宋体" w:cs="宋体"/>
          <w:color w:val="auto"/>
          <w:highlight w:val="none"/>
        </w:rPr>
        <w:t>（21）输水发电系统工程标已在地下工程洞口设立安全检查岗亭、道闸、门禁通道并配备相应安全管理人员，引水系统充水完成后，上述工作转由本标承包人负责，直至最后一台机组投产，所需的费用，按《工程量清单》所列项目总价支付。</w:t>
      </w:r>
    </w:p>
    <w:p>
      <w:pPr>
        <w:pStyle w:val="62"/>
        <w:rPr>
          <w:color w:val="auto"/>
          <w:highlight w:val="none"/>
        </w:rPr>
      </w:pPr>
      <w:bookmarkStart w:id="85" w:name="_Toc2491"/>
      <w:bookmarkStart w:id="86" w:name="_Toc23546"/>
      <w:r>
        <w:rPr>
          <w:color w:val="auto"/>
          <w:highlight w:val="none"/>
        </w:rPr>
        <w:t>2.</w:t>
      </w:r>
      <w:r>
        <w:rPr>
          <w:rFonts w:hint="eastAsia"/>
          <w:color w:val="auto"/>
          <w:highlight w:val="none"/>
        </w:rPr>
        <w:t>20  施工辅助起重设备</w:t>
      </w:r>
      <w:bookmarkEnd w:id="85"/>
      <w:bookmarkEnd w:id="86"/>
    </w:p>
    <w:p>
      <w:pPr>
        <w:pStyle w:val="76"/>
        <w:rPr>
          <w:color w:val="auto"/>
          <w:highlight w:val="none"/>
        </w:rPr>
      </w:pPr>
      <w:r>
        <w:rPr>
          <w:rFonts w:hint="eastAsia"/>
          <w:color w:val="auto"/>
          <w:highlight w:val="none"/>
        </w:rPr>
        <w:t>承包人根据安装需要配备施工用起重设备、轨道及其附件，并负责起重设备的安装、试验以及维护等工作。</w:t>
      </w:r>
    </w:p>
    <w:p>
      <w:pPr>
        <w:pStyle w:val="76"/>
        <w:rPr>
          <w:color w:val="auto"/>
          <w:highlight w:val="none"/>
        </w:rPr>
      </w:pPr>
      <w:r>
        <w:rPr>
          <w:rFonts w:hint="eastAsia"/>
          <w:color w:val="auto"/>
          <w:highlight w:val="none"/>
        </w:rPr>
        <w:t>需要施工辅助起重设备的位置包括：</w:t>
      </w:r>
    </w:p>
    <w:p>
      <w:pPr>
        <w:pStyle w:val="76"/>
        <w:rPr>
          <w:color w:val="auto"/>
          <w:highlight w:val="none"/>
        </w:rPr>
      </w:pPr>
      <w:r>
        <w:rPr>
          <w:rFonts w:hint="eastAsia"/>
          <w:color w:val="auto"/>
          <w:highlight w:val="none"/>
        </w:rPr>
        <w:t>副厂房顶拱已布置临时电动葫芦轨道，本标需要提供1台、起吊重量10t的施工用电动葫芦。</w:t>
      </w:r>
    </w:p>
    <w:p>
      <w:pPr>
        <w:spacing w:line="360" w:lineRule="auto"/>
        <w:ind w:firstLine="480" w:firstLineChars="200"/>
        <w:rPr>
          <w:color w:val="auto"/>
          <w:sz w:val="24"/>
          <w:highlight w:val="none"/>
        </w:rPr>
      </w:pPr>
      <w:r>
        <w:rPr>
          <w:rFonts w:hint="eastAsia"/>
          <w:color w:val="auto"/>
          <w:sz w:val="24"/>
          <w:highlight w:val="none"/>
        </w:rPr>
        <w:t>地下厂房高压电缆出线洞洞口已布置临时电动葫芦轨道，本标需要提供2台、起吊重量</w:t>
      </w:r>
      <w:r>
        <w:rPr>
          <w:color w:val="auto"/>
          <w:sz w:val="24"/>
          <w:highlight w:val="none"/>
        </w:rPr>
        <w:t>5t</w:t>
      </w:r>
      <w:r>
        <w:rPr>
          <w:rFonts w:hint="eastAsia"/>
          <w:color w:val="auto"/>
          <w:sz w:val="24"/>
          <w:highlight w:val="none"/>
        </w:rPr>
        <w:t>的施工用电动葫芦。</w:t>
      </w:r>
    </w:p>
    <w:p>
      <w:pPr>
        <w:pStyle w:val="76"/>
        <w:widowControl/>
        <w:jc w:val="left"/>
        <w:rPr>
          <w:rFonts w:hint="eastAsia"/>
          <w:color w:val="auto"/>
          <w:highlight w:val="none"/>
        </w:rPr>
      </w:pPr>
      <w:r>
        <w:rPr>
          <w:rFonts w:hint="eastAsia"/>
          <w:color w:val="auto"/>
          <w:highlight w:val="none"/>
        </w:rPr>
        <w:t>具体起重设备位置及配置以现场实际需求为准。</w:t>
      </w:r>
    </w:p>
    <w:p>
      <w:pPr>
        <w:pStyle w:val="76"/>
        <w:widowControl/>
        <w:jc w:val="left"/>
        <w:rPr>
          <w:rFonts w:hint="eastAsia"/>
          <w:color w:val="auto"/>
          <w:highlight w:val="none"/>
        </w:rPr>
      </w:pPr>
    </w:p>
    <w:p>
      <w:pPr>
        <w:pStyle w:val="62"/>
        <w:rPr>
          <w:rFonts w:hint="eastAsia"/>
          <w:color w:val="auto"/>
          <w:highlight w:val="none"/>
          <w:lang w:val="en-US" w:eastAsia="zh-CN"/>
        </w:rPr>
      </w:pPr>
      <w:r>
        <w:rPr>
          <w:rFonts w:hint="eastAsia"/>
          <w:color w:val="auto"/>
          <w:highlight w:val="none"/>
          <w:lang w:val="en-US" w:eastAsia="zh-CN"/>
        </w:rPr>
        <w:t>2.21 施工过程设备盘柜防护</w:t>
      </w:r>
    </w:p>
    <w:p>
      <w:pPr>
        <w:pStyle w:val="76"/>
        <w:widowControl/>
        <w:jc w:val="left"/>
        <w:rPr>
          <w:rFonts w:hint="eastAsia" w:ascii="Calibri" w:hAnsi="Calibri" w:eastAsia="宋体" w:cs="黑体"/>
          <w:color w:val="auto"/>
          <w:kern w:val="2"/>
          <w:sz w:val="24"/>
          <w:szCs w:val="22"/>
          <w:highlight w:val="none"/>
          <w:lang w:val="en-US" w:eastAsia="zh-CN" w:bidi="ar-SA"/>
        </w:rPr>
      </w:pPr>
      <w:r>
        <w:rPr>
          <w:rFonts w:hint="eastAsia" w:ascii="Calibri" w:hAnsi="Calibri" w:eastAsia="宋体" w:cs="黑体"/>
          <w:color w:val="auto"/>
          <w:kern w:val="2"/>
          <w:sz w:val="24"/>
          <w:szCs w:val="22"/>
          <w:highlight w:val="none"/>
          <w:lang w:val="en-US" w:eastAsia="zh-CN" w:bidi="ar-SA"/>
        </w:rPr>
        <w:t>承包人应参照下图结构，对主厂房</w:t>
      </w:r>
      <w:r>
        <w:rPr>
          <w:rFonts w:hint="eastAsia" w:ascii="Calibri" w:hAnsi="Calibri" w:cs="黑体"/>
          <w:color w:val="auto"/>
          <w:kern w:val="2"/>
          <w:sz w:val="24"/>
          <w:szCs w:val="22"/>
          <w:highlight w:val="none"/>
          <w:lang w:val="en-US" w:eastAsia="zh-CN" w:bidi="ar-SA"/>
        </w:rPr>
        <w:t>公用及各台机组</w:t>
      </w:r>
      <w:r>
        <w:rPr>
          <w:rFonts w:hint="eastAsia" w:ascii="Calibri" w:hAnsi="Calibri" w:eastAsia="宋体" w:cs="黑体"/>
          <w:color w:val="auto"/>
          <w:kern w:val="2"/>
          <w:sz w:val="24"/>
          <w:szCs w:val="22"/>
          <w:highlight w:val="none"/>
          <w:lang w:val="en-US" w:eastAsia="zh-CN" w:bidi="ar-SA"/>
        </w:rPr>
        <w:t>动力盘、励磁、监控、保护、</w:t>
      </w:r>
      <w:r>
        <w:rPr>
          <w:rFonts w:hint="eastAsia" w:ascii="Calibri" w:hAnsi="Calibri" w:cs="黑体"/>
          <w:color w:val="auto"/>
          <w:kern w:val="2"/>
          <w:sz w:val="24"/>
          <w:szCs w:val="22"/>
          <w:highlight w:val="none"/>
          <w:lang w:val="en-US" w:eastAsia="zh-CN" w:bidi="ar-SA"/>
        </w:rPr>
        <w:t>调速器、机组</w:t>
      </w:r>
      <w:r>
        <w:rPr>
          <w:rFonts w:hint="eastAsia" w:ascii="Calibri" w:hAnsi="Calibri" w:eastAsia="宋体" w:cs="黑体"/>
          <w:color w:val="auto"/>
          <w:kern w:val="2"/>
          <w:sz w:val="24"/>
          <w:szCs w:val="22"/>
          <w:highlight w:val="none"/>
          <w:lang w:val="en-US" w:eastAsia="zh-CN" w:bidi="ar-SA"/>
        </w:rPr>
        <w:t>辅助</w:t>
      </w:r>
      <w:r>
        <w:rPr>
          <w:rFonts w:hint="eastAsia" w:ascii="Calibri" w:hAnsi="Calibri" w:cs="黑体"/>
          <w:color w:val="auto"/>
          <w:kern w:val="2"/>
          <w:sz w:val="24"/>
          <w:szCs w:val="22"/>
          <w:highlight w:val="none"/>
          <w:lang w:val="en-US" w:eastAsia="zh-CN" w:bidi="ar-SA"/>
        </w:rPr>
        <w:t>等</w:t>
      </w:r>
      <w:r>
        <w:rPr>
          <w:rFonts w:hint="eastAsia" w:ascii="Calibri" w:hAnsi="Calibri" w:eastAsia="宋体" w:cs="黑体"/>
          <w:color w:val="auto"/>
          <w:kern w:val="2"/>
          <w:sz w:val="24"/>
          <w:szCs w:val="22"/>
          <w:highlight w:val="none"/>
          <w:lang w:val="en-US" w:eastAsia="zh-CN" w:bidi="ar-SA"/>
        </w:rPr>
        <w:t>盘柜进行</w:t>
      </w:r>
      <w:r>
        <w:rPr>
          <w:rFonts w:hint="eastAsia" w:ascii="Calibri" w:hAnsi="Calibri" w:cs="黑体"/>
          <w:color w:val="auto"/>
          <w:kern w:val="2"/>
          <w:sz w:val="24"/>
          <w:szCs w:val="22"/>
          <w:highlight w:val="none"/>
          <w:lang w:val="en-US" w:eastAsia="zh-CN" w:bidi="ar-SA"/>
        </w:rPr>
        <w:t>可视化</w:t>
      </w:r>
      <w:r>
        <w:rPr>
          <w:rFonts w:hint="eastAsia" w:ascii="Calibri" w:hAnsi="Calibri" w:eastAsia="宋体" w:cs="黑体"/>
          <w:color w:val="auto"/>
          <w:kern w:val="2"/>
          <w:sz w:val="24"/>
          <w:szCs w:val="22"/>
          <w:highlight w:val="none"/>
          <w:lang w:val="en-US" w:eastAsia="zh-CN" w:bidi="ar-SA"/>
        </w:rPr>
        <w:t>防护，降低施工期间粉尘对设备的影响。</w:t>
      </w:r>
    </w:p>
    <w:p>
      <w:pPr>
        <w:pStyle w:val="76"/>
        <w:widowControl/>
        <w:jc w:val="left"/>
        <w:rPr>
          <w:rFonts w:ascii="Times New Roman" w:hAnsi="Times New Roman" w:cs="Times New Roman"/>
          <w:color w:val="auto"/>
          <w:kern w:val="0"/>
          <w:szCs w:val="24"/>
          <w:highlight w:val="none"/>
        </w:rPr>
      </w:pPr>
      <w:r>
        <w:rPr>
          <w:color w:val="auto"/>
          <w:highlight w:val="none"/>
        </w:rPr>
        <w:drawing>
          <wp:anchor distT="0" distB="0" distL="114300" distR="114300" simplePos="0" relativeHeight="251660288" behindDoc="0" locked="0" layoutInCell="1" allowOverlap="1">
            <wp:simplePos x="0" y="0"/>
            <wp:positionH relativeFrom="column">
              <wp:posOffset>275590</wp:posOffset>
            </wp:positionH>
            <wp:positionV relativeFrom="paragraph">
              <wp:posOffset>520700</wp:posOffset>
            </wp:positionV>
            <wp:extent cx="4665980" cy="3006725"/>
            <wp:effectExtent l="0" t="0" r="1270"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665980" cy="3006725"/>
                    </a:xfrm>
                    <a:prstGeom prst="rect">
                      <a:avLst/>
                    </a:prstGeom>
                    <a:noFill/>
                    <a:ln>
                      <a:noFill/>
                    </a:ln>
                  </pic:spPr>
                </pic:pic>
              </a:graphicData>
            </a:graphic>
          </wp:anchor>
        </w:drawing>
      </w:r>
      <w:r>
        <w:rPr>
          <w:color w:val="auto"/>
          <w:highlight w:val="none"/>
        </w:rPr>
        <w:br w:type="page"/>
      </w:r>
    </w:p>
    <w:p>
      <w:pPr>
        <w:pStyle w:val="50"/>
        <w:rPr>
          <w:rFonts w:hint="eastAsia"/>
          <w:color w:val="auto"/>
          <w:highlight w:val="none"/>
        </w:rPr>
      </w:pPr>
      <w:r>
        <w:rPr>
          <w:rFonts w:hint="eastAsia"/>
          <w:color w:val="auto"/>
          <w:highlight w:val="none"/>
        </w:rPr>
        <w:t>第3章 安全文明施工</w:t>
      </w:r>
    </w:p>
    <w:p>
      <w:pPr>
        <w:spacing w:line="360" w:lineRule="auto"/>
        <w:ind w:firstLine="480" w:firstLineChars="200"/>
        <w:rPr>
          <w:color w:val="auto"/>
          <w:sz w:val="24"/>
          <w:szCs w:val="24"/>
          <w:highlight w:val="none"/>
        </w:rPr>
      </w:pPr>
    </w:p>
    <w:p>
      <w:pPr>
        <w:spacing w:line="360" w:lineRule="auto"/>
        <w:outlineLvl w:val="1"/>
        <w:rPr>
          <w:b/>
          <w:bCs/>
          <w:color w:val="auto"/>
          <w:sz w:val="24"/>
          <w:szCs w:val="24"/>
          <w:highlight w:val="none"/>
        </w:rPr>
      </w:pPr>
      <w:r>
        <w:rPr>
          <w:b/>
          <w:bCs/>
          <w:color w:val="auto"/>
          <w:sz w:val="24"/>
          <w:szCs w:val="24"/>
          <w:highlight w:val="none"/>
        </w:rPr>
        <w:t>3</w:t>
      </w:r>
      <w:r>
        <w:rPr>
          <w:rFonts w:hint="eastAsia"/>
          <w:b/>
          <w:bCs/>
          <w:color w:val="auto"/>
          <w:sz w:val="24"/>
          <w:szCs w:val="24"/>
          <w:highlight w:val="none"/>
        </w:rPr>
        <w:t>.</w:t>
      </w:r>
      <w:r>
        <w:rPr>
          <w:b/>
          <w:bCs/>
          <w:color w:val="auto"/>
          <w:sz w:val="24"/>
          <w:szCs w:val="24"/>
          <w:highlight w:val="none"/>
        </w:rPr>
        <w:t>2</w:t>
      </w:r>
      <w:r>
        <w:rPr>
          <w:rFonts w:hint="eastAsia"/>
          <w:b/>
          <w:bCs/>
          <w:color w:val="auto"/>
          <w:sz w:val="24"/>
          <w:szCs w:val="24"/>
          <w:highlight w:val="none"/>
        </w:rPr>
        <w:t>施工安全措施</w:t>
      </w:r>
    </w:p>
    <w:p>
      <w:pPr>
        <w:pStyle w:val="2"/>
        <w:ind w:firstLine="482"/>
        <w:jc w:val="both"/>
        <w:rPr>
          <w:color w:val="auto"/>
          <w:highlight w:val="none"/>
        </w:rPr>
      </w:pPr>
      <w:r>
        <w:rPr>
          <w:rFonts w:hint="eastAsia"/>
          <w:color w:val="auto"/>
          <w:highlight w:val="none"/>
        </w:rPr>
        <w:t>本技术条款增加3.2.20条内容：</w:t>
      </w:r>
    </w:p>
    <w:p>
      <w:pPr>
        <w:spacing w:line="360" w:lineRule="auto"/>
        <w:outlineLvl w:val="2"/>
        <w:rPr>
          <w:color w:val="auto"/>
          <w:sz w:val="24"/>
          <w:szCs w:val="24"/>
          <w:highlight w:val="none"/>
        </w:rPr>
      </w:pPr>
      <w:r>
        <w:rPr>
          <w:color w:val="auto"/>
          <w:sz w:val="24"/>
          <w:szCs w:val="24"/>
          <w:highlight w:val="none"/>
        </w:rPr>
        <w:t>3</w:t>
      </w:r>
      <w:r>
        <w:rPr>
          <w:rFonts w:hint="eastAsia"/>
          <w:color w:val="auto"/>
          <w:sz w:val="24"/>
          <w:szCs w:val="24"/>
          <w:highlight w:val="none"/>
        </w:rPr>
        <w:t>.</w:t>
      </w:r>
      <w:r>
        <w:rPr>
          <w:color w:val="auto"/>
          <w:sz w:val="24"/>
          <w:szCs w:val="24"/>
          <w:highlight w:val="none"/>
        </w:rPr>
        <w:t>2</w:t>
      </w:r>
      <w:r>
        <w:rPr>
          <w:rFonts w:hint="eastAsia"/>
          <w:color w:val="auto"/>
          <w:sz w:val="24"/>
          <w:szCs w:val="24"/>
          <w:highlight w:val="none"/>
        </w:rPr>
        <w:t>.20危大工程重点部位及保障措施</w:t>
      </w:r>
    </w:p>
    <w:p>
      <w:pPr>
        <w:widowControl/>
        <w:spacing w:line="560" w:lineRule="exact"/>
        <w:ind w:firstLine="584"/>
        <w:rPr>
          <w:rFonts w:ascii="Times New Roman" w:hAnsi="Times New Roman" w:cs="Times New Roman"/>
          <w:color w:val="auto"/>
          <w:sz w:val="24"/>
          <w:szCs w:val="24"/>
          <w:highlight w:val="none"/>
          <w:lang w:bidi="ar"/>
        </w:rPr>
      </w:pPr>
      <w:r>
        <w:rPr>
          <w:rFonts w:ascii="Times New Roman" w:hAnsi="Times New Roman" w:cs="Times New Roman"/>
          <w:color w:val="auto"/>
          <w:sz w:val="24"/>
          <w:szCs w:val="24"/>
          <w:highlight w:val="none"/>
          <w:lang w:bidi="ar"/>
        </w:rPr>
        <w:t>根据本工程特点，从设计角度考虑施工过程中的安全风险，施工过程中危大工程重点部位及保障措施建议见下表所示。</w:t>
      </w:r>
    </w:p>
    <w:p>
      <w:pPr>
        <w:widowControl/>
        <w:adjustRightInd w:val="0"/>
        <w:spacing w:line="360" w:lineRule="auto"/>
        <w:ind w:firstLine="480" w:firstLineChars="200"/>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危大工程重点部位及保障措施建议</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1204"/>
        <w:gridCol w:w="1431"/>
        <w:gridCol w:w="1940"/>
        <w:gridCol w:w="4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序号</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危大工程类别</w:t>
            </w:r>
          </w:p>
        </w:tc>
        <w:tc>
          <w:tcPr>
            <w:tcW w:w="1431"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需编制专项施工方案</w:t>
            </w:r>
          </w:p>
        </w:tc>
        <w:tc>
          <w:tcPr>
            <w:tcW w:w="1940"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专项施工内容</w:t>
            </w:r>
          </w:p>
        </w:tc>
        <w:tc>
          <w:tcPr>
            <w:tcW w:w="4222"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建议保障措施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模板工程及支撑体系</w:t>
            </w:r>
          </w:p>
        </w:tc>
        <w:tc>
          <w:tcPr>
            <w:tcW w:w="1431" w:type="dxa"/>
            <w:vAlign w:val="center"/>
          </w:tcPr>
          <w:p>
            <w:pPr>
              <w:widowControl/>
              <w:tabs>
                <w:tab w:val="left" w:pos="312"/>
              </w:tabs>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母线洞混凝土脚手架专项施工方案</w:t>
            </w:r>
          </w:p>
        </w:tc>
        <w:tc>
          <w:tcPr>
            <w:tcW w:w="1940" w:type="dxa"/>
            <w:vAlign w:val="center"/>
          </w:tcPr>
          <w:p>
            <w:pPr>
              <w:widowControl/>
              <w:tabs>
                <w:tab w:val="left" w:pos="312"/>
              </w:tabs>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母线洞模板支撑体系（</w:t>
            </w:r>
            <w:r>
              <w:rPr>
                <w:rFonts w:ascii="Times New Roman" w:hAnsi="Times New Roman" w:cs="Times New Roman"/>
                <w:color w:val="auto"/>
                <w:sz w:val="24"/>
                <w:szCs w:val="24"/>
                <w:highlight w:val="none"/>
              </w:rPr>
              <w:t>5m以上）、</w:t>
            </w:r>
            <w:r>
              <w:rPr>
                <w:rFonts w:hint="eastAsia" w:ascii="Times New Roman" w:hAnsi="Times New Roman" w:cs="Times New Roman"/>
                <w:color w:val="auto"/>
                <w:sz w:val="24"/>
                <w:szCs w:val="24"/>
                <w:highlight w:val="none"/>
              </w:rPr>
              <w:t>母线洞模板支撑体系（</w:t>
            </w:r>
            <w:r>
              <w:rPr>
                <w:rFonts w:ascii="Times New Roman" w:hAnsi="Times New Roman" w:cs="Times New Roman"/>
                <w:color w:val="auto"/>
                <w:sz w:val="24"/>
                <w:szCs w:val="24"/>
                <w:highlight w:val="none"/>
              </w:rPr>
              <w:t>8m以上）</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采用起重机械进行安装的工程</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吊装专项施工方案</w:t>
            </w:r>
          </w:p>
        </w:tc>
        <w:tc>
          <w:tcPr>
            <w:tcW w:w="1940" w:type="dxa"/>
            <w:vAlign w:val="center"/>
          </w:tcPr>
          <w:p>
            <w:pPr>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尾水管吊装、座环、蜗壳吊装、定子吊装、转子吊装</w:t>
            </w:r>
          </w:p>
          <w:p>
            <w:pPr>
              <w:widowControl/>
              <w:adjustRightInd w:val="0"/>
              <w:spacing w:line="360" w:lineRule="auto"/>
              <w:rPr>
                <w:rFonts w:ascii="Times New Roman" w:hAnsi="Times New Roman" w:cs="Times New Roman"/>
                <w:color w:val="auto"/>
                <w:sz w:val="24"/>
                <w:szCs w:val="24"/>
                <w:highlight w:val="none"/>
              </w:rPr>
            </w:pP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由专业有经验的施工人员实施，加强部件的事前检查，如强岗前培训和交底，加强作业人员的安全防护措施，严格规范作业。作业区域下方应严格管控，并设置安全标示，禁止无关人员随意进入逗留。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起重机械安装和拆卸工程</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桥机安装专项施工方案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厂房</w:t>
            </w:r>
            <w:r>
              <w:rPr>
                <w:rFonts w:ascii="Times New Roman" w:hAnsi="Times New Roman" w:cs="Times New Roman"/>
                <w:color w:val="auto"/>
                <w:sz w:val="24"/>
                <w:szCs w:val="24"/>
                <w:highlight w:val="none"/>
              </w:rPr>
              <w:t>桥机安装、</w:t>
            </w:r>
            <w:r>
              <w:rPr>
                <w:rFonts w:hint="eastAsia" w:ascii="Times New Roman" w:hAnsi="Times New Roman" w:cs="Times New Roman"/>
                <w:color w:val="auto"/>
                <w:sz w:val="24"/>
                <w:szCs w:val="24"/>
                <w:highlight w:val="none"/>
              </w:rPr>
              <w:t>尾闸室</w:t>
            </w:r>
            <w:r>
              <w:rPr>
                <w:rFonts w:ascii="Times New Roman" w:hAnsi="Times New Roman" w:cs="Times New Roman"/>
                <w:color w:val="auto"/>
                <w:sz w:val="24"/>
                <w:szCs w:val="24"/>
                <w:highlight w:val="none"/>
              </w:rPr>
              <w:t>桥机安装、</w:t>
            </w:r>
            <w:r>
              <w:rPr>
                <w:rFonts w:hint="eastAsia" w:ascii="Times New Roman" w:hAnsi="Times New Roman" w:cs="Times New Roman"/>
                <w:color w:val="auto"/>
                <w:sz w:val="24"/>
                <w:szCs w:val="24"/>
                <w:highlight w:val="none"/>
              </w:rPr>
              <w:t>开关站</w:t>
            </w:r>
            <w:r>
              <w:rPr>
                <w:rFonts w:ascii="Times New Roman" w:hAnsi="Times New Roman" w:cs="Times New Roman"/>
                <w:color w:val="auto"/>
                <w:sz w:val="24"/>
                <w:szCs w:val="24"/>
                <w:highlight w:val="none"/>
              </w:rPr>
              <w:t>GIS室桥机安装、</w:t>
            </w:r>
            <w:r>
              <w:rPr>
                <w:rFonts w:hint="eastAsia" w:ascii="Times New Roman" w:hAnsi="Times New Roman" w:cs="Times New Roman"/>
                <w:color w:val="auto"/>
                <w:sz w:val="24"/>
                <w:szCs w:val="24"/>
                <w:highlight w:val="none"/>
              </w:rPr>
              <w:t>机电设备仓库</w:t>
            </w:r>
            <w:r>
              <w:rPr>
                <w:rFonts w:ascii="Times New Roman" w:hAnsi="Times New Roman" w:cs="Times New Roman"/>
                <w:color w:val="auto"/>
                <w:sz w:val="24"/>
                <w:szCs w:val="24"/>
                <w:highlight w:val="none"/>
              </w:rPr>
              <w:t>桥机安装</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由专业有经验的施工人员实施，加强部件的事前检查，如强岗前培训和交底，加强作业人员的安全防护措施，严格规范作业。作业区域下方应严格管控，并设置安全标示，禁止无关人员随意进入逗留。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模板工程及支撑体系</w:t>
            </w:r>
            <w:r>
              <w:rPr>
                <w:rFonts w:ascii="Times New Roman" w:hAnsi="Times New Roman" w:cs="Times New Roman"/>
                <w:color w:val="auto"/>
                <w:sz w:val="24"/>
                <w:szCs w:val="24"/>
                <w:highlight w:val="none"/>
              </w:rPr>
              <w:t>工程</w:t>
            </w:r>
          </w:p>
        </w:tc>
        <w:tc>
          <w:tcPr>
            <w:tcW w:w="1431" w:type="dxa"/>
            <w:vAlign w:val="center"/>
          </w:tcPr>
          <w:p>
            <w:pPr>
              <w:widowControl/>
              <w:tabs>
                <w:tab w:val="left" w:pos="312"/>
              </w:tabs>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混凝土脚手架专项施工方案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主厂房搭设高度</w:t>
            </w:r>
            <w:r>
              <w:rPr>
                <w:rFonts w:ascii="Times New Roman" w:hAnsi="Times New Roman" w:cs="Times New Roman"/>
                <w:color w:val="auto"/>
                <w:sz w:val="24"/>
                <w:szCs w:val="24"/>
                <w:highlight w:val="none"/>
              </w:rPr>
              <w:t>5m及以上、</w:t>
            </w:r>
            <w:r>
              <w:rPr>
                <w:rFonts w:hint="eastAsia" w:ascii="Times New Roman" w:hAnsi="Times New Roman" w:cs="Times New Roman"/>
                <w:color w:val="auto"/>
                <w:sz w:val="24"/>
                <w:szCs w:val="24"/>
                <w:highlight w:val="none"/>
              </w:rPr>
              <w:t>副厂房搭设高度</w:t>
            </w:r>
            <w:r>
              <w:rPr>
                <w:rFonts w:ascii="Times New Roman" w:hAnsi="Times New Roman" w:cs="Times New Roman"/>
                <w:color w:val="auto"/>
                <w:sz w:val="24"/>
                <w:szCs w:val="24"/>
                <w:highlight w:val="none"/>
              </w:rPr>
              <w:t>5m及以上、</w:t>
            </w:r>
            <w:r>
              <w:rPr>
                <w:rFonts w:hint="eastAsia" w:ascii="Times New Roman" w:hAnsi="Times New Roman" w:cs="Times New Roman"/>
                <w:color w:val="auto"/>
                <w:sz w:val="24"/>
                <w:szCs w:val="24"/>
                <w:highlight w:val="none"/>
              </w:rPr>
              <w:t>机电仓库搭设高度</w:t>
            </w:r>
            <w:r>
              <w:rPr>
                <w:rFonts w:ascii="Times New Roman" w:hAnsi="Times New Roman" w:cs="Times New Roman"/>
                <w:color w:val="auto"/>
                <w:sz w:val="24"/>
                <w:szCs w:val="24"/>
                <w:highlight w:val="none"/>
              </w:rPr>
              <w:t>5m及以上</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由专业有经验的施工人员实施，加强部件的事前检查，如强岗前培训和交底，加强作业人员的安全防护措施，严格规范作业。作业区域下方应严格管控，并设置安全标示，禁止无关人员随意进入逗留。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5</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有限空间作业</w:t>
            </w:r>
            <w:r>
              <w:rPr>
                <w:rFonts w:ascii="Times New Roman" w:hAnsi="Times New Roman" w:cs="Times New Roman"/>
                <w:color w:val="auto"/>
                <w:sz w:val="24"/>
                <w:szCs w:val="24"/>
                <w:highlight w:val="none"/>
              </w:rPr>
              <w:t>工程</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设备安装专项施工方案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输水系统设备安装、事故油池设备安装、调速器内部设备安装</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钢结构、网架和索膜结构安装工程</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网架安装专项施工方案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临时栈道、网架安装</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由专业有经验的施工人员实施，加强部件的事前检查，如强岗前培训和交底，加强作业人员的安全防护措施，严格规范作业。作业区域下方应严格管控，并设置安全标示，禁止无关人员随意进入逗留。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临时用电工程</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临时用电施工组织设计方案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临时施工用电设备总容量在</w:t>
            </w:r>
            <w:r>
              <w:rPr>
                <w:rFonts w:ascii="Times New Roman" w:hAnsi="Times New Roman" w:cs="Times New Roman"/>
                <w:color w:val="auto"/>
                <w:sz w:val="24"/>
                <w:szCs w:val="24"/>
                <w:highlight w:val="none"/>
              </w:rPr>
              <w:t>50kW以上</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由专业有经验的施工人员实施，加强部件的事前检查，如强岗前培训和交底，加强作业人员的安全防护措施，严格规范作业。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厂用电设备投运带电</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厂用电设备投运专项施工方案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厂用电设备投运带电</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加强部件的事前检查，如强岗前培训和交底，加强作业人员的安全防护措施，严格规范作业。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高压试验</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高压试验内容及要求在各电气设备安装方案中体现</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电气设备高压试验</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加强部件的事前检查，如强岗前培训和交底，加强作业人员的安全防护措施，严格规范作业。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w:t>
            </w:r>
            <w:r>
              <w:rPr>
                <w:rFonts w:ascii="Times New Roman" w:hAnsi="Times New Roman" w:cs="Times New Roman"/>
                <w:color w:val="auto"/>
                <w:sz w:val="24"/>
                <w:szCs w:val="24"/>
                <w:highlight w:val="none"/>
              </w:rPr>
              <w:t>0</w:t>
            </w:r>
          </w:p>
        </w:tc>
        <w:tc>
          <w:tcPr>
            <w:tcW w:w="1204" w:type="dxa"/>
            <w:vAlign w:val="center"/>
          </w:tcPr>
          <w:p>
            <w:pPr>
              <w:widowControl/>
              <w:adjustRightInd w:val="0"/>
              <w:spacing w:line="360" w:lineRule="auto"/>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机组整体试运行试验</w:t>
            </w:r>
          </w:p>
        </w:tc>
        <w:tc>
          <w:tcPr>
            <w:tcW w:w="1431"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机组整体试运行专项施工方案</w:t>
            </w:r>
          </w:p>
        </w:tc>
        <w:tc>
          <w:tcPr>
            <w:tcW w:w="1940" w:type="dxa"/>
            <w:vAlign w:val="center"/>
          </w:tcPr>
          <w:p>
            <w:pPr>
              <w:widowControl/>
              <w:adjustRightInd w:val="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机组整体试运行试验</w:t>
            </w:r>
          </w:p>
        </w:tc>
        <w:tc>
          <w:tcPr>
            <w:tcW w:w="4222" w:type="dxa"/>
            <w:vAlign w:val="center"/>
          </w:tcPr>
          <w:p>
            <w:pPr>
              <w:widowControl/>
              <w:adjustRightInd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加强部件的事前检查，如强岗前培训和交底，加强作业人员的安全防护措施，严格规范作业。</w:t>
            </w:r>
          </w:p>
        </w:tc>
      </w:tr>
    </w:tbl>
    <w:p>
      <w:pPr>
        <w:widowControl/>
        <w:adjustRightInd w:val="0"/>
        <w:spacing w:line="360" w:lineRule="auto"/>
        <w:ind w:firstLine="480" w:firstLineChars="200"/>
        <w:jc w:val="center"/>
        <w:rPr>
          <w:rFonts w:ascii="Times New Roman" w:hAnsi="Times New Roman" w:cs="Times New Roman"/>
          <w:color w:val="auto"/>
          <w:sz w:val="24"/>
          <w:szCs w:val="24"/>
          <w:highlight w:val="none"/>
        </w:rPr>
      </w:pPr>
    </w:p>
    <w:p>
      <w:pPr>
        <w:widowControl/>
        <w:spacing w:line="560" w:lineRule="exact"/>
        <w:ind w:firstLine="584"/>
        <w:rPr>
          <w:rFonts w:ascii="Times New Roman" w:hAnsi="Times New Roman" w:cs="Times New Roman"/>
          <w:color w:val="auto"/>
          <w:sz w:val="24"/>
          <w:szCs w:val="24"/>
          <w:highlight w:val="none"/>
          <w:lang w:bidi="ar"/>
        </w:rPr>
      </w:pPr>
      <w:r>
        <w:rPr>
          <w:rFonts w:ascii="Times New Roman" w:hAnsi="Times New Roman" w:cs="Times New Roman"/>
          <w:color w:val="auto"/>
          <w:sz w:val="24"/>
          <w:szCs w:val="24"/>
          <w:highlight w:val="none"/>
          <w:lang w:bidi="ar"/>
        </w:rPr>
        <w:t>施工单位应严格执行有关文件中关于危大工程的范围、专项施工方案、专家论证、施工监测、现场安全管理及验收等方面的规定，切实加强工程实施过程中危大工程的安全管理，防范生产安全事故的发生。本工程涉及的危险性较大的分部分项工程包括但不限于上表所示内容。</w:t>
      </w:r>
    </w:p>
    <w:p>
      <w:pPr>
        <w:widowControl/>
        <w:spacing w:line="560" w:lineRule="exact"/>
        <w:ind w:firstLine="584"/>
        <w:rPr>
          <w:rFonts w:ascii="Times New Roman" w:hAnsi="Times New Roman" w:cs="Times New Roman"/>
          <w:color w:val="auto"/>
          <w:sz w:val="24"/>
          <w:szCs w:val="24"/>
          <w:highlight w:val="none"/>
          <w:lang w:bidi="ar"/>
        </w:rPr>
      </w:pPr>
      <w:r>
        <w:rPr>
          <w:rFonts w:ascii="Times New Roman" w:hAnsi="Times New Roman" w:cs="Times New Roman"/>
          <w:color w:val="auto"/>
          <w:sz w:val="24"/>
          <w:szCs w:val="24"/>
          <w:highlight w:val="none"/>
          <w:lang w:bidi="ar"/>
        </w:rPr>
        <w:t>施工单位应当在危大工程施工前组织工程技术人员编制专项施工方案。对于超过一定规模的危大工程，施工单位应当组织召开专家论证会对专项施工方案进行论证，经评审通过后，方可实施。</w:t>
      </w:r>
    </w:p>
    <w:p>
      <w:pPr>
        <w:widowControl/>
        <w:spacing w:line="560" w:lineRule="exact"/>
        <w:ind w:firstLine="584"/>
        <w:rPr>
          <w:rFonts w:ascii="Times New Roman" w:hAnsi="Times New Roman" w:cs="Times New Roman"/>
          <w:color w:val="auto"/>
          <w:sz w:val="24"/>
          <w:szCs w:val="24"/>
          <w:highlight w:val="none"/>
          <w:lang w:bidi="ar"/>
        </w:rPr>
      </w:pPr>
      <w:r>
        <w:rPr>
          <w:rFonts w:ascii="Times New Roman" w:hAnsi="Times New Roman" w:cs="Times New Roman"/>
          <w:color w:val="auto"/>
          <w:sz w:val="24"/>
          <w:szCs w:val="24"/>
          <w:highlight w:val="none"/>
          <w:lang w:bidi="ar"/>
        </w:rPr>
        <w:t>施工单位应在投标文件中补充完善危大工程清单并明确相应的补充安全管理措施。</w:t>
      </w:r>
    </w:p>
    <w:p>
      <w:pPr>
        <w:pStyle w:val="76"/>
        <w:rPr>
          <w:color w:val="auto"/>
          <w:highlight w:val="none"/>
        </w:rPr>
      </w:pPr>
    </w:p>
    <w:p>
      <w:pPr>
        <w:pStyle w:val="76"/>
        <w:spacing w:line="480" w:lineRule="exact"/>
        <w:jc w:val="both"/>
        <w:rPr>
          <w:rFonts w:hint="eastAsia" w:hAnsi="宋体"/>
          <w:color w:val="auto"/>
          <w:highlight w:val="none"/>
          <w:lang w:bidi="ar"/>
        </w:rPr>
      </w:pPr>
    </w:p>
    <w:p>
      <w:pPr>
        <w:rPr>
          <w:color w:val="auto"/>
          <w:highlight w:val="none"/>
        </w:rPr>
      </w:pPr>
      <w:bookmarkStart w:id="87" w:name="_Toc2966"/>
      <w:bookmarkStart w:id="88" w:name="_Toc30413"/>
    </w:p>
    <w:p>
      <w:pPr>
        <w:rPr>
          <w:color w:val="auto"/>
          <w:highlight w:val="none"/>
        </w:rPr>
        <w:sectPr>
          <w:footerReference r:id="rId11" w:type="default"/>
          <w:pgSz w:w="11906" w:h="16838"/>
          <w:pgMar w:top="1440" w:right="1800" w:bottom="1440" w:left="1800" w:header="851" w:footer="992" w:gutter="0"/>
          <w:cols w:space="720" w:num="1"/>
          <w:docGrid w:type="lines" w:linePitch="312" w:charSpace="0"/>
        </w:sectPr>
      </w:pPr>
    </w:p>
    <w:p>
      <w:pPr>
        <w:pStyle w:val="50"/>
        <w:rPr>
          <w:color w:val="auto"/>
          <w:highlight w:val="none"/>
        </w:rPr>
      </w:pPr>
      <w:r>
        <w:rPr>
          <w:rFonts w:hint="eastAsia"/>
          <w:color w:val="auto"/>
          <w:highlight w:val="none"/>
        </w:rPr>
        <w:t>第4章</w:t>
      </w:r>
      <w:r>
        <w:rPr>
          <w:color w:val="auto"/>
          <w:highlight w:val="none"/>
        </w:rPr>
        <w:t xml:space="preserve">  </w:t>
      </w:r>
      <w:r>
        <w:rPr>
          <w:rFonts w:hint="eastAsia"/>
          <w:color w:val="auto"/>
          <w:highlight w:val="none"/>
        </w:rPr>
        <w:t>环境保护</w:t>
      </w:r>
      <w:bookmarkEnd w:id="87"/>
      <w:bookmarkEnd w:id="88"/>
    </w:p>
    <w:p>
      <w:pPr>
        <w:spacing w:line="360" w:lineRule="auto"/>
        <w:outlineLvl w:val="1"/>
        <w:rPr>
          <w:b/>
          <w:bCs/>
          <w:color w:val="auto"/>
          <w:sz w:val="24"/>
          <w:szCs w:val="24"/>
          <w:highlight w:val="none"/>
        </w:rPr>
      </w:pPr>
      <w:bookmarkStart w:id="89" w:name="_Toc356523840"/>
      <w:bookmarkStart w:id="90" w:name="_Toc356522469"/>
      <w:bookmarkStart w:id="91" w:name="_Toc356523155"/>
      <w:r>
        <w:rPr>
          <w:rFonts w:hint="eastAsia"/>
          <w:b/>
          <w:bCs/>
          <w:color w:val="auto"/>
          <w:sz w:val="24"/>
          <w:szCs w:val="24"/>
          <w:highlight w:val="none"/>
        </w:rPr>
        <w:t>4.1一般规定</w:t>
      </w:r>
    </w:p>
    <w:p>
      <w:pPr>
        <w:pStyle w:val="2"/>
        <w:ind w:firstLine="482"/>
        <w:jc w:val="both"/>
        <w:rPr>
          <w:color w:val="auto"/>
          <w:highlight w:val="none"/>
        </w:rPr>
      </w:pPr>
      <w:r>
        <w:rPr>
          <w:rFonts w:hint="eastAsia"/>
          <w:color w:val="auto"/>
          <w:highlight w:val="none"/>
        </w:rPr>
        <w:t>本技术条款4.1.2(4)条内容修改为：</w:t>
      </w:r>
    </w:p>
    <w:p>
      <w:pPr>
        <w:spacing w:line="360" w:lineRule="auto"/>
        <w:outlineLvl w:val="2"/>
        <w:rPr>
          <w:color w:val="auto"/>
          <w:sz w:val="24"/>
          <w:szCs w:val="24"/>
          <w:highlight w:val="none"/>
        </w:rPr>
      </w:pPr>
      <w:r>
        <w:rPr>
          <w:rFonts w:hint="eastAsia"/>
          <w:color w:val="auto"/>
          <w:sz w:val="24"/>
          <w:szCs w:val="24"/>
          <w:highlight w:val="none"/>
        </w:rPr>
        <w:t>4.1.2承包人责任</w:t>
      </w:r>
    </w:p>
    <w:p>
      <w:pPr>
        <w:spacing w:line="360" w:lineRule="auto"/>
        <w:ind w:firstLine="480" w:firstLineChars="200"/>
        <w:rPr>
          <w:color w:val="auto"/>
          <w:sz w:val="24"/>
          <w:szCs w:val="24"/>
          <w:highlight w:val="none"/>
        </w:rPr>
      </w:pPr>
      <w:r>
        <w:rPr>
          <w:rFonts w:hint="eastAsia"/>
          <w:color w:val="auto"/>
          <w:sz w:val="24"/>
          <w:szCs w:val="24"/>
          <w:highlight w:val="none"/>
        </w:rPr>
        <w:t>(4) 由于承包人的疏忽、失职或故意行为违反生态、环境保护，违反地方政策法律、法规和规章以及本技术条款的规定，造成生态、环境破坏以及其他损毁，造成经济损失或处罚的，无论上述损失或处罚是针对承包人自身还是发包人的，相关费用均由承包人负责，赔偿由此造成的一切经济损失，并由承包人负责消除由此造成的相关不良社会影响。</w:t>
      </w:r>
    </w:p>
    <w:p>
      <w:pPr>
        <w:pStyle w:val="2"/>
        <w:ind w:firstLine="482"/>
        <w:jc w:val="both"/>
        <w:rPr>
          <w:color w:val="auto"/>
          <w:highlight w:val="none"/>
        </w:rPr>
      </w:pPr>
      <w:r>
        <w:rPr>
          <w:rFonts w:hint="eastAsia"/>
          <w:color w:val="auto"/>
          <w:highlight w:val="none"/>
        </w:rPr>
        <w:t>本技术条款4.1.4（2）条内容修改为：</w:t>
      </w:r>
    </w:p>
    <w:p>
      <w:pPr>
        <w:spacing w:line="360" w:lineRule="auto"/>
        <w:outlineLvl w:val="2"/>
        <w:rPr>
          <w:color w:val="auto"/>
          <w:sz w:val="24"/>
          <w:szCs w:val="24"/>
          <w:highlight w:val="none"/>
        </w:rPr>
      </w:pPr>
      <w:r>
        <w:rPr>
          <w:rFonts w:hint="eastAsia"/>
          <w:color w:val="auto"/>
          <w:sz w:val="24"/>
          <w:szCs w:val="24"/>
          <w:highlight w:val="none"/>
        </w:rPr>
        <w:t>4.1.4引用标准</w:t>
      </w:r>
    </w:p>
    <w:p>
      <w:pPr>
        <w:spacing w:line="360" w:lineRule="auto"/>
        <w:ind w:firstLine="480" w:firstLineChars="200"/>
        <w:rPr>
          <w:color w:val="auto"/>
          <w:sz w:val="24"/>
          <w:szCs w:val="24"/>
          <w:highlight w:val="none"/>
        </w:rPr>
      </w:pPr>
      <w:r>
        <w:rPr>
          <w:rFonts w:hint="eastAsia"/>
          <w:color w:val="auto"/>
          <w:sz w:val="24"/>
          <w:szCs w:val="24"/>
          <w:highlight w:val="none"/>
        </w:rPr>
        <w:t>（2）引用标准</w:t>
      </w:r>
    </w:p>
    <w:p>
      <w:pPr>
        <w:spacing w:line="360" w:lineRule="auto"/>
        <w:ind w:firstLine="480" w:firstLineChars="200"/>
        <w:rPr>
          <w:color w:val="auto"/>
          <w:sz w:val="24"/>
          <w:szCs w:val="24"/>
          <w:highlight w:val="none"/>
        </w:rPr>
      </w:pPr>
      <w:r>
        <w:rPr>
          <w:rFonts w:hint="eastAsia"/>
          <w:color w:val="auto"/>
          <w:sz w:val="24"/>
          <w:szCs w:val="24"/>
          <w:highlight w:val="none"/>
        </w:rPr>
        <w:t>本条删除以下规范：</w:t>
      </w:r>
    </w:p>
    <w:p>
      <w:pPr>
        <w:spacing w:line="360" w:lineRule="auto"/>
        <w:ind w:firstLine="480" w:firstLineChars="200"/>
        <w:rPr>
          <w:color w:val="auto"/>
          <w:sz w:val="24"/>
          <w:szCs w:val="24"/>
          <w:highlight w:val="none"/>
        </w:rPr>
      </w:pPr>
      <w:r>
        <w:rPr>
          <w:rFonts w:hint="eastAsia"/>
          <w:color w:val="auto"/>
          <w:sz w:val="24"/>
          <w:szCs w:val="24"/>
          <w:highlight w:val="none"/>
        </w:rPr>
        <w:t>4）《污水综合排放标准》GB8978-1996；</w:t>
      </w:r>
    </w:p>
    <w:p>
      <w:pPr>
        <w:spacing w:line="360" w:lineRule="auto"/>
        <w:ind w:firstLine="480" w:firstLineChars="200"/>
        <w:rPr>
          <w:color w:val="auto"/>
          <w:sz w:val="24"/>
          <w:szCs w:val="24"/>
          <w:highlight w:val="none"/>
        </w:rPr>
      </w:pPr>
      <w:r>
        <w:rPr>
          <w:rFonts w:hint="eastAsia"/>
          <w:color w:val="auto"/>
          <w:sz w:val="24"/>
          <w:szCs w:val="24"/>
          <w:highlight w:val="none"/>
        </w:rPr>
        <w:t>5）《大气污染物综合排放标准》GB16297-1996；</w:t>
      </w:r>
    </w:p>
    <w:p>
      <w:pPr>
        <w:spacing w:line="360" w:lineRule="auto"/>
        <w:ind w:firstLine="480" w:firstLineChars="200"/>
        <w:rPr>
          <w:color w:val="auto"/>
          <w:sz w:val="24"/>
          <w:szCs w:val="24"/>
          <w:highlight w:val="none"/>
        </w:rPr>
      </w:pPr>
      <w:r>
        <w:rPr>
          <w:rFonts w:hint="eastAsia"/>
          <w:color w:val="auto"/>
          <w:sz w:val="24"/>
          <w:szCs w:val="24"/>
          <w:highlight w:val="none"/>
        </w:rPr>
        <w:t>7）《生活垃圾填埋场污染控制标准》GB16889-2008；</w:t>
      </w:r>
    </w:p>
    <w:p>
      <w:pPr>
        <w:spacing w:line="360" w:lineRule="auto"/>
        <w:ind w:firstLine="480" w:firstLineChars="200"/>
        <w:rPr>
          <w:color w:val="auto"/>
          <w:sz w:val="24"/>
          <w:szCs w:val="24"/>
          <w:highlight w:val="none"/>
        </w:rPr>
      </w:pPr>
      <w:r>
        <w:rPr>
          <w:rFonts w:hint="eastAsia"/>
          <w:color w:val="auto"/>
          <w:sz w:val="24"/>
          <w:szCs w:val="24"/>
          <w:highlight w:val="none"/>
        </w:rPr>
        <w:t>12）《生活垃圾卫生填埋处理技术规范》GB 50869-2013；</w:t>
      </w:r>
    </w:p>
    <w:p>
      <w:pPr>
        <w:spacing w:line="360" w:lineRule="auto"/>
        <w:outlineLvl w:val="1"/>
        <w:rPr>
          <w:b/>
          <w:bCs/>
          <w:color w:val="auto"/>
          <w:sz w:val="24"/>
          <w:szCs w:val="24"/>
          <w:highlight w:val="none"/>
        </w:rPr>
      </w:pPr>
      <w:r>
        <w:rPr>
          <w:rFonts w:hint="eastAsia"/>
          <w:b/>
          <w:bCs/>
          <w:color w:val="auto"/>
          <w:sz w:val="24"/>
          <w:szCs w:val="24"/>
          <w:highlight w:val="none"/>
        </w:rPr>
        <w:t>4.2环境保护</w:t>
      </w:r>
    </w:p>
    <w:p>
      <w:pPr>
        <w:pStyle w:val="2"/>
        <w:ind w:firstLine="482"/>
        <w:jc w:val="both"/>
        <w:rPr>
          <w:color w:val="auto"/>
          <w:highlight w:val="none"/>
        </w:rPr>
      </w:pPr>
      <w:r>
        <w:rPr>
          <w:rFonts w:hint="eastAsia"/>
          <w:color w:val="auto"/>
          <w:highlight w:val="none"/>
        </w:rPr>
        <w:t>本技术条款4.2.1节内容修改为：</w:t>
      </w:r>
    </w:p>
    <w:p>
      <w:pPr>
        <w:pStyle w:val="76"/>
        <w:rPr>
          <w:color w:val="auto"/>
          <w:highlight w:val="none"/>
        </w:rPr>
      </w:pPr>
      <w:r>
        <w:rPr>
          <w:color w:val="auto"/>
          <w:highlight w:val="none"/>
        </w:rPr>
        <w:t>(1)</w:t>
      </w:r>
      <w:r>
        <w:rPr>
          <w:rFonts w:hint="eastAsia"/>
          <w:color w:val="auto"/>
          <w:highlight w:val="none"/>
        </w:rPr>
        <w:t xml:space="preserve"> 广西灌阳抽水蓄能电站位于桂林市灌阳县西北的新圩镇境内，上水库位于灌阳县新圩镇大龙村流浦源林场管区小江沟，下水库位于上水库北侧2.8km的灌阳县新圩镇合力村辖区内流溪源沟，工程所在流域未进行水环境功能区划，工程评价范围内</w:t>
      </w:r>
      <w:bookmarkStart w:id="92" w:name="_Hlk182322006"/>
      <w:r>
        <w:rPr>
          <w:rFonts w:hint="eastAsia"/>
          <w:color w:val="auto"/>
          <w:highlight w:val="none"/>
        </w:rPr>
        <w:t>小江沟、流溪源江河</w:t>
      </w:r>
      <w:bookmarkEnd w:id="92"/>
      <w:r>
        <w:rPr>
          <w:rFonts w:hint="eastAsia"/>
          <w:color w:val="auto"/>
          <w:highlight w:val="none"/>
        </w:rPr>
        <w:t>段水质执行《地表水环境质量标准》(GB3838-2002)Ⅲ类标准，生产废水和生活污水均不得直接排放进入小江沟、流溪源江河。</w:t>
      </w:r>
    </w:p>
    <w:p>
      <w:pPr>
        <w:pStyle w:val="76"/>
        <w:rPr>
          <w:color w:val="auto"/>
          <w:highlight w:val="none"/>
        </w:rPr>
      </w:pPr>
      <w:r>
        <w:rPr>
          <w:color w:val="auto"/>
          <w:highlight w:val="none"/>
        </w:rPr>
        <w:t xml:space="preserve"> (2)</w:t>
      </w:r>
      <w:r>
        <w:rPr>
          <w:rFonts w:hint="eastAsia"/>
          <w:color w:val="auto"/>
          <w:highlight w:val="none"/>
        </w:rPr>
        <w:t>本标段承包人需负责本标段生活区的生活污水进行处理，本标施工营地生活污水48m</w:t>
      </w:r>
      <w:r>
        <w:rPr>
          <w:rFonts w:hint="eastAsia"/>
          <w:color w:val="auto"/>
          <w:highlight w:val="none"/>
          <w:vertAlign w:val="superscript"/>
        </w:rPr>
        <w:t>3</w:t>
      </w:r>
      <w:r>
        <w:rPr>
          <w:rFonts w:hint="eastAsia"/>
          <w:color w:val="auto"/>
          <w:highlight w:val="none"/>
        </w:rPr>
        <w:t>/d。承包人应根据各生活区现场情况，配套设置成套污水处理设备，执行《污水综合排放标准》(GB8978-1996)表4中一级排放标准要求后，排放至上下水库所在支流Ⅲ类水体。污泥应进行无害化处理。承包人负责成套污水处理设备建设、运行维护、拆除和卫生清理等工作。</w:t>
      </w:r>
    </w:p>
    <w:p>
      <w:pPr>
        <w:pStyle w:val="76"/>
        <w:rPr>
          <w:color w:val="auto"/>
          <w:highlight w:val="none"/>
        </w:rPr>
      </w:pPr>
      <w:r>
        <w:rPr>
          <w:color w:val="auto"/>
          <w:highlight w:val="none"/>
        </w:rPr>
        <w:t xml:space="preserve">(3) </w:t>
      </w:r>
      <w:r>
        <w:rPr>
          <w:rFonts w:hint="eastAsia"/>
          <w:color w:val="auto"/>
          <w:highlight w:val="none"/>
        </w:rPr>
        <w:t>除施工工区及生活营地外，承包人应在本标段施工人员集中的作业区应设置满足高峰期施工人员使用的移动厕所。承包人负责移动厕所的购置、安装、运行维护、定期清淘、废物处置。移动厕所废物处置方案必须经监理人审批。</w:t>
      </w:r>
    </w:p>
    <w:p>
      <w:pPr>
        <w:pStyle w:val="132"/>
        <w:rPr>
          <w:color w:val="auto"/>
          <w:highlight w:val="none"/>
        </w:rPr>
      </w:pPr>
      <w:bookmarkStart w:id="93" w:name="_Toc20392"/>
      <w:r>
        <w:rPr>
          <w:color w:val="auto"/>
          <w:highlight w:val="none"/>
        </w:rPr>
        <w:t xml:space="preserve">4.2.2  </w:t>
      </w:r>
      <w:r>
        <w:rPr>
          <w:rFonts w:hAnsi="宋体"/>
          <w:color w:val="auto"/>
          <w:highlight w:val="none"/>
        </w:rPr>
        <w:t>生产废水处理</w:t>
      </w:r>
      <w:bookmarkEnd w:id="89"/>
      <w:bookmarkEnd w:id="90"/>
      <w:bookmarkEnd w:id="91"/>
      <w:bookmarkEnd w:id="93"/>
    </w:p>
    <w:p>
      <w:pPr>
        <w:pStyle w:val="76"/>
        <w:adjustRightInd w:val="0"/>
        <w:spacing w:line="480" w:lineRule="exact"/>
        <w:ind w:firstLine="480" w:firstLineChars="200"/>
        <w:rPr>
          <w:color w:val="auto"/>
          <w:highlight w:val="none"/>
        </w:rPr>
      </w:pPr>
      <w:r>
        <w:rPr>
          <w:color w:val="auto"/>
          <w:highlight w:val="none"/>
        </w:rPr>
        <w:t xml:space="preserve">(3) </w:t>
      </w:r>
      <w:r>
        <w:rPr>
          <w:rFonts w:hint="eastAsia"/>
          <w:color w:val="auto"/>
          <w:highlight w:val="none"/>
        </w:rPr>
        <w:t>辅助生产系统的废水处理</w:t>
      </w:r>
    </w:p>
    <w:p>
      <w:pPr>
        <w:pStyle w:val="76"/>
        <w:overflowPunct w:val="0"/>
        <w:spacing w:line="480" w:lineRule="exact"/>
        <w:rPr>
          <w:color w:val="auto"/>
          <w:highlight w:val="none"/>
        </w:rPr>
      </w:pPr>
      <w:r>
        <w:rPr>
          <w:rFonts w:hint="eastAsia"/>
          <w:color w:val="auto"/>
          <w:highlight w:val="none"/>
        </w:rPr>
        <w:t>本技术条款4.2.2节第(3)点修改为：</w:t>
      </w:r>
    </w:p>
    <w:p>
      <w:pPr>
        <w:pStyle w:val="76"/>
        <w:adjustRightInd w:val="0"/>
        <w:spacing w:line="480" w:lineRule="exact"/>
        <w:ind w:firstLine="480" w:firstLineChars="200"/>
        <w:rPr>
          <w:color w:val="auto"/>
          <w:spacing w:val="-4"/>
          <w:highlight w:val="none"/>
        </w:rPr>
      </w:pPr>
      <w:r>
        <w:rPr>
          <w:color w:val="auto"/>
          <w:highlight w:val="none"/>
        </w:rPr>
        <w:t xml:space="preserve">1) </w:t>
      </w:r>
      <w:r>
        <w:rPr>
          <w:rFonts w:hint="eastAsia"/>
          <w:color w:val="auto"/>
          <w:highlight w:val="none"/>
        </w:rPr>
        <w:t>承包人应负责混凝土生产等废水处理系统的设计、施工、运行和维护。包括维护废水处理系统的正常运行。混凝土系统每天冲洗3次，每次冲洗水量约6m</w:t>
      </w:r>
      <w:r>
        <w:rPr>
          <w:rFonts w:hint="eastAsia"/>
          <w:color w:val="auto"/>
          <w:highlight w:val="none"/>
          <w:vertAlign w:val="superscript"/>
        </w:rPr>
        <w:t>3</w:t>
      </w:r>
      <w:r>
        <w:rPr>
          <w:rFonts w:hint="eastAsia"/>
          <w:color w:val="auto"/>
          <w:highlight w:val="none"/>
        </w:rPr>
        <w:t>，高峰冲洗废水量为18m</w:t>
      </w:r>
      <w:r>
        <w:rPr>
          <w:rFonts w:hint="eastAsia"/>
          <w:color w:val="auto"/>
          <w:highlight w:val="none"/>
          <w:vertAlign w:val="superscript"/>
        </w:rPr>
        <w:t>3</w:t>
      </w:r>
      <w:r>
        <w:rPr>
          <w:rFonts w:hint="eastAsia"/>
          <w:color w:val="auto"/>
          <w:highlight w:val="none"/>
        </w:rPr>
        <w:t>/d。混凝土系统冲洗废水、洞室排水采用3级沉淀池处理，废水经处理后尽可能回用，回用于混凝土拌合系统的水质执行</w:t>
      </w:r>
      <w:r>
        <w:rPr>
          <w:rFonts w:hint="eastAsia"/>
          <w:color w:val="auto"/>
          <w:szCs w:val="21"/>
          <w:highlight w:val="none"/>
        </w:rPr>
        <w:t>《水电工程混凝土生产系统设计规范》（NB/T</w:t>
      </w:r>
      <w:r>
        <w:rPr>
          <w:color w:val="auto"/>
          <w:szCs w:val="21"/>
          <w:highlight w:val="none"/>
        </w:rPr>
        <w:t xml:space="preserve"> </w:t>
      </w:r>
      <w:r>
        <w:rPr>
          <w:rFonts w:hint="eastAsia"/>
          <w:color w:val="auto"/>
          <w:szCs w:val="21"/>
          <w:highlight w:val="none"/>
        </w:rPr>
        <w:t>35005-2021）混凝土拌合系统用水水质标准；回用于施工场地洒水降尘水质执行</w:t>
      </w:r>
      <w:r>
        <w:rPr>
          <w:rFonts w:hint="eastAsia"/>
          <w:color w:val="auto"/>
          <w:highlight w:val="none"/>
        </w:rPr>
        <w:t>《城市污水再生利用</w:t>
      </w:r>
      <w:r>
        <w:rPr>
          <w:color w:val="auto"/>
          <w:highlight w:val="none"/>
        </w:rPr>
        <w:t xml:space="preserve"> </w:t>
      </w:r>
      <w:r>
        <w:rPr>
          <w:rFonts w:hint="eastAsia"/>
          <w:color w:val="auto"/>
          <w:highlight w:val="none"/>
        </w:rPr>
        <w:t>城市杂用水水质》</w:t>
      </w:r>
      <w:r>
        <w:rPr>
          <w:rFonts w:hint="eastAsia"/>
          <w:color w:val="auto"/>
          <w:spacing w:val="-4"/>
          <w:highlight w:val="none"/>
        </w:rPr>
        <w:t>(GB/T18920-2020)，即BOD5≤10mg/L，氨氮≤8mg/L，阴离子表面活性剂≤0.5mg/L，浊度≤10mg/</w:t>
      </w:r>
      <w:r>
        <w:rPr>
          <w:color w:val="auto"/>
          <w:spacing w:val="-4"/>
          <w:highlight w:val="none"/>
        </w:rPr>
        <w:t xml:space="preserve"> </w:t>
      </w:r>
      <w:r>
        <w:rPr>
          <w:rFonts w:hint="eastAsia"/>
          <w:color w:val="auto"/>
          <w:spacing w:val="-4"/>
          <w:highlight w:val="none"/>
        </w:rPr>
        <w:t>L</w:t>
      </w:r>
      <w:r>
        <w:rPr>
          <w:rFonts w:hint="eastAsia"/>
          <w:color w:val="auto"/>
          <w:szCs w:val="21"/>
          <w:highlight w:val="none"/>
        </w:rPr>
        <w:t>。</w:t>
      </w:r>
    </w:p>
    <w:p>
      <w:pPr>
        <w:pStyle w:val="76"/>
        <w:adjustRightInd w:val="0"/>
        <w:spacing w:line="480" w:lineRule="exact"/>
        <w:ind w:firstLine="480" w:firstLineChars="200"/>
        <w:rPr>
          <w:color w:val="auto"/>
          <w:highlight w:val="none"/>
        </w:rPr>
      </w:pPr>
      <w:r>
        <w:rPr>
          <w:color w:val="auto"/>
          <w:highlight w:val="none"/>
        </w:rPr>
        <w:t xml:space="preserve">2) </w:t>
      </w:r>
      <w:r>
        <w:rPr>
          <w:rFonts w:hint="eastAsia"/>
          <w:color w:val="auto"/>
          <w:highlight w:val="none"/>
        </w:rPr>
        <w:t>实行雨污分流，建立完善的废水处理系统，将各生产系统经常性排放的废水统一收集处理。</w:t>
      </w:r>
    </w:p>
    <w:p>
      <w:pPr>
        <w:pStyle w:val="76"/>
        <w:adjustRightInd w:val="0"/>
        <w:spacing w:line="480" w:lineRule="exact"/>
        <w:ind w:firstLine="480" w:firstLineChars="200"/>
        <w:rPr>
          <w:color w:val="auto"/>
          <w:highlight w:val="none"/>
        </w:rPr>
      </w:pPr>
      <w:r>
        <w:rPr>
          <w:color w:val="auto"/>
          <w:highlight w:val="none"/>
        </w:rPr>
        <w:t xml:space="preserve">3) </w:t>
      </w:r>
      <w:r>
        <w:rPr>
          <w:rFonts w:hint="eastAsia"/>
          <w:color w:val="auto"/>
          <w:highlight w:val="none"/>
        </w:rPr>
        <w:t>承包人应设置排水沉淀池，分离或同时采取其它有效措施，防止污染环境。并应防止污水或含有悬浮质的水流污染施工现场和排入河流。</w:t>
      </w:r>
    </w:p>
    <w:p>
      <w:pPr>
        <w:pStyle w:val="76"/>
        <w:adjustRightInd w:val="0"/>
        <w:spacing w:line="480" w:lineRule="exact"/>
        <w:ind w:firstLine="480" w:firstLineChars="200"/>
        <w:rPr>
          <w:color w:val="auto"/>
          <w:highlight w:val="none"/>
        </w:rPr>
      </w:pPr>
      <w:r>
        <w:rPr>
          <w:color w:val="auto"/>
          <w:highlight w:val="none"/>
        </w:rPr>
        <w:t xml:space="preserve">4) </w:t>
      </w:r>
      <w:r>
        <w:rPr>
          <w:rFonts w:hint="eastAsia"/>
          <w:color w:val="auto"/>
          <w:highlight w:val="none"/>
        </w:rPr>
        <w:t>废水处理系统排出的污泥需进行必要的脱水(或沉淀)处理后，运至指定的区域堆存。一旦发现污泥处理不当，承包人必须采取监理人认为必要的措施，将已进入排水系统或排入河道的污泥清除。</w:t>
      </w:r>
    </w:p>
    <w:p>
      <w:pPr>
        <w:pStyle w:val="76"/>
        <w:adjustRightInd w:val="0"/>
        <w:spacing w:line="480" w:lineRule="exact"/>
        <w:ind w:firstLine="480" w:firstLineChars="200"/>
        <w:rPr>
          <w:color w:val="auto"/>
          <w:highlight w:val="none"/>
        </w:rPr>
      </w:pPr>
      <w:r>
        <w:rPr>
          <w:color w:val="auto"/>
          <w:highlight w:val="none"/>
        </w:rPr>
        <w:t xml:space="preserve">(4) </w:t>
      </w:r>
      <w:r>
        <w:rPr>
          <w:rFonts w:hint="eastAsia"/>
          <w:color w:val="auto"/>
          <w:highlight w:val="none"/>
        </w:rPr>
        <w:t>机修及汽修系统废水处理</w:t>
      </w:r>
    </w:p>
    <w:p>
      <w:pPr>
        <w:pStyle w:val="76"/>
        <w:overflowPunct w:val="0"/>
        <w:spacing w:line="480" w:lineRule="exact"/>
        <w:rPr>
          <w:color w:val="auto"/>
          <w:highlight w:val="none"/>
        </w:rPr>
      </w:pPr>
      <w:r>
        <w:rPr>
          <w:rFonts w:hint="eastAsia"/>
          <w:color w:val="auto"/>
          <w:highlight w:val="none"/>
        </w:rPr>
        <w:t>本技术条款4.2.2节第(4)点修改为：</w:t>
      </w:r>
    </w:p>
    <w:p>
      <w:pPr>
        <w:pStyle w:val="76"/>
        <w:adjustRightInd w:val="0"/>
        <w:spacing w:line="480" w:lineRule="exact"/>
        <w:ind w:firstLine="480" w:firstLineChars="200"/>
        <w:rPr>
          <w:color w:val="auto"/>
          <w:highlight w:val="none"/>
        </w:rPr>
      </w:pPr>
      <w:r>
        <w:rPr>
          <w:rFonts w:hint="eastAsia"/>
          <w:color w:val="auto"/>
          <w:highlight w:val="none"/>
        </w:rPr>
        <w:t>本工程修配站规划，含油废水产生量为20m</w:t>
      </w:r>
      <w:r>
        <w:rPr>
          <w:rFonts w:hint="eastAsia"/>
          <w:color w:val="auto"/>
          <w:highlight w:val="none"/>
          <w:vertAlign w:val="superscript"/>
        </w:rPr>
        <w:t>3</w:t>
      </w:r>
      <w:r>
        <w:rPr>
          <w:rFonts w:hint="eastAsia"/>
          <w:color w:val="auto"/>
          <w:highlight w:val="none"/>
        </w:rPr>
        <w:t>/h。含油废水采用隔油池处理。通过在隔油池内设置隔板，污水在小型隔油池内进行油水分离，出水回收利用。隔油池每运行10d进行除油排泥，油泥集中后应交有危废处理能力和资质的单位进行处理。修配系统废水经处理后上清液可以回用于场地冲洗。</w:t>
      </w:r>
    </w:p>
    <w:p>
      <w:pPr>
        <w:pStyle w:val="132"/>
        <w:rPr>
          <w:color w:val="auto"/>
          <w:highlight w:val="none"/>
        </w:rPr>
      </w:pPr>
      <w:bookmarkStart w:id="94" w:name="_Toc356522470"/>
      <w:bookmarkStart w:id="95" w:name="_Toc356523841"/>
      <w:bookmarkStart w:id="96" w:name="_Toc25398"/>
      <w:bookmarkStart w:id="97" w:name="_Toc356523156"/>
      <w:r>
        <w:rPr>
          <w:color w:val="auto"/>
          <w:highlight w:val="none"/>
        </w:rPr>
        <w:t xml:space="preserve">4.2.3  </w:t>
      </w:r>
      <w:r>
        <w:rPr>
          <w:rFonts w:hint="eastAsia"/>
          <w:color w:val="auto"/>
          <w:highlight w:val="none"/>
        </w:rPr>
        <w:t>施工区粉尘和空气污染控制</w:t>
      </w:r>
      <w:bookmarkEnd w:id="94"/>
      <w:bookmarkEnd w:id="95"/>
      <w:bookmarkEnd w:id="96"/>
      <w:bookmarkEnd w:id="97"/>
    </w:p>
    <w:p>
      <w:pPr>
        <w:pStyle w:val="76"/>
        <w:spacing w:line="480" w:lineRule="exact"/>
        <w:rPr>
          <w:color w:val="auto"/>
          <w:highlight w:val="none"/>
        </w:rPr>
      </w:pPr>
      <w:r>
        <w:rPr>
          <w:rFonts w:hint="eastAsia"/>
          <w:color w:val="auto"/>
          <w:highlight w:val="none"/>
        </w:rPr>
        <w:t>本技术条款</w:t>
      </w:r>
      <w:r>
        <w:rPr>
          <w:color w:val="auto"/>
          <w:highlight w:val="none"/>
          <w:lang w:val="zh-CN"/>
        </w:rPr>
        <w:t>4.2.3</w:t>
      </w:r>
      <w:r>
        <w:rPr>
          <w:rFonts w:hint="eastAsia"/>
          <w:color w:val="auto"/>
          <w:highlight w:val="none"/>
        </w:rPr>
        <w:t>节第(3)点修改为：</w:t>
      </w:r>
    </w:p>
    <w:p>
      <w:pPr>
        <w:pStyle w:val="76"/>
        <w:adjustRightInd w:val="0"/>
        <w:spacing w:line="480" w:lineRule="exact"/>
        <w:ind w:firstLine="480" w:firstLineChars="200"/>
        <w:rPr>
          <w:color w:val="auto"/>
          <w:highlight w:val="none"/>
        </w:rPr>
      </w:pPr>
      <w:r>
        <w:rPr>
          <w:color w:val="auto"/>
          <w:highlight w:val="none"/>
        </w:rPr>
        <w:t xml:space="preserve">(3) </w:t>
      </w:r>
      <w:r>
        <w:rPr>
          <w:rFonts w:hint="eastAsia"/>
          <w:color w:val="auto"/>
          <w:highlight w:val="none"/>
        </w:rPr>
        <w:t>施工期间，承包人应根据工程所在区域环境空气功能区划要求，保证施工期废气(粉尘、扬尘)执行《大气污染物综合排放标准》(GB16297-1996)表2中相关标准(无组织排放监控浓度限值)。</w:t>
      </w: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98" w:name="_Toc127395711"/>
      <w:bookmarkStart w:id="99" w:name="_Toc17427"/>
      <w:bookmarkStart w:id="100" w:name="_Toc26625"/>
      <w:bookmarkStart w:id="101" w:name="_Toc114042603"/>
      <w:r>
        <w:rPr>
          <w:rFonts w:hint="eastAsia"/>
          <w:color w:val="auto"/>
          <w:highlight w:val="none"/>
        </w:rPr>
        <w:t>第5章</w:t>
      </w:r>
      <w:r>
        <w:rPr>
          <w:color w:val="auto"/>
          <w:highlight w:val="none"/>
        </w:rPr>
        <w:t xml:space="preserve">  </w:t>
      </w:r>
      <w:r>
        <w:rPr>
          <w:rFonts w:hint="eastAsia"/>
          <w:color w:val="auto"/>
          <w:highlight w:val="none"/>
        </w:rPr>
        <w:t>水泵水轮机及其附属设备</w:t>
      </w:r>
      <w:bookmarkEnd w:id="98"/>
      <w:bookmarkEnd w:id="99"/>
      <w:bookmarkEnd w:id="100"/>
      <w:bookmarkEnd w:id="101"/>
    </w:p>
    <w:p>
      <w:pPr>
        <w:rPr>
          <w:color w:val="auto"/>
          <w:highlight w:val="none"/>
        </w:rPr>
      </w:pPr>
      <w:bookmarkStart w:id="102" w:name="_Toc15771"/>
      <w:bookmarkStart w:id="103" w:name="_Toc10605"/>
      <w:bookmarkStart w:id="104" w:name="_Toc23558"/>
    </w:p>
    <w:p>
      <w:pPr>
        <w:pStyle w:val="62"/>
        <w:rPr>
          <w:color w:val="auto"/>
          <w:highlight w:val="none"/>
        </w:rPr>
      </w:pPr>
      <w:bookmarkStart w:id="105" w:name="_Toc24814"/>
      <w:bookmarkStart w:id="106" w:name="_Toc24832"/>
      <w:r>
        <w:rPr>
          <w:color w:val="auto"/>
          <w:highlight w:val="none"/>
        </w:rPr>
        <w:t xml:space="preserve">5.2  </w:t>
      </w:r>
      <w:r>
        <w:rPr>
          <w:rFonts w:hint="eastAsia"/>
          <w:color w:val="auto"/>
          <w:highlight w:val="none"/>
        </w:rPr>
        <w:t>简要技术说明</w:t>
      </w:r>
      <w:bookmarkEnd w:id="102"/>
      <w:bookmarkEnd w:id="103"/>
      <w:bookmarkEnd w:id="104"/>
      <w:bookmarkEnd w:id="105"/>
      <w:bookmarkEnd w:id="106"/>
    </w:p>
    <w:p>
      <w:pPr>
        <w:pStyle w:val="76"/>
        <w:rPr>
          <w:color w:val="auto"/>
          <w:highlight w:val="none"/>
        </w:rPr>
      </w:pPr>
      <w:r>
        <w:rPr>
          <w:rFonts w:hint="eastAsia"/>
          <w:color w:val="auto"/>
          <w:highlight w:val="none"/>
        </w:rPr>
        <w:t>电站总装机容量为1200MW，装设4台单机容量300MW的定速可逆式水泵水轮机/发电电动机。</w:t>
      </w:r>
    </w:p>
    <w:p>
      <w:pPr>
        <w:pStyle w:val="132"/>
        <w:rPr>
          <w:color w:val="auto"/>
          <w:highlight w:val="none"/>
        </w:rPr>
      </w:pPr>
      <w:bookmarkStart w:id="107" w:name="_Toc20265"/>
      <w:r>
        <w:rPr>
          <w:color w:val="auto"/>
          <w:highlight w:val="none"/>
        </w:rPr>
        <w:t xml:space="preserve">5.2.1  </w:t>
      </w:r>
      <w:r>
        <w:rPr>
          <w:rFonts w:hint="eastAsia"/>
          <w:color w:val="auto"/>
          <w:highlight w:val="none"/>
        </w:rPr>
        <w:t>水泵水轮机</w:t>
      </w:r>
      <w:bookmarkEnd w:id="107"/>
    </w:p>
    <w:p>
      <w:pPr>
        <w:pStyle w:val="67"/>
        <w:rPr>
          <w:rFonts w:hint="eastAsia"/>
          <w:color w:val="auto"/>
          <w:highlight w:val="none"/>
        </w:rPr>
      </w:pPr>
      <w:r>
        <w:rPr>
          <w:color w:val="auto"/>
          <w:highlight w:val="none"/>
        </w:rPr>
        <w:t>5.2.1.1  水泵水轮机主要技术特性</w:t>
      </w:r>
    </w:p>
    <w:p>
      <w:pPr>
        <w:pStyle w:val="76"/>
        <w:rPr>
          <w:color w:val="auto"/>
          <w:highlight w:val="none"/>
        </w:rPr>
      </w:pPr>
      <w:r>
        <w:rPr>
          <w:color w:val="auto"/>
          <w:highlight w:val="none"/>
        </w:rPr>
        <w:t xml:space="preserve">(1) </w:t>
      </w:r>
      <w:r>
        <w:rPr>
          <w:rFonts w:hint="eastAsia"/>
          <w:color w:val="auto"/>
          <w:highlight w:val="none"/>
        </w:rPr>
        <w:t>型式：立轴、单级混流可逆式水泵水轮机</w:t>
      </w:r>
    </w:p>
    <w:p>
      <w:pPr>
        <w:pStyle w:val="76"/>
        <w:rPr>
          <w:color w:val="auto"/>
          <w:highlight w:val="none"/>
        </w:rPr>
      </w:pPr>
      <w:r>
        <w:rPr>
          <w:color w:val="auto"/>
          <w:highlight w:val="none"/>
        </w:rPr>
        <w:t xml:space="preserve">(2) </w:t>
      </w:r>
      <w:r>
        <w:rPr>
          <w:rFonts w:hint="eastAsia"/>
          <w:color w:val="auto"/>
          <w:highlight w:val="none"/>
        </w:rPr>
        <w:t>转轮直径</w:t>
      </w:r>
      <w:r>
        <w:rPr>
          <w:color w:val="auto"/>
          <w:highlight w:val="none"/>
        </w:rPr>
        <w:t>D</w:t>
      </w:r>
      <w:r>
        <w:rPr>
          <w:color w:val="auto"/>
          <w:highlight w:val="none"/>
          <w:vertAlign w:val="subscript"/>
        </w:rPr>
        <w:t>1</w:t>
      </w:r>
      <w:r>
        <w:rPr>
          <w:rFonts w:hint="eastAsia"/>
          <w:color w:val="auto"/>
          <w:highlight w:val="none"/>
        </w:rPr>
        <w:t>：</w:t>
      </w:r>
      <w:r>
        <w:rPr>
          <w:color w:val="auto"/>
          <w:highlight w:val="none"/>
        </w:rPr>
        <w:t>~4262mm</w:t>
      </w:r>
    </w:p>
    <w:p>
      <w:pPr>
        <w:pStyle w:val="76"/>
        <w:rPr>
          <w:color w:val="auto"/>
          <w:highlight w:val="none"/>
        </w:rPr>
      </w:pPr>
      <w:r>
        <w:rPr>
          <w:color w:val="auto"/>
          <w:highlight w:val="none"/>
        </w:rPr>
        <w:t xml:space="preserve">(3) </w:t>
      </w:r>
      <w:r>
        <w:rPr>
          <w:rFonts w:hint="eastAsia"/>
          <w:color w:val="auto"/>
          <w:highlight w:val="none"/>
        </w:rPr>
        <w:t>水轮机工况额定输出功率：</w:t>
      </w:r>
      <w:r>
        <w:rPr>
          <w:color w:val="auto"/>
          <w:highlight w:val="none"/>
        </w:rPr>
        <w:t>306.1MW</w:t>
      </w:r>
    </w:p>
    <w:p>
      <w:pPr>
        <w:pStyle w:val="76"/>
        <w:rPr>
          <w:color w:val="auto"/>
          <w:highlight w:val="none"/>
        </w:rPr>
      </w:pPr>
      <w:r>
        <w:rPr>
          <w:color w:val="auto"/>
          <w:highlight w:val="none"/>
        </w:rPr>
        <w:t xml:space="preserve">(4) </w:t>
      </w:r>
      <w:r>
        <w:rPr>
          <w:rFonts w:hint="eastAsia"/>
          <w:color w:val="auto"/>
          <w:highlight w:val="none"/>
        </w:rPr>
        <w:t>额定转速：428.6r/min</w:t>
      </w:r>
    </w:p>
    <w:p>
      <w:pPr>
        <w:pStyle w:val="76"/>
        <w:rPr>
          <w:color w:val="auto"/>
          <w:highlight w:val="none"/>
        </w:rPr>
      </w:pPr>
      <w:r>
        <w:rPr>
          <w:color w:val="auto"/>
          <w:highlight w:val="none"/>
        </w:rPr>
        <w:t xml:space="preserve">(5) </w:t>
      </w:r>
      <w:r>
        <w:rPr>
          <w:rFonts w:hint="eastAsia"/>
          <w:color w:val="auto"/>
          <w:highlight w:val="none"/>
        </w:rPr>
        <w:t>水轮机工况额定流量：</w:t>
      </w:r>
      <w:r>
        <w:rPr>
          <w:color w:val="auto"/>
          <w:highlight w:val="none"/>
        </w:rPr>
        <w:t>~7</w:t>
      </w:r>
      <w:r>
        <w:rPr>
          <w:rFonts w:hint="eastAsia"/>
          <w:color w:val="auto"/>
          <w:highlight w:val="none"/>
        </w:rPr>
        <w:t>5</w:t>
      </w:r>
      <w:r>
        <w:rPr>
          <w:color w:val="auto"/>
          <w:highlight w:val="none"/>
        </w:rPr>
        <w:t>.8m</w:t>
      </w:r>
      <w:r>
        <w:rPr>
          <w:color w:val="auto"/>
          <w:highlight w:val="none"/>
          <w:vertAlign w:val="superscript"/>
        </w:rPr>
        <w:t>3</w:t>
      </w:r>
      <w:r>
        <w:rPr>
          <w:color w:val="auto"/>
          <w:highlight w:val="none"/>
        </w:rPr>
        <w:t>/s(</w:t>
      </w:r>
      <w:r>
        <w:rPr>
          <w:rFonts w:hint="eastAsia"/>
          <w:color w:val="auto"/>
          <w:highlight w:val="none"/>
        </w:rPr>
        <w:t>额定水头</w:t>
      </w:r>
      <w:r>
        <w:rPr>
          <w:color w:val="auto"/>
          <w:highlight w:val="none"/>
        </w:rPr>
        <w:t>4</w:t>
      </w:r>
      <w:r>
        <w:rPr>
          <w:rFonts w:hint="eastAsia"/>
          <w:color w:val="auto"/>
          <w:highlight w:val="none"/>
        </w:rPr>
        <w:t>60</w:t>
      </w:r>
      <w:r>
        <w:rPr>
          <w:color w:val="auto"/>
          <w:highlight w:val="none"/>
        </w:rPr>
        <w:t xml:space="preserve">m) </w:t>
      </w:r>
    </w:p>
    <w:p>
      <w:pPr>
        <w:pStyle w:val="76"/>
        <w:rPr>
          <w:color w:val="auto"/>
          <w:highlight w:val="none"/>
        </w:rPr>
      </w:pPr>
      <w:r>
        <w:rPr>
          <w:color w:val="auto"/>
          <w:highlight w:val="none"/>
        </w:rPr>
        <w:t xml:space="preserve">(6) </w:t>
      </w:r>
      <w:r>
        <w:rPr>
          <w:rFonts w:hint="eastAsia"/>
          <w:color w:val="auto"/>
          <w:highlight w:val="none"/>
        </w:rPr>
        <w:t>水泵工况最低扬程</w:t>
      </w:r>
      <w:r>
        <w:rPr>
          <w:b w:val="0"/>
          <w:i w:val="0"/>
          <w:strike w:val="0"/>
          <w:color w:val="auto"/>
          <w:spacing w:val="0"/>
          <w:highlight w:val="none"/>
          <w:u w:val="none"/>
        </w:rPr>
        <w:t>435.68</w:t>
      </w:r>
      <w:r>
        <w:rPr>
          <w:rFonts w:hint="eastAsia"/>
          <w:color w:val="auto"/>
          <w:highlight w:val="none"/>
        </w:rPr>
        <w:t>m，相应流量~66</w:t>
      </w:r>
      <w:r>
        <w:rPr>
          <w:color w:val="auto"/>
          <w:highlight w:val="none"/>
        </w:rPr>
        <w:t>.5m</w:t>
      </w:r>
      <w:r>
        <w:rPr>
          <w:color w:val="auto"/>
          <w:highlight w:val="none"/>
          <w:vertAlign w:val="superscript"/>
        </w:rPr>
        <w:t>3</w:t>
      </w:r>
      <w:r>
        <w:rPr>
          <w:color w:val="auto"/>
          <w:highlight w:val="none"/>
        </w:rPr>
        <w:t>/s</w:t>
      </w:r>
    </w:p>
    <w:p>
      <w:pPr>
        <w:pStyle w:val="76"/>
        <w:rPr>
          <w:color w:val="auto"/>
          <w:highlight w:val="none"/>
        </w:rPr>
      </w:pPr>
      <w:r>
        <w:rPr>
          <w:color w:val="auto"/>
          <w:highlight w:val="none"/>
        </w:rPr>
        <w:t xml:space="preserve">(7) </w:t>
      </w:r>
      <w:r>
        <w:rPr>
          <w:rFonts w:hint="eastAsia"/>
          <w:color w:val="auto"/>
          <w:highlight w:val="none"/>
        </w:rPr>
        <w:t>旋转方向：水轮机工况俯视为顺时针，水泵工况为逆时针</w:t>
      </w:r>
    </w:p>
    <w:p>
      <w:pPr>
        <w:pStyle w:val="76"/>
        <w:rPr>
          <w:color w:val="auto"/>
          <w:highlight w:val="none"/>
        </w:rPr>
      </w:pPr>
      <w:r>
        <w:rPr>
          <w:color w:val="auto"/>
          <w:highlight w:val="none"/>
        </w:rPr>
        <w:t xml:space="preserve">(8) </w:t>
      </w:r>
      <w:r>
        <w:rPr>
          <w:rFonts w:hint="eastAsia"/>
          <w:color w:val="auto"/>
          <w:highlight w:val="none"/>
        </w:rPr>
        <w:t>安装高程：513.000m(吸出高度Hs=</w:t>
      </w:r>
      <w:r>
        <w:rPr>
          <w:color w:val="auto"/>
          <w:highlight w:val="none"/>
        </w:rPr>
        <w:t>-7</w:t>
      </w:r>
      <w:r>
        <w:rPr>
          <w:rFonts w:hint="eastAsia"/>
          <w:color w:val="auto"/>
          <w:highlight w:val="none"/>
        </w:rPr>
        <w:t>0</w:t>
      </w:r>
      <w:r>
        <w:rPr>
          <w:color w:val="auto"/>
          <w:highlight w:val="none"/>
        </w:rPr>
        <w:t xml:space="preserve">m) </w:t>
      </w:r>
    </w:p>
    <w:p>
      <w:pPr>
        <w:pStyle w:val="76"/>
        <w:rPr>
          <w:color w:val="auto"/>
          <w:highlight w:val="none"/>
        </w:rPr>
      </w:pPr>
      <w:r>
        <w:rPr>
          <w:color w:val="auto"/>
          <w:highlight w:val="none"/>
        </w:rPr>
        <w:t xml:space="preserve">(9) </w:t>
      </w:r>
      <w:r>
        <w:rPr>
          <w:rFonts w:hint="eastAsia"/>
          <w:color w:val="auto"/>
          <w:highlight w:val="none"/>
        </w:rPr>
        <w:t>蜗壳型式：金属蜗壳</w:t>
      </w:r>
    </w:p>
    <w:p>
      <w:pPr>
        <w:pStyle w:val="76"/>
        <w:rPr>
          <w:color w:val="auto"/>
          <w:highlight w:val="none"/>
        </w:rPr>
      </w:pPr>
      <w:r>
        <w:rPr>
          <w:color w:val="auto"/>
          <w:highlight w:val="none"/>
        </w:rPr>
        <w:t xml:space="preserve">(10) </w:t>
      </w:r>
      <w:r>
        <w:rPr>
          <w:rFonts w:hint="eastAsia"/>
          <w:color w:val="auto"/>
          <w:highlight w:val="none"/>
        </w:rPr>
        <w:t>尾水管型式：立式弯肘型</w:t>
      </w:r>
    </w:p>
    <w:p>
      <w:pPr>
        <w:pStyle w:val="76"/>
        <w:rPr>
          <w:color w:val="auto"/>
          <w:highlight w:val="none"/>
        </w:rPr>
      </w:pPr>
      <w:r>
        <w:rPr>
          <w:color w:val="auto"/>
          <w:highlight w:val="none"/>
        </w:rPr>
        <w:t xml:space="preserve">(11) </w:t>
      </w:r>
      <w:r>
        <w:rPr>
          <w:rFonts w:hint="eastAsia"/>
          <w:color w:val="auto"/>
          <w:highlight w:val="none"/>
        </w:rPr>
        <w:t>单台水泵水轮机总重：~784</w:t>
      </w:r>
      <w:r>
        <w:rPr>
          <w:color w:val="auto"/>
          <w:highlight w:val="none"/>
        </w:rPr>
        <w:t>t</w:t>
      </w:r>
    </w:p>
    <w:p>
      <w:pPr>
        <w:pStyle w:val="67"/>
        <w:rPr>
          <w:rFonts w:hint="eastAsia"/>
          <w:color w:val="auto"/>
          <w:highlight w:val="none"/>
        </w:rPr>
      </w:pPr>
      <w:r>
        <w:rPr>
          <w:color w:val="auto"/>
          <w:highlight w:val="none"/>
        </w:rPr>
        <w:t>5.2.1.</w:t>
      </w:r>
      <w:r>
        <w:rPr>
          <w:rFonts w:hint="eastAsia"/>
          <w:color w:val="auto"/>
          <w:highlight w:val="none"/>
          <w:lang w:val="en-US"/>
        </w:rPr>
        <w:t>2</w:t>
      </w:r>
      <w:r>
        <w:rPr>
          <w:color w:val="auto"/>
          <w:highlight w:val="none"/>
        </w:rPr>
        <w:t xml:space="preserve">  结构特征</w:t>
      </w:r>
    </w:p>
    <w:p>
      <w:pPr>
        <w:pStyle w:val="76"/>
        <w:rPr>
          <w:color w:val="auto"/>
          <w:highlight w:val="none"/>
        </w:rPr>
      </w:pPr>
      <w:r>
        <w:rPr>
          <w:rFonts w:hint="eastAsia"/>
          <w:color w:val="auto"/>
          <w:highlight w:val="none"/>
        </w:rPr>
        <w:t>本节设备除具有一般混流可逆机组的共性外，尚有下述结构特点：</w:t>
      </w:r>
    </w:p>
    <w:p>
      <w:pPr>
        <w:pStyle w:val="76"/>
        <w:rPr>
          <w:color w:val="auto"/>
          <w:highlight w:val="none"/>
        </w:rPr>
      </w:pPr>
      <w:r>
        <w:rPr>
          <w:color w:val="auto"/>
          <w:highlight w:val="none"/>
        </w:rPr>
        <w:t xml:space="preserve">(1) </w:t>
      </w:r>
      <w:r>
        <w:rPr>
          <w:rFonts w:hint="eastAsia"/>
          <w:color w:val="auto"/>
          <w:highlight w:val="none"/>
        </w:rPr>
        <w:t>转轮为不锈钢铸焊结构。</w:t>
      </w:r>
    </w:p>
    <w:p>
      <w:pPr>
        <w:pStyle w:val="76"/>
        <w:rPr>
          <w:color w:val="auto"/>
          <w:highlight w:val="none"/>
        </w:rPr>
      </w:pPr>
      <w:r>
        <w:rPr>
          <w:color w:val="auto"/>
          <w:highlight w:val="none"/>
        </w:rPr>
        <w:t xml:space="preserve">(2) </w:t>
      </w:r>
      <w:r>
        <w:rPr>
          <w:rFonts w:hint="eastAsia"/>
          <w:color w:val="auto"/>
          <w:highlight w:val="none"/>
        </w:rPr>
        <w:t>蜗壳与座环分2瓣运输。</w:t>
      </w:r>
    </w:p>
    <w:p>
      <w:pPr>
        <w:pStyle w:val="76"/>
        <w:rPr>
          <w:color w:val="auto"/>
          <w:highlight w:val="none"/>
        </w:rPr>
      </w:pPr>
      <w:r>
        <w:rPr>
          <w:color w:val="auto"/>
          <w:highlight w:val="none"/>
        </w:rPr>
        <w:t xml:space="preserve">(3) </w:t>
      </w:r>
      <w:r>
        <w:rPr>
          <w:rFonts w:hint="eastAsia"/>
          <w:color w:val="auto"/>
          <w:highlight w:val="none"/>
        </w:rPr>
        <w:t>蜗壳与座环工地组焊后需进行水压试验，试验压力、方法按制造商的要求进行。主机供货商随第一台水泵水轮机提供2套蜗壳水压试验设备，如封堵筒环等，并依次供其余机组使用。封堵筒环能在较小的区域内进行安装和拆卸，封堵筒环上设有吊环，封堵筒环用螺栓与座环连接。主机供货商随封堵筒环一起提供闷头及足够数量的连接螺栓、螺母、试验用密封附件和试验程序。</w:t>
      </w:r>
    </w:p>
    <w:p>
      <w:pPr>
        <w:pStyle w:val="76"/>
        <w:rPr>
          <w:color w:val="auto"/>
          <w:highlight w:val="none"/>
        </w:rPr>
      </w:pPr>
      <w:r>
        <w:rPr>
          <w:color w:val="auto"/>
          <w:highlight w:val="none"/>
        </w:rPr>
        <w:t xml:space="preserve">(4) </w:t>
      </w:r>
      <w:r>
        <w:rPr>
          <w:rFonts w:hint="eastAsia"/>
          <w:color w:val="auto"/>
          <w:highlight w:val="none"/>
        </w:rPr>
        <w:t>顶盖为分瓣结构。顶盖与座环之间采用螺栓把合。</w:t>
      </w:r>
    </w:p>
    <w:p>
      <w:pPr>
        <w:pStyle w:val="76"/>
        <w:rPr>
          <w:color w:val="auto"/>
          <w:highlight w:val="none"/>
        </w:rPr>
      </w:pPr>
      <w:r>
        <w:rPr>
          <w:color w:val="auto"/>
          <w:highlight w:val="none"/>
        </w:rPr>
        <w:t xml:space="preserve">(5) </w:t>
      </w:r>
      <w:r>
        <w:rPr>
          <w:rFonts w:hint="eastAsia"/>
          <w:color w:val="auto"/>
          <w:highlight w:val="none"/>
        </w:rPr>
        <w:t>顶盖、底环是导水机构中的大型关键部件，采用优质钢板焊接结构。</w:t>
      </w:r>
    </w:p>
    <w:p>
      <w:pPr>
        <w:pStyle w:val="76"/>
        <w:rPr>
          <w:color w:val="auto"/>
          <w:highlight w:val="none"/>
        </w:rPr>
      </w:pPr>
      <w:r>
        <w:rPr>
          <w:color w:val="auto"/>
          <w:highlight w:val="none"/>
        </w:rPr>
        <w:t xml:space="preserve">(6) </w:t>
      </w:r>
      <w:r>
        <w:rPr>
          <w:rFonts w:hint="eastAsia"/>
          <w:color w:val="auto"/>
          <w:highlight w:val="none"/>
        </w:rPr>
        <w:t>导水叶由不锈钢铸造而成。各导叶轴承的轴瓦采用自润滑材料制造，不需设置润滑系统。每台水泵水轮机设置两只油压操作、双向运行的直缸活塞式导叶接力器，通过控制环操作导水叶。</w:t>
      </w:r>
    </w:p>
    <w:p>
      <w:pPr>
        <w:pStyle w:val="76"/>
        <w:rPr>
          <w:color w:val="auto"/>
          <w:highlight w:val="none"/>
        </w:rPr>
      </w:pPr>
      <w:r>
        <w:rPr>
          <w:color w:val="auto"/>
          <w:highlight w:val="none"/>
        </w:rPr>
        <w:t xml:space="preserve">(7) </w:t>
      </w:r>
      <w:r>
        <w:rPr>
          <w:rFonts w:hint="eastAsia"/>
          <w:color w:val="auto"/>
          <w:highlight w:val="none"/>
        </w:rPr>
        <w:t>尾水管分段现场组装焊接，避免出现十字焊缝。扩散段水平组合缝可在安装场组焊完成后吊入机坑。</w:t>
      </w:r>
    </w:p>
    <w:p>
      <w:pPr>
        <w:pStyle w:val="76"/>
        <w:rPr>
          <w:color w:val="auto"/>
          <w:highlight w:val="none"/>
        </w:rPr>
      </w:pPr>
      <w:r>
        <w:rPr>
          <w:color w:val="auto"/>
          <w:highlight w:val="none"/>
        </w:rPr>
        <w:t xml:space="preserve">(8) </w:t>
      </w:r>
      <w:r>
        <w:rPr>
          <w:rFonts w:hint="eastAsia"/>
          <w:color w:val="auto"/>
          <w:highlight w:val="none"/>
        </w:rPr>
        <w:t>机坑里衬分瓣，现场就位焊接。</w:t>
      </w:r>
    </w:p>
    <w:p>
      <w:pPr>
        <w:pStyle w:val="76"/>
        <w:rPr>
          <w:color w:val="auto"/>
          <w:highlight w:val="none"/>
        </w:rPr>
      </w:pPr>
      <w:r>
        <w:rPr>
          <w:color w:val="auto"/>
          <w:highlight w:val="none"/>
        </w:rPr>
        <w:t xml:space="preserve">(9) </w:t>
      </w:r>
      <w:r>
        <w:rPr>
          <w:rFonts w:hint="eastAsia"/>
          <w:color w:val="auto"/>
          <w:highlight w:val="none"/>
        </w:rPr>
        <w:t>水泵水轮机采用上拆方式，发电电动机轴法兰与水泵水轮机轴端法兰、主轴转轮端连接法兰与转轮之间采用螺栓连接。</w:t>
      </w:r>
    </w:p>
    <w:p>
      <w:pPr>
        <w:pStyle w:val="132"/>
        <w:rPr>
          <w:color w:val="auto"/>
          <w:highlight w:val="none"/>
        </w:rPr>
      </w:pPr>
      <w:bookmarkStart w:id="108" w:name="_Toc27808"/>
      <w:r>
        <w:rPr>
          <w:color w:val="auto"/>
          <w:highlight w:val="none"/>
        </w:rPr>
        <w:t xml:space="preserve">5.2.2  </w:t>
      </w:r>
      <w:r>
        <w:rPr>
          <w:rFonts w:hint="eastAsia"/>
          <w:color w:val="auto"/>
          <w:highlight w:val="none"/>
        </w:rPr>
        <w:t>调速器及其油压装置</w:t>
      </w:r>
      <w:bookmarkEnd w:id="108"/>
    </w:p>
    <w:p>
      <w:pPr>
        <w:pStyle w:val="67"/>
        <w:rPr>
          <w:rFonts w:hint="eastAsia"/>
          <w:color w:val="auto"/>
          <w:highlight w:val="none"/>
        </w:rPr>
      </w:pPr>
      <w:r>
        <w:rPr>
          <w:color w:val="auto"/>
          <w:highlight w:val="none"/>
        </w:rPr>
        <w:t>5.2.2.1  调速器及油压装置主要技术特性</w:t>
      </w:r>
    </w:p>
    <w:p>
      <w:pPr>
        <w:pStyle w:val="76"/>
        <w:rPr>
          <w:color w:val="auto"/>
          <w:highlight w:val="none"/>
        </w:rPr>
      </w:pPr>
      <w:r>
        <w:rPr>
          <w:color w:val="auto"/>
          <w:highlight w:val="none"/>
        </w:rPr>
        <w:t xml:space="preserve">(1) </w:t>
      </w:r>
      <w:r>
        <w:rPr>
          <w:rFonts w:hint="eastAsia"/>
          <w:color w:val="auto"/>
          <w:highlight w:val="none"/>
        </w:rPr>
        <w:t>调速器型式：PID数字式电液调速器</w:t>
      </w:r>
    </w:p>
    <w:p>
      <w:pPr>
        <w:pStyle w:val="76"/>
        <w:rPr>
          <w:color w:val="auto"/>
          <w:highlight w:val="none"/>
        </w:rPr>
      </w:pPr>
      <w:r>
        <w:rPr>
          <w:color w:val="auto"/>
          <w:highlight w:val="none"/>
        </w:rPr>
        <w:t xml:space="preserve">(2) </w:t>
      </w:r>
      <w:r>
        <w:rPr>
          <w:rFonts w:hint="eastAsia"/>
          <w:color w:val="auto"/>
          <w:highlight w:val="none"/>
        </w:rPr>
        <w:t>额定工作压力：6.4MPa</w:t>
      </w:r>
    </w:p>
    <w:p>
      <w:pPr>
        <w:pStyle w:val="76"/>
        <w:rPr>
          <w:color w:val="auto"/>
          <w:highlight w:val="none"/>
        </w:rPr>
      </w:pPr>
      <w:r>
        <w:rPr>
          <w:color w:val="auto"/>
          <w:highlight w:val="none"/>
        </w:rPr>
        <w:t xml:space="preserve">(3) </w:t>
      </w:r>
      <w:r>
        <w:rPr>
          <w:rFonts w:hint="eastAsia"/>
          <w:color w:val="auto"/>
          <w:highlight w:val="none"/>
        </w:rPr>
        <w:t>压力油罐总容积：</w:t>
      </w:r>
      <w:r>
        <w:rPr>
          <w:color w:val="auto"/>
          <w:highlight w:val="none"/>
        </w:rPr>
        <w:t>~6m</w:t>
      </w:r>
      <w:r>
        <w:rPr>
          <w:color w:val="auto"/>
          <w:highlight w:val="none"/>
          <w:vertAlign w:val="superscript"/>
        </w:rPr>
        <w:t>3</w:t>
      </w:r>
      <w:r>
        <w:rPr>
          <w:rFonts w:hint="eastAsia"/>
          <w:color w:val="auto"/>
          <w:highlight w:val="none"/>
        </w:rPr>
        <w:t>（暂定）</w:t>
      </w:r>
    </w:p>
    <w:p>
      <w:pPr>
        <w:pStyle w:val="76"/>
        <w:rPr>
          <w:color w:val="auto"/>
          <w:highlight w:val="none"/>
        </w:rPr>
      </w:pPr>
      <w:r>
        <w:rPr>
          <w:color w:val="auto"/>
          <w:highlight w:val="none"/>
        </w:rPr>
        <w:t xml:space="preserve">(4) </w:t>
      </w:r>
      <w:r>
        <w:rPr>
          <w:rFonts w:hint="eastAsia"/>
          <w:color w:val="auto"/>
          <w:highlight w:val="none"/>
        </w:rPr>
        <w:t>集油箱容积：</w:t>
      </w:r>
      <w:r>
        <w:rPr>
          <w:color w:val="auto"/>
          <w:highlight w:val="none"/>
        </w:rPr>
        <w:t>~10.0m</w:t>
      </w:r>
      <w:r>
        <w:rPr>
          <w:color w:val="auto"/>
          <w:highlight w:val="none"/>
          <w:vertAlign w:val="superscript"/>
        </w:rPr>
        <w:t>3</w:t>
      </w:r>
      <w:r>
        <w:rPr>
          <w:rFonts w:hint="eastAsia"/>
          <w:color w:val="auto"/>
          <w:highlight w:val="none"/>
        </w:rPr>
        <w:t>（暂定）</w:t>
      </w:r>
    </w:p>
    <w:p>
      <w:pPr>
        <w:pStyle w:val="76"/>
        <w:rPr>
          <w:color w:val="auto"/>
          <w:highlight w:val="none"/>
        </w:rPr>
      </w:pPr>
      <w:r>
        <w:rPr>
          <w:color w:val="auto"/>
          <w:highlight w:val="none"/>
        </w:rPr>
        <w:t xml:space="preserve">(5) </w:t>
      </w:r>
      <w:r>
        <w:rPr>
          <w:rFonts w:hint="eastAsia"/>
          <w:color w:val="auto"/>
          <w:highlight w:val="none"/>
        </w:rPr>
        <w:t>单台调速器及油压装置重：</w:t>
      </w:r>
      <w:r>
        <w:rPr>
          <w:color w:val="auto"/>
          <w:highlight w:val="none"/>
        </w:rPr>
        <w:t>~20t</w:t>
      </w:r>
    </w:p>
    <w:p>
      <w:pPr>
        <w:pStyle w:val="67"/>
        <w:rPr>
          <w:rFonts w:hint="eastAsia"/>
          <w:color w:val="auto"/>
          <w:highlight w:val="none"/>
        </w:rPr>
      </w:pPr>
      <w:r>
        <w:rPr>
          <w:color w:val="auto"/>
          <w:highlight w:val="none"/>
        </w:rPr>
        <w:t>5.2.2.2  结构特征</w:t>
      </w:r>
    </w:p>
    <w:p>
      <w:pPr>
        <w:pStyle w:val="76"/>
        <w:rPr>
          <w:color w:val="auto"/>
          <w:highlight w:val="none"/>
        </w:rPr>
      </w:pPr>
      <w:r>
        <w:rPr>
          <w:rFonts w:hint="eastAsia"/>
          <w:color w:val="auto"/>
          <w:highlight w:val="none"/>
        </w:rPr>
        <w:t>调速器为PID调节规律为基础的数字式电液调速器——微机调速器，配有电气式反馈装置和导叶分段关闭装置。数字式控制单元和相应的电气回路的插件等布置在电气柜内，电液执行机构集中安装在一个电液伺服柜内。每台调速器配有一套油压装置。调速器各盘柜和油压装置布置在水泵水轮机层。</w:t>
      </w:r>
    </w:p>
    <w:p>
      <w:pPr>
        <w:pStyle w:val="132"/>
        <w:rPr>
          <w:color w:val="auto"/>
          <w:highlight w:val="none"/>
        </w:rPr>
      </w:pPr>
      <w:bookmarkStart w:id="109" w:name="_Toc16951"/>
      <w:r>
        <w:rPr>
          <w:color w:val="auto"/>
          <w:highlight w:val="none"/>
        </w:rPr>
        <w:t xml:space="preserve">5.2.3  </w:t>
      </w:r>
      <w:r>
        <w:rPr>
          <w:rFonts w:hint="eastAsia"/>
          <w:color w:val="auto"/>
          <w:highlight w:val="none"/>
        </w:rPr>
        <w:t>进水阀及其油压装置</w:t>
      </w:r>
      <w:bookmarkEnd w:id="109"/>
    </w:p>
    <w:p>
      <w:pPr>
        <w:pStyle w:val="67"/>
        <w:rPr>
          <w:rFonts w:hint="eastAsia"/>
          <w:color w:val="auto"/>
          <w:highlight w:val="none"/>
        </w:rPr>
      </w:pPr>
      <w:r>
        <w:rPr>
          <w:color w:val="auto"/>
          <w:highlight w:val="none"/>
        </w:rPr>
        <w:t>5.2.3.1  进水阀的主要技术特性</w:t>
      </w:r>
    </w:p>
    <w:p>
      <w:pPr>
        <w:pStyle w:val="76"/>
        <w:rPr>
          <w:color w:val="auto"/>
          <w:highlight w:val="none"/>
        </w:rPr>
      </w:pPr>
      <w:r>
        <w:rPr>
          <w:color w:val="auto"/>
          <w:highlight w:val="none"/>
        </w:rPr>
        <w:t xml:space="preserve">(1) </w:t>
      </w:r>
      <w:r>
        <w:rPr>
          <w:rFonts w:hint="eastAsia"/>
          <w:color w:val="auto"/>
          <w:highlight w:val="none"/>
        </w:rPr>
        <w:t>进水阀型式：球阀</w:t>
      </w:r>
    </w:p>
    <w:p>
      <w:pPr>
        <w:pStyle w:val="76"/>
        <w:rPr>
          <w:color w:val="auto"/>
          <w:highlight w:val="none"/>
        </w:rPr>
      </w:pPr>
      <w:r>
        <w:rPr>
          <w:color w:val="auto"/>
          <w:highlight w:val="none"/>
        </w:rPr>
        <w:t xml:space="preserve">(2) </w:t>
      </w:r>
      <w:r>
        <w:rPr>
          <w:rFonts w:hint="eastAsia"/>
          <w:color w:val="auto"/>
          <w:highlight w:val="none"/>
        </w:rPr>
        <w:t>进水阀公称直径：2.4m</w:t>
      </w:r>
    </w:p>
    <w:p>
      <w:pPr>
        <w:pStyle w:val="76"/>
        <w:rPr>
          <w:color w:val="auto"/>
          <w:highlight w:val="none"/>
        </w:rPr>
      </w:pPr>
      <w:r>
        <w:rPr>
          <w:color w:val="auto"/>
          <w:highlight w:val="none"/>
        </w:rPr>
        <w:t xml:space="preserve">(3) </w:t>
      </w:r>
      <w:r>
        <w:rPr>
          <w:rFonts w:hint="eastAsia"/>
          <w:color w:val="auto"/>
          <w:highlight w:val="none"/>
        </w:rPr>
        <w:t>进水阀设计压力：</w:t>
      </w:r>
      <w:r>
        <w:rPr>
          <w:color w:val="auto"/>
          <w:highlight w:val="none"/>
        </w:rPr>
        <w:t>7.44MPa</w:t>
      </w:r>
    </w:p>
    <w:p>
      <w:pPr>
        <w:pStyle w:val="76"/>
        <w:rPr>
          <w:color w:val="auto"/>
          <w:highlight w:val="none"/>
        </w:rPr>
      </w:pPr>
      <w:r>
        <w:rPr>
          <w:color w:val="auto"/>
          <w:highlight w:val="none"/>
        </w:rPr>
        <w:t xml:space="preserve">(4) </w:t>
      </w:r>
      <w:r>
        <w:rPr>
          <w:rFonts w:hint="eastAsia"/>
          <w:color w:val="auto"/>
          <w:highlight w:val="none"/>
        </w:rPr>
        <w:t>进水阀试验压力：</w:t>
      </w:r>
      <w:r>
        <w:rPr>
          <w:color w:val="auto"/>
          <w:highlight w:val="none"/>
        </w:rPr>
        <w:t>1</w:t>
      </w:r>
      <w:r>
        <w:rPr>
          <w:rFonts w:hint="eastAsia"/>
          <w:color w:val="auto"/>
          <w:highlight w:val="none"/>
        </w:rPr>
        <w:t>1.2</w:t>
      </w:r>
      <w:r>
        <w:rPr>
          <w:color w:val="auto"/>
          <w:highlight w:val="none"/>
        </w:rPr>
        <w:t>MPa</w:t>
      </w:r>
    </w:p>
    <w:p>
      <w:pPr>
        <w:pStyle w:val="76"/>
        <w:rPr>
          <w:color w:val="auto"/>
          <w:highlight w:val="none"/>
        </w:rPr>
      </w:pPr>
      <w:r>
        <w:rPr>
          <w:color w:val="auto"/>
          <w:highlight w:val="none"/>
        </w:rPr>
        <w:t xml:space="preserve">(5) </w:t>
      </w:r>
      <w:r>
        <w:rPr>
          <w:rFonts w:hint="eastAsia"/>
          <w:color w:val="auto"/>
          <w:highlight w:val="none"/>
        </w:rPr>
        <w:t>单台进水阀总重：~</w:t>
      </w:r>
      <w:r>
        <w:rPr>
          <w:color w:val="auto"/>
          <w:highlight w:val="none"/>
        </w:rPr>
        <w:t>20</w:t>
      </w:r>
      <w:r>
        <w:rPr>
          <w:rFonts w:hint="eastAsia"/>
          <w:color w:val="auto"/>
          <w:highlight w:val="none"/>
        </w:rPr>
        <w:t>0</w:t>
      </w:r>
      <w:r>
        <w:rPr>
          <w:color w:val="auto"/>
          <w:highlight w:val="none"/>
        </w:rPr>
        <w:t>t</w:t>
      </w:r>
    </w:p>
    <w:p>
      <w:pPr>
        <w:pStyle w:val="67"/>
        <w:rPr>
          <w:rFonts w:hint="eastAsia"/>
          <w:color w:val="auto"/>
          <w:highlight w:val="none"/>
        </w:rPr>
      </w:pPr>
      <w:r>
        <w:rPr>
          <w:color w:val="auto"/>
          <w:highlight w:val="none"/>
        </w:rPr>
        <w:t>5.2.3.2  结构特征</w:t>
      </w:r>
    </w:p>
    <w:p>
      <w:pPr>
        <w:pStyle w:val="76"/>
        <w:rPr>
          <w:color w:val="auto"/>
          <w:highlight w:val="none"/>
        </w:rPr>
      </w:pPr>
      <w:r>
        <w:rPr>
          <w:rFonts w:hint="eastAsia"/>
          <w:color w:val="auto"/>
          <w:highlight w:val="none"/>
        </w:rPr>
        <w:t>进水阀为卧轴双面密封球阀，设有一道工作密封和一道检修密封，采用水压操作。</w:t>
      </w:r>
    </w:p>
    <w:p>
      <w:pPr>
        <w:pStyle w:val="62"/>
        <w:rPr>
          <w:color w:val="auto"/>
          <w:highlight w:val="none"/>
        </w:rPr>
      </w:pPr>
      <w:bookmarkStart w:id="110" w:name="_Toc17454"/>
      <w:bookmarkStart w:id="111" w:name="_Toc10130"/>
      <w:bookmarkStart w:id="112" w:name="_Toc29058"/>
      <w:bookmarkStart w:id="113" w:name="_Toc23703"/>
      <w:bookmarkStart w:id="114" w:name="_Toc29566"/>
      <w:r>
        <w:rPr>
          <w:color w:val="auto"/>
          <w:highlight w:val="none"/>
        </w:rPr>
        <w:t xml:space="preserve">5.5  </w:t>
      </w:r>
      <w:r>
        <w:rPr>
          <w:rFonts w:hint="eastAsia"/>
          <w:color w:val="auto"/>
          <w:highlight w:val="none"/>
        </w:rPr>
        <w:t>制造商提供的专用工器具</w:t>
      </w:r>
      <w:bookmarkEnd w:id="110"/>
      <w:bookmarkEnd w:id="111"/>
      <w:bookmarkEnd w:id="112"/>
      <w:bookmarkEnd w:id="113"/>
      <w:bookmarkEnd w:id="114"/>
    </w:p>
    <w:p>
      <w:pPr>
        <w:pStyle w:val="132"/>
        <w:pBdr>
          <w:bottom w:val="none" w:color="auto" w:sz="0" w:space="0"/>
        </w:pBdr>
        <w:rPr>
          <w:color w:val="auto"/>
          <w:highlight w:val="none"/>
        </w:rPr>
      </w:pPr>
      <w:bookmarkStart w:id="115" w:name="_Toc20481"/>
      <w:r>
        <w:rPr>
          <w:color w:val="auto"/>
          <w:highlight w:val="none"/>
        </w:rPr>
        <w:t xml:space="preserve">5.5.1  </w:t>
      </w:r>
      <w:r>
        <w:rPr>
          <w:rFonts w:hint="eastAsia"/>
          <w:color w:val="auto"/>
          <w:highlight w:val="none"/>
        </w:rPr>
        <w:t>水泵水轮机</w:t>
      </w:r>
      <w:bookmarkEnd w:id="115"/>
    </w:p>
    <w:tbl>
      <w:tblPr>
        <w:tblStyle w:val="3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2"/>
        <w:gridCol w:w="4441"/>
        <w:gridCol w:w="962"/>
        <w:gridCol w:w="962"/>
        <w:gridCol w:w="9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序号</w:t>
            </w:r>
          </w:p>
        </w:tc>
        <w:tc>
          <w:tcPr>
            <w:tcW w:w="4441"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专用工具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单位</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数量</w:t>
            </w:r>
          </w:p>
        </w:tc>
        <w:tc>
          <w:tcPr>
            <w:tcW w:w="962" w:type="dxa"/>
            <w:vAlign w:val="center"/>
          </w:tcPr>
          <w:p>
            <w:pPr>
              <w:snapToGrid/>
              <w:spacing w:before="0" w:after="0" w:line="240" w:lineRule="auto"/>
              <w:ind w:left="0" w:right="0"/>
              <w:jc w:val="center"/>
              <w:rPr>
                <w:color w:val="auto"/>
                <w:highlight w:val="none"/>
              </w:rPr>
            </w:pPr>
            <w:r>
              <w:rPr>
                <w:color w:val="auto"/>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蜗壳/座环吊装及安装专用工具（包括钢丝绳、调节专用、支撑板等）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蜗壳水压试验用加压设备及附件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蜗壳打压试验用内侧封堵环、闷头及附件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座环、底环和顶盖安装时水平度、垂直度和同心度的测定专用工具(包含可用于发电机同心度调整)</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座环打磨专用工具（或专用刀具磨削设备）</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尾水管内转轮检修平台（轻质铝合金材质）</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尾水进人门至肘管专用爬梯</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主轴专用起吊工具（含立轴工具、钢丝绳、吊环等）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转轮专用起吊和翻身工具（含钢丝绳、吊环等）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水轮机螺栓拉伸工具加热柜（带温度调节控制功能）</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主轴和转轮连接拆卸工具（包括电磁感应加热工具、螺栓伸长测量工具等）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顶盖与座环连接螺栓电磁感应加热工具（如有）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件</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4</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顶盖组合面连接螺栓电磁感应加热工具（包括螺栓伸长测量工具）（如有）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件</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6</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顶盖吊装专用工具（含钢丝绳、吊环等）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底环吊装专用工具（含钢丝绳、吊环等）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水车室内顶盖拆卸、起升专用工具（若有，含预埋件）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导叶接力器（推拉杆）安装专用工具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导叶接力器（推拉杆）水平调整水平测量专用工具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导叶拐臂装拆工具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导叶装拆工具（含吊环、钢丝绳等）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4</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导叶轴套装拆工具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导叶分瓣键装拆工具（如有）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导叶拒动保护装置装拆工具（如有）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导水机构控制环吊装工具（含吊环、钢丝绳等）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导轴承及轴瓦吊装工具（含吊环、钢丝绳等）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主轴密封检修工具</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螺栓液压拉伸工具专用气动或电动液压泵及各种高压软管与接头等附件。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3</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顶盖组合面连接螺栓液压拉伸器（如有）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4</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顶盖与座环连接螺栓液压拉伸器</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6</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主轴连接螺栓液压拉伸器（含与发电电动机连轴螺栓）</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4</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导叶接力器固定螺栓液压拉伸器</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其他水轮机螺栓液压拉伸器（如有，列出详细清单）</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转轮叶片检修用样板和其它精确的量测设备</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导叶样板（包含固定导叶和活动导叶）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 xml:space="preserve">用于水泵水轮机的各种吊环（列出用途和详细清单）       </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各种专用千斤顶（列出用途和详细清单，应包括10T、25T和30T中空式分体油缸千斤顶各4件，以及10T、25T和30T矮型油缸千斤顶各4件，其他普通千斤顶）</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4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液压力矩扳手套装，包含液压力矩扳手2套、配套套筒2套（需与液压扳手匹配)、高压油管不少于4根等。</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小力矩手动力矩扳手套装，包含可调式手动力矩扳手1把及相应配套套筒</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中等力矩手动力矩扳手套装，包含可调式手动力矩扳手1把及相应配套套筒</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水轮机安装专用可变速高精度磁力钻及配套钻头（含各种规格和详细清单）</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2</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水轮机M30以上螺栓的丝锥和铰刀等（含各种规格和详细清单）</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962" w:type="dxa"/>
            <w:vAlign w:val="center"/>
          </w:tcPr>
          <w:p>
            <w:pPr>
              <w:numPr>
                <w:ilvl w:val="0"/>
                <w:numId w:val="4"/>
              </w:numPr>
              <w:snapToGrid/>
              <w:spacing w:before="0" w:after="0" w:line="240" w:lineRule="auto"/>
              <w:jc w:val="center"/>
              <w:rPr>
                <w:rFonts w:ascii="Times New Roman" w:hAnsi="Times New Roman" w:eastAsia="Times New Roman" w:cs="Times New Roman"/>
                <w:color w:val="auto"/>
                <w:sz w:val="22"/>
                <w:highlight w:val="none"/>
              </w:rPr>
            </w:pPr>
            <w:r>
              <w:rPr>
                <w:rFonts w:ascii="Times New Roman" w:hAnsi="Times New Roman" w:eastAsia="Times New Roman" w:cs="Times New Roman"/>
                <w:b w:val="0"/>
                <w:i w:val="0"/>
                <w:strike w:val="0"/>
                <w:color w:val="auto"/>
                <w:spacing w:val="0"/>
                <w:sz w:val="22"/>
                <w:highlight w:val="none"/>
                <w:u w:val="none"/>
              </w:rPr>
              <w:t> </w:t>
            </w:r>
          </w:p>
        </w:tc>
        <w:tc>
          <w:tcPr>
            <w:tcW w:w="4441" w:type="dxa"/>
            <w:vAlign w:val="center"/>
          </w:tcPr>
          <w:p>
            <w:pPr>
              <w:snapToGrid/>
              <w:spacing w:before="0" w:after="0" w:line="240" w:lineRule="auto"/>
              <w:ind w:left="0" w:right="0"/>
              <w:jc w:val="left"/>
              <w:rPr>
                <w:color w:val="auto"/>
                <w:highlight w:val="none"/>
              </w:rPr>
            </w:pPr>
            <w:r>
              <w:rPr>
                <w:rFonts w:ascii="宋体" w:hAnsi="宋体" w:eastAsia="宋体" w:cs="宋体"/>
                <w:b w:val="0"/>
                <w:i w:val="0"/>
                <w:strike w:val="0"/>
                <w:color w:val="auto"/>
                <w:spacing w:val="0"/>
                <w:sz w:val="22"/>
                <w:highlight w:val="none"/>
                <w:u w:val="none"/>
              </w:rPr>
              <w:t>特殊的专用工具和测量工具，配专用的工具箱（若有，列出用途和详细清单）</w:t>
            </w:r>
          </w:p>
        </w:tc>
        <w:tc>
          <w:tcPr>
            <w:tcW w:w="962" w:type="dxa"/>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套</w:t>
            </w:r>
          </w:p>
        </w:tc>
        <w:tc>
          <w:tcPr>
            <w:tcW w:w="962" w:type="dxa"/>
            <w:vAlign w:val="center"/>
          </w:tcPr>
          <w:p>
            <w:pPr>
              <w:snapToGrid/>
              <w:spacing w:before="0" w:after="0" w:line="240" w:lineRule="auto"/>
              <w:ind w:left="0" w:right="0"/>
              <w:jc w:val="center"/>
              <w:rPr>
                <w:color w:val="auto"/>
                <w:highlight w:val="none"/>
              </w:rPr>
            </w:pPr>
            <w:r>
              <w:rPr>
                <w:rFonts w:ascii="Times New Roman" w:hAnsi="Times New Roman" w:eastAsia="Times New Roman" w:cs="Times New Roman"/>
                <w:b w:val="0"/>
                <w:i w:val="0"/>
                <w:strike w:val="0"/>
                <w:color w:val="auto"/>
                <w:spacing w:val="0"/>
                <w:sz w:val="22"/>
                <w:highlight w:val="none"/>
                <w:u w:val="none"/>
              </w:rPr>
              <w:t>1</w:t>
            </w:r>
          </w:p>
        </w:tc>
        <w:tc>
          <w:tcPr>
            <w:tcW w:w="962" w:type="dxa"/>
            <w:vAlign w:val="center"/>
          </w:tcPr>
          <w:p>
            <w:pPr>
              <w:snapToGrid/>
              <w:spacing w:before="0" w:after="0" w:line="240" w:lineRule="auto"/>
              <w:ind w:left="0" w:right="0"/>
              <w:jc w:val="center"/>
              <w:rPr>
                <w:color w:val="auto"/>
                <w:highlight w:val="none"/>
              </w:rPr>
            </w:pPr>
          </w:p>
        </w:tc>
      </w:tr>
    </w:tbl>
    <w:p>
      <w:pPr>
        <w:pStyle w:val="76"/>
        <w:rPr>
          <w:color w:val="auto"/>
          <w:highlight w:val="none"/>
        </w:rPr>
      </w:pPr>
      <w:r>
        <w:rPr>
          <w:rFonts w:hint="eastAsia"/>
          <w:color w:val="auto"/>
          <w:highlight w:val="none"/>
        </w:rPr>
        <w:t>以主机厂最终提供专用工具为准。</w:t>
      </w:r>
    </w:p>
    <w:p>
      <w:pPr>
        <w:pStyle w:val="132"/>
        <w:rPr>
          <w:color w:val="auto"/>
          <w:highlight w:val="none"/>
        </w:rPr>
      </w:pPr>
      <w:bookmarkStart w:id="116" w:name="_Toc27027"/>
      <w:r>
        <w:rPr>
          <w:color w:val="auto"/>
          <w:highlight w:val="none"/>
        </w:rPr>
        <w:t xml:space="preserve">5.5.2  </w:t>
      </w:r>
      <w:r>
        <w:rPr>
          <w:rFonts w:hint="eastAsia"/>
          <w:color w:val="auto"/>
          <w:highlight w:val="none"/>
        </w:rPr>
        <w:t>调速系统</w:t>
      </w:r>
      <w:bookmarkEnd w:id="116"/>
    </w:p>
    <w:tbl>
      <w:tblPr>
        <w:tblStyle w:val="3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6"/>
        <w:gridCol w:w="2721"/>
        <w:gridCol w:w="984"/>
        <w:gridCol w:w="949"/>
        <w:gridCol w:w="300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66" w:type="dxa"/>
            <w:vAlign w:val="center"/>
          </w:tcPr>
          <w:p>
            <w:pPr>
              <w:widowControl/>
              <w:jc w:val="center"/>
              <w:rPr>
                <w:rFonts w:hint="eastAsia" w:ascii="宋体" w:hAnsi="宋体" w:cs="宋体"/>
                <w:b/>
                <w:bCs/>
                <w:color w:val="auto"/>
                <w:sz w:val="22"/>
                <w:highlight w:val="none"/>
              </w:rPr>
            </w:pPr>
            <w:r>
              <w:rPr>
                <w:rFonts w:hint="eastAsia" w:ascii="宋体" w:hAnsi="宋体" w:cs="宋体"/>
                <w:b/>
                <w:bCs/>
                <w:color w:val="auto"/>
                <w:kern w:val="0"/>
                <w:sz w:val="22"/>
                <w:highlight w:val="none"/>
              </w:rPr>
              <w:t>序号</w:t>
            </w:r>
          </w:p>
        </w:tc>
        <w:tc>
          <w:tcPr>
            <w:tcW w:w="2721" w:type="dxa"/>
            <w:vAlign w:val="center"/>
          </w:tcPr>
          <w:p>
            <w:pPr>
              <w:widowControl/>
              <w:jc w:val="center"/>
              <w:rPr>
                <w:rFonts w:hint="eastAsia" w:ascii="宋体" w:hAnsi="宋体" w:cs="宋体"/>
                <w:color w:val="auto"/>
                <w:kern w:val="0"/>
                <w:sz w:val="22"/>
                <w:highlight w:val="none"/>
              </w:rPr>
            </w:pPr>
            <w:r>
              <w:rPr>
                <w:rFonts w:hint="eastAsia" w:ascii="宋体" w:hAnsi="宋体" w:cs="宋体"/>
                <w:b/>
                <w:bCs/>
                <w:color w:val="auto"/>
                <w:kern w:val="0"/>
                <w:sz w:val="22"/>
                <w:highlight w:val="none"/>
              </w:rPr>
              <w:t>专用工具</w:t>
            </w:r>
          </w:p>
        </w:tc>
        <w:tc>
          <w:tcPr>
            <w:tcW w:w="984" w:type="dxa"/>
            <w:vAlign w:val="center"/>
          </w:tcPr>
          <w:p>
            <w:pPr>
              <w:widowControl/>
              <w:jc w:val="center"/>
              <w:rPr>
                <w:rFonts w:hint="eastAsia" w:ascii="宋体" w:hAnsi="宋体" w:cs="宋体"/>
                <w:color w:val="auto"/>
                <w:kern w:val="0"/>
                <w:sz w:val="22"/>
                <w:highlight w:val="none"/>
              </w:rPr>
            </w:pPr>
            <w:r>
              <w:rPr>
                <w:rFonts w:hint="eastAsia" w:ascii="宋体" w:hAnsi="宋体" w:cs="宋体"/>
                <w:b/>
                <w:bCs/>
                <w:color w:val="auto"/>
                <w:kern w:val="0"/>
                <w:sz w:val="22"/>
                <w:highlight w:val="none"/>
              </w:rPr>
              <w:t>单位</w:t>
            </w:r>
          </w:p>
        </w:tc>
        <w:tc>
          <w:tcPr>
            <w:tcW w:w="949" w:type="dxa"/>
            <w:vAlign w:val="center"/>
          </w:tcPr>
          <w:p>
            <w:pPr>
              <w:widowControl/>
              <w:jc w:val="center"/>
              <w:rPr>
                <w:rFonts w:ascii="Times New Roman" w:hAnsi="Times New Roman" w:cs="Times New Roman"/>
                <w:color w:val="auto"/>
                <w:kern w:val="0"/>
                <w:sz w:val="24"/>
                <w:szCs w:val="24"/>
                <w:highlight w:val="none"/>
              </w:rPr>
            </w:pPr>
            <w:r>
              <w:rPr>
                <w:rFonts w:hint="eastAsia" w:ascii="Times New Roman" w:hAnsi="Times New Roman" w:cs="Times New Roman"/>
                <w:b/>
                <w:bCs/>
                <w:color w:val="auto"/>
                <w:kern w:val="0"/>
                <w:sz w:val="24"/>
                <w:szCs w:val="24"/>
                <w:highlight w:val="none"/>
              </w:rPr>
              <w:t>数量</w:t>
            </w:r>
          </w:p>
        </w:tc>
        <w:tc>
          <w:tcPr>
            <w:tcW w:w="3002" w:type="dxa"/>
            <w:vAlign w:val="center"/>
          </w:tcPr>
          <w:p>
            <w:pPr>
              <w:widowControl/>
              <w:jc w:val="center"/>
              <w:rPr>
                <w:rFonts w:hint="eastAsia" w:ascii="宋体" w:hAnsi="宋体" w:cs="宋体"/>
                <w:b/>
                <w:bCs/>
                <w:color w:val="auto"/>
                <w:kern w:val="0"/>
                <w:sz w:val="22"/>
                <w:highlight w:val="none"/>
              </w:rPr>
            </w:pPr>
            <w:r>
              <w:rPr>
                <w:rFonts w:hint="eastAsia" w:ascii="宋体" w:hAnsi="宋体" w:cs="宋体"/>
                <w:b/>
                <w:bCs/>
                <w:color w:val="auto"/>
                <w:kern w:val="0"/>
                <w:sz w:val="22"/>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66" w:type="dxa"/>
            <w:vAlign w:val="center"/>
          </w:tcPr>
          <w:p>
            <w:pPr>
              <w:widowControl/>
              <w:numPr>
                <w:ilvl w:val="0"/>
                <w:numId w:val="5"/>
              </w:numPr>
              <w:jc w:val="center"/>
              <w:rPr>
                <w:rFonts w:hint="eastAsia" w:ascii="宋体" w:hAnsi="宋体" w:cs="宋体"/>
                <w:color w:val="auto"/>
                <w:sz w:val="22"/>
                <w:highlight w:val="none"/>
              </w:rPr>
            </w:pPr>
          </w:p>
        </w:tc>
        <w:tc>
          <w:tcPr>
            <w:tcW w:w="2721" w:type="dxa"/>
            <w:vAlign w:val="center"/>
          </w:tcPr>
          <w:p>
            <w:pPr>
              <w:widowControl/>
              <w:rPr>
                <w:rFonts w:hint="eastAsia" w:ascii="宋体" w:hAnsi="宋体" w:cs="宋体"/>
                <w:color w:val="auto"/>
                <w:kern w:val="0"/>
                <w:sz w:val="22"/>
                <w:highlight w:val="none"/>
              </w:rPr>
            </w:pPr>
            <w:r>
              <w:rPr>
                <w:rFonts w:hint="eastAsia"/>
                <w:color w:val="auto"/>
                <w:sz w:val="22"/>
                <w:highlight w:val="none"/>
              </w:rPr>
              <w:t>调速系统维修专用工器具</w:t>
            </w:r>
          </w:p>
        </w:tc>
        <w:tc>
          <w:tcPr>
            <w:tcW w:w="984" w:type="dxa"/>
            <w:vAlign w:val="center"/>
          </w:tcPr>
          <w:p>
            <w:pPr>
              <w:widowControl/>
              <w:jc w:val="center"/>
              <w:rPr>
                <w:rFonts w:hint="eastAsia" w:ascii="宋体" w:hAnsi="宋体" w:cs="宋体"/>
                <w:color w:val="auto"/>
                <w:kern w:val="0"/>
                <w:sz w:val="22"/>
                <w:highlight w:val="none"/>
              </w:rPr>
            </w:pPr>
            <w:r>
              <w:rPr>
                <w:rFonts w:hint="eastAsia"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kern w:val="0"/>
                <w:sz w:val="24"/>
                <w:szCs w:val="24"/>
                <w:highlight w:val="none"/>
              </w:rPr>
            </w:pPr>
            <w:r>
              <w:rPr>
                <w:rFonts w:ascii="Times New Roman" w:hAnsi="Times New Roman" w:cs="Times New Roman"/>
                <w:color w:val="auto"/>
                <w:szCs w:val="21"/>
                <w:highlight w:val="none"/>
              </w:rPr>
              <w:t>1</w:t>
            </w:r>
          </w:p>
        </w:tc>
        <w:tc>
          <w:tcPr>
            <w:tcW w:w="3002" w:type="dxa"/>
            <w:vAlign w:val="bottom"/>
          </w:tcPr>
          <w:p>
            <w:pPr>
              <w:widowControl/>
              <w:rPr>
                <w:rFonts w:hint="eastAsia" w:ascii="宋体" w:hAnsi="宋体" w:cs="宋体"/>
                <w:color w:val="auto"/>
                <w:kern w:val="0"/>
                <w:sz w:val="22"/>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numPr>
                <w:ilvl w:val="0"/>
                <w:numId w:val="5"/>
              </w:numPr>
              <w:jc w:val="center"/>
              <w:rPr>
                <w:rFonts w:hint="eastAsia" w:ascii="宋体" w:hAnsi="宋体" w:cs="宋体"/>
                <w:color w:val="auto"/>
                <w:sz w:val="22"/>
                <w:highlight w:val="none"/>
              </w:rPr>
            </w:pPr>
          </w:p>
        </w:tc>
        <w:tc>
          <w:tcPr>
            <w:tcW w:w="2721" w:type="dxa"/>
            <w:vAlign w:val="center"/>
          </w:tcPr>
          <w:p>
            <w:pPr>
              <w:widowControl/>
              <w:rPr>
                <w:rFonts w:hint="eastAsia" w:ascii="宋体" w:hAnsi="宋体" w:cs="宋体"/>
                <w:color w:val="auto"/>
                <w:kern w:val="0"/>
                <w:sz w:val="22"/>
                <w:highlight w:val="none"/>
              </w:rPr>
            </w:pPr>
            <w:r>
              <w:rPr>
                <w:rFonts w:hint="eastAsia"/>
                <w:color w:val="auto"/>
                <w:sz w:val="22"/>
                <w:highlight w:val="none"/>
              </w:rPr>
              <w:t>带有调速系统调试软件、专用数据接口的笔记本电脑（含调试软件备用光盘、连接数据线等）</w:t>
            </w:r>
          </w:p>
        </w:tc>
        <w:tc>
          <w:tcPr>
            <w:tcW w:w="984" w:type="dxa"/>
            <w:vAlign w:val="center"/>
          </w:tcPr>
          <w:p>
            <w:pPr>
              <w:widowControl/>
              <w:jc w:val="center"/>
              <w:rPr>
                <w:rFonts w:hint="eastAsia" w:ascii="宋体" w:hAnsi="宋体" w:cs="宋体"/>
                <w:color w:val="auto"/>
                <w:kern w:val="0"/>
                <w:sz w:val="22"/>
                <w:highlight w:val="none"/>
              </w:rPr>
            </w:pPr>
            <w:r>
              <w:rPr>
                <w:rFonts w:hint="eastAsia"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kern w:val="0"/>
                <w:sz w:val="24"/>
                <w:szCs w:val="24"/>
                <w:highlight w:val="none"/>
              </w:rPr>
            </w:pPr>
            <w:r>
              <w:rPr>
                <w:rFonts w:hint="eastAsia" w:ascii="Times New Roman" w:hAnsi="Times New Roman" w:cs="Times New Roman"/>
                <w:color w:val="auto"/>
                <w:szCs w:val="21"/>
                <w:highlight w:val="none"/>
              </w:rPr>
              <w:t>1</w:t>
            </w:r>
          </w:p>
        </w:tc>
        <w:tc>
          <w:tcPr>
            <w:tcW w:w="3002" w:type="dxa"/>
            <w:vAlign w:val="bottom"/>
          </w:tcPr>
          <w:p>
            <w:pPr>
              <w:widowControl/>
              <w:rPr>
                <w:rFonts w:hint="eastAsia" w:ascii="宋体" w:hAnsi="宋体" w:cs="宋体"/>
                <w:color w:val="auto"/>
                <w:kern w:val="0"/>
                <w:sz w:val="22"/>
                <w:highlight w:val="none"/>
              </w:rPr>
            </w:pPr>
          </w:p>
        </w:tc>
      </w:tr>
    </w:tbl>
    <w:p>
      <w:pPr>
        <w:pStyle w:val="76"/>
        <w:rPr>
          <w:color w:val="auto"/>
          <w:highlight w:val="none"/>
        </w:rPr>
      </w:pPr>
      <w:r>
        <w:rPr>
          <w:rFonts w:hint="eastAsia"/>
          <w:color w:val="auto"/>
          <w:highlight w:val="none"/>
        </w:rPr>
        <w:t>以主机厂最终提供专用工具为准。</w:t>
      </w:r>
    </w:p>
    <w:p>
      <w:pPr>
        <w:pStyle w:val="132"/>
        <w:rPr>
          <w:bCs/>
          <w:color w:val="auto"/>
          <w:highlight w:val="none"/>
        </w:rPr>
      </w:pPr>
      <w:bookmarkStart w:id="117" w:name="_Toc20266"/>
      <w:r>
        <w:rPr>
          <w:color w:val="auto"/>
          <w:highlight w:val="none"/>
        </w:rPr>
        <w:t xml:space="preserve">5.5.3  </w:t>
      </w:r>
      <w:r>
        <w:rPr>
          <w:rFonts w:hint="eastAsia"/>
          <w:color w:val="auto"/>
          <w:highlight w:val="none"/>
        </w:rPr>
        <w:t>进水阀</w:t>
      </w:r>
      <w:bookmarkEnd w:id="117"/>
      <w:r>
        <w:rPr>
          <w:bCs/>
          <w:color w:val="auto"/>
          <w:highlight w:val="none"/>
        </w:rPr>
        <w:tab/>
      </w:r>
    </w:p>
    <w:tbl>
      <w:tblPr>
        <w:tblStyle w:val="3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6"/>
        <w:gridCol w:w="2721"/>
        <w:gridCol w:w="984"/>
        <w:gridCol w:w="949"/>
        <w:gridCol w:w="300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66"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序号</w:t>
            </w:r>
          </w:p>
        </w:tc>
        <w:tc>
          <w:tcPr>
            <w:tcW w:w="2721"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专用工具</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单位</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数量</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球阀阀体上下游法兰连接螺栓液压拉伸器及其密封套装</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6</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液压拉伸器匹配液压泵，1套包括1件拉伸器，下同。</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2</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球阀基础连接螺栓液压拉伸器及其密封套装</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3</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伸缩节连接螺栓液压拉伸器及其密封套装</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w:t>
            </w:r>
          </w:p>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4</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球阀拐臂连接螺栓液压拉伸器及其密封套装</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球阀接力器基础连接螺栓液压拉伸器及其密封套装</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液压拉伸器匹配液压泵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6</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进水阀枢轴轴套更换专用工具</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3002" w:type="dxa"/>
            <w:vAlign w:val="center"/>
          </w:tcPr>
          <w:p>
            <w:pPr>
              <w:widowControl/>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7</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进水阀吊装专用工具（含钢丝绳、吊环等）</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3002" w:type="dxa"/>
            <w:vAlign w:val="center"/>
          </w:tcPr>
          <w:p>
            <w:pPr>
              <w:widowControl/>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8</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进水阀延伸段、伸缩节、接力器吊装工具（含钢丝绳、吊环等）</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3002" w:type="dxa"/>
            <w:vAlign w:val="center"/>
          </w:tcPr>
          <w:p>
            <w:pPr>
              <w:widowControl/>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9</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进水阀接力器装拆和分解专用工具</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3002" w:type="dxa"/>
            <w:vAlign w:val="center"/>
          </w:tcPr>
          <w:p>
            <w:pPr>
              <w:widowControl/>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6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10</w:t>
            </w:r>
          </w:p>
        </w:tc>
        <w:tc>
          <w:tcPr>
            <w:tcW w:w="2721" w:type="dxa"/>
            <w:vAlign w:val="center"/>
          </w:tcPr>
          <w:p>
            <w:pPr>
              <w:widowControl/>
              <w:jc w:val="left"/>
              <w:rPr>
                <w:rFonts w:ascii="宋体" w:hAnsi="宋体" w:eastAsia="宋体" w:cs="宋体"/>
                <w:color w:val="auto"/>
                <w:szCs w:val="21"/>
                <w:highlight w:val="none"/>
              </w:rPr>
            </w:pPr>
            <w:r>
              <w:rPr>
                <w:rFonts w:ascii="宋体" w:hAnsi="宋体" w:eastAsia="宋体" w:cs="宋体"/>
                <w:b w:val="0"/>
                <w:i w:val="0"/>
                <w:strike w:val="0"/>
                <w:color w:val="auto"/>
                <w:spacing w:val="0"/>
                <w:sz w:val="22"/>
                <w:highlight w:val="none"/>
                <w:u w:val="none"/>
              </w:rPr>
              <w:t>进水阀检修密封机械锁定专用手动扳手</w:t>
            </w:r>
          </w:p>
        </w:tc>
        <w:tc>
          <w:tcPr>
            <w:tcW w:w="984"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套</w:t>
            </w:r>
          </w:p>
        </w:tc>
        <w:tc>
          <w:tcPr>
            <w:tcW w:w="94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3002"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带棘轮，可往复，有最大力矩限制。</w:t>
            </w:r>
          </w:p>
        </w:tc>
      </w:tr>
    </w:tbl>
    <w:p>
      <w:pPr>
        <w:pStyle w:val="76"/>
        <w:rPr>
          <w:color w:val="auto"/>
          <w:highlight w:val="none"/>
        </w:rPr>
      </w:pPr>
      <w:r>
        <w:rPr>
          <w:rFonts w:hint="eastAsia"/>
          <w:color w:val="auto"/>
          <w:highlight w:val="none"/>
        </w:rPr>
        <w:t>以主机厂最终提供专用工具为准。</w:t>
      </w:r>
    </w:p>
    <w:p>
      <w:pPr>
        <w:pStyle w:val="62"/>
        <w:rPr>
          <w:color w:val="auto"/>
          <w:highlight w:val="none"/>
        </w:rPr>
      </w:pPr>
      <w:bookmarkStart w:id="118" w:name="_Toc24672"/>
      <w:bookmarkStart w:id="119" w:name="_Toc27479"/>
      <w:bookmarkStart w:id="120" w:name="_Toc22850"/>
      <w:bookmarkStart w:id="121" w:name="_Toc30485"/>
      <w:bookmarkStart w:id="122" w:name="_Toc2861"/>
      <w:r>
        <w:rPr>
          <w:color w:val="auto"/>
          <w:highlight w:val="none"/>
        </w:rPr>
        <w:t xml:space="preserve">5.6  </w:t>
      </w:r>
      <w:r>
        <w:rPr>
          <w:rFonts w:hint="eastAsia"/>
          <w:color w:val="auto"/>
          <w:highlight w:val="none"/>
        </w:rPr>
        <w:t>大件重量及尺寸</w:t>
      </w:r>
      <w:bookmarkEnd w:id="118"/>
      <w:bookmarkEnd w:id="119"/>
      <w:bookmarkEnd w:id="120"/>
      <w:bookmarkEnd w:id="121"/>
      <w:bookmarkEnd w:id="122"/>
    </w:p>
    <w:p>
      <w:pPr>
        <w:jc w:val="center"/>
        <w:rPr>
          <w:rFonts w:ascii="Times New Roman" w:hAnsi="Times New Roman" w:cs="Times New Roman"/>
          <w:color w:val="auto"/>
          <w:highlight w:val="none"/>
        </w:rPr>
      </w:pPr>
      <w:r>
        <w:rPr>
          <w:rFonts w:ascii="Times New Roman" w:hAnsi="Times New Roman" w:cs="Times New Roman"/>
          <w:color w:val="auto"/>
          <w:highlight w:val="none"/>
        </w:rPr>
        <w:t>表5.6-1  水泵水轮机及进水阀大件重量及尺寸表</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988"/>
        <w:gridCol w:w="1863"/>
        <w:gridCol w:w="2231"/>
        <w:gridCol w:w="14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序号</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设备名称</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运输方式</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运输尺寸</w:t>
            </w:r>
          </w:p>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(长×宽×高)</w:t>
            </w:r>
          </w:p>
          <w:p>
            <w:pPr>
              <w:adjustRightInd w:val="0"/>
              <w:snapToGrid w:val="0"/>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m</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运输重量</w:t>
            </w:r>
          </w:p>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转</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轮</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整体运输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shd w:val="clear" w:color="auto" w:fill="FFFFFF"/>
              </w:rPr>
              <w:t>Φ4.4</w:t>
            </w:r>
            <w:r>
              <w:rPr>
                <w:rFonts w:ascii="Times New Roman" w:hAnsi="Times New Roman"/>
                <w:color w:val="auto"/>
                <w:szCs w:val="21"/>
                <w:highlight w:val="none"/>
              </w:rPr>
              <w:t>×1.45</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顶</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盖</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分2瓣运输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rPr>
              <w:t>6.7×3.35×2.1</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70/瓣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进水阀阀体</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整体运输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rPr>
              <w:t>6.38×4.0×3.64</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rPr>
              <w:t>135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座环+蜗壳</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分2瓣运输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olor w:val="auto"/>
                <w:szCs w:val="21"/>
                <w:highlight w:val="none"/>
              </w:rPr>
              <w:t>11.0×5.65×2.65单瓣</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95/瓣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主轴</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整体运输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Φ1.0×5.25</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6</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底环</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整体运输</w:t>
            </w:r>
          </w:p>
        </w:tc>
        <w:tc>
          <w:tcPr>
            <w:tcW w:w="22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Φ6.1×1.7</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3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7</w:t>
            </w:r>
          </w:p>
        </w:tc>
        <w:tc>
          <w:tcPr>
            <w:tcW w:w="198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尾水管里衬</w:t>
            </w:r>
          </w:p>
        </w:tc>
        <w:tc>
          <w:tcPr>
            <w:tcW w:w="186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分1</w:t>
            </w:r>
            <w:r>
              <w:rPr>
                <w:rFonts w:ascii="Times New Roman" w:hAnsi="Times New Roman" w:cs="Times New Roman"/>
                <w:color w:val="auto"/>
                <w:szCs w:val="21"/>
                <w:highlight w:val="none"/>
              </w:rPr>
              <w:t>2</w:t>
            </w:r>
            <w:r>
              <w:rPr>
                <w:rFonts w:hint="eastAsia" w:ascii="Times New Roman" w:hAnsi="Times New Roman" w:cs="Times New Roman"/>
                <w:color w:val="auto"/>
                <w:szCs w:val="21"/>
                <w:highlight w:val="none"/>
              </w:rPr>
              <w:t>件</w:t>
            </w:r>
          </w:p>
        </w:tc>
        <w:tc>
          <w:tcPr>
            <w:tcW w:w="2231" w:type="dxa"/>
            <w:vAlign w:val="center"/>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5.6×5.4×3.2</w:t>
            </w:r>
          </w:p>
        </w:tc>
        <w:tc>
          <w:tcPr>
            <w:tcW w:w="1431"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13</w:t>
            </w:r>
          </w:p>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（最重件）</w:t>
            </w:r>
          </w:p>
        </w:tc>
      </w:tr>
    </w:tbl>
    <w:p>
      <w:pPr>
        <w:autoSpaceDE w:val="0"/>
        <w:autoSpaceDN w:val="0"/>
        <w:adjustRightInd w:val="0"/>
        <w:spacing w:line="360" w:lineRule="exact"/>
        <w:rPr>
          <w:rFonts w:eastAsia="新宋体"/>
          <w:color w:val="auto"/>
          <w:szCs w:val="21"/>
          <w:highlight w:val="none"/>
        </w:rPr>
      </w:pPr>
      <w:r>
        <w:rPr>
          <w:rFonts w:hint="eastAsia" w:eastAsia="新宋体"/>
          <w:color w:val="auto"/>
          <w:szCs w:val="21"/>
          <w:highlight w:val="none"/>
        </w:rPr>
        <w:t>注：上述大件重量及尺寸为初步数据，最终以实际装箱资料为准。</w:t>
      </w:r>
    </w:p>
    <w:p>
      <w:pPr>
        <w:pStyle w:val="50"/>
        <w:outlineLvl w:val="9"/>
        <w:rPr>
          <w:color w:val="auto"/>
          <w:highlight w:val="none"/>
        </w:rPr>
      </w:pP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123" w:name="_Toc114042607"/>
      <w:bookmarkStart w:id="124" w:name="_Toc17851"/>
      <w:bookmarkStart w:id="125" w:name="_Toc23470"/>
      <w:bookmarkStart w:id="126" w:name="_Toc127395716"/>
      <w:r>
        <w:rPr>
          <w:rFonts w:hint="eastAsia"/>
          <w:color w:val="auto"/>
          <w:highlight w:val="none"/>
        </w:rPr>
        <w:t>第6章</w:t>
      </w:r>
      <w:r>
        <w:rPr>
          <w:color w:val="auto"/>
          <w:highlight w:val="none"/>
        </w:rPr>
        <w:t xml:space="preserve">  </w:t>
      </w:r>
      <w:r>
        <w:rPr>
          <w:rFonts w:hint="eastAsia"/>
          <w:color w:val="auto"/>
          <w:highlight w:val="none"/>
        </w:rPr>
        <w:t>起重设备</w:t>
      </w:r>
      <w:bookmarkEnd w:id="123"/>
      <w:bookmarkEnd w:id="124"/>
      <w:bookmarkEnd w:id="125"/>
      <w:bookmarkEnd w:id="126"/>
    </w:p>
    <w:p>
      <w:pPr>
        <w:pStyle w:val="62"/>
        <w:rPr>
          <w:color w:val="auto"/>
          <w:highlight w:val="none"/>
        </w:rPr>
      </w:pPr>
      <w:bookmarkStart w:id="127" w:name="_Toc19333"/>
      <w:bookmarkStart w:id="128" w:name="_Toc27517"/>
      <w:bookmarkStart w:id="129" w:name="_Toc19416"/>
      <w:bookmarkStart w:id="130" w:name="_Toc9812"/>
      <w:bookmarkStart w:id="131" w:name="_Toc22241"/>
      <w:r>
        <w:rPr>
          <w:color w:val="auto"/>
          <w:highlight w:val="none"/>
        </w:rPr>
        <w:t xml:space="preserve">6.1  </w:t>
      </w:r>
      <w:r>
        <w:rPr>
          <w:rFonts w:hint="eastAsia"/>
          <w:color w:val="auto"/>
          <w:highlight w:val="none"/>
        </w:rPr>
        <w:t>概述</w:t>
      </w:r>
      <w:bookmarkEnd w:id="127"/>
      <w:bookmarkEnd w:id="128"/>
      <w:bookmarkEnd w:id="129"/>
      <w:bookmarkEnd w:id="130"/>
      <w:bookmarkEnd w:id="131"/>
    </w:p>
    <w:p>
      <w:pPr>
        <w:pStyle w:val="132"/>
        <w:rPr>
          <w:color w:val="auto"/>
          <w:highlight w:val="none"/>
        </w:rPr>
      </w:pPr>
      <w:bookmarkStart w:id="132" w:name="_Toc22116"/>
      <w:r>
        <w:rPr>
          <w:color w:val="auto"/>
          <w:highlight w:val="none"/>
        </w:rPr>
        <w:t xml:space="preserve">6.1.1  </w:t>
      </w:r>
      <w:r>
        <w:rPr>
          <w:rFonts w:hint="eastAsia"/>
          <w:color w:val="auto"/>
          <w:highlight w:val="none"/>
        </w:rPr>
        <w:t>工作范围</w:t>
      </w:r>
      <w:bookmarkEnd w:id="132"/>
    </w:p>
    <w:p>
      <w:pPr>
        <w:pStyle w:val="67"/>
        <w:rPr>
          <w:rFonts w:hint="eastAsia"/>
          <w:color w:val="auto"/>
          <w:highlight w:val="none"/>
        </w:rPr>
      </w:pPr>
      <w:r>
        <w:rPr>
          <w:color w:val="auto"/>
          <w:highlight w:val="none"/>
        </w:rPr>
        <w:t xml:space="preserve">6.1.1.3  主厂房内桥式起重机及其附属设备(桥机标供货) </w:t>
      </w:r>
    </w:p>
    <w:p>
      <w:pPr>
        <w:pStyle w:val="76"/>
        <w:rPr>
          <w:rFonts w:eastAsia="新宋体"/>
          <w:color w:val="auto"/>
          <w:highlight w:val="none"/>
        </w:rPr>
      </w:pPr>
      <w:r>
        <w:rPr>
          <w:rFonts w:eastAsia="新宋体"/>
          <w:color w:val="auto"/>
          <w:highlight w:val="none"/>
        </w:rPr>
        <w:t xml:space="preserve">(1) </w:t>
      </w:r>
      <w:r>
        <w:rPr>
          <w:rFonts w:hint="eastAsia" w:eastAsia="新宋体"/>
          <w:color w:val="auto"/>
          <w:highlight w:val="none"/>
        </w:rPr>
        <w:t>主厂房2500+2500/500/100kN、L</w:t>
      </w:r>
      <w:r>
        <w:rPr>
          <w:rFonts w:eastAsia="新宋体"/>
          <w:color w:val="auto"/>
          <w:highlight w:val="none"/>
          <w:vertAlign w:val="subscript"/>
        </w:rPr>
        <w:t>k</w:t>
      </w:r>
      <w:r>
        <w:rPr>
          <w:rFonts w:eastAsia="新宋体"/>
          <w:color w:val="auto"/>
          <w:highlight w:val="none"/>
        </w:rPr>
        <w:t xml:space="preserve">=24.5 </w:t>
      </w:r>
      <w:r>
        <w:rPr>
          <w:rFonts w:hint="eastAsia" w:eastAsia="新宋体"/>
          <w:color w:val="auto"/>
          <w:highlight w:val="none"/>
        </w:rPr>
        <w:t>m双小车电动双梁桥式起重机及其附属设备1台套；</w:t>
      </w:r>
    </w:p>
    <w:p>
      <w:pPr>
        <w:pStyle w:val="76"/>
        <w:rPr>
          <w:rFonts w:eastAsia="新宋体"/>
          <w:color w:val="auto"/>
          <w:highlight w:val="none"/>
        </w:rPr>
      </w:pPr>
      <w:r>
        <w:rPr>
          <w:rFonts w:eastAsia="新宋体"/>
          <w:color w:val="auto"/>
          <w:highlight w:val="none"/>
        </w:rPr>
        <w:t xml:space="preserve">(2) </w:t>
      </w:r>
      <w:r>
        <w:rPr>
          <w:rFonts w:hint="eastAsia" w:eastAsia="新宋体"/>
          <w:color w:val="auto"/>
          <w:highlight w:val="none"/>
        </w:rPr>
        <w:t>主厂房500/100kN、L</w:t>
      </w:r>
      <w:r>
        <w:rPr>
          <w:rFonts w:eastAsia="新宋体"/>
          <w:color w:val="auto"/>
          <w:highlight w:val="none"/>
          <w:vertAlign w:val="subscript"/>
        </w:rPr>
        <w:t>k</w:t>
      </w:r>
      <w:r>
        <w:rPr>
          <w:rFonts w:hint="eastAsia" w:eastAsia="新宋体"/>
          <w:color w:val="auto"/>
          <w:highlight w:val="none"/>
        </w:rPr>
        <w:t>=24.5m电动双梁桥式起重机及其附属设备1台套；</w:t>
      </w:r>
    </w:p>
    <w:p>
      <w:pPr>
        <w:pStyle w:val="76"/>
        <w:rPr>
          <w:rFonts w:eastAsia="新宋体"/>
          <w:color w:val="auto"/>
          <w:highlight w:val="none"/>
        </w:rPr>
      </w:pPr>
      <w:r>
        <w:rPr>
          <w:rFonts w:eastAsia="新宋体"/>
          <w:color w:val="auto"/>
          <w:highlight w:val="none"/>
        </w:rPr>
        <w:t xml:space="preserve">(3) </w:t>
      </w:r>
      <w:r>
        <w:rPr>
          <w:rFonts w:hint="eastAsia" w:eastAsia="新宋体"/>
          <w:color w:val="auto"/>
          <w:highlight w:val="none"/>
        </w:rPr>
        <w:t>主厂房内QU120轨道(约</w:t>
      </w:r>
      <w:r>
        <w:rPr>
          <w:rFonts w:eastAsia="新宋体"/>
          <w:color w:val="auto"/>
          <w:highlight w:val="none"/>
        </w:rPr>
        <w:t xml:space="preserve">310m) </w:t>
      </w:r>
      <w:r>
        <w:rPr>
          <w:rFonts w:hint="eastAsia" w:eastAsia="新宋体"/>
          <w:color w:val="auto"/>
          <w:highlight w:val="none"/>
        </w:rPr>
        <w:t>及轨道固定件和埋设件；</w:t>
      </w:r>
    </w:p>
    <w:p>
      <w:pPr>
        <w:pStyle w:val="76"/>
        <w:rPr>
          <w:rFonts w:eastAsia="新宋体"/>
          <w:color w:val="auto"/>
          <w:highlight w:val="none"/>
        </w:rPr>
      </w:pPr>
      <w:r>
        <w:rPr>
          <w:rFonts w:eastAsia="新宋体"/>
          <w:color w:val="auto"/>
          <w:highlight w:val="none"/>
        </w:rPr>
        <w:t xml:space="preserve">(4) </w:t>
      </w:r>
      <w:r>
        <w:rPr>
          <w:rFonts w:hint="eastAsia" w:eastAsia="新宋体"/>
          <w:color w:val="auto"/>
          <w:highlight w:val="none"/>
        </w:rPr>
        <w:t>起重机阻进器4副；</w:t>
      </w:r>
    </w:p>
    <w:p>
      <w:pPr>
        <w:pStyle w:val="76"/>
        <w:rPr>
          <w:rFonts w:eastAsia="新宋体"/>
          <w:color w:val="auto"/>
          <w:highlight w:val="none"/>
        </w:rPr>
      </w:pPr>
      <w:r>
        <w:rPr>
          <w:rFonts w:eastAsia="新宋体"/>
          <w:color w:val="auto"/>
          <w:highlight w:val="none"/>
        </w:rPr>
        <w:t xml:space="preserve">(5) </w:t>
      </w:r>
      <w:r>
        <w:rPr>
          <w:rFonts w:hint="eastAsia" w:eastAsia="新宋体"/>
          <w:color w:val="auto"/>
          <w:highlight w:val="none"/>
        </w:rPr>
        <w:t>起重机用电源滑触线约</w:t>
      </w:r>
      <w:r>
        <w:rPr>
          <w:rFonts w:eastAsia="新宋体"/>
          <w:color w:val="auto"/>
          <w:highlight w:val="none"/>
        </w:rPr>
        <w:t>156</w:t>
      </w:r>
      <w:r>
        <w:rPr>
          <w:rFonts w:hint="eastAsia" w:eastAsia="新宋体"/>
          <w:color w:val="auto"/>
          <w:highlight w:val="none"/>
        </w:rPr>
        <w:t>m(包括电源滑线支撑和埋设件)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(6) </w:t>
      </w:r>
      <w:r>
        <w:rPr>
          <w:rFonts w:hint="eastAsia" w:eastAsia="新宋体"/>
          <w:color w:val="auto"/>
          <w:highlight w:val="none"/>
        </w:rPr>
        <w:t>运行控制设备，包括机械和电气操作组件、保护组件、相应屏柜及运行所需动力和控制电缆等；</w:t>
      </w:r>
    </w:p>
    <w:p>
      <w:pPr>
        <w:pStyle w:val="76"/>
        <w:rPr>
          <w:rFonts w:eastAsia="新宋体"/>
          <w:color w:val="auto"/>
          <w:highlight w:val="none"/>
        </w:rPr>
      </w:pPr>
      <w:r>
        <w:rPr>
          <w:rFonts w:eastAsia="新宋体"/>
          <w:color w:val="auto"/>
          <w:highlight w:val="none"/>
        </w:rPr>
        <w:t xml:space="preserve">(7) </w:t>
      </w:r>
      <w:r>
        <w:rPr>
          <w:rFonts w:hint="eastAsia" w:eastAsia="新宋体"/>
          <w:color w:val="auto"/>
          <w:highlight w:val="none"/>
        </w:rPr>
        <w:t>规定的备品备件和专用工具。</w:t>
      </w:r>
    </w:p>
    <w:p>
      <w:pPr>
        <w:pStyle w:val="67"/>
        <w:tabs>
          <w:tab w:val="center" w:pos="4153"/>
          <w:tab w:val="right" w:pos="8306"/>
        </w:tabs>
        <w:rPr>
          <w:rFonts w:hint="eastAsia"/>
          <w:color w:val="auto"/>
          <w:highlight w:val="none"/>
        </w:rPr>
      </w:pPr>
      <w:r>
        <w:rPr>
          <w:color w:val="auto"/>
          <w:highlight w:val="none"/>
        </w:rPr>
        <w:t xml:space="preserve">6.1.1.4  尾水事故闸门桥式起重机及其附属设备(桥机标供货) </w:t>
      </w:r>
    </w:p>
    <w:p>
      <w:pPr>
        <w:pStyle w:val="76"/>
        <w:rPr>
          <w:rFonts w:eastAsia="新宋体"/>
          <w:color w:val="auto"/>
          <w:highlight w:val="none"/>
        </w:rPr>
      </w:pPr>
      <w:r>
        <w:rPr>
          <w:rFonts w:eastAsia="新宋体"/>
          <w:color w:val="auto"/>
          <w:highlight w:val="none"/>
        </w:rPr>
        <w:t xml:space="preserve">(1) </w:t>
      </w:r>
      <w:r>
        <w:rPr>
          <w:rFonts w:hint="eastAsia" w:eastAsia="新宋体"/>
          <w:color w:val="auto"/>
          <w:spacing w:val="4"/>
          <w:highlight w:val="none"/>
        </w:rPr>
        <w:t>尾水事故闸门廊道630</w:t>
      </w:r>
      <w:r>
        <w:rPr>
          <w:rFonts w:eastAsia="新宋体"/>
          <w:color w:val="auto"/>
          <w:spacing w:val="4"/>
          <w:highlight w:val="none"/>
        </w:rPr>
        <w:t>k</w:t>
      </w:r>
      <w:r>
        <w:rPr>
          <w:rFonts w:hint="eastAsia" w:eastAsia="新宋体"/>
          <w:color w:val="auto"/>
          <w:spacing w:val="4"/>
          <w:highlight w:val="none"/>
        </w:rPr>
        <w:t>N/50kN、L</w:t>
      </w:r>
      <w:r>
        <w:rPr>
          <w:rFonts w:eastAsia="新宋体"/>
          <w:color w:val="auto"/>
          <w:spacing w:val="4"/>
          <w:highlight w:val="none"/>
          <w:vertAlign w:val="subscript"/>
        </w:rPr>
        <w:t>k</w:t>
      </w:r>
      <w:r>
        <w:rPr>
          <w:rFonts w:hint="eastAsia" w:eastAsia="新宋体"/>
          <w:color w:val="auto"/>
          <w:spacing w:val="4"/>
          <w:highlight w:val="none"/>
        </w:rPr>
        <w:t>=7.2m电动双梁桥式起重机及其附属设备1台套；</w:t>
      </w:r>
    </w:p>
    <w:p>
      <w:pPr>
        <w:pStyle w:val="76"/>
        <w:rPr>
          <w:rFonts w:eastAsia="新宋体"/>
          <w:color w:val="auto"/>
          <w:highlight w:val="none"/>
        </w:rPr>
      </w:pPr>
      <w:r>
        <w:rPr>
          <w:rFonts w:eastAsia="新宋体"/>
          <w:color w:val="auto"/>
          <w:highlight w:val="none"/>
        </w:rPr>
        <w:t xml:space="preserve">(2) </w:t>
      </w:r>
      <w:r>
        <w:rPr>
          <w:rFonts w:hint="eastAsia" w:eastAsia="新宋体"/>
          <w:color w:val="auto"/>
          <w:highlight w:val="none"/>
        </w:rPr>
        <w:t>尾水事故闸门廊道内轨道</w:t>
      </w:r>
      <w:r>
        <w:rPr>
          <w:rFonts w:eastAsia="新宋体"/>
          <w:color w:val="auto"/>
          <w:kern w:val="2"/>
          <w:highlight w:val="none"/>
        </w:rPr>
        <w:t>2×101.5m</w:t>
      </w:r>
      <w:r>
        <w:rPr>
          <w:rFonts w:hint="eastAsia" w:eastAsia="新宋体"/>
          <w:color w:val="auto"/>
          <w:highlight w:val="none"/>
        </w:rPr>
        <w:t>(包括轨道固定件和埋设件)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(3) </w:t>
      </w:r>
      <w:r>
        <w:rPr>
          <w:rFonts w:hint="eastAsia" w:eastAsia="新宋体"/>
          <w:color w:val="auto"/>
          <w:highlight w:val="none"/>
        </w:rPr>
        <w:t>起重机阻进器4副；</w:t>
      </w:r>
    </w:p>
    <w:p>
      <w:pPr>
        <w:pStyle w:val="76"/>
        <w:rPr>
          <w:rFonts w:eastAsia="新宋体"/>
          <w:color w:val="auto"/>
          <w:highlight w:val="none"/>
        </w:rPr>
      </w:pPr>
      <w:r>
        <w:rPr>
          <w:rFonts w:eastAsia="新宋体"/>
          <w:color w:val="auto"/>
          <w:highlight w:val="none"/>
        </w:rPr>
        <w:t xml:space="preserve">(4) </w:t>
      </w:r>
      <w:r>
        <w:rPr>
          <w:rFonts w:hint="eastAsia" w:eastAsia="新宋体"/>
          <w:color w:val="auto"/>
          <w:highlight w:val="none"/>
        </w:rPr>
        <w:t>起重机用电源滑触线</w:t>
      </w:r>
      <w:r>
        <w:rPr>
          <w:rFonts w:eastAsia="新宋体"/>
          <w:color w:val="auto"/>
          <w:kern w:val="2"/>
          <w:highlight w:val="none"/>
        </w:rPr>
        <w:t>101.5m(</w:t>
      </w:r>
      <w:r>
        <w:rPr>
          <w:rFonts w:hint="eastAsia" w:eastAsia="新宋体"/>
          <w:color w:val="auto"/>
          <w:highlight w:val="none"/>
        </w:rPr>
        <w:t>包括电源滑线支撑和埋设件) ；</w:t>
      </w:r>
    </w:p>
    <w:p>
      <w:pPr>
        <w:pStyle w:val="76"/>
        <w:rPr>
          <w:rFonts w:eastAsia="新宋体"/>
          <w:color w:val="auto"/>
          <w:highlight w:val="none"/>
        </w:rPr>
      </w:pPr>
      <w:r>
        <w:rPr>
          <w:rFonts w:eastAsia="新宋体"/>
          <w:color w:val="auto"/>
          <w:highlight w:val="none"/>
        </w:rPr>
        <w:t xml:space="preserve">(5) </w:t>
      </w:r>
      <w:r>
        <w:rPr>
          <w:rFonts w:hint="eastAsia" w:eastAsia="新宋体"/>
          <w:color w:val="auto"/>
          <w:highlight w:val="none"/>
        </w:rPr>
        <w:t>运行控制设备，包括机械和电气操作组件、保护组件、相应屏柜及运行所需的动力和控制电缆等；</w:t>
      </w:r>
    </w:p>
    <w:p>
      <w:pPr>
        <w:pStyle w:val="76"/>
        <w:rPr>
          <w:rFonts w:eastAsia="新宋体"/>
          <w:color w:val="auto"/>
          <w:highlight w:val="none"/>
        </w:rPr>
      </w:pPr>
      <w:r>
        <w:rPr>
          <w:rFonts w:eastAsia="新宋体"/>
          <w:color w:val="auto"/>
          <w:highlight w:val="none"/>
        </w:rPr>
        <w:t xml:space="preserve">(6) </w:t>
      </w:r>
      <w:r>
        <w:rPr>
          <w:rFonts w:hint="eastAsia" w:eastAsia="新宋体"/>
          <w:color w:val="auto"/>
          <w:highlight w:val="none"/>
        </w:rPr>
        <w:t>规定的备品备件和专用工具。</w:t>
      </w:r>
    </w:p>
    <w:p>
      <w:pPr>
        <w:pStyle w:val="67"/>
        <w:tabs>
          <w:tab w:val="center" w:pos="4153"/>
          <w:tab w:val="right" w:pos="8306"/>
        </w:tabs>
        <w:rPr>
          <w:rFonts w:hint="eastAsia"/>
          <w:color w:val="auto"/>
          <w:highlight w:val="none"/>
        </w:rPr>
      </w:pPr>
      <w:r>
        <w:rPr>
          <w:color w:val="auto"/>
          <w:highlight w:val="none"/>
        </w:rPr>
        <w:t xml:space="preserve">6.1.1.5  </w:t>
      </w:r>
      <w:r>
        <w:rPr>
          <w:rFonts w:hint="eastAsia"/>
          <w:color w:val="auto"/>
          <w:highlight w:val="none"/>
        </w:rPr>
        <w:t>地面</w:t>
      </w:r>
      <w:r>
        <w:rPr>
          <w:color w:val="auto"/>
          <w:highlight w:val="none"/>
        </w:rPr>
        <w:t xml:space="preserve">GIS室桥式起重机及其附属设备(桥机标供货) </w:t>
      </w:r>
    </w:p>
    <w:p>
      <w:pPr>
        <w:pStyle w:val="76"/>
        <w:rPr>
          <w:rFonts w:eastAsia="新宋体"/>
          <w:color w:val="auto"/>
          <w:highlight w:val="none"/>
        </w:rPr>
      </w:pPr>
      <w:r>
        <w:rPr>
          <w:rFonts w:eastAsia="新宋体"/>
          <w:color w:val="auto"/>
          <w:highlight w:val="none"/>
        </w:rPr>
        <w:t xml:space="preserve">(1) </w:t>
      </w:r>
      <w:r>
        <w:rPr>
          <w:rFonts w:hint="eastAsia" w:eastAsia="新宋体"/>
          <w:color w:val="auto"/>
          <w:highlight w:val="none"/>
        </w:rPr>
        <w:t>地面GIS室100</w:t>
      </w:r>
      <w:r>
        <w:rPr>
          <w:rFonts w:eastAsia="新宋体"/>
          <w:color w:val="auto"/>
          <w:highlight w:val="none"/>
        </w:rPr>
        <w:t>k</w:t>
      </w:r>
      <w:r>
        <w:rPr>
          <w:rFonts w:hint="eastAsia" w:eastAsia="新宋体"/>
          <w:color w:val="auto"/>
          <w:highlight w:val="none"/>
        </w:rPr>
        <w:t>N电动单梁桥式起重机及其附属设备1台套，跨度暂定</w:t>
      </w:r>
      <w:r>
        <w:rPr>
          <w:rFonts w:eastAsia="新宋体"/>
          <w:color w:val="auto"/>
          <w:highlight w:val="none"/>
        </w:rPr>
        <w:t>14.3</w:t>
      </w:r>
      <w:r>
        <w:rPr>
          <w:rFonts w:hint="eastAsia" w:eastAsia="新宋体"/>
          <w:color w:val="auto"/>
          <w:highlight w:val="none"/>
        </w:rPr>
        <w:t>m；</w:t>
      </w:r>
    </w:p>
    <w:p>
      <w:pPr>
        <w:pStyle w:val="76"/>
        <w:rPr>
          <w:rFonts w:eastAsia="新宋体"/>
          <w:color w:val="auto"/>
          <w:highlight w:val="none"/>
        </w:rPr>
      </w:pPr>
      <w:r>
        <w:rPr>
          <w:rFonts w:eastAsia="新宋体"/>
          <w:color w:val="auto"/>
          <w:highlight w:val="none"/>
        </w:rPr>
        <w:t xml:space="preserve">(2) </w:t>
      </w:r>
      <w:r>
        <w:rPr>
          <w:rFonts w:hint="eastAsia" w:eastAsia="新宋体"/>
          <w:color w:val="auto"/>
          <w:highlight w:val="none"/>
        </w:rPr>
        <w:t>重轨P43轨道约</w:t>
      </w:r>
      <w:r>
        <w:rPr>
          <w:rFonts w:eastAsia="新宋体"/>
          <w:color w:val="auto"/>
          <w:highlight w:val="none"/>
        </w:rPr>
        <w:t>110</w:t>
      </w:r>
      <w:r>
        <w:rPr>
          <w:rFonts w:hint="eastAsia" w:eastAsia="新宋体"/>
          <w:color w:val="auto"/>
          <w:highlight w:val="none"/>
        </w:rPr>
        <w:t>m(包括轨道固定件和埋设件)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(3) </w:t>
      </w:r>
      <w:r>
        <w:rPr>
          <w:rFonts w:hint="eastAsia" w:eastAsia="新宋体"/>
          <w:color w:val="auto"/>
          <w:highlight w:val="none"/>
        </w:rPr>
        <w:t>起重机阻进器4副；</w:t>
      </w:r>
    </w:p>
    <w:p>
      <w:pPr>
        <w:pStyle w:val="76"/>
        <w:rPr>
          <w:rFonts w:eastAsia="新宋体"/>
          <w:color w:val="auto"/>
          <w:highlight w:val="none"/>
        </w:rPr>
      </w:pPr>
      <w:r>
        <w:rPr>
          <w:rFonts w:eastAsia="新宋体"/>
          <w:color w:val="auto"/>
          <w:highlight w:val="none"/>
        </w:rPr>
        <w:t xml:space="preserve">(4) </w:t>
      </w:r>
      <w:r>
        <w:rPr>
          <w:rFonts w:hint="eastAsia" w:eastAsia="新宋体"/>
          <w:color w:val="auto"/>
          <w:highlight w:val="none"/>
        </w:rPr>
        <w:t>起重机用电源滑触线约</w:t>
      </w:r>
      <w:r>
        <w:rPr>
          <w:rFonts w:eastAsia="新宋体"/>
          <w:color w:val="auto"/>
          <w:highlight w:val="none"/>
        </w:rPr>
        <w:t>55</w:t>
      </w:r>
      <w:r>
        <w:rPr>
          <w:rFonts w:hint="eastAsia" w:eastAsia="新宋体"/>
          <w:color w:val="auto"/>
          <w:highlight w:val="none"/>
        </w:rPr>
        <w:t>m(包括电源滑线支撑和埋设件)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(5) </w:t>
      </w:r>
      <w:r>
        <w:rPr>
          <w:rFonts w:hint="eastAsia" w:eastAsia="新宋体"/>
          <w:color w:val="auto"/>
          <w:highlight w:val="none"/>
        </w:rPr>
        <w:t>运行控制设备，包括机械和电气操作组件、保护组件、相应屏柜及运行所需的动力和控制电缆等；</w:t>
      </w:r>
    </w:p>
    <w:p>
      <w:pPr>
        <w:pStyle w:val="76"/>
        <w:rPr>
          <w:rFonts w:eastAsia="新宋体"/>
          <w:color w:val="auto"/>
          <w:highlight w:val="none"/>
        </w:rPr>
      </w:pPr>
      <w:r>
        <w:rPr>
          <w:rFonts w:eastAsia="新宋体"/>
          <w:color w:val="auto"/>
          <w:highlight w:val="none"/>
        </w:rPr>
        <w:t xml:space="preserve">(6) </w:t>
      </w:r>
      <w:r>
        <w:rPr>
          <w:rFonts w:hint="eastAsia" w:eastAsia="新宋体"/>
          <w:color w:val="auto"/>
          <w:highlight w:val="none"/>
        </w:rPr>
        <w:t>规定的备品备件和专用工具。</w:t>
      </w:r>
    </w:p>
    <w:p>
      <w:pPr>
        <w:pStyle w:val="67"/>
        <w:tabs>
          <w:tab w:val="center" w:pos="4153"/>
          <w:tab w:val="right" w:pos="8306"/>
        </w:tabs>
        <w:rPr>
          <w:rFonts w:hint="eastAsia"/>
          <w:color w:val="auto"/>
          <w:highlight w:val="none"/>
        </w:rPr>
      </w:pPr>
      <w:r>
        <w:rPr>
          <w:color w:val="auto"/>
          <w:highlight w:val="none"/>
        </w:rPr>
        <w:t xml:space="preserve">6.1.1.6  </w:t>
      </w:r>
      <w:r>
        <w:rPr>
          <w:rFonts w:hint="eastAsia"/>
          <w:color w:val="auto"/>
          <w:highlight w:val="none"/>
        </w:rPr>
        <w:t>永久仓库</w:t>
      </w:r>
      <w:r>
        <w:rPr>
          <w:color w:val="auto"/>
          <w:highlight w:val="none"/>
        </w:rPr>
        <w:t xml:space="preserve">桥式起重机及其附属设备(桥机标供货) </w:t>
      </w:r>
    </w:p>
    <w:p>
      <w:pPr>
        <w:pStyle w:val="76"/>
        <w:rPr>
          <w:rFonts w:eastAsia="新宋体"/>
          <w:color w:val="auto"/>
          <w:highlight w:val="none"/>
        </w:rPr>
      </w:pPr>
      <w:r>
        <w:rPr>
          <w:rFonts w:eastAsia="新宋体"/>
          <w:color w:val="auto"/>
          <w:highlight w:val="none"/>
        </w:rPr>
        <w:t>(1)</w:t>
      </w:r>
      <w:r>
        <w:rPr>
          <w:rFonts w:eastAsia="新宋体"/>
          <w:color w:val="auto"/>
          <w:highlight w:val="none"/>
          <w:shd w:val="clear" w:color="auto" w:fill="auto"/>
        </w:rPr>
        <w:t xml:space="preserve"> 32</w:t>
      </w:r>
      <w:r>
        <w:rPr>
          <w:rFonts w:hint="eastAsia" w:eastAsia="新宋体"/>
          <w:color w:val="auto"/>
          <w:highlight w:val="none"/>
          <w:shd w:val="clear" w:color="auto" w:fill="auto"/>
        </w:rPr>
        <w:t>0/50kN电</w:t>
      </w:r>
      <w:r>
        <w:rPr>
          <w:rFonts w:hint="eastAsia" w:eastAsia="新宋体"/>
          <w:color w:val="auto"/>
          <w:highlight w:val="none"/>
        </w:rPr>
        <w:t>动双梁桥式起重机及其附属设备1台套，跨度暂定18.5m；</w:t>
      </w:r>
    </w:p>
    <w:p>
      <w:pPr>
        <w:pStyle w:val="76"/>
        <w:rPr>
          <w:rFonts w:eastAsia="新宋体"/>
          <w:color w:val="auto"/>
          <w:highlight w:val="none"/>
        </w:rPr>
      </w:pPr>
      <w:r>
        <w:rPr>
          <w:rFonts w:eastAsia="新宋体"/>
          <w:color w:val="auto"/>
          <w:highlight w:val="none"/>
        </w:rPr>
        <w:t xml:space="preserve">(2) </w:t>
      </w:r>
      <w:r>
        <w:rPr>
          <w:rFonts w:hint="eastAsia" w:eastAsia="新宋体"/>
          <w:color w:val="auto"/>
          <w:highlight w:val="none"/>
        </w:rPr>
        <w:t>重轨P43轨道约2</w:t>
      </w:r>
      <w:r>
        <w:rPr>
          <w:rFonts w:hint="eastAsia" w:eastAsia="新宋体"/>
          <w:color w:val="auto"/>
          <w:sz w:val="18"/>
          <w:szCs w:val="18"/>
          <w:highlight w:val="none"/>
        </w:rPr>
        <w:t>×</w:t>
      </w:r>
      <w:r>
        <w:rPr>
          <w:rFonts w:hint="eastAsia" w:eastAsia="新宋体"/>
          <w:color w:val="auto"/>
          <w:kern w:val="2"/>
          <w:highlight w:val="none"/>
        </w:rPr>
        <w:t>50</w:t>
      </w:r>
      <w:r>
        <w:rPr>
          <w:rFonts w:eastAsia="新宋体"/>
          <w:color w:val="auto"/>
          <w:kern w:val="2"/>
          <w:highlight w:val="none"/>
        </w:rPr>
        <w:t>m</w:t>
      </w:r>
      <w:r>
        <w:rPr>
          <w:rFonts w:hint="eastAsia" w:eastAsia="新宋体"/>
          <w:color w:val="auto"/>
          <w:highlight w:val="none"/>
        </w:rPr>
        <w:t>(包括轨道固定件和埋设件)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(3) </w:t>
      </w:r>
      <w:r>
        <w:rPr>
          <w:rFonts w:hint="eastAsia" w:eastAsia="新宋体"/>
          <w:color w:val="auto"/>
          <w:highlight w:val="none"/>
        </w:rPr>
        <w:t>起重机阻进器4副；</w:t>
      </w:r>
    </w:p>
    <w:p>
      <w:pPr>
        <w:pStyle w:val="76"/>
        <w:rPr>
          <w:rFonts w:eastAsia="新宋体"/>
          <w:color w:val="auto"/>
          <w:highlight w:val="none"/>
        </w:rPr>
      </w:pPr>
      <w:r>
        <w:rPr>
          <w:rFonts w:eastAsia="新宋体"/>
          <w:color w:val="auto"/>
          <w:highlight w:val="none"/>
        </w:rPr>
        <w:t xml:space="preserve">(4) </w:t>
      </w:r>
      <w:r>
        <w:rPr>
          <w:rFonts w:hint="eastAsia" w:eastAsia="新宋体"/>
          <w:color w:val="auto"/>
          <w:highlight w:val="none"/>
        </w:rPr>
        <w:t>起重机用电源滑触线约</w:t>
      </w:r>
      <w:r>
        <w:rPr>
          <w:rFonts w:hint="eastAsia" w:eastAsia="新宋体"/>
          <w:color w:val="auto"/>
          <w:kern w:val="2"/>
          <w:highlight w:val="none"/>
        </w:rPr>
        <w:t>50</w:t>
      </w:r>
      <w:r>
        <w:rPr>
          <w:rFonts w:eastAsia="新宋体"/>
          <w:color w:val="auto"/>
          <w:kern w:val="2"/>
          <w:highlight w:val="none"/>
        </w:rPr>
        <w:t>m(</w:t>
      </w:r>
      <w:r>
        <w:rPr>
          <w:rFonts w:hint="eastAsia" w:eastAsia="新宋体"/>
          <w:color w:val="auto"/>
          <w:highlight w:val="none"/>
        </w:rPr>
        <w:t>包括电源滑线支撑和埋设件)</w:t>
      </w:r>
      <w:r>
        <w:rPr>
          <w:rFonts w:eastAsia="新宋体"/>
          <w:color w:val="auto"/>
          <w:highlight w:val="none"/>
        </w:rPr>
        <w:t xml:space="preserve"> </w:t>
      </w:r>
      <w:r>
        <w:rPr>
          <w:rFonts w:hint="eastAsia" w:eastAsia="新宋体"/>
          <w:color w:val="auto"/>
          <w:highlight w:val="none"/>
        </w:rPr>
        <w:t>；</w:t>
      </w:r>
    </w:p>
    <w:p>
      <w:pPr>
        <w:pStyle w:val="76"/>
        <w:rPr>
          <w:rFonts w:eastAsia="新宋体"/>
          <w:color w:val="auto"/>
          <w:highlight w:val="none"/>
        </w:rPr>
      </w:pPr>
      <w:r>
        <w:rPr>
          <w:rFonts w:eastAsia="新宋体"/>
          <w:color w:val="auto"/>
          <w:highlight w:val="none"/>
        </w:rPr>
        <w:t xml:space="preserve">(5) </w:t>
      </w:r>
      <w:r>
        <w:rPr>
          <w:rFonts w:hint="eastAsia" w:eastAsia="新宋体"/>
          <w:color w:val="auto"/>
          <w:highlight w:val="none"/>
        </w:rPr>
        <w:t>运行控制设备，包括机械和电气操作组件、保护组件、相应屏柜及运行所需的动力和控制电缆等；</w:t>
      </w:r>
    </w:p>
    <w:p>
      <w:pPr>
        <w:pStyle w:val="76"/>
        <w:rPr>
          <w:rFonts w:eastAsia="新宋体"/>
          <w:color w:val="auto"/>
          <w:highlight w:val="none"/>
        </w:rPr>
      </w:pPr>
      <w:r>
        <w:rPr>
          <w:rFonts w:eastAsia="新宋体"/>
          <w:color w:val="auto"/>
          <w:highlight w:val="none"/>
        </w:rPr>
        <w:t xml:space="preserve">(6) </w:t>
      </w:r>
      <w:r>
        <w:rPr>
          <w:rFonts w:hint="eastAsia" w:eastAsia="新宋体"/>
          <w:color w:val="auto"/>
          <w:highlight w:val="none"/>
        </w:rPr>
        <w:t>规定的备品备件和专用工具。</w:t>
      </w:r>
    </w:p>
    <w:p>
      <w:pPr>
        <w:pStyle w:val="67"/>
        <w:tabs>
          <w:tab w:val="center" w:pos="4153"/>
          <w:tab w:val="right" w:pos="8306"/>
        </w:tabs>
        <w:rPr>
          <w:rFonts w:hint="eastAsia"/>
          <w:color w:val="auto"/>
          <w:highlight w:val="none"/>
        </w:rPr>
      </w:pPr>
      <w:r>
        <w:rPr>
          <w:color w:val="auto"/>
          <w:highlight w:val="none"/>
        </w:rPr>
        <w:t xml:space="preserve">6.1.1.7  主厂房内设备起吊用手拉葫芦、轨道及其埋设件(本标承包人供货) </w:t>
      </w:r>
      <w:r>
        <w:rPr>
          <w:rFonts w:hint="eastAsia"/>
          <w:color w:val="auto"/>
          <w:highlight w:val="none"/>
        </w:rPr>
        <w:t>，详见</w:t>
      </w:r>
      <w:r>
        <w:rPr>
          <w:color w:val="auto"/>
          <w:highlight w:val="none"/>
        </w:rPr>
        <w:t>6.2</w:t>
      </w:r>
      <w:r>
        <w:rPr>
          <w:rFonts w:hint="eastAsia"/>
          <w:color w:val="auto"/>
          <w:highlight w:val="none"/>
        </w:rPr>
        <w:t>节。</w:t>
      </w:r>
    </w:p>
    <w:p>
      <w:pPr>
        <w:pStyle w:val="67"/>
        <w:tabs>
          <w:tab w:val="center" w:pos="4153"/>
          <w:tab w:val="right" w:pos="8306"/>
        </w:tabs>
        <w:rPr>
          <w:rFonts w:hint="eastAsia"/>
          <w:color w:val="auto"/>
          <w:highlight w:val="none"/>
        </w:rPr>
      </w:pPr>
      <w:r>
        <w:rPr>
          <w:color w:val="auto"/>
          <w:highlight w:val="none"/>
        </w:rPr>
        <w:t>6.1.1.8  主变室起吊用手拉葫芦、轨道及其埋设件(本标承包人供货) ，详见6.2</w:t>
      </w:r>
      <w:r>
        <w:rPr>
          <w:rFonts w:hint="eastAsia"/>
          <w:color w:val="auto"/>
          <w:highlight w:val="none"/>
        </w:rPr>
        <w:t>节。</w:t>
      </w:r>
      <w:r>
        <w:rPr>
          <w:color w:val="auto"/>
          <w:highlight w:val="none"/>
        </w:rPr>
        <w:t xml:space="preserve"> </w:t>
      </w:r>
    </w:p>
    <w:p>
      <w:pPr>
        <w:pStyle w:val="67"/>
        <w:tabs>
          <w:tab w:val="center" w:pos="4153"/>
          <w:tab w:val="right" w:pos="8306"/>
        </w:tabs>
        <w:rPr>
          <w:rFonts w:hint="eastAsia"/>
          <w:color w:val="auto"/>
          <w:highlight w:val="none"/>
        </w:rPr>
      </w:pPr>
      <w:r>
        <w:rPr>
          <w:color w:val="auto"/>
          <w:highlight w:val="none"/>
        </w:rPr>
        <w:t>6.1.1.9  地下GIS室起吊用电动葫芦</w:t>
      </w:r>
      <w:r>
        <w:rPr>
          <w:rFonts w:hint="eastAsia"/>
          <w:color w:val="auto"/>
          <w:highlight w:val="none"/>
        </w:rPr>
        <w:t>及相关配套设备</w:t>
      </w:r>
      <w:r>
        <w:rPr>
          <w:color w:val="auto"/>
          <w:highlight w:val="none"/>
        </w:rPr>
        <w:t xml:space="preserve">(本标承包人供货) </w:t>
      </w:r>
      <w:r>
        <w:rPr>
          <w:rFonts w:hint="eastAsia"/>
          <w:color w:val="auto"/>
          <w:highlight w:val="none"/>
        </w:rPr>
        <w:t>，详见</w:t>
      </w:r>
      <w:r>
        <w:rPr>
          <w:color w:val="auto"/>
          <w:highlight w:val="none"/>
        </w:rPr>
        <w:t>6.2</w:t>
      </w:r>
      <w:r>
        <w:rPr>
          <w:rFonts w:hint="eastAsia"/>
          <w:color w:val="auto"/>
          <w:highlight w:val="none"/>
        </w:rPr>
        <w:t>节。</w:t>
      </w:r>
      <w:r>
        <w:rPr>
          <w:color w:val="auto"/>
          <w:highlight w:val="none"/>
        </w:rPr>
        <w:t>6.1.1.1</w:t>
      </w:r>
      <w:r>
        <w:rPr>
          <w:rFonts w:hint="eastAsia"/>
          <w:color w:val="auto"/>
          <w:highlight w:val="none"/>
          <w:lang w:val="en-US"/>
        </w:rPr>
        <w:t>0</w:t>
      </w:r>
      <w:r>
        <w:rPr>
          <w:color w:val="auto"/>
          <w:highlight w:val="none"/>
        </w:rPr>
        <w:t xml:space="preserve">  主厂房桥机部件吊装用顶拱吊钩（装设于屋顶网架）的制作与安装。</w:t>
      </w:r>
    </w:p>
    <w:p>
      <w:pPr>
        <w:pStyle w:val="76"/>
        <w:rPr>
          <w:color w:val="auto"/>
          <w:highlight w:val="none"/>
        </w:rPr>
      </w:pPr>
      <w:r>
        <w:rPr>
          <w:rFonts w:hint="eastAsia"/>
          <w:color w:val="auto"/>
          <w:highlight w:val="none"/>
        </w:rPr>
        <w:t>以上起重设备及吊点详细技术要求待详细设计后确定。</w:t>
      </w:r>
    </w:p>
    <w:p>
      <w:pPr>
        <w:pStyle w:val="62"/>
        <w:rPr>
          <w:color w:val="auto"/>
          <w:highlight w:val="none"/>
        </w:rPr>
      </w:pPr>
      <w:bookmarkStart w:id="133" w:name="_Toc7291"/>
      <w:bookmarkStart w:id="134" w:name="_Toc27742"/>
      <w:bookmarkStart w:id="135" w:name="_Toc11230"/>
      <w:bookmarkStart w:id="136" w:name="_Toc14074"/>
      <w:bookmarkStart w:id="137" w:name="_Toc17170"/>
      <w:r>
        <w:rPr>
          <w:color w:val="auto"/>
          <w:highlight w:val="none"/>
        </w:rPr>
        <w:t xml:space="preserve">6.2  </w:t>
      </w:r>
      <w:r>
        <w:rPr>
          <w:rFonts w:hint="eastAsia"/>
          <w:color w:val="auto"/>
          <w:highlight w:val="none"/>
        </w:rPr>
        <w:t>简要技术说明</w:t>
      </w:r>
      <w:bookmarkEnd w:id="133"/>
      <w:bookmarkEnd w:id="134"/>
      <w:bookmarkEnd w:id="135"/>
      <w:bookmarkEnd w:id="136"/>
      <w:bookmarkEnd w:id="137"/>
    </w:p>
    <w:p>
      <w:pPr>
        <w:pStyle w:val="132"/>
        <w:rPr>
          <w:color w:val="auto"/>
          <w:highlight w:val="none"/>
        </w:rPr>
      </w:pPr>
      <w:bookmarkStart w:id="138" w:name="_Toc10449"/>
      <w:r>
        <w:rPr>
          <w:color w:val="auto"/>
          <w:highlight w:val="none"/>
        </w:rPr>
        <w:t xml:space="preserve">6.2.1 </w:t>
      </w:r>
      <w:r>
        <w:rPr>
          <w:rFonts w:hint="eastAsia" w:eastAsia="新宋体"/>
          <w:color w:val="auto"/>
          <w:highlight w:val="none"/>
        </w:rPr>
        <w:t xml:space="preserve"> 主厂房2500+2500/500/100kN桥式起重机</w:t>
      </w:r>
      <w:bookmarkEnd w:id="138"/>
    </w:p>
    <w:p>
      <w:pPr>
        <w:pStyle w:val="76"/>
        <w:rPr>
          <w:rFonts w:eastAsia="新宋体"/>
          <w:color w:val="auto"/>
          <w:highlight w:val="none"/>
        </w:rPr>
      </w:pPr>
      <w:r>
        <w:rPr>
          <w:rFonts w:hint="eastAsia" w:eastAsia="新宋体"/>
          <w:color w:val="auto"/>
          <w:highlight w:val="none"/>
        </w:rPr>
        <w:t>主厂房2500+25</w:t>
      </w:r>
      <w:r>
        <w:rPr>
          <w:color w:val="auto"/>
          <w:highlight w:val="none"/>
        </w:rPr>
        <w:t>00/</w:t>
      </w:r>
      <w:r>
        <w:rPr>
          <w:rFonts w:eastAsia="新宋体"/>
          <w:color w:val="auto"/>
          <w:highlight w:val="none"/>
        </w:rPr>
        <w:t>500/100kN</w:t>
      </w:r>
      <w:r>
        <w:rPr>
          <w:rFonts w:hint="eastAsia" w:eastAsia="新宋体"/>
          <w:color w:val="auto"/>
          <w:highlight w:val="none"/>
        </w:rPr>
        <w:t>、</w:t>
      </w:r>
      <w:r>
        <w:rPr>
          <w:rFonts w:eastAsia="新宋体"/>
          <w:color w:val="auto"/>
          <w:highlight w:val="none"/>
        </w:rPr>
        <w:t>L</w:t>
      </w:r>
      <w:r>
        <w:rPr>
          <w:rFonts w:eastAsia="新宋体"/>
          <w:color w:val="auto"/>
          <w:highlight w:val="none"/>
          <w:vertAlign w:val="subscript"/>
        </w:rPr>
        <w:t>k</w:t>
      </w:r>
      <w:r>
        <w:rPr>
          <w:rFonts w:eastAsia="新宋体"/>
          <w:color w:val="auto"/>
          <w:highlight w:val="none"/>
        </w:rPr>
        <w:t>=24.5m</w:t>
      </w:r>
      <w:r>
        <w:rPr>
          <w:rFonts w:hint="eastAsia" w:eastAsia="新宋体"/>
          <w:color w:val="auto"/>
          <w:highlight w:val="none"/>
        </w:rPr>
        <w:t>双小车电动双梁桥式起重机将安装在主厂房内。</w:t>
      </w:r>
    </w:p>
    <w:p>
      <w:pPr>
        <w:pStyle w:val="76"/>
        <w:rPr>
          <w:rFonts w:eastAsia="新宋体"/>
          <w:color w:val="auto"/>
          <w:highlight w:val="none"/>
        </w:rPr>
      </w:pPr>
      <w:r>
        <w:rPr>
          <w:rFonts w:hint="eastAsia" w:eastAsia="新宋体"/>
          <w:color w:val="auto"/>
          <w:highlight w:val="none"/>
        </w:rPr>
        <w:t>桥机主要技术特性如下：</w:t>
      </w:r>
    </w:p>
    <w:p>
      <w:pPr>
        <w:pStyle w:val="76"/>
        <w:rPr>
          <w:rFonts w:eastAsia="新宋体"/>
          <w:color w:val="auto"/>
          <w:highlight w:val="none"/>
        </w:rPr>
      </w:pPr>
      <w:r>
        <w:rPr>
          <w:rFonts w:hint="eastAsia" w:eastAsia="新宋体"/>
          <w:color w:val="auto"/>
          <w:highlight w:val="none"/>
        </w:rPr>
        <w:t>额定起重量</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hint="eastAsia" w:eastAsia="新宋体"/>
          <w:color w:val="auto"/>
          <w:highlight w:val="none"/>
        </w:rPr>
        <w:t>25</w:t>
      </w:r>
      <w:r>
        <w:rPr>
          <w:rFonts w:eastAsia="新宋体"/>
          <w:color w:val="auto"/>
          <w:highlight w:val="none"/>
        </w:rPr>
        <w:t>00kN</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 xml:space="preserve">             </w:t>
      </w:r>
      <w:r>
        <w:rPr>
          <w:rFonts w:eastAsia="新宋体"/>
          <w:color w:val="auto"/>
          <w:highlight w:val="none"/>
        </w:rPr>
        <w:tab/>
      </w:r>
      <w:r>
        <w:rPr>
          <w:rFonts w:eastAsia="新宋体"/>
          <w:color w:val="auto"/>
          <w:highlight w:val="none"/>
        </w:rPr>
        <w:t>500kN</w:t>
      </w:r>
    </w:p>
    <w:p>
      <w:pPr>
        <w:pStyle w:val="76"/>
        <w:rPr>
          <w:rFonts w:eastAsia="新宋体"/>
          <w:color w:val="auto"/>
          <w:highlight w:val="none"/>
        </w:rPr>
      </w:pPr>
      <w:r>
        <w:rPr>
          <w:rFonts w:hint="eastAsia" w:eastAsia="新宋体"/>
          <w:color w:val="auto"/>
          <w:highlight w:val="none"/>
        </w:rPr>
        <w:t>电动葫芦</w:t>
      </w:r>
      <w:r>
        <w:rPr>
          <w:rFonts w:eastAsia="新宋体"/>
          <w:color w:val="auto"/>
          <w:highlight w:val="none"/>
        </w:rPr>
        <w:t xml:space="preserve">         </w:t>
      </w:r>
      <w:r>
        <w:rPr>
          <w:rFonts w:eastAsia="新宋体"/>
          <w:color w:val="auto"/>
          <w:highlight w:val="none"/>
        </w:rPr>
        <w:tab/>
      </w:r>
      <w:r>
        <w:rPr>
          <w:rFonts w:eastAsia="新宋体"/>
          <w:color w:val="auto"/>
          <w:highlight w:val="none"/>
        </w:rPr>
        <w:t>100kN</w:t>
      </w:r>
    </w:p>
    <w:p>
      <w:pPr>
        <w:pStyle w:val="76"/>
        <w:rPr>
          <w:rFonts w:eastAsia="新宋体"/>
          <w:color w:val="auto"/>
          <w:highlight w:val="none"/>
        </w:rPr>
      </w:pPr>
      <w:r>
        <w:rPr>
          <w:rFonts w:hint="eastAsia" w:eastAsia="新宋体"/>
          <w:color w:val="auto"/>
          <w:highlight w:val="none"/>
        </w:rPr>
        <w:t>跨度</w:t>
      </w:r>
      <w:r>
        <w:rPr>
          <w:rFonts w:eastAsia="新宋体"/>
          <w:color w:val="auto"/>
          <w:highlight w:val="none"/>
        </w:rPr>
        <w:t xml:space="preserve">             </w:t>
      </w:r>
      <w:r>
        <w:rPr>
          <w:rFonts w:eastAsia="新宋体"/>
          <w:color w:val="auto"/>
          <w:highlight w:val="none"/>
        </w:rPr>
        <w:tab/>
      </w:r>
      <w:r>
        <w:rPr>
          <w:rFonts w:eastAsia="新宋体"/>
          <w:color w:val="auto"/>
          <w:highlight w:val="none"/>
        </w:rPr>
        <w:t>24.5m</w:t>
      </w:r>
    </w:p>
    <w:p>
      <w:pPr>
        <w:pStyle w:val="76"/>
        <w:rPr>
          <w:rFonts w:eastAsia="新宋体"/>
          <w:color w:val="auto"/>
          <w:highlight w:val="none"/>
        </w:rPr>
      </w:pPr>
      <w:r>
        <w:rPr>
          <w:rFonts w:hint="eastAsia" w:eastAsia="新宋体"/>
          <w:color w:val="auto"/>
          <w:highlight w:val="none"/>
        </w:rPr>
        <w:t>起升高度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 xml:space="preserve">             </w:t>
      </w:r>
      <w:r>
        <w:rPr>
          <w:rFonts w:eastAsia="新宋体"/>
          <w:color w:val="auto"/>
          <w:highlight w:val="none"/>
        </w:rPr>
        <w:tab/>
      </w:r>
      <w:r>
        <w:rPr>
          <w:rFonts w:hint="eastAsia" w:eastAsia="新宋体"/>
          <w:color w:val="auto"/>
          <w:highlight w:val="none"/>
        </w:rPr>
        <w:t>33</w:t>
      </w:r>
      <w:r>
        <w:rPr>
          <w:rFonts w:eastAsia="新宋体"/>
          <w:color w:val="auto"/>
          <w:highlight w:val="none"/>
        </w:rPr>
        <w:t>.0m</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eastAsia="新宋体"/>
          <w:color w:val="auto"/>
          <w:highlight w:val="none"/>
        </w:rPr>
        <w:t>4</w:t>
      </w:r>
      <w:r>
        <w:rPr>
          <w:rFonts w:hint="eastAsia" w:eastAsia="新宋体"/>
          <w:color w:val="auto"/>
          <w:highlight w:val="none"/>
        </w:rPr>
        <w:t>0</w:t>
      </w:r>
      <w:r>
        <w:rPr>
          <w:rFonts w:eastAsia="新宋体"/>
          <w:color w:val="auto"/>
          <w:highlight w:val="none"/>
        </w:rPr>
        <w:t>.5m</w:t>
      </w:r>
    </w:p>
    <w:p>
      <w:pPr>
        <w:pStyle w:val="76"/>
        <w:rPr>
          <w:rFonts w:eastAsia="新宋体"/>
          <w:color w:val="auto"/>
          <w:highlight w:val="none"/>
        </w:rPr>
      </w:pPr>
      <w:r>
        <w:rPr>
          <w:rFonts w:hint="eastAsia" w:eastAsia="新宋体"/>
          <w:color w:val="auto"/>
          <w:highlight w:val="none"/>
        </w:rPr>
        <w:t>电动葫芦</w:t>
      </w:r>
      <w:r>
        <w:rPr>
          <w:rFonts w:eastAsia="新宋体"/>
          <w:color w:val="auto"/>
          <w:highlight w:val="none"/>
        </w:rPr>
        <w:tab/>
      </w:r>
      <w:r>
        <w:rPr>
          <w:rFonts w:eastAsia="新宋体"/>
          <w:color w:val="auto"/>
          <w:highlight w:val="none"/>
        </w:rPr>
        <w:t>4</w:t>
      </w:r>
      <w:r>
        <w:rPr>
          <w:rFonts w:hint="eastAsia" w:eastAsia="新宋体"/>
          <w:color w:val="auto"/>
          <w:highlight w:val="none"/>
        </w:rPr>
        <w:t>0</w:t>
      </w:r>
      <w:r>
        <w:rPr>
          <w:rFonts w:eastAsia="新宋体"/>
          <w:color w:val="auto"/>
          <w:highlight w:val="none"/>
        </w:rPr>
        <w:t>.5m</w:t>
      </w:r>
    </w:p>
    <w:p>
      <w:pPr>
        <w:pStyle w:val="76"/>
        <w:rPr>
          <w:rFonts w:eastAsia="新宋体"/>
          <w:color w:val="auto"/>
          <w:highlight w:val="none"/>
        </w:rPr>
      </w:pPr>
      <w:r>
        <w:rPr>
          <w:rFonts w:hint="eastAsia" w:eastAsia="新宋体"/>
          <w:color w:val="auto"/>
          <w:highlight w:val="none"/>
        </w:rPr>
        <w:t>起升</w:t>
      </w:r>
      <w:r>
        <w:rPr>
          <w:rFonts w:eastAsia="新宋体"/>
          <w:color w:val="auto"/>
          <w:highlight w:val="none"/>
        </w:rPr>
        <w:t>/</w:t>
      </w:r>
      <w:r>
        <w:rPr>
          <w:rFonts w:hint="eastAsia" w:eastAsia="新宋体"/>
          <w:color w:val="auto"/>
          <w:highlight w:val="none"/>
        </w:rPr>
        <w:t>下降速度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eastAsia="新宋体"/>
          <w:color w:val="auto"/>
          <w:highlight w:val="none"/>
        </w:rPr>
        <w:t>0.1/1.0m/min或</w:t>
      </w:r>
      <w:r>
        <w:rPr>
          <w:rFonts w:ascii="Times New Roman" w:hAnsi="Times New Roman" w:eastAsia="Times New Roman" w:cs="Times New Roman"/>
          <w:i w:val="0"/>
          <w:strike w:val="0"/>
          <w:color w:val="auto"/>
          <w:sz w:val="24"/>
          <w:highlight w:val="none"/>
          <w:u w:val="none"/>
        </w:rPr>
        <w:t>0.2m/min</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2.0m/min</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eastAsia="新宋体"/>
          <w:color w:val="auto"/>
          <w:highlight w:val="none"/>
        </w:rPr>
        <w:t>0.4/8.0m/min</w:t>
      </w:r>
    </w:p>
    <w:p>
      <w:pPr>
        <w:pStyle w:val="76"/>
        <w:rPr>
          <w:rFonts w:eastAsia="新宋体"/>
          <w:color w:val="auto"/>
          <w:highlight w:val="none"/>
        </w:rPr>
      </w:pPr>
      <w:r>
        <w:rPr>
          <w:rFonts w:hint="eastAsia" w:eastAsia="新宋体"/>
          <w:color w:val="auto"/>
          <w:highlight w:val="none"/>
        </w:rPr>
        <w:t>电动葫芦</w:t>
      </w:r>
      <w:r>
        <w:rPr>
          <w:rFonts w:eastAsia="新宋体"/>
          <w:color w:val="auto"/>
          <w:highlight w:val="none"/>
        </w:rPr>
        <w:tab/>
      </w:r>
      <w:r>
        <w:rPr>
          <w:rFonts w:eastAsia="新宋体"/>
          <w:color w:val="auto"/>
          <w:highlight w:val="none"/>
        </w:rPr>
        <w:t>2/20m/min</w:t>
      </w:r>
    </w:p>
    <w:p>
      <w:pPr>
        <w:pStyle w:val="76"/>
        <w:rPr>
          <w:rFonts w:eastAsia="新宋体"/>
          <w:color w:val="auto"/>
          <w:highlight w:val="none"/>
        </w:rPr>
      </w:pPr>
      <w:r>
        <w:rPr>
          <w:rFonts w:hint="eastAsia" w:eastAsia="新宋体"/>
          <w:color w:val="auto"/>
          <w:highlight w:val="none"/>
        </w:rPr>
        <w:t>运行速度</w:t>
      </w:r>
      <w:r>
        <w:rPr>
          <w:rFonts w:eastAsia="新宋体"/>
          <w:color w:val="auto"/>
          <w:highlight w:val="none"/>
        </w:rPr>
        <w:tab/>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大车</w:t>
      </w:r>
      <w:r>
        <w:rPr>
          <w:rFonts w:eastAsia="新宋体"/>
          <w:color w:val="auto"/>
          <w:highlight w:val="none"/>
        </w:rPr>
        <w:tab/>
      </w:r>
      <w:r>
        <w:rPr>
          <w:color w:val="auto"/>
          <w:highlight w:val="none"/>
        </w:rPr>
        <w:t>2m/min</w:t>
      </w:r>
      <w:r>
        <w:rPr>
          <w:rFonts w:hAnsi="宋体"/>
          <w:color w:val="auto"/>
          <w:highlight w:val="none"/>
        </w:rPr>
        <w:t>～</w:t>
      </w:r>
      <w:r>
        <w:rPr>
          <w:color w:val="auto"/>
          <w:highlight w:val="none"/>
        </w:rPr>
        <w:t>20m/min</w:t>
      </w:r>
    </w:p>
    <w:p>
      <w:pPr>
        <w:pStyle w:val="76"/>
        <w:rPr>
          <w:color w:val="auto"/>
          <w:highlight w:val="none"/>
        </w:rPr>
      </w:pPr>
      <w:r>
        <w:rPr>
          <w:rFonts w:hint="eastAsia" w:eastAsia="新宋体"/>
          <w:color w:val="auto"/>
          <w:highlight w:val="none"/>
        </w:rPr>
        <w:t>小车</w:t>
      </w:r>
      <w:r>
        <w:rPr>
          <w:rFonts w:eastAsia="新宋体"/>
          <w:color w:val="auto"/>
          <w:highlight w:val="none"/>
        </w:rPr>
        <w:tab/>
      </w:r>
      <w:r>
        <w:rPr>
          <w:color w:val="auto"/>
          <w:highlight w:val="none"/>
        </w:rPr>
        <w:t>1.2m/min</w:t>
      </w:r>
      <w:r>
        <w:rPr>
          <w:rFonts w:hAnsi="宋体"/>
          <w:color w:val="auto"/>
          <w:highlight w:val="none"/>
        </w:rPr>
        <w:t>～</w:t>
      </w:r>
      <w:r>
        <w:rPr>
          <w:color w:val="auto"/>
          <w:highlight w:val="none"/>
        </w:rPr>
        <w:t>1</w:t>
      </w:r>
      <w:r>
        <w:rPr>
          <w:rFonts w:hint="eastAsia"/>
          <w:color w:val="auto"/>
          <w:highlight w:val="none"/>
        </w:rPr>
        <w:t>2</w:t>
      </w:r>
      <w:r>
        <w:rPr>
          <w:color w:val="auto"/>
          <w:highlight w:val="none"/>
        </w:rPr>
        <w:t xml:space="preserve">m/min </w:t>
      </w:r>
    </w:p>
    <w:p>
      <w:pPr>
        <w:pStyle w:val="76"/>
        <w:rPr>
          <w:rFonts w:eastAsia="新宋体"/>
          <w:color w:val="auto"/>
          <w:highlight w:val="none"/>
        </w:rPr>
      </w:pPr>
      <w:r>
        <w:rPr>
          <w:rFonts w:hint="eastAsia" w:eastAsia="新宋体"/>
          <w:color w:val="auto"/>
          <w:highlight w:val="none"/>
        </w:rPr>
        <w:t>轨道型号</w:t>
      </w:r>
      <w:r>
        <w:rPr>
          <w:rFonts w:eastAsia="新宋体"/>
          <w:color w:val="auto"/>
          <w:highlight w:val="none"/>
        </w:rPr>
        <w:tab/>
      </w:r>
      <w:r>
        <w:rPr>
          <w:rFonts w:eastAsia="新宋体"/>
          <w:color w:val="auto"/>
          <w:highlight w:val="none"/>
        </w:rPr>
        <w:t>QU120</w:t>
      </w:r>
    </w:p>
    <w:p>
      <w:pPr>
        <w:pStyle w:val="76"/>
        <w:rPr>
          <w:rFonts w:eastAsia="新宋体"/>
          <w:color w:val="auto"/>
          <w:highlight w:val="none"/>
        </w:rPr>
      </w:pPr>
      <w:r>
        <w:rPr>
          <w:rFonts w:hint="eastAsia" w:eastAsia="新宋体"/>
          <w:color w:val="auto"/>
          <w:highlight w:val="none"/>
        </w:rPr>
        <w:t>小车重量</w:t>
      </w:r>
      <w:r>
        <w:rPr>
          <w:rFonts w:eastAsia="新宋体"/>
          <w:color w:val="auto"/>
          <w:highlight w:val="none"/>
        </w:rPr>
        <w:tab/>
      </w:r>
      <w:r>
        <w:rPr>
          <w:rFonts w:eastAsia="新宋体"/>
          <w:color w:val="auto"/>
          <w:highlight w:val="none"/>
        </w:rPr>
        <w:t>2</w:t>
      </w:r>
      <w:r>
        <w:rPr>
          <w:rFonts w:hint="eastAsia" w:eastAsia="新宋体"/>
          <w:color w:val="auto"/>
          <w:highlight w:val="none"/>
        </w:rPr>
        <w:t>×</w:t>
      </w:r>
      <w:r>
        <w:rPr>
          <w:rFonts w:eastAsia="新宋体"/>
          <w:color w:val="auto"/>
          <w:highlight w:val="none"/>
        </w:rPr>
        <w:t>49t</w:t>
      </w:r>
    </w:p>
    <w:p>
      <w:pPr>
        <w:pStyle w:val="76"/>
        <w:rPr>
          <w:rFonts w:eastAsia="新宋体"/>
          <w:color w:val="auto"/>
          <w:highlight w:val="none"/>
        </w:rPr>
      </w:pPr>
      <w:r>
        <w:rPr>
          <w:rFonts w:hint="eastAsia" w:ascii="宋体" w:cs="宋体"/>
          <w:color w:val="auto"/>
          <w:szCs w:val="21"/>
          <w:highlight w:val="none"/>
        </w:rPr>
        <w:t>桥机安装时的最大起吊重量</w:t>
      </w:r>
      <w:r>
        <w:rPr>
          <w:rFonts w:eastAsia="新宋体"/>
          <w:color w:val="auto"/>
          <w:highlight w:val="none"/>
        </w:rPr>
        <w:tab/>
      </w:r>
      <w:r>
        <w:rPr>
          <w:rFonts w:hint="eastAsia" w:eastAsia="新宋体"/>
          <w:color w:val="auto"/>
          <w:highlight w:val="none"/>
        </w:rPr>
        <w:t>约</w:t>
      </w:r>
      <w:r>
        <w:rPr>
          <w:rFonts w:eastAsia="新宋体"/>
          <w:color w:val="auto"/>
          <w:highlight w:val="none"/>
        </w:rPr>
        <w:t>70t</w:t>
      </w:r>
    </w:p>
    <w:p>
      <w:pPr>
        <w:pStyle w:val="76"/>
        <w:rPr>
          <w:rFonts w:eastAsia="新宋体"/>
          <w:color w:val="auto"/>
          <w:highlight w:val="none"/>
        </w:rPr>
      </w:pPr>
      <w:r>
        <w:rPr>
          <w:rFonts w:hint="eastAsia" w:eastAsia="新宋体"/>
          <w:color w:val="auto"/>
          <w:highlight w:val="none"/>
        </w:rPr>
        <w:t>单台桥机总重</w:t>
      </w:r>
      <w:r>
        <w:rPr>
          <w:rFonts w:eastAsia="新宋体"/>
          <w:color w:val="auto"/>
          <w:highlight w:val="none"/>
        </w:rPr>
        <w:tab/>
      </w:r>
      <w:r>
        <w:rPr>
          <w:rFonts w:eastAsia="新宋体"/>
          <w:color w:val="auto"/>
          <w:highlight w:val="none"/>
        </w:rPr>
        <w:t>235t</w:t>
      </w:r>
    </w:p>
    <w:p>
      <w:pPr>
        <w:pStyle w:val="76"/>
        <w:ind w:firstLine="411"/>
        <w:rPr>
          <w:rFonts w:eastAsia="新宋体"/>
          <w:color w:val="auto"/>
          <w:spacing w:val="-4"/>
          <w:highlight w:val="none"/>
        </w:rPr>
      </w:pPr>
    </w:p>
    <w:p>
      <w:pPr>
        <w:pStyle w:val="132"/>
        <w:rPr>
          <w:color w:val="auto"/>
          <w:highlight w:val="none"/>
        </w:rPr>
      </w:pPr>
      <w:bookmarkStart w:id="139" w:name="_Toc14850"/>
      <w:r>
        <w:rPr>
          <w:color w:val="auto"/>
          <w:highlight w:val="none"/>
        </w:rPr>
        <w:t xml:space="preserve">6.2.2  </w:t>
      </w:r>
      <w:r>
        <w:rPr>
          <w:rFonts w:hint="eastAsia"/>
          <w:color w:val="auto"/>
          <w:highlight w:val="none"/>
        </w:rPr>
        <w:t>主厂房</w:t>
      </w:r>
      <w:r>
        <w:rPr>
          <w:color w:val="auto"/>
          <w:highlight w:val="none"/>
        </w:rPr>
        <w:t>500/100kN</w:t>
      </w:r>
      <w:r>
        <w:rPr>
          <w:rFonts w:hint="eastAsia"/>
          <w:color w:val="auto"/>
          <w:highlight w:val="none"/>
        </w:rPr>
        <w:t>桥式起重机</w:t>
      </w:r>
      <w:bookmarkEnd w:id="139"/>
    </w:p>
    <w:p>
      <w:pPr>
        <w:pStyle w:val="76"/>
        <w:rPr>
          <w:rFonts w:eastAsia="新宋体"/>
          <w:color w:val="auto"/>
          <w:highlight w:val="none"/>
        </w:rPr>
      </w:pPr>
      <w:r>
        <w:rPr>
          <w:rFonts w:hint="eastAsia" w:eastAsia="新宋体"/>
          <w:color w:val="auto"/>
          <w:highlight w:val="none"/>
        </w:rPr>
        <w:t>主厂房</w:t>
      </w:r>
      <w:r>
        <w:rPr>
          <w:rFonts w:eastAsia="新宋体"/>
          <w:color w:val="auto"/>
          <w:highlight w:val="none"/>
        </w:rPr>
        <w:t>500 kN /100kN</w:t>
      </w:r>
      <w:r>
        <w:rPr>
          <w:rFonts w:hint="eastAsia" w:eastAsia="新宋体"/>
          <w:color w:val="auto"/>
          <w:highlight w:val="none"/>
        </w:rPr>
        <w:t>、</w:t>
      </w:r>
      <w:r>
        <w:rPr>
          <w:rFonts w:eastAsia="新宋体"/>
          <w:color w:val="auto"/>
          <w:highlight w:val="none"/>
        </w:rPr>
        <w:t>L</w:t>
      </w:r>
      <w:r>
        <w:rPr>
          <w:rFonts w:eastAsia="新宋体"/>
          <w:color w:val="auto"/>
          <w:highlight w:val="none"/>
          <w:vertAlign w:val="subscript"/>
        </w:rPr>
        <w:t>k</w:t>
      </w:r>
      <w:r>
        <w:rPr>
          <w:rFonts w:eastAsia="新宋体"/>
          <w:color w:val="auto"/>
          <w:highlight w:val="none"/>
        </w:rPr>
        <w:t>=24.5m</w:t>
      </w:r>
      <w:r>
        <w:rPr>
          <w:rFonts w:hint="eastAsia" w:eastAsia="新宋体"/>
          <w:color w:val="auto"/>
          <w:highlight w:val="none"/>
        </w:rPr>
        <w:t>电动双梁桥式起重机将安装在主厂房内，轨顶高程为</w:t>
      </w:r>
      <w:r>
        <w:rPr>
          <w:color w:val="auto"/>
          <w:szCs w:val="21"/>
          <w:highlight w:val="none"/>
        </w:rPr>
        <w:t>128.8</w:t>
      </w:r>
      <w:r>
        <w:rPr>
          <w:rFonts w:eastAsia="新宋体"/>
          <w:color w:val="auto"/>
          <w:highlight w:val="none"/>
        </w:rPr>
        <w:t>m</w:t>
      </w:r>
      <w:r>
        <w:rPr>
          <w:rFonts w:hint="eastAsia" w:eastAsia="新宋体"/>
          <w:color w:val="auto"/>
          <w:highlight w:val="none"/>
        </w:rPr>
        <w:t>。</w:t>
      </w:r>
    </w:p>
    <w:p>
      <w:pPr>
        <w:pStyle w:val="76"/>
        <w:rPr>
          <w:rFonts w:eastAsia="新宋体"/>
          <w:color w:val="auto"/>
          <w:highlight w:val="none"/>
        </w:rPr>
      </w:pPr>
      <w:r>
        <w:rPr>
          <w:rFonts w:hint="eastAsia" w:eastAsia="新宋体"/>
          <w:color w:val="auto"/>
          <w:highlight w:val="none"/>
        </w:rPr>
        <w:t>桥机主要技术特性如下：</w:t>
      </w:r>
    </w:p>
    <w:p>
      <w:pPr>
        <w:pStyle w:val="76"/>
        <w:rPr>
          <w:rFonts w:eastAsia="新宋体"/>
          <w:color w:val="auto"/>
          <w:highlight w:val="none"/>
        </w:rPr>
      </w:pPr>
      <w:r>
        <w:rPr>
          <w:rFonts w:hint="eastAsia" w:eastAsia="新宋体"/>
          <w:color w:val="auto"/>
          <w:highlight w:val="none"/>
        </w:rPr>
        <w:t>额定起重量</w:t>
      </w:r>
      <w:r>
        <w:rPr>
          <w:rFonts w:eastAsia="新宋体"/>
          <w:color w:val="auto"/>
          <w:highlight w:val="none"/>
        </w:rPr>
        <w:tab/>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eastAsia="新宋体"/>
          <w:color w:val="auto"/>
          <w:highlight w:val="none"/>
        </w:rPr>
        <w:t>500kN</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eastAsia="新宋体"/>
          <w:color w:val="auto"/>
          <w:highlight w:val="none"/>
        </w:rPr>
        <w:t>100kN</w:t>
      </w:r>
    </w:p>
    <w:p>
      <w:pPr>
        <w:pStyle w:val="76"/>
        <w:rPr>
          <w:rFonts w:eastAsia="新宋体"/>
          <w:color w:val="auto"/>
          <w:highlight w:val="none"/>
        </w:rPr>
      </w:pPr>
      <w:r>
        <w:rPr>
          <w:rFonts w:hint="eastAsia" w:eastAsia="新宋体"/>
          <w:color w:val="auto"/>
          <w:highlight w:val="none"/>
        </w:rPr>
        <w:t>跨度</w:t>
      </w:r>
      <w:r>
        <w:rPr>
          <w:rFonts w:eastAsia="新宋体"/>
          <w:color w:val="auto"/>
          <w:highlight w:val="none"/>
        </w:rPr>
        <w:tab/>
      </w:r>
      <w:r>
        <w:rPr>
          <w:rFonts w:eastAsia="新宋体"/>
          <w:color w:val="auto"/>
          <w:highlight w:val="none"/>
        </w:rPr>
        <w:t>24.5m</w:t>
      </w:r>
    </w:p>
    <w:p>
      <w:pPr>
        <w:pStyle w:val="76"/>
        <w:rPr>
          <w:rFonts w:eastAsia="新宋体"/>
          <w:color w:val="auto"/>
          <w:highlight w:val="none"/>
        </w:rPr>
      </w:pPr>
      <w:r>
        <w:rPr>
          <w:rFonts w:hint="eastAsia" w:eastAsia="新宋体"/>
          <w:color w:val="auto"/>
          <w:highlight w:val="none"/>
        </w:rPr>
        <w:t>起升高度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eastAsia="新宋体"/>
          <w:color w:val="auto"/>
          <w:highlight w:val="none"/>
        </w:rPr>
        <w:t>4</w:t>
      </w:r>
      <w:r>
        <w:rPr>
          <w:rFonts w:hint="eastAsia" w:eastAsia="新宋体"/>
          <w:color w:val="auto"/>
          <w:highlight w:val="none"/>
        </w:rPr>
        <w:t>0</w:t>
      </w:r>
      <w:r>
        <w:rPr>
          <w:rFonts w:eastAsia="新宋体"/>
          <w:color w:val="auto"/>
          <w:highlight w:val="none"/>
        </w:rPr>
        <w:t>.5m</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eastAsia="新宋体"/>
          <w:color w:val="auto"/>
          <w:highlight w:val="none"/>
        </w:rPr>
        <w:t>4</w:t>
      </w:r>
      <w:r>
        <w:rPr>
          <w:rFonts w:hint="eastAsia" w:eastAsia="新宋体"/>
          <w:color w:val="auto"/>
          <w:highlight w:val="none"/>
        </w:rPr>
        <w:t>0</w:t>
      </w:r>
      <w:r>
        <w:rPr>
          <w:rFonts w:eastAsia="新宋体"/>
          <w:color w:val="auto"/>
          <w:highlight w:val="none"/>
        </w:rPr>
        <w:t>.5m</w:t>
      </w:r>
    </w:p>
    <w:p>
      <w:pPr>
        <w:pStyle w:val="76"/>
        <w:rPr>
          <w:rFonts w:eastAsia="新宋体"/>
          <w:color w:val="auto"/>
          <w:highlight w:val="none"/>
        </w:rPr>
      </w:pPr>
      <w:r>
        <w:rPr>
          <w:rFonts w:hint="eastAsia" w:eastAsia="新宋体"/>
          <w:color w:val="auto"/>
          <w:highlight w:val="none"/>
        </w:rPr>
        <w:t>起升</w:t>
      </w:r>
      <w:r>
        <w:rPr>
          <w:rFonts w:eastAsia="新宋体"/>
          <w:color w:val="auto"/>
          <w:highlight w:val="none"/>
        </w:rPr>
        <w:t>/</w:t>
      </w:r>
      <w:r>
        <w:rPr>
          <w:rFonts w:hint="eastAsia" w:eastAsia="新宋体"/>
          <w:color w:val="auto"/>
          <w:highlight w:val="none"/>
        </w:rPr>
        <w:t>下降速度</w:t>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color w:val="auto"/>
          <w:highlight w:val="none"/>
        </w:rPr>
        <w:t>0.4m/min</w:t>
      </w:r>
      <w:r>
        <w:rPr>
          <w:rFonts w:hint="eastAsia" w:hAnsi="宋体"/>
          <w:color w:val="auto"/>
          <w:highlight w:val="none"/>
        </w:rPr>
        <w:t>～8</w:t>
      </w:r>
      <w:r>
        <w:rPr>
          <w:color w:val="auto"/>
          <w:highlight w:val="none"/>
        </w:rPr>
        <w:t>m/min</w:t>
      </w:r>
    </w:p>
    <w:p>
      <w:pPr>
        <w:pStyle w:val="76"/>
        <w:rPr>
          <w:color w:val="auto"/>
          <w:highlight w:val="none"/>
        </w:rPr>
      </w:pPr>
      <w:r>
        <w:rPr>
          <w:rFonts w:eastAsia="新宋体"/>
          <w:color w:val="auto"/>
          <w:highlight w:val="none"/>
        </w:rPr>
        <w:t>电动葫芦</w:t>
      </w:r>
      <w:r>
        <w:rPr>
          <w:rFonts w:eastAsia="新宋体"/>
          <w:color w:val="auto"/>
          <w:highlight w:val="none"/>
        </w:rPr>
        <w:tab/>
      </w:r>
      <w:r>
        <w:rPr>
          <w:rFonts w:eastAsia="新宋体"/>
          <w:color w:val="auto"/>
          <w:highlight w:val="none"/>
        </w:rPr>
        <w:t>2</w:t>
      </w:r>
      <w:r>
        <w:rPr>
          <w:color w:val="auto"/>
          <w:highlight w:val="none"/>
        </w:rPr>
        <w:t>m/min</w:t>
      </w:r>
      <w:r>
        <w:rPr>
          <w:rFonts w:hint="eastAsia" w:hAnsi="宋体"/>
          <w:color w:val="auto"/>
          <w:highlight w:val="none"/>
        </w:rPr>
        <w:t>～20</w:t>
      </w:r>
      <w:r>
        <w:rPr>
          <w:color w:val="auto"/>
          <w:highlight w:val="none"/>
        </w:rPr>
        <w:t>m/min</w:t>
      </w:r>
    </w:p>
    <w:p>
      <w:pPr>
        <w:pStyle w:val="76"/>
        <w:rPr>
          <w:rFonts w:eastAsia="新宋体"/>
          <w:color w:val="auto"/>
          <w:highlight w:val="none"/>
        </w:rPr>
      </w:pPr>
      <w:r>
        <w:rPr>
          <w:rFonts w:hint="eastAsia" w:eastAsia="新宋体"/>
          <w:color w:val="auto"/>
          <w:highlight w:val="none"/>
        </w:rPr>
        <w:t>运行速度</w:t>
      </w:r>
      <w:r>
        <w:rPr>
          <w:rFonts w:eastAsia="新宋体"/>
          <w:color w:val="auto"/>
          <w:highlight w:val="none"/>
        </w:rPr>
        <w:tab/>
      </w:r>
      <w:r>
        <w:rPr>
          <w:rFonts w:eastAsia="新宋体"/>
          <w:color w:val="auto"/>
          <w:highlight w:val="none"/>
        </w:rPr>
        <w:tab/>
      </w:r>
    </w:p>
    <w:p>
      <w:pPr>
        <w:pStyle w:val="76"/>
        <w:rPr>
          <w:rFonts w:hint="eastAsia" w:hAnsi="宋体"/>
          <w:color w:val="auto"/>
          <w:highlight w:val="none"/>
        </w:rPr>
      </w:pPr>
      <w:r>
        <w:rPr>
          <w:rFonts w:hint="eastAsia" w:eastAsia="新宋体"/>
          <w:color w:val="auto"/>
          <w:highlight w:val="none"/>
        </w:rPr>
        <w:t>大车</w:t>
      </w:r>
      <w:r>
        <w:rPr>
          <w:rFonts w:eastAsia="新宋体"/>
          <w:color w:val="auto"/>
          <w:highlight w:val="none"/>
        </w:rPr>
        <w:tab/>
      </w:r>
      <w:r>
        <w:rPr>
          <w:color w:val="auto"/>
          <w:highlight w:val="none"/>
        </w:rPr>
        <w:t>3m/min</w:t>
      </w:r>
      <w:r>
        <w:rPr>
          <w:rFonts w:hAnsi="宋体"/>
          <w:color w:val="auto"/>
          <w:highlight w:val="none"/>
        </w:rPr>
        <w:t>～25</w:t>
      </w:r>
      <w:r>
        <w:rPr>
          <w:color w:val="auto"/>
          <w:highlight w:val="none"/>
        </w:rPr>
        <w:t>m/min</w:t>
      </w:r>
      <w:r>
        <w:rPr>
          <w:rFonts w:hAnsi="宋体"/>
          <w:color w:val="auto"/>
          <w:highlight w:val="none"/>
        </w:rPr>
        <w:t>可调</w:t>
      </w:r>
    </w:p>
    <w:p>
      <w:pPr>
        <w:pStyle w:val="76"/>
        <w:rPr>
          <w:rFonts w:eastAsia="新宋体"/>
          <w:color w:val="auto"/>
          <w:highlight w:val="none"/>
        </w:rPr>
      </w:pPr>
      <w:r>
        <w:rPr>
          <w:rFonts w:hint="eastAsia" w:eastAsia="新宋体"/>
          <w:color w:val="auto"/>
          <w:highlight w:val="none"/>
        </w:rPr>
        <w:t>小车</w:t>
      </w:r>
      <w:r>
        <w:rPr>
          <w:rFonts w:eastAsia="新宋体"/>
          <w:color w:val="auto"/>
          <w:highlight w:val="none"/>
        </w:rPr>
        <w:tab/>
      </w:r>
      <w:r>
        <w:rPr>
          <w:color w:val="auto"/>
          <w:highlight w:val="none"/>
        </w:rPr>
        <w:t>3m/min</w:t>
      </w:r>
      <w:r>
        <w:rPr>
          <w:rFonts w:hAnsi="宋体"/>
          <w:color w:val="auto"/>
          <w:highlight w:val="none"/>
        </w:rPr>
        <w:t>～</w:t>
      </w:r>
      <w:r>
        <w:rPr>
          <w:color w:val="auto"/>
          <w:highlight w:val="none"/>
        </w:rPr>
        <w:t>30m/min</w:t>
      </w:r>
      <w:r>
        <w:rPr>
          <w:rFonts w:hAnsi="宋体"/>
          <w:color w:val="auto"/>
          <w:highlight w:val="none"/>
        </w:rPr>
        <w:t>可调</w:t>
      </w:r>
    </w:p>
    <w:p>
      <w:pPr>
        <w:pStyle w:val="76"/>
        <w:rPr>
          <w:rFonts w:eastAsia="新宋体"/>
          <w:color w:val="auto"/>
          <w:highlight w:val="none"/>
        </w:rPr>
      </w:pPr>
      <w:r>
        <w:rPr>
          <w:rFonts w:hint="eastAsia" w:eastAsia="新宋体"/>
          <w:color w:val="auto"/>
          <w:highlight w:val="none"/>
        </w:rPr>
        <w:t>桥机最大宽度</w:t>
      </w:r>
      <w:r>
        <w:rPr>
          <w:rFonts w:eastAsia="新宋体"/>
          <w:color w:val="auto"/>
          <w:highlight w:val="none"/>
        </w:rPr>
        <w:tab/>
      </w:r>
      <w:r>
        <w:rPr>
          <w:rFonts w:eastAsia="新宋体"/>
          <w:color w:val="auto"/>
          <w:highlight w:val="none"/>
        </w:rPr>
        <w:t>6</w:t>
      </w:r>
      <w:r>
        <w:rPr>
          <w:rFonts w:hint="eastAsia" w:eastAsia="新宋体"/>
          <w:color w:val="auto"/>
          <w:highlight w:val="none"/>
        </w:rPr>
        <w:t>5</w:t>
      </w:r>
      <w:r>
        <w:rPr>
          <w:rFonts w:eastAsia="新宋体"/>
          <w:color w:val="auto"/>
          <w:highlight w:val="none"/>
        </w:rPr>
        <w:t>00mm</w:t>
      </w:r>
    </w:p>
    <w:p>
      <w:pPr>
        <w:pStyle w:val="76"/>
        <w:rPr>
          <w:rFonts w:eastAsia="新宋体"/>
          <w:color w:val="auto"/>
          <w:highlight w:val="none"/>
        </w:rPr>
      </w:pPr>
      <w:r>
        <w:rPr>
          <w:rFonts w:hint="eastAsia" w:eastAsia="新宋体"/>
          <w:color w:val="auto"/>
          <w:highlight w:val="none"/>
        </w:rPr>
        <w:t>轨面至桥机顶端高度</w:t>
      </w:r>
      <w:r>
        <w:rPr>
          <w:rFonts w:eastAsia="新宋体"/>
          <w:color w:val="auto"/>
          <w:highlight w:val="none"/>
        </w:rPr>
        <w:tab/>
      </w:r>
      <w:r>
        <w:rPr>
          <w:rFonts w:hint="eastAsia" w:eastAsia="新宋体"/>
          <w:color w:val="auto"/>
          <w:highlight w:val="none"/>
        </w:rPr>
        <w:t>30</w:t>
      </w:r>
      <w:r>
        <w:rPr>
          <w:rFonts w:eastAsia="新宋体"/>
          <w:color w:val="auto"/>
          <w:highlight w:val="none"/>
        </w:rPr>
        <w:t>00mm</w:t>
      </w:r>
    </w:p>
    <w:p>
      <w:pPr>
        <w:pStyle w:val="76"/>
        <w:rPr>
          <w:rFonts w:eastAsia="新宋体"/>
          <w:color w:val="auto"/>
          <w:highlight w:val="none"/>
        </w:rPr>
      </w:pPr>
      <w:r>
        <w:rPr>
          <w:rFonts w:hint="eastAsia" w:eastAsia="新宋体"/>
          <w:color w:val="auto"/>
          <w:highlight w:val="none"/>
        </w:rPr>
        <w:t>轨道型号</w:t>
      </w:r>
      <w:r>
        <w:rPr>
          <w:rFonts w:eastAsia="新宋体"/>
          <w:color w:val="auto"/>
          <w:highlight w:val="none"/>
        </w:rPr>
        <w:tab/>
      </w:r>
      <w:r>
        <w:rPr>
          <w:rFonts w:eastAsia="新宋体"/>
          <w:color w:val="auto"/>
          <w:highlight w:val="none"/>
        </w:rPr>
        <w:t>QU120</w:t>
      </w:r>
    </w:p>
    <w:p>
      <w:pPr>
        <w:pStyle w:val="76"/>
        <w:rPr>
          <w:rFonts w:eastAsia="新宋体"/>
          <w:color w:val="auto"/>
          <w:highlight w:val="none"/>
        </w:rPr>
      </w:pPr>
      <w:r>
        <w:rPr>
          <w:rFonts w:hint="eastAsia" w:eastAsia="新宋体"/>
          <w:color w:val="auto"/>
          <w:highlight w:val="none"/>
        </w:rPr>
        <w:t>小车重量</w:t>
      </w:r>
      <w:r>
        <w:rPr>
          <w:rFonts w:eastAsia="新宋体"/>
          <w:color w:val="auto"/>
          <w:highlight w:val="none"/>
        </w:rPr>
        <w:tab/>
      </w:r>
      <w:r>
        <w:rPr>
          <w:rFonts w:eastAsia="新宋体"/>
          <w:color w:val="auto"/>
          <w:highlight w:val="none"/>
        </w:rPr>
        <w:t>12t</w:t>
      </w:r>
    </w:p>
    <w:p>
      <w:pPr>
        <w:pStyle w:val="76"/>
        <w:rPr>
          <w:rFonts w:eastAsia="新宋体"/>
          <w:color w:val="auto"/>
          <w:highlight w:val="none"/>
        </w:rPr>
      </w:pPr>
      <w:r>
        <w:rPr>
          <w:rFonts w:hint="eastAsia" w:eastAsia="新宋体"/>
          <w:color w:val="auto"/>
          <w:highlight w:val="none"/>
        </w:rPr>
        <w:t>桥机安装时的最大起吊重量</w:t>
      </w:r>
      <w:r>
        <w:rPr>
          <w:rFonts w:eastAsia="新宋体"/>
          <w:color w:val="auto"/>
          <w:highlight w:val="none"/>
        </w:rPr>
        <w:t xml:space="preserve">      20t</w:t>
      </w:r>
    </w:p>
    <w:p>
      <w:pPr>
        <w:pStyle w:val="76"/>
        <w:rPr>
          <w:rFonts w:eastAsia="新宋体"/>
          <w:color w:val="auto"/>
          <w:highlight w:val="none"/>
        </w:rPr>
      </w:pPr>
      <w:r>
        <w:rPr>
          <w:rFonts w:hint="eastAsia" w:eastAsia="新宋体"/>
          <w:color w:val="auto"/>
          <w:highlight w:val="none"/>
        </w:rPr>
        <w:t>单台桥机总重</w:t>
      </w:r>
      <w:r>
        <w:rPr>
          <w:rFonts w:eastAsia="新宋体"/>
          <w:color w:val="auto"/>
          <w:highlight w:val="none"/>
        </w:rPr>
        <w:tab/>
      </w:r>
      <w:r>
        <w:rPr>
          <w:rFonts w:eastAsia="新宋体"/>
          <w:color w:val="auto"/>
          <w:highlight w:val="none"/>
        </w:rPr>
        <w:t>49t</w:t>
      </w:r>
    </w:p>
    <w:p>
      <w:pPr>
        <w:pStyle w:val="132"/>
        <w:rPr>
          <w:color w:val="auto"/>
          <w:highlight w:val="none"/>
        </w:rPr>
      </w:pPr>
      <w:bookmarkStart w:id="140" w:name="_Toc11717"/>
      <w:r>
        <w:rPr>
          <w:color w:val="auto"/>
          <w:highlight w:val="none"/>
        </w:rPr>
        <w:t xml:space="preserve">6.2.3 </w:t>
      </w:r>
      <w:r>
        <w:rPr>
          <w:rFonts w:hint="eastAsia"/>
          <w:color w:val="auto"/>
          <w:highlight w:val="none"/>
        </w:rPr>
        <w:t xml:space="preserve"> 尾水事故闸门廊道</w:t>
      </w:r>
      <w:r>
        <w:rPr>
          <w:color w:val="auto"/>
          <w:highlight w:val="none"/>
        </w:rPr>
        <w:t>6</w:t>
      </w:r>
      <w:r>
        <w:rPr>
          <w:rFonts w:hint="eastAsia"/>
          <w:color w:val="auto"/>
          <w:highlight w:val="none"/>
        </w:rPr>
        <w:t>30kN/50kN桥式起重机</w:t>
      </w:r>
      <w:bookmarkEnd w:id="140"/>
    </w:p>
    <w:p>
      <w:pPr>
        <w:pStyle w:val="76"/>
        <w:rPr>
          <w:rFonts w:eastAsia="新宋体"/>
          <w:color w:val="auto"/>
          <w:highlight w:val="none"/>
        </w:rPr>
      </w:pPr>
      <w:r>
        <w:rPr>
          <w:rFonts w:eastAsia="新宋体"/>
          <w:color w:val="auto"/>
          <w:highlight w:val="none"/>
        </w:rPr>
        <w:t>630</w:t>
      </w:r>
      <w:r>
        <w:rPr>
          <w:color w:val="auto"/>
          <w:highlight w:val="none"/>
        </w:rPr>
        <w:t xml:space="preserve"> kN</w:t>
      </w:r>
      <w:r>
        <w:rPr>
          <w:rFonts w:hint="eastAsia" w:eastAsia="新宋体"/>
          <w:color w:val="auto"/>
          <w:highlight w:val="none"/>
        </w:rPr>
        <w:t>/50kN、Lk=7.2m电动双梁桥式起重机将安装在尾水闸门室廊道内，轨道敷设高程为</w:t>
      </w:r>
      <w:r>
        <w:rPr>
          <w:rFonts w:ascii="新宋体" w:hAnsi="新宋体" w:eastAsia="新宋体" w:cs="新宋体"/>
          <w:b w:val="0"/>
          <w:i w:val="0"/>
          <w:strike w:val="0"/>
          <w:color w:val="auto"/>
          <w:spacing w:val="0"/>
          <w:highlight w:val="none"/>
          <w:u w:val="none"/>
        </w:rPr>
        <w:t>530.650</w:t>
      </w:r>
      <w:r>
        <w:rPr>
          <w:rFonts w:hint="eastAsia" w:eastAsia="新宋体"/>
          <w:color w:val="auto"/>
          <w:highlight w:val="none"/>
        </w:rPr>
        <w:t>m。</w:t>
      </w:r>
    </w:p>
    <w:p>
      <w:pPr>
        <w:pStyle w:val="76"/>
        <w:rPr>
          <w:rFonts w:eastAsia="新宋体"/>
          <w:color w:val="auto"/>
          <w:highlight w:val="none"/>
        </w:rPr>
      </w:pPr>
      <w:r>
        <w:rPr>
          <w:rFonts w:hint="eastAsia" w:eastAsia="新宋体"/>
          <w:color w:val="auto"/>
          <w:highlight w:val="none"/>
        </w:rPr>
        <w:t>桥机主要技术特性如下：</w:t>
      </w:r>
    </w:p>
    <w:p>
      <w:pPr>
        <w:pStyle w:val="76"/>
        <w:rPr>
          <w:rFonts w:eastAsia="新宋体"/>
          <w:color w:val="auto"/>
          <w:highlight w:val="none"/>
        </w:rPr>
      </w:pPr>
      <w:r>
        <w:rPr>
          <w:rFonts w:hint="eastAsia" w:eastAsia="新宋体"/>
          <w:color w:val="auto"/>
          <w:highlight w:val="none"/>
        </w:rPr>
        <w:t>额定起重量</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eastAsia="新宋体"/>
          <w:color w:val="auto"/>
          <w:highlight w:val="none"/>
        </w:rPr>
        <w:t>630kN</w:t>
      </w:r>
    </w:p>
    <w:p>
      <w:pPr>
        <w:pStyle w:val="76"/>
        <w:rPr>
          <w:rFonts w:eastAsia="新宋体"/>
          <w:color w:val="auto"/>
          <w:highlight w:val="none"/>
        </w:rPr>
      </w:pPr>
      <w:r>
        <w:rPr>
          <w:rFonts w:hint="eastAsia" w:eastAsia="新宋体"/>
          <w:color w:val="auto"/>
          <w:highlight w:val="none"/>
        </w:rPr>
        <w:t xml:space="preserve">电动葫芦         </w:t>
      </w:r>
      <w:r>
        <w:rPr>
          <w:rFonts w:eastAsia="新宋体"/>
          <w:color w:val="auto"/>
          <w:highlight w:val="none"/>
        </w:rPr>
        <w:tab/>
      </w:r>
      <w:r>
        <w:rPr>
          <w:rFonts w:eastAsia="新宋体"/>
          <w:color w:val="auto"/>
          <w:highlight w:val="none"/>
        </w:rPr>
        <w:t>50kN</w:t>
      </w:r>
    </w:p>
    <w:p>
      <w:pPr>
        <w:pStyle w:val="76"/>
        <w:rPr>
          <w:rFonts w:eastAsia="新宋体"/>
          <w:color w:val="auto"/>
          <w:highlight w:val="none"/>
        </w:rPr>
      </w:pPr>
      <w:r>
        <w:rPr>
          <w:rFonts w:hint="eastAsia" w:eastAsia="新宋体"/>
          <w:color w:val="auto"/>
          <w:highlight w:val="none"/>
        </w:rPr>
        <w:t xml:space="preserve">跨度             </w:t>
      </w:r>
      <w:r>
        <w:rPr>
          <w:rFonts w:eastAsia="新宋体"/>
          <w:color w:val="auto"/>
          <w:highlight w:val="none"/>
        </w:rPr>
        <w:tab/>
      </w:r>
      <w:r>
        <w:rPr>
          <w:rFonts w:eastAsia="新宋体"/>
          <w:color w:val="auto"/>
          <w:highlight w:val="none"/>
        </w:rPr>
        <w:t>7.2m</w:t>
      </w:r>
    </w:p>
    <w:p>
      <w:pPr>
        <w:pStyle w:val="76"/>
        <w:rPr>
          <w:rFonts w:eastAsia="新宋体"/>
          <w:color w:val="auto"/>
          <w:highlight w:val="none"/>
        </w:rPr>
      </w:pPr>
      <w:r>
        <w:rPr>
          <w:rFonts w:hint="eastAsia" w:eastAsia="新宋体"/>
          <w:color w:val="auto"/>
          <w:highlight w:val="none"/>
        </w:rPr>
        <w:t>起升高度</w:t>
      </w:r>
    </w:p>
    <w:p>
      <w:pPr>
        <w:pStyle w:val="76"/>
        <w:rPr>
          <w:rFonts w:eastAsia="新宋体"/>
          <w:color w:val="auto"/>
          <w:highlight w:val="none"/>
        </w:rPr>
      </w:pPr>
      <w:r>
        <w:rPr>
          <w:rFonts w:hint="eastAsia" w:eastAsia="新宋体"/>
          <w:color w:val="auto"/>
          <w:highlight w:val="none"/>
        </w:rPr>
        <w:t xml:space="preserve">主钩             </w:t>
      </w:r>
      <w:r>
        <w:rPr>
          <w:rFonts w:eastAsia="新宋体"/>
          <w:color w:val="auto"/>
          <w:highlight w:val="none"/>
        </w:rPr>
        <w:tab/>
      </w:r>
      <w:r>
        <w:rPr>
          <w:rFonts w:hint="eastAsia" w:eastAsia="新宋体"/>
          <w:color w:val="auto"/>
          <w:highlight w:val="none"/>
        </w:rPr>
        <w:t>28</w:t>
      </w:r>
      <w:r>
        <w:rPr>
          <w:rFonts w:eastAsia="新宋体"/>
          <w:color w:val="auto"/>
          <w:highlight w:val="none"/>
        </w:rPr>
        <w:t>m</w:t>
      </w:r>
    </w:p>
    <w:p>
      <w:pPr>
        <w:pStyle w:val="76"/>
        <w:rPr>
          <w:rFonts w:eastAsia="新宋体"/>
          <w:color w:val="auto"/>
          <w:highlight w:val="none"/>
        </w:rPr>
      </w:pPr>
      <w:r>
        <w:rPr>
          <w:rFonts w:hint="eastAsia" w:eastAsia="新宋体"/>
          <w:color w:val="auto"/>
          <w:highlight w:val="none"/>
        </w:rPr>
        <w:t>电动葫芦</w:t>
      </w:r>
      <w:r>
        <w:rPr>
          <w:rFonts w:eastAsia="新宋体"/>
          <w:color w:val="auto"/>
          <w:highlight w:val="none"/>
        </w:rPr>
        <w:tab/>
      </w:r>
      <w:r>
        <w:rPr>
          <w:rFonts w:hint="eastAsia" w:eastAsia="新宋体"/>
          <w:color w:val="auto"/>
          <w:highlight w:val="none"/>
        </w:rPr>
        <w:t>18</w:t>
      </w:r>
      <w:r>
        <w:rPr>
          <w:rFonts w:eastAsia="新宋体"/>
          <w:color w:val="auto"/>
          <w:highlight w:val="none"/>
        </w:rPr>
        <w:t>m</w:t>
      </w:r>
    </w:p>
    <w:p>
      <w:pPr>
        <w:pStyle w:val="76"/>
        <w:rPr>
          <w:rFonts w:eastAsia="新宋体"/>
          <w:color w:val="auto"/>
          <w:highlight w:val="none"/>
        </w:rPr>
      </w:pPr>
      <w:r>
        <w:rPr>
          <w:rFonts w:hint="eastAsia" w:eastAsia="新宋体"/>
          <w:color w:val="auto"/>
          <w:highlight w:val="none"/>
        </w:rPr>
        <w:t>起升/下降速度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hint="eastAsia"/>
          <w:color w:val="auto"/>
          <w:highlight w:val="none"/>
        </w:rPr>
        <w:t>0.2～2.0m/min(变频调速)</w:t>
      </w:r>
    </w:p>
    <w:p>
      <w:pPr>
        <w:pStyle w:val="76"/>
        <w:rPr>
          <w:rFonts w:eastAsia="新宋体"/>
          <w:color w:val="auto"/>
          <w:highlight w:val="none"/>
        </w:rPr>
      </w:pPr>
      <w:r>
        <w:rPr>
          <w:rFonts w:hint="eastAsia" w:eastAsia="新宋体"/>
          <w:color w:val="auto"/>
          <w:highlight w:val="none"/>
        </w:rPr>
        <w:t>电动葫芦</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2.0</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20.0m/min</w:t>
      </w:r>
    </w:p>
    <w:p>
      <w:pPr>
        <w:pStyle w:val="76"/>
        <w:rPr>
          <w:rFonts w:eastAsia="新宋体"/>
          <w:color w:val="auto"/>
          <w:highlight w:val="none"/>
        </w:rPr>
      </w:pPr>
      <w:r>
        <w:rPr>
          <w:rFonts w:hint="eastAsia" w:eastAsia="新宋体"/>
          <w:color w:val="auto"/>
          <w:highlight w:val="none"/>
        </w:rPr>
        <w:t>运行速度</w:t>
      </w:r>
      <w:r>
        <w:rPr>
          <w:rFonts w:eastAsia="新宋体"/>
          <w:color w:val="auto"/>
          <w:highlight w:val="none"/>
        </w:rPr>
        <w:tab/>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大车</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2</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20m/min(</w:t>
      </w:r>
      <w:r>
        <w:rPr>
          <w:rFonts w:ascii="宋体" w:hAnsi="宋体" w:eastAsia="宋体" w:cs="宋体"/>
          <w:i w:val="0"/>
          <w:strike w:val="0"/>
          <w:color w:val="auto"/>
          <w:sz w:val="24"/>
          <w:highlight w:val="none"/>
          <w:u w:val="none"/>
        </w:rPr>
        <w:t>可调</w:t>
      </w:r>
      <w:r>
        <w:rPr>
          <w:rFonts w:ascii="Times New Roman" w:hAnsi="Times New Roman" w:eastAsia="Times New Roman" w:cs="Times New Roman"/>
          <w:i w:val="0"/>
          <w:strike w:val="0"/>
          <w:color w:val="auto"/>
          <w:sz w:val="24"/>
          <w:highlight w:val="none"/>
          <w:u w:val="none"/>
        </w:rPr>
        <w:t>)</w:t>
      </w:r>
    </w:p>
    <w:p>
      <w:pPr>
        <w:pStyle w:val="76"/>
        <w:rPr>
          <w:color w:val="auto"/>
          <w:highlight w:val="none"/>
        </w:rPr>
      </w:pPr>
      <w:r>
        <w:rPr>
          <w:rFonts w:hint="eastAsia" w:eastAsia="新宋体"/>
          <w:color w:val="auto"/>
          <w:highlight w:val="none"/>
        </w:rPr>
        <w:t>小车</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0.6</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6.0m/min(</w:t>
      </w:r>
      <w:r>
        <w:rPr>
          <w:rFonts w:ascii="宋体" w:hAnsi="宋体" w:eastAsia="宋体" w:cs="宋体"/>
          <w:i w:val="0"/>
          <w:strike w:val="0"/>
          <w:color w:val="auto"/>
          <w:sz w:val="24"/>
          <w:highlight w:val="none"/>
          <w:u w:val="none"/>
        </w:rPr>
        <w:t>可调</w:t>
      </w:r>
      <w:r>
        <w:rPr>
          <w:rFonts w:ascii="Times New Roman" w:hAnsi="Times New Roman" w:eastAsia="Times New Roman" w:cs="Times New Roman"/>
          <w:i w:val="0"/>
          <w:strike w:val="0"/>
          <w:color w:val="auto"/>
          <w:sz w:val="24"/>
          <w:highlight w:val="none"/>
          <w:u w:val="none"/>
        </w:rPr>
        <w:t>)</w:t>
      </w:r>
      <w:r>
        <w:rPr>
          <w:rFonts w:hint="eastAsia"/>
          <w:color w:val="auto"/>
          <w:highlight w:val="none"/>
        </w:rPr>
        <w:t xml:space="preserve"> </w:t>
      </w:r>
    </w:p>
    <w:p>
      <w:pPr>
        <w:pStyle w:val="76"/>
        <w:rPr>
          <w:rFonts w:eastAsia="新宋体"/>
          <w:color w:val="auto"/>
          <w:highlight w:val="none"/>
          <w:shd w:val="clear" w:color="auto" w:fill="FFFFFF"/>
        </w:rPr>
      </w:pPr>
      <w:r>
        <w:rPr>
          <w:rFonts w:hint="eastAsia" w:eastAsia="新宋体"/>
          <w:color w:val="auto"/>
          <w:highlight w:val="none"/>
          <w:shd w:val="clear" w:color="auto" w:fill="FFFFFF"/>
        </w:rPr>
        <w:t>桥机最大宽度</w:t>
      </w:r>
      <w:r>
        <w:rPr>
          <w:rFonts w:eastAsia="新宋体"/>
          <w:color w:val="auto"/>
          <w:highlight w:val="none"/>
          <w:shd w:val="clear" w:color="auto" w:fill="FFFFFF"/>
        </w:rPr>
        <w:tab/>
      </w:r>
      <w:r>
        <w:rPr>
          <w:rFonts w:eastAsia="新宋体"/>
          <w:color w:val="auto"/>
          <w:highlight w:val="none"/>
          <w:shd w:val="clear" w:color="auto" w:fill="FFFFFF"/>
        </w:rPr>
        <w:t>9100mm</w:t>
      </w:r>
    </w:p>
    <w:p>
      <w:pPr>
        <w:pStyle w:val="76"/>
        <w:rPr>
          <w:rFonts w:eastAsia="新宋体"/>
          <w:color w:val="auto"/>
          <w:highlight w:val="none"/>
          <w:shd w:val="clear" w:color="auto" w:fill="FFFFFF"/>
        </w:rPr>
      </w:pPr>
      <w:r>
        <w:rPr>
          <w:rFonts w:hint="eastAsia" w:eastAsia="新宋体"/>
          <w:color w:val="auto"/>
          <w:highlight w:val="none"/>
          <w:shd w:val="clear" w:color="auto" w:fill="FFFFFF"/>
        </w:rPr>
        <w:t>轨面至桥机顶端高度</w:t>
      </w:r>
      <w:r>
        <w:rPr>
          <w:rFonts w:eastAsia="新宋体"/>
          <w:color w:val="auto"/>
          <w:highlight w:val="none"/>
          <w:shd w:val="clear" w:color="auto" w:fill="FFFFFF"/>
        </w:rPr>
        <w:tab/>
      </w:r>
      <w:r>
        <w:rPr>
          <w:rFonts w:eastAsia="新宋体"/>
          <w:color w:val="auto"/>
          <w:highlight w:val="none"/>
          <w:shd w:val="clear" w:color="auto" w:fill="FFFFFF"/>
        </w:rPr>
        <w:t>2400mm</w:t>
      </w:r>
    </w:p>
    <w:p>
      <w:pPr>
        <w:pStyle w:val="76"/>
        <w:rPr>
          <w:rFonts w:eastAsia="新宋体"/>
          <w:color w:val="auto"/>
          <w:highlight w:val="none"/>
          <w:shd w:val="clear" w:color="auto" w:fill="FFFFFF"/>
        </w:rPr>
      </w:pPr>
      <w:r>
        <w:rPr>
          <w:rFonts w:hint="eastAsia" w:eastAsia="新宋体"/>
          <w:color w:val="auto"/>
          <w:highlight w:val="none"/>
          <w:shd w:val="clear" w:color="auto" w:fill="FFFFFF"/>
        </w:rPr>
        <w:t>轨道型号</w:t>
      </w:r>
      <w:r>
        <w:rPr>
          <w:rFonts w:eastAsia="新宋体"/>
          <w:color w:val="auto"/>
          <w:highlight w:val="none"/>
          <w:shd w:val="clear" w:color="auto" w:fill="FFFFFF"/>
        </w:rPr>
        <w:tab/>
      </w:r>
      <w:r>
        <w:rPr>
          <w:rFonts w:eastAsia="新宋体"/>
          <w:color w:val="auto"/>
          <w:highlight w:val="none"/>
          <w:shd w:val="clear" w:color="auto" w:fill="FFFFFF"/>
        </w:rPr>
        <w:t>QU100</w:t>
      </w:r>
    </w:p>
    <w:p>
      <w:pPr>
        <w:pStyle w:val="76"/>
        <w:rPr>
          <w:rFonts w:eastAsia="新宋体"/>
          <w:color w:val="auto"/>
          <w:highlight w:val="none"/>
          <w:shd w:val="clear" w:color="auto" w:fill="FFFFFF"/>
        </w:rPr>
      </w:pPr>
      <w:r>
        <w:rPr>
          <w:rFonts w:hint="eastAsia" w:eastAsia="新宋体"/>
          <w:color w:val="auto"/>
          <w:highlight w:val="none"/>
          <w:shd w:val="clear" w:color="auto" w:fill="FFFFFF"/>
        </w:rPr>
        <w:t>小车重量</w:t>
      </w:r>
      <w:r>
        <w:rPr>
          <w:rFonts w:eastAsia="新宋体"/>
          <w:color w:val="auto"/>
          <w:highlight w:val="none"/>
          <w:shd w:val="clear" w:color="auto" w:fill="FFFFFF"/>
        </w:rPr>
        <w:tab/>
      </w:r>
      <w:r>
        <w:rPr>
          <w:rFonts w:eastAsia="新宋体"/>
          <w:color w:val="auto"/>
          <w:highlight w:val="none"/>
          <w:shd w:val="clear" w:color="auto" w:fill="FFFFFF"/>
        </w:rPr>
        <w:t>13t</w:t>
      </w:r>
    </w:p>
    <w:p>
      <w:pPr>
        <w:pStyle w:val="76"/>
        <w:rPr>
          <w:rFonts w:eastAsia="新宋体"/>
          <w:color w:val="auto"/>
          <w:highlight w:val="none"/>
          <w:shd w:val="clear" w:color="auto" w:fill="FFFFFF"/>
        </w:rPr>
      </w:pPr>
      <w:r>
        <w:rPr>
          <w:rFonts w:hint="eastAsia" w:eastAsia="新宋体"/>
          <w:color w:val="auto"/>
          <w:highlight w:val="none"/>
          <w:shd w:val="clear" w:color="auto" w:fill="FFFFFF"/>
        </w:rPr>
        <w:t xml:space="preserve">桥机安装时的最大起吊重量 </w:t>
      </w:r>
      <w:r>
        <w:rPr>
          <w:rFonts w:eastAsia="新宋体"/>
          <w:color w:val="auto"/>
          <w:highlight w:val="none"/>
          <w:shd w:val="clear" w:color="auto" w:fill="FFFFFF"/>
        </w:rPr>
        <w:t xml:space="preserve">     13t</w:t>
      </w:r>
    </w:p>
    <w:p>
      <w:pPr>
        <w:pStyle w:val="76"/>
        <w:rPr>
          <w:rFonts w:eastAsia="新宋体"/>
          <w:color w:val="auto"/>
          <w:highlight w:val="none"/>
          <w:shd w:val="clear" w:color="auto" w:fill="FFFFFF"/>
        </w:rPr>
      </w:pPr>
      <w:r>
        <w:rPr>
          <w:rFonts w:hint="eastAsia" w:eastAsia="新宋体"/>
          <w:color w:val="auto"/>
          <w:highlight w:val="none"/>
          <w:shd w:val="clear" w:color="auto" w:fill="FFFFFF"/>
        </w:rPr>
        <w:t>单台桥机总重</w:t>
      </w:r>
      <w:r>
        <w:rPr>
          <w:rFonts w:eastAsia="新宋体"/>
          <w:color w:val="auto"/>
          <w:highlight w:val="none"/>
          <w:shd w:val="clear" w:color="auto" w:fill="FFFFFF"/>
        </w:rPr>
        <w:tab/>
      </w:r>
      <w:r>
        <w:rPr>
          <w:rFonts w:eastAsia="新宋体"/>
          <w:color w:val="auto"/>
          <w:highlight w:val="none"/>
          <w:shd w:val="clear" w:color="auto" w:fill="FFFFFF"/>
        </w:rPr>
        <w:t>28t</w:t>
      </w:r>
    </w:p>
    <w:p>
      <w:pPr>
        <w:pStyle w:val="132"/>
        <w:rPr>
          <w:color w:val="auto"/>
          <w:highlight w:val="none"/>
        </w:rPr>
      </w:pPr>
      <w:r>
        <w:rPr>
          <w:color w:val="auto"/>
          <w:highlight w:val="none"/>
        </w:rPr>
        <w:t xml:space="preserve">6.2.4  </w:t>
      </w:r>
      <w:r>
        <w:rPr>
          <w:rFonts w:hint="eastAsia"/>
          <w:color w:val="auto"/>
          <w:highlight w:val="none"/>
        </w:rPr>
        <w:t>地面GIS室160kN电动葫芦桥式起重机</w:t>
      </w:r>
    </w:p>
    <w:p>
      <w:pPr>
        <w:pStyle w:val="76"/>
        <w:rPr>
          <w:rFonts w:eastAsia="新宋体"/>
          <w:color w:val="auto"/>
          <w:highlight w:val="none"/>
        </w:rPr>
      </w:pPr>
      <w:r>
        <w:rPr>
          <w:rFonts w:hint="eastAsia" w:eastAsia="新宋体"/>
          <w:color w:val="auto"/>
          <w:highlight w:val="none"/>
        </w:rPr>
        <w:t>主要技术特性如下：</w:t>
      </w:r>
    </w:p>
    <w:p>
      <w:pPr>
        <w:pStyle w:val="76"/>
        <w:rPr>
          <w:rFonts w:eastAsia="新宋体"/>
          <w:color w:val="auto"/>
          <w:highlight w:val="none"/>
        </w:rPr>
      </w:pPr>
      <w:r>
        <w:rPr>
          <w:rFonts w:hint="eastAsia" w:eastAsia="新宋体"/>
          <w:color w:val="auto"/>
          <w:highlight w:val="none"/>
        </w:rPr>
        <w:t xml:space="preserve">额定起重量电动葫芦  </w:t>
      </w:r>
      <w:r>
        <w:rPr>
          <w:rFonts w:eastAsia="新宋体"/>
          <w:color w:val="auto"/>
          <w:highlight w:val="none"/>
        </w:rPr>
        <w:tab/>
      </w:r>
      <w:r>
        <w:rPr>
          <w:rFonts w:eastAsia="新宋体"/>
          <w:color w:val="auto"/>
          <w:highlight w:val="none"/>
        </w:rPr>
        <w:t>160kN</w:t>
      </w:r>
    </w:p>
    <w:p>
      <w:pPr>
        <w:pStyle w:val="76"/>
        <w:rPr>
          <w:rFonts w:eastAsia="新宋体"/>
          <w:color w:val="auto"/>
          <w:highlight w:val="none"/>
        </w:rPr>
      </w:pPr>
      <w:r>
        <w:rPr>
          <w:rFonts w:hint="eastAsia" w:eastAsia="新宋体"/>
          <w:color w:val="auto"/>
          <w:highlight w:val="none"/>
        </w:rPr>
        <w:t>跨度</w:t>
      </w:r>
      <w:r>
        <w:rPr>
          <w:rFonts w:eastAsia="新宋体"/>
          <w:color w:val="auto"/>
          <w:highlight w:val="none"/>
        </w:rPr>
        <w:tab/>
      </w:r>
      <w:r>
        <w:rPr>
          <w:rFonts w:eastAsia="新宋体"/>
          <w:color w:val="auto"/>
          <w:highlight w:val="none"/>
        </w:rPr>
        <w:t>14.3m</w:t>
      </w:r>
    </w:p>
    <w:p>
      <w:pPr>
        <w:pStyle w:val="76"/>
        <w:rPr>
          <w:rFonts w:eastAsia="新宋体"/>
          <w:color w:val="auto"/>
          <w:highlight w:val="none"/>
        </w:rPr>
      </w:pPr>
      <w:r>
        <w:rPr>
          <w:rFonts w:hint="eastAsia" w:eastAsia="新宋体"/>
          <w:color w:val="auto"/>
          <w:highlight w:val="none"/>
        </w:rPr>
        <w:t xml:space="preserve">起升高度电动葫芦   </w:t>
      </w:r>
      <w:r>
        <w:rPr>
          <w:rFonts w:eastAsia="新宋体"/>
          <w:color w:val="auto"/>
          <w:highlight w:val="none"/>
        </w:rPr>
        <w:tab/>
      </w:r>
      <w:r>
        <w:rPr>
          <w:rFonts w:eastAsia="新宋体"/>
          <w:color w:val="auto"/>
          <w:highlight w:val="none"/>
        </w:rPr>
        <w:t>18.0m</w:t>
      </w:r>
    </w:p>
    <w:p>
      <w:pPr>
        <w:pStyle w:val="76"/>
        <w:rPr>
          <w:rFonts w:eastAsia="新宋体"/>
          <w:color w:val="auto"/>
          <w:highlight w:val="none"/>
        </w:rPr>
      </w:pPr>
      <w:r>
        <w:rPr>
          <w:rFonts w:hint="eastAsia" w:eastAsia="新宋体"/>
          <w:color w:val="auto"/>
          <w:highlight w:val="none"/>
        </w:rPr>
        <w:t>起升/下降速度</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0.8m/min</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8.0m/min</w:t>
      </w:r>
    </w:p>
    <w:p>
      <w:pPr>
        <w:pStyle w:val="76"/>
        <w:rPr>
          <w:rFonts w:eastAsia="新宋体"/>
          <w:color w:val="auto"/>
          <w:highlight w:val="none"/>
        </w:rPr>
      </w:pPr>
      <w:r>
        <w:rPr>
          <w:rFonts w:hint="eastAsia" w:eastAsia="新宋体"/>
          <w:color w:val="auto"/>
          <w:highlight w:val="none"/>
        </w:rPr>
        <w:t xml:space="preserve">大车运行速度        </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2m/min</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20m/min</w:t>
      </w:r>
    </w:p>
    <w:p>
      <w:pPr>
        <w:pStyle w:val="76"/>
        <w:rPr>
          <w:rFonts w:eastAsia="新宋体"/>
          <w:color w:val="auto"/>
          <w:highlight w:val="none"/>
        </w:rPr>
      </w:pPr>
      <w:r>
        <w:rPr>
          <w:rFonts w:hint="eastAsia" w:eastAsia="新宋体"/>
          <w:color w:val="auto"/>
          <w:highlight w:val="none"/>
        </w:rPr>
        <w:t>电动葫芦运行速度</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2m/min</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20m/min</w:t>
      </w:r>
    </w:p>
    <w:p>
      <w:pPr>
        <w:pStyle w:val="76"/>
        <w:rPr>
          <w:rFonts w:eastAsia="新宋体"/>
          <w:color w:val="auto"/>
          <w:highlight w:val="none"/>
        </w:rPr>
      </w:pPr>
      <w:r>
        <w:rPr>
          <w:rFonts w:hint="eastAsia" w:eastAsia="新宋体"/>
          <w:color w:val="auto"/>
          <w:highlight w:val="none"/>
        </w:rPr>
        <w:t>单台桥机总重</w:t>
      </w:r>
      <w:r>
        <w:rPr>
          <w:rFonts w:eastAsia="新宋体"/>
          <w:color w:val="auto"/>
          <w:highlight w:val="none"/>
        </w:rPr>
        <w:tab/>
      </w:r>
      <w:r>
        <w:rPr>
          <w:rFonts w:eastAsia="新宋体"/>
          <w:color w:val="auto"/>
          <w:highlight w:val="none"/>
        </w:rPr>
        <w:t>5t</w:t>
      </w:r>
    </w:p>
    <w:p>
      <w:pPr>
        <w:pStyle w:val="132"/>
        <w:rPr>
          <w:color w:val="auto"/>
          <w:highlight w:val="none"/>
        </w:rPr>
      </w:pPr>
      <w:r>
        <w:rPr>
          <w:color w:val="auto"/>
          <w:highlight w:val="none"/>
        </w:rPr>
        <w:t xml:space="preserve">6.2.5  </w:t>
      </w:r>
      <w:r>
        <w:rPr>
          <w:rFonts w:hint="eastAsia"/>
          <w:color w:val="auto"/>
          <w:highlight w:val="none"/>
        </w:rPr>
        <w:t>永久仓库</w:t>
      </w:r>
      <w:r>
        <w:rPr>
          <w:color w:val="auto"/>
          <w:highlight w:val="none"/>
        </w:rPr>
        <w:t>320k</w:t>
      </w:r>
      <w:r>
        <w:rPr>
          <w:rFonts w:hint="eastAsia"/>
          <w:color w:val="auto"/>
          <w:highlight w:val="none"/>
        </w:rPr>
        <w:t>N/50kN桥式起重机</w:t>
      </w:r>
    </w:p>
    <w:p>
      <w:pPr>
        <w:pStyle w:val="76"/>
        <w:rPr>
          <w:rFonts w:eastAsia="新宋体"/>
          <w:color w:val="auto"/>
          <w:highlight w:val="none"/>
        </w:rPr>
      </w:pPr>
      <w:r>
        <w:rPr>
          <w:rFonts w:hint="eastAsia" w:eastAsia="新宋体"/>
          <w:color w:val="auto"/>
          <w:highlight w:val="none"/>
        </w:rPr>
        <w:t>桥机主要技术特性如下：</w:t>
      </w:r>
    </w:p>
    <w:p>
      <w:pPr>
        <w:pStyle w:val="76"/>
        <w:rPr>
          <w:rFonts w:eastAsia="新宋体"/>
          <w:color w:val="auto"/>
          <w:highlight w:val="none"/>
        </w:rPr>
      </w:pPr>
      <w:r>
        <w:rPr>
          <w:rFonts w:hint="eastAsia" w:eastAsia="新宋体"/>
          <w:color w:val="auto"/>
          <w:highlight w:val="none"/>
        </w:rPr>
        <w:t>额定起重量</w:t>
      </w:r>
      <w:r>
        <w:rPr>
          <w:rFonts w:eastAsia="新宋体"/>
          <w:color w:val="auto"/>
          <w:highlight w:val="none"/>
        </w:rPr>
        <w:tab/>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 xml:space="preserve">主钩 </w:t>
      </w:r>
      <w:r>
        <w:rPr>
          <w:rFonts w:eastAsia="新宋体"/>
          <w:color w:val="auto"/>
          <w:highlight w:val="none"/>
        </w:rPr>
        <w:tab/>
      </w:r>
      <w:r>
        <w:rPr>
          <w:rFonts w:eastAsia="新宋体"/>
          <w:color w:val="auto"/>
          <w:highlight w:val="none"/>
        </w:rPr>
        <w:t>300kN</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eastAsia="新宋体"/>
          <w:color w:val="auto"/>
          <w:highlight w:val="none"/>
        </w:rPr>
        <w:t>50kN</w:t>
      </w:r>
    </w:p>
    <w:p>
      <w:pPr>
        <w:pStyle w:val="76"/>
        <w:rPr>
          <w:rFonts w:eastAsia="新宋体"/>
          <w:color w:val="auto"/>
          <w:highlight w:val="none"/>
        </w:rPr>
      </w:pPr>
      <w:r>
        <w:rPr>
          <w:rFonts w:hint="eastAsia" w:eastAsia="新宋体"/>
          <w:color w:val="auto"/>
          <w:highlight w:val="none"/>
        </w:rPr>
        <w:t>跨度</w:t>
      </w:r>
      <w:r>
        <w:rPr>
          <w:rFonts w:eastAsia="新宋体"/>
          <w:color w:val="auto"/>
          <w:highlight w:val="none"/>
        </w:rPr>
        <w:tab/>
      </w:r>
      <w:r>
        <w:rPr>
          <w:rFonts w:hint="eastAsia" w:eastAsia="新宋体"/>
          <w:color w:val="auto"/>
          <w:highlight w:val="none"/>
        </w:rPr>
        <w:t>18.5</w:t>
      </w:r>
      <w:r>
        <w:rPr>
          <w:rFonts w:eastAsia="新宋体"/>
          <w:color w:val="auto"/>
          <w:highlight w:val="none"/>
        </w:rPr>
        <w:t>m</w:t>
      </w:r>
    </w:p>
    <w:p>
      <w:pPr>
        <w:pStyle w:val="76"/>
        <w:rPr>
          <w:rFonts w:eastAsia="新宋体"/>
          <w:color w:val="auto"/>
          <w:highlight w:val="none"/>
        </w:rPr>
      </w:pPr>
      <w:r>
        <w:rPr>
          <w:rFonts w:hint="eastAsia" w:eastAsia="新宋体"/>
          <w:color w:val="auto"/>
          <w:highlight w:val="none"/>
        </w:rPr>
        <w:t>起升高度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hint="eastAsia" w:eastAsia="新宋体"/>
          <w:color w:val="auto"/>
          <w:highlight w:val="none"/>
        </w:rPr>
        <w:t>12</w:t>
      </w:r>
      <w:r>
        <w:rPr>
          <w:rFonts w:eastAsia="新宋体"/>
          <w:color w:val="auto"/>
          <w:highlight w:val="none"/>
        </w:rPr>
        <w:t>m</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hint="eastAsia" w:eastAsia="新宋体"/>
          <w:color w:val="auto"/>
          <w:highlight w:val="none"/>
        </w:rPr>
        <w:t>12</w:t>
      </w:r>
      <w:r>
        <w:rPr>
          <w:rFonts w:eastAsia="新宋体"/>
          <w:color w:val="auto"/>
          <w:highlight w:val="none"/>
        </w:rPr>
        <w:t>m</w:t>
      </w:r>
    </w:p>
    <w:p>
      <w:pPr>
        <w:pStyle w:val="76"/>
        <w:rPr>
          <w:rFonts w:eastAsia="新宋体"/>
          <w:color w:val="auto"/>
          <w:highlight w:val="none"/>
        </w:rPr>
      </w:pPr>
      <w:r>
        <w:rPr>
          <w:rFonts w:hint="eastAsia" w:eastAsia="新宋体"/>
          <w:color w:val="auto"/>
          <w:highlight w:val="none"/>
        </w:rPr>
        <w:t>起升/下降速度</w:t>
      </w:r>
    </w:p>
    <w:p>
      <w:pPr>
        <w:pStyle w:val="76"/>
        <w:rPr>
          <w:rFonts w:eastAsia="新宋体"/>
          <w:color w:val="auto"/>
          <w:highlight w:val="none"/>
        </w:rPr>
      </w:pPr>
      <w:r>
        <w:rPr>
          <w:rFonts w:hint="eastAsia" w:eastAsia="新宋体"/>
          <w:color w:val="auto"/>
          <w:highlight w:val="none"/>
        </w:rPr>
        <w:t>主钩</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0.4</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4m/min</w:t>
      </w:r>
    </w:p>
    <w:p>
      <w:pPr>
        <w:pStyle w:val="76"/>
        <w:rPr>
          <w:rFonts w:eastAsia="新宋体"/>
          <w:color w:val="auto"/>
          <w:highlight w:val="none"/>
        </w:rPr>
      </w:pPr>
      <w:r>
        <w:rPr>
          <w:rFonts w:hint="eastAsia" w:eastAsia="新宋体"/>
          <w:color w:val="auto"/>
          <w:highlight w:val="none"/>
        </w:rPr>
        <w:t>副钩</w:t>
      </w:r>
      <w:r>
        <w:rPr>
          <w:rFonts w:eastAsia="新宋体"/>
          <w:color w:val="auto"/>
          <w:highlight w:val="none"/>
        </w:rPr>
        <w:tab/>
      </w:r>
      <w:r>
        <w:rPr>
          <w:rFonts w:ascii="Times New Roman" w:hAnsi="Times New Roman" w:eastAsia="Times New Roman" w:cs="Times New Roman"/>
          <w:i w:val="0"/>
          <w:strike w:val="0"/>
          <w:color w:val="auto"/>
          <w:sz w:val="24"/>
          <w:highlight w:val="none"/>
          <w:u w:val="none"/>
        </w:rPr>
        <w:t>1.2m/min</w:t>
      </w:r>
      <w:r>
        <w:rPr>
          <w:rFonts w:ascii="宋体" w:hAnsi="宋体" w:eastAsia="宋体" w:cs="宋体"/>
          <w:i w:val="0"/>
          <w:strike w:val="0"/>
          <w:color w:val="auto"/>
          <w:sz w:val="24"/>
          <w:highlight w:val="none"/>
          <w:u w:val="none"/>
        </w:rPr>
        <w:t>～</w:t>
      </w:r>
      <w:r>
        <w:rPr>
          <w:rFonts w:ascii="Times New Roman" w:hAnsi="Times New Roman" w:eastAsia="Times New Roman" w:cs="Times New Roman"/>
          <w:i w:val="0"/>
          <w:strike w:val="0"/>
          <w:color w:val="auto"/>
          <w:sz w:val="24"/>
          <w:highlight w:val="none"/>
          <w:u w:val="none"/>
        </w:rPr>
        <w:t>8m/min</w:t>
      </w:r>
    </w:p>
    <w:p>
      <w:pPr>
        <w:pStyle w:val="76"/>
        <w:rPr>
          <w:rFonts w:eastAsia="新宋体"/>
          <w:color w:val="auto"/>
          <w:highlight w:val="none"/>
        </w:rPr>
      </w:pPr>
      <w:r>
        <w:rPr>
          <w:rFonts w:hint="eastAsia" w:eastAsia="新宋体"/>
          <w:color w:val="auto"/>
          <w:highlight w:val="none"/>
        </w:rPr>
        <w:t>小车重量</w:t>
      </w:r>
      <w:r>
        <w:rPr>
          <w:rFonts w:eastAsia="新宋体"/>
          <w:color w:val="auto"/>
          <w:highlight w:val="none"/>
        </w:rPr>
        <w:tab/>
      </w:r>
      <w:r>
        <w:rPr>
          <w:rFonts w:eastAsia="新宋体"/>
          <w:color w:val="auto"/>
          <w:highlight w:val="none"/>
        </w:rPr>
        <w:t>7t</w:t>
      </w:r>
    </w:p>
    <w:p>
      <w:pPr>
        <w:pStyle w:val="76"/>
        <w:rPr>
          <w:rFonts w:eastAsia="新宋体"/>
          <w:color w:val="auto"/>
          <w:highlight w:val="none"/>
        </w:rPr>
      </w:pPr>
      <w:r>
        <w:rPr>
          <w:rFonts w:hint="eastAsia" w:eastAsia="新宋体"/>
          <w:color w:val="auto"/>
          <w:highlight w:val="none"/>
        </w:rPr>
        <w:t xml:space="preserve">桥机安装时的最大起吊重量 </w:t>
      </w:r>
      <w:r>
        <w:rPr>
          <w:rFonts w:eastAsia="新宋体"/>
          <w:color w:val="auto"/>
          <w:highlight w:val="none"/>
        </w:rPr>
        <w:t xml:space="preserve">     12t</w:t>
      </w:r>
    </w:p>
    <w:p>
      <w:pPr>
        <w:pStyle w:val="76"/>
        <w:rPr>
          <w:rFonts w:eastAsia="新宋体"/>
          <w:color w:val="auto"/>
          <w:highlight w:val="none"/>
        </w:rPr>
      </w:pPr>
      <w:r>
        <w:rPr>
          <w:rFonts w:hint="eastAsia" w:eastAsia="新宋体"/>
          <w:color w:val="auto"/>
          <w:highlight w:val="none"/>
        </w:rPr>
        <w:t>单台桥机总重</w:t>
      </w:r>
      <w:r>
        <w:rPr>
          <w:rFonts w:eastAsia="新宋体"/>
          <w:color w:val="auto"/>
          <w:highlight w:val="none"/>
        </w:rPr>
        <w:tab/>
      </w:r>
      <w:r>
        <w:rPr>
          <w:rFonts w:eastAsia="新宋体"/>
          <w:color w:val="auto"/>
          <w:highlight w:val="none"/>
        </w:rPr>
        <w:t xml:space="preserve"> 27t</w:t>
      </w:r>
    </w:p>
    <w:p>
      <w:pPr>
        <w:pStyle w:val="132"/>
        <w:rPr>
          <w:color w:val="auto"/>
          <w:highlight w:val="none"/>
        </w:rPr>
      </w:pPr>
      <w:bookmarkStart w:id="141" w:name="_Toc6291"/>
      <w:r>
        <w:rPr>
          <w:color w:val="auto"/>
          <w:highlight w:val="none"/>
        </w:rPr>
        <w:t>6.2.6</w:t>
      </w:r>
      <w:r>
        <w:rPr>
          <w:rFonts w:hint="eastAsia"/>
          <w:color w:val="auto"/>
          <w:highlight w:val="none"/>
        </w:rPr>
        <w:t xml:space="preserve">  电动葫芦/手拉葫芦主要技术参数</w:t>
      </w:r>
      <w:bookmarkEnd w:id="141"/>
    </w:p>
    <w:p>
      <w:pPr>
        <w:pStyle w:val="76"/>
        <w:rPr>
          <w:color w:val="auto"/>
          <w:highlight w:val="none"/>
        </w:rPr>
      </w:pPr>
      <w:r>
        <w:rPr>
          <w:rFonts w:hint="eastAsia"/>
          <w:color w:val="auto"/>
          <w:highlight w:val="none"/>
        </w:rPr>
        <w:t>电动葫芦/手拉葫芦以及相关吊点一览如下：</w:t>
      </w:r>
    </w:p>
    <w:tbl>
      <w:tblPr>
        <w:tblStyle w:val="36"/>
        <w:tblW w:w="0" w:type="auto"/>
        <w:tblInd w:w="108" w:type="dxa"/>
        <w:tblLayout w:type="fixed"/>
        <w:tblCellMar>
          <w:top w:w="0" w:type="dxa"/>
          <w:left w:w="108" w:type="dxa"/>
          <w:bottom w:w="0" w:type="dxa"/>
          <w:right w:w="108" w:type="dxa"/>
        </w:tblCellMar>
      </w:tblPr>
      <w:tblGrid>
        <w:gridCol w:w="2137"/>
        <w:gridCol w:w="2524"/>
        <w:gridCol w:w="2408"/>
        <w:gridCol w:w="1453"/>
      </w:tblGrid>
      <w:tr>
        <w:tblPrEx>
          <w:tblCellMar>
            <w:top w:w="0" w:type="dxa"/>
            <w:left w:w="108" w:type="dxa"/>
            <w:bottom w:w="0" w:type="dxa"/>
            <w:right w:w="108" w:type="dxa"/>
          </w:tblCellMar>
        </w:tblPrEx>
        <w:trPr>
          <w:trHeight w:val="499" w:hRule="atLeast"/>
          <w:tblHeader/>
        </w:trPr>
        <w:tc>
          <w:tcPr>
            <w:tcW w:w="2137" w:type="dxa"/>
            <w:tcBorders>
              <w:top w:val="single" w:color="000000" w:sz="4" w:space="0"/>
              <w:left w:val="single" w:color="000000" w:sz="4" w:space="0"/>
              <w:bottom w:val="single" w:color="000000" w:sz="4" w:space="0"/>
              <w:right w:val="single" w:color="000000" w:sz="4" w:space="0"/>
            </w:tcBorders>
            <w:vAlign w:val="center"/>
          </w:tcPr>
          <w:p>
            <w:pPr>
              <w:pStyle w:val="76"/>
              <w:spacing w:line="240" w:lineRule="auto"/>
              <w:ind w:firstLine="0" w:firstLineChars="0"/>
              <w:jc w:val="center"/>
              <w:rPr>
                <w:color w:val="auto"/>
                <w:sz w:val="22"/>
                <w:highlight w:val="none"/>
              </w:rPr>
            </w:pPr>
            <w:r>
              <w:rPr>
                <w:rFonts w:hint="eastAsia"/>
                <w:color w:val="auto"/>
                <w:sz w:val="22"/>
                <w:highlight w:val="none"/>
              </w:rPr>
              <w:t>型式，规格</w:t>
            </w:r>
          </w:p>
        </w:tc>
        <w:tc>
          <w:tcPr>
            <w:tcW w:w="2524" w:type="dxa"/>
            <w:tcBorders>
              <w:top w:val="single" w:color="000000" w:sz="4" w:space="0"/>
              <w:left w:val="nil"/>
              <w:bottom w:val="single" w:color="000000" w:sz="4" w:space="0"/>
              <w:right w:val="single" w:color="000000" w:sz="4" w:space="0"/>
            </w:tcBorders>
            <w:vAlign w:val="center"/>
          </w:tcPr>
          <w:p>
            <w:pPr>
              <w:pStyle w:val="76"/>
              <w:spacing w:line="240" w:lineRule="auto"/>
              <w:ind w:firstLine="0" w:firstLineChars="0"/>
              <w:jc w:val="center"/>
              <w:rPr>
                <w:color w:val="auto"/>
                <w:sz w:val="22"/>
                <w:highlight w:val="none"/>
              </w:rPr>
            </w:pPr>
            <w:r>
              <w:rPr>
                <w:rFonts w:hint="eastAsia"/>
                <w:color w:val="auto"/>
                <w:sz w:val="22"/>
                <w:highlight w:val="none"/>
              </w:rPr>
              <w:t>位置</w:t>
            </w:r>
          </w:p>
        </w:tc>
        <w:tc>
          <w:tcPr>
            <w:tcW w:w="2408" w:type="dxa"/>
            <w:tcBorders>
              <w:top w:val="single" w:color="000000" w:sz="4" w:space="0"/>
              <w:left w:val="nil"/>
              <w:bottom w:val="single" w:color="000000" w:sz="4" w:space="0"/>
              <w:right w:val="single" w:color="000000" w:sz="4" w:space="0"/>
            </w:tcBorders>
            <w:vAlign w:val="center"/>
          </w:tcPr>
          <w:p>
            <w:pPr>
              <w:pStyle w:val="76"/>
              <w:spacing w:line="240" w:lineRule="auto"/>
              <w:ind w:firstLine="0" w:firstLineChars="0"/>
              <w:jc w:val="center"/>
              <w:rPr>
                <w:color w:val="auto"/>
                <w:sz w:val="22"/>
                <w:highlight w:val="none"/>
              </w:rPr>
            </w:pPr>
            <w:r>
              <w:rPr>
                <w:rFonts w:hint="eastAsia"/>
                <w:color w:val="auto"/>
                <w:sz w:val="22"/>
                <w:highlight w:val="none"/>
              </w:rPr>
              <w:t>用途</w:t>
            </w:r>
          </w:p>
        </w:tc>
        <w:tc>
          <w:tcPr>
            <w:tcW w:w="1453" w:type="dxa"/>
            <w:tcBorders>
              <w:top w:val="single" w:color="000000" w:sz="4" w:space="0"/>
              <w:left w:val="nil"/>
              <w:bottom w:val="single" w:color="000000" w:sz="4" w:space="0"/>
              <w:right w:val="single" w:color="000000" w:sz="4" w:space="0"/>
            </w:tcBorders>
            <w:vAlign w:val="center"/>
          </w:tcPr>
          <w:p>
            <w:pPr>
              <w:pStyle w:val="76"/>
              <w:spacing w:line="240" w:lineRule="auto"/>
              <w:ind w:firstLine="0" w:firstLineChars="0"/>
              <w:jc w:val="center"/>
              <w:rPr>
                <w:color w:val="auto"/>
                <w:sz w:val="22"/>
                <w:highlight w:val="none"/>
              </w:rPr>
            </w:pPr>
            <w:r>
              <w:rPr>
                <w:rFonts w:hint="eastAsia"/>
                <w:color w:val="auto"/>
                <w:sz w:val="22"/>
                <w:highlight w:val="none"/>
              </w:rPr>
              <w:t>数量</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一、电动葫芦</w:t>
            </w:r>
          </w:p>
        </w:tc>
        <w:tc>
          <w:tcPr>
            <w:tcW w:w="2524"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p>
        </w:tc>
        <w:tc>
          <w:tcPr>
            <w:tcW w:w="2408"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p>
        </w:tc>
        <w:tc>
          <w:tcPr>
            <w:tcW w:w="1453"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电动葫芦，</w:t>
            </w:r>
            <w:r>
              <w:rPr>
                <w:color w:val="auto"/>
                <w:sz w:val="22"/>
                <w:highlight w:val="none"/>
              </w:rPr>
              <w:t>10t</w:t>
            </w:r>
          </w:p>
        </w:tc>
        <w:tc>
          <w:tcPr>
            <w:tcW w:w="2524"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主变</w:t>
            </w:r>
            <w:r>
              <w:rPr>
                <w:color w:val="auto"/>
                <w:sz w:val="22"/>
                <w:highlight w:val="none"/>
              </w:rPr>
              <w:t>GIS</w:t>
            </w:r>
            <w:r>
              <w:rPr>
                <w:rFonts w:hint="eastAsia"/>
                <w:color w:val="auto"/>
                <w:sz w:val="22"/>
                <w:highlight w:val="none"/>
              </w:rPr>
              <w:t>层中部试验场</w:t>
            </w:r>
          </w:p>
        </w:tc>
        <w:tc>
          <w:tcPr>
            <w:tcW w:w="2408"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color w:val="auto"/>
                <w:sz w:val="22"/>
                <w:highlight w:val="none"/>
              </w:rPr>
              <w:t>GIS</w:t>
            </w:r>
            <w:r>
              <w:rPr>
                <w:rFonts w:hint="eastAsia"/>
                <w:color w:val="auto"/>
                <w:sz w:val="22"/>
                <w:highlight w:val="none"/>
              </w:rPr>
              <w:t>层电气设备吊运、</w:t>
            </w:r>
            <w:r>
              <w:rPr>
                <w:color w:val="auto"/>
                <w:sz w:val="22"/>
                <w:highlight w:val="none"/>
              </w:rPr>
              <w:t>GIS</w:t>
            </w:r>
            <w:r>
              <w:rPr>
                <w:rFonts w:hint="eastAsia"/>
                <w:color w:val="auto"/>
                <w:sz w:val="22"/>
                <w:highlight w:val="none"/>
              </w:rPr>
              <w:t>耐压试验用</w:t>
            </w:r>
          </w:p>
        </w:tc>
        <w:tc>
          <w:tcPr>
            <w:tcW w:w="1453"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color w:val="auto"/>
                <w:sz w:val="22"/>
                <w:highlight w:val="none"/>
              </w:rPr>
              <w:t>1</w:t>
            </w:r>
            <w:r>
              <w:rPr>
                <w:rFonts w:hint="eastAsia"/>
                <w:color w:val="auto"/>
                <w:sz w:val="22"/>
                <w:highlight w:val="none"/>
              </w:rPr>
              <w:t>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pStyle w:val="76"/>
              <w:pBdr>
                <w:bottom w:val="none" w:color="auto" w:sz="0" w:space="0"/>
              </w:pBdr>
              <w:ind w:firstLine="0" w:firstLineChars="0"/>
              <w:rPr>
                <w:color w:val="auto"/>
                <w:sz w:val="22"/>
                <w:highlight w:val="none"/>
              </w:rPr>
            </w:pPr>
            <w:r>
              <w:rPr>
                <w:rFonts w:hint="eastAsia"/>
                <w:color w:val="auto"/>
                <w:sz w:val="22"/>
                <w:highlight w:val="none"/>
              </w:rPr>
              <w:t>电动葫芦，</w:t>
            </w:r>
            <w:r>
              <w:rPr>
                <w:color w:val="auto"/>
                <w:sz w:val="22"/>
                <w:highlight w:val="none"/>
              </w:rPr>
              <w:t>10t</w:t>
            </w:r>
          </w:p>
        </w:tc>
        <w:tc>
          <w:tcPr>
            <w:tcW w:w="2524"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主变洞下游侧运输通道场上方</w:t>
            </w:r>
          </w:p>
        </w:tc>
        <w:tc>
          <w:tcPr>
            <w:tcW w:w="2408"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color w:val="auto"/>
                <w:sz w:val="22"/>
                <w:highlight w:val="none"/>
              </w:rPr>
              <w:t>GIS</w:t>
            </w:r>
            <w:r>
              <w:rPr>
                <w:rFonts w:hint="eastAsia"/>
                <w:color w:val="auto"/>
                <w:sz w:val="22"/>
                <w:highlight w:val="none"/>
              </w:rPr>
              <w:t>层电气设备吊运</w:t>
            </w:r>
          </w:p>
        </w:tc>
        <w:tc>
          <w:tcPr>
            <w:tcW w:w="1453"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1套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电动葫芦(临时)，</w:t>
            </w:r>
            <w:r>
              <w:rPr>
                <w:color w:val="auto"/>
                <w:sz w:val="22"/>
                <w:highlight w:val="none"/>
              </w:rPr>
              <w:t>5t</w:t>
            </w:r>
          </w:p>
        </w:tc>
        <w:tc>
          <w:tcPr>
            <w:tcW w:w="2524"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地下厂房高压电缆出线洞口</w:t>
            </w:r>
          </w:p>
        </w:tc>
        <w:tc>
          <w:tcPr>
            <w:tcW w:w="2408"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color w:val="auto"/>
                <w:sz w:val="22"/>
                <w:highlight w:val="none"/>
              </w:rPr>
              <w:t>GIS</w:t>
            </w:r>
            <w:r>
              <w:rPr>
                <w:rFonts w:hint="eastAsia"/>
                <w:color w:val="auto"/>
                <w:sz w:val="22"/>
                <w:highlight w:val="none"/>
              </w:rPr>
              <w:t>层电气设备吊运</w:t>
            </w:r>
          </w:p>
        </w:tc>
        <w:tc>
          <w:tcPr>
            <w:tcW w:w="1453" w:type="dxa"/>
            <w:tcBorders>
              <w:top w:val="single" w:color="000000" w:sz="4" w:space="0"/>
              <w:left w:val="nil"/>
              <w:bottom w:val="single" w:color="000000" w:sz="4" w:space="0"/>
              <w:right w:val="single" w:color="000000" w:sz="4" w:space="0"/>
            </w:tcBorders>
            <w:vAlign w:val="center"/>
          </w:tcPr>
          <w:p>
            <w:pPr>
              <w:pStyle w:val="76"/>
              <w:ind w:firstLine="0" w:firstLineChars="0"/>
              <w:rPr>
                <w:color w:val="auto"/>
                <w:sz w:val="22"/>
                <w:highlight w:val="none"/>
              </w:rPr>
            </w:pPr>
            <w:r>
              <w:rPr>
                <w:rFonts w:hint="eastAsia"/>
                <w:color w:val="auto"/>
                <w:sz w:val="22"/>
                <w:highlight w:val="none"/>
              </w:rPr>
              <w:t>2套</w:t>
            </w:r>
          </w:p>
        </w:tc>
      </w:tr>
      <w:tr>
        <w:tblPrEx>
          <w:tblCellMar>
            <w:top w:w="0" w:type="dxa"/>
            <w:left w:w="108" w:type="dxa"/>
            <w:bottom w:w="0" w:type="dxa"/>
            <w:right w:w="108" w:type="dxa"/>
          </w:tblCellMar>
        </w:tblPrEx>
        <w:trPr>
          <w:trHeight w:val="499" w:hRule="atLeast"/>
        </w:trPr>
        <w:tc>
          <w:tcPr>
            <w:tcW w:w="8522" w:type="dxa"/>
            <w:gridSpan w:val="4"/>
            <w:tcBorders>
              <w:top w:val="single" w:color="000000" w:sz="4" w:space="0"/>
              <w:left w:val="single" w:color="000000" w:sz="4" w:space="0"/>
              <w:bottom w:val="single" w:color="000000" w:sz="4" w:space="0"/>
              <w:right w:val="single" w:color="000000" w:sz="4" w:space="0"/>
            </w:tcBorders>
            <w:vAlign w:val="center"/>
          </w:tcPr>
          <w:p>
            <w:pPr>
              <w:widowControl/>
              <w:rPr>
                <w:rFonts w:ascii="Times New Roman" w:hAnsi="Times New Roman" w:cs="Times New Roman"/>
                <w:color w:val="auto"/>
                <w:kern w:val="0"/>
                <w:sz w:val="22"/>
                <w:highlight w:val="none"/>
              </w:rPr>
            </w:pPr>
            <w:r>
              <w:rPr>
                <w:rFonts w:hint="eastAsia"/>
                <w:b/>
                <w:color w:val="auto"/>
                <w:szCs w:val="21"/>
                <w:highlight w:val="none"/>
              </w:rPr>
              <w:t>二、手拉单轨小车（</w:t>
            </w:r>
            <w:r>
              <w:rPr>
                <w:rFonts w:hint="eastAsia" w:ascii="Times New Roman" w:hAnsi="Times New Roman" w:cs="Times New Roman"/>
                <w:color w:val="auto"/>
                <w:kern w:val="0"/>
                <w:szCs w:val="21"/>
                <w:highlight w:val="none"/>
              </w:rPr>
              <w:t>手拉单轨小车长期安装在轨道上，检修时再挂上手拉葫芦</w:t>
            </w:r>
            <w:r>
              <w:rPr>
                <w:rFonts w:hint="eastAsia"/>
                <w:b/>
                <w:color w:val="auto"/>
                <w:szCs w:val="21"/>
                <w:highlight w:val="none"/>
              </w:rPr>
              <w:t>）</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ascii="Times New Roman" w:hAnsi="Times New Roman" w:cs="Times New Roman"/>
                <w:color w:val="auto"/>
                <w:kern w:val="0"/>
                <w:sz w:val="22"/>
                <w:highlight w:val="none"/>
              </w:rPr>
              <w:t>3t</w:t>
            </w:r>
            <w:r>
              <w:rPr>
                <w:rFonts w:hint="eastAsia" w:ascii="Times New Roman" w:hAnsi="Times New Roman" w:cs="Times New Roman"/>
                <w:color w:val="auto"/>
                <w:kern w:val="0"/>
                <w:szCs w:val="21"/>
                <w:highlight w:val="none"/>
              </w:rPr>
              <w:t>手拉单轨小车</w:t>
            </w:r>
          </w:p>
        </w:tc>
        <w:tc>
          <w:tcPr>
            <w:tcW w:w="2524" w:type="dxa"/>
            <w:tcBorders>
              <w:top w:val="single" w:color="000000" w:sz="4" w:space="0"/>
              <w:left w:val="nil"/>
              <w:bottom w:val="single" w:color="000000" w:sz="4" w:space="0"/>
              <w:right w:val="single" w:color="000000" w:sz="4" w:space="0"/>
            </w:tcBorders>
            <w:vAlign w:val="center"/>
          </w:tcPr>
          <w:p>
            <w:pPr>
              <w:widowControl/>
              <w:rPr>
                <w:rFonts w:ascii="Times New Roman" w:hAnsi="Times New Roman" w:cs="Times New Roman"/>
                <w:b/>
                <w:bCs/>
                <w:color w:val="auto"/>
                <w:kern w:val="0"/>
                <w:sz w:val="24"/>
                <w:szCs w:val="24"/>
                <w:highlight w:val="none"/>
              </w:rPr>
            </w:pPr>
            <w:r>
              <w:rPr>
                <w:rFonts w:hint="eastAsia" w:ascii="Times New Roman" w:hAnsi="Times New Roman" w:cs="Times New Roman"/>
                <w:color w:val="auto"/>
                <w:kern w:val="0"/>
                <w:szCs w:val="21"/>
                <w:highlight w:val="none"/>
              </w:rPr>
              <w:t>主变室（手拉单轨小车长期安装在各机组主变室梁下轨道）</w:t>
            </w:r>
          </w:p>
        </w:tc>
        <w:tc>
          <w:tcPr>
            <w:tcW w:w="2408"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hint="eastAsia" w:ascii="Times New Roman" w:hAnsi="Times New Roman" w:cs="Times New Roman"/>
                <w:color w:val="auto"/>
                <w:kern w:val="0"/>
                <w:sz w:val="22"/>
                <w:highlight w:val="none"/>
              </w:rPr>
              <w:t>主变设备检修吊运</w:t>
            </w:r>
          </w:p>
        </w:tc>
        <w:tc>
          <w:tcPr>
            <w:tcW w:w="1453"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20</w:t>
            </w:r>
            <w:r>
              <w:rPr>
                <w:rFonts w:hint="eastAsia" w:ascii="Times New Roman" w:hAnsi="Times New Roman" w:cs="Times New Roman"/>
                <w:color w:val="auto"/>
                <w:kern w:val="0"/>
                <w:sz w:val="22"/>
                <w:highlight w:val="none"/>
              </w:rPr>
              <w:t>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5t</w:t>
            </w:r>
            <w:r>
              <w:rPr>
                <w:rFonts w:hint="eastAsia" w:ascii="Times New Roman" w:hAnsi="Times New Roman" w:cs="Times New Roman"/>
                <w:color w:val="auto"/>
                <w:kern w:val="0"/>
                <w:szCs w:val="21"/>
                <w:highlight w:val="none"/>
              </w:rPr>
              <w:t>手拉单轨小车</w:t>
            </w:r>
          </w:p>
        </w:tc>
        <w:tc>
          <w:tcPr>
            <w:tcW w:w="2524" w:type="dxa"/>
            <w:tcBorders>
              <w:top w:val="single" w:color="000000" w:sz="4" w:space="0"/>
              <w:left w:val="nil"/>
              <w:bottom w:val="single" w:color="000000" w:sz="4" w:space="0"/>
              <w:right w:val="single" w:color="000000" w:sz="4" w:space="0"/>
            </w:tcBorders>
            <w:vAlign w:val="center"/>
          </w:tcPr>
          <w:p>
            <w:pPr>
              <w:widowControl/>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水泵水轮机层机组调速器集油箱上方</w:t>
            </w:r>
            <w:r>
              <w:rPr>
                <w:rFonts w:hint="eastAsia" w:ascii="Times New Roman" w:hAnsi="Times New Roman" w:cs="Times New Roman"/>
                <w:color w:val="auto"/>
                <w:kern w:val="0"/>
                <w:szCs w:val="21"/>
                <w:highlight w:val="none"/>
              </w:rPr>
              <w:t>轨道</w:t>
            </w:r>
          </w:p>
        </w:tc>
        <w:tc>
          <w:tcPr>
            <w:tcW w:w="2408"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调速器油泵更换吊运</w:t>
            </w:r>
          </w:p>
        </w:tc>
        <w:tc>
          <w:tcPr>
            <w:tcW w:w="1453"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4套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ascii="Times New Roman" w:hAnsi="Times New Roman" w:cs="Times New Roman"/>
                <w:color w:val="auto"/>
                <w:kern w:val="0"/>
                <w:sz w:val="22"/>
                <w:highlight w:val="none"/>
              </w:rPr>
              <w:t>5t</w:t>
            </w:r>
            <w:r>
              <w:rPr>
                <w:rFonts w:hint="eastAsia" w:ascii="Times New Roman" w:hAnsi="Times New Roman" w:cs="Times New Roman"/>
                <w:color w:val="auto"/>
                <w:kern w:val="0"/>
                <w:szCs w:val="21"/>
                <w:highlight w:val="none"/>
              </w:rPr>
              <w:t>手拉单轨小车</w:t>
            </w:r>
          </w:p>
        </w:tc>
        <w:tc>
          <w:tcPr>
            <w:tcW w:w="2524" w:type="dxa"/>
            <w:tcBorders>
              <w:top w:val="single" w:color="000000" w:sz="4" w:space="0"/>
              <w:left w:val="nil"/>
              <w:bottom w:val="single" w:color="000000" w:sz="4" w:space="0"/>
              <w:right w:val="single" w:color="000000" w:sz="4" w:space="0"/>
            </w:tcBorders>
            <w:vAlign w:val="center"/>
          </w:tcPr>
          <w:p>
            <w:pPr>
              <w:widowControl/>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操作廊道</w:t>
            </w:r>
            <w:r>
              <w:rPr>
                <w:rFonts w:ascii="Times New Roman" w:hAnsi="Times New Roman" w:cs="Times New Roman"/>
                <w:color w:val="auto"/>
                <w:kern w:val="0"/>
                <w:sz w:val="22"/>
                <w:highlight w:val="none"/>
              </w:rPr>
              <w:t>检修排水阀</w:t>
            </w:r>
          </w:p>
          <w:p>
            <w:pPr>
              <w:widowControl/>
              <w:rPr>
                <w:rFonts w:ascii="Times New Roman" w:hAnsi="Times New Roman" w:cs="Times New Roman"/>
                <w:b/>
                <w:bCs/>
                <w:color w:val="auto"/>
                <w:kern w:val="0"/>
                <w:sz w:val="24"/>
                <w:szCs w:val="24"/>
                <w:highlight w:val="none"/>
              </w:rPr>
            </w:pPr>
            <w:r>
              <w:rPr>
                <w:rFonts w:ascii="Times New Roman" w:hAnsi="Times New Roman" w:cs="Times New Roman"/>
                <w:color w:val="auto"/>
                <w:kern w:val="0"/>
                <w:sz w:val="22"/>
                <w:highlight w:val="none"/>
              </w:rPr>
              <w:t>上方轨道</w:t>
            </w:r>
          </w:p>
        </w:tc>
        <w:tc>
          <w:tcPr>
            <w:tcW w:w="2408"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hint="eastAsia" w:ascii="Times New Roman" w:hAnsi="Times New Roman" w:cs="Times New Roman"/>
                <w:color w:val="auto"/>
                <w:kern w:val="0"/>
                <w:sz w:val="22"/>
                <w:highlight w:val="none"/>
              </w:rPr>
              <w:t>机组尾水管检修排水阀吊运</w:t>
            </w:r>
          </w:p>
        </w:tc>
        <w:tc>
          <w:tcPr>
            <w:tcW w:w="1453"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ascii="Times New Roman" w:hAnsi="Times New Roman" w:cs="Times New Roman"/>
                <w:color w:val="auto"/>
                <w:kern w:val="0"/>
                <w:sz w:val="22"/>
                <w:highlight w:val="none"/>
              </w:rPr>
              <w:t>10t</w:t>
            </w:r>
            <w:r>
              <w:rPr>
                <w:rFonts w:hint="eastAsia" w:ascii="Times New Roman" w:hAnsi="Times New Roman" w:cs="Times New Roman"/>
                <w:color w:val="auto"/>
                <w:kern w:val="0"/>
                <w:szCs w:val="21"/>
                <w:highlight w:val="none"/>
              </w:rPr>
              <w:t>手拉单轨小车</w:t>
            </w:r>
          </w:p>
        </w:tc>
        <w:tc>
          <w:tcPr>
            <w:tcW w:w="2524" w:type="dxa"/>
            <w:tcBorders>
              <w:top w:val="single" w:color="000000" w:sz="4" w:space="0"/>
              <w:left w:val="nil"/>
              <w:bottom w:val="single" w:color="000000" w:sz="4" w:space="0"/>
              <w:right w:val="single" w:color="000000" w:sz="4" w:space="0"/>
            </w:tcBorders>
            <w:vAlign w:val="center"/>
          </w:tcPr>
          <w:p>
            <w:pPr>
              <w:widowControl/>
              <w:rPr>
                <w:rFonts w:ascii="Times New Roman" w:hAnsi="Times New Roman" w:cs="Times New Roman"/>
                <w:b/>
                <w:bCs/>
                <w:color w:val="auto"/>
                <w:kern w:val="0"/>
                <w:sz w:val="24"/>
                <w:szCs w:val="24"/>
                <w:highlight w:val="none"/>
              </w:rPr>
            </w:pPr>
            <w:r>
              <w:rPr>
                <w:rFonts w:hint="eastAsia" w:ascii="Times New Roman" w:hAnsi="Times New Roman" w:cs="Times New Roman"/>
                <w:color w:val="auto"/>
                <w:kern w:val="0"/>
                <w:sz w:val="22"/>
                <w:highlight w:val="none"/>
              </w:rPr>
              <w:t>空压机室中压气机上方轨道</w:t>
            </w:r>
          </w:p>
        </w:tc>
        <w:tc>
          <w:tcPr>
            <w:tcW w:w="2408"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b/>
                <w:bCs/>
                <w:color w:val="auto"/>
                <w:kern w:val="0"/>
                <w:sz w:val="24"/>
                <w:szCs w:val="24"/>
                <w:highlight w:val="none"/>
              </w:rPr>
            </w:pPr>
            <w:r>
              <w:rPr>
                <w:rFonts w:hint="eastAsia" w:ascii="Times New Roman" w:hAnsi="Times New Roman" w:cs="Times New Roman"/>
                <w:color w:val="auto"/>
                <w:kern w:val="0"/>
                <w:sz w:val="22"/>
                <w:highlight w:val="none"/>
              </w:rPr>
              <w:t>中压气机缸体检修起吊</w:t>
            </w:r>
          </w:p>
        </w:tc>
        <w:tc>
          <w:tcPr>
            <w:tcW w:w="1453"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499" w:hRule="atLeast"/>
        </w:trPr>
        <w:tc>
          <w:tcPr>
            <w:tcW w:w="213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shd w:val="clear" w:color="auto" w:fill="auto"/>
              </w:rPr>
            </w:pPr>
            <w:r>
              <w:rPr>
                <w:rFonts w:ascii="Times New Roman" w:hAnsi="Times New Roman" w:cs="Times New Roman"/>
                <w:color w:val="auto"/>
                <w:kern w:val="0"/>
                <w:sz w:val="22"/>
                <w:highlight w:val="none"/>
                <w:shd w:val="clear" w:color="auto" w:fill="auto"/>
              </w:rPr>
              <w:t>10t</w:t>
            </w:r>
            <w:r>
              <w:rPr>
                <w:rFonts w:hint="eastAsia" w:ascii="Times New Roman" w:hAnsi="Times New Roman" w:cs="Times New Roman"/>
                <w:color w:val="auto"/>
                <w:kern w:val="0"/>
                <w:szCs w:val="21"/>
                <w:highlight w:val="none"/>
                <w:shd w:val="clear" w:color="auto" w:fill="auto"/>
              </w:rPr>
              <w:t>手拉单轨小车</w:t>
            </w:r>
          </w:p>
        </w:tc>
        <w:tc>
          <w:tcPr>
            <w:tcW w:w="2524" w:type="dxa"/>
            <w:tcBorders>
              <w:top w:val="single" w:color="000000" w:sz="4" w:space="0"/>
              <w:left w:val="nil"/>
              <w:bottom w:val="single" w:color="000000" w:sz="4" w:space="0"/>
              <w:right w:val="single" w:color="000000" w:sz="4" w:space="0"/>
            </w:tcBorders>
            <w:vAlign w:val="center"/>
          </w:tcPr>
          <w:p>
            <w:pPr>
              <w:widowControl/>
              <w:rPr>
                <w:rFonts w:ascii="Times New Roman" w:hAnsi="Times New Roman" w:cs="Times New Roman"/>
                <w:color w:val="auto"/>
                <w:kern w:val="0"/>
                <w:sz w:val="22"/>
                <w:highlight w:val="none"/>
                <w:shd w:val="clear" w:color="auto" w:fill="auto"/>
              </w:rPr>
            </w:pPr>
            <w:r>
              <w:rPr>
                <w:rFonts w:hint="eastAsia" w:ascii="Times New Roman" w:hAnsi="Times New Roman" w:cs="Times New Roman"/>
                <w:color w:val="auto"/>
                <w:kern w:val="0"/>
                <w:sz w:val="22"/>
                <w:highlight w:val="none"/>
                <w:shd w:val="clear" w:color="auto" w:fill="auto"/>
              </w:rPr>
              <w:t>空压机室吊物孔上方轨道</w:t>
            </w:r>
          </w:p>
        </w:tc>
        <w:tc>
          <w:tcPr>
            <w:tcW w:w="2408"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shd w:val="clear" w:color="auto" w:fill="auto"/>
              </w:rPr>
            </w:pPr>
            <w:r>
              <w:rPr>
                <w:rFonts w:hint="eastAsia" w:ascii="Times New Roman" w:hAnsi="Times New Roman" w:cs="Times New Roman"/>
                <w:color w:val="auto"/>
                <w:kern w:val="0"/>
                <w:sz w:val="22"/>
                <w:highlight w:val="none"/>
                <w:shd w:val="clear" w:color="auto" w:fill="auto"/>
              </w:rPr>
              <w:t>含油污水设备吊运</w:t>
            </w:r>
          </w:p>
        </w:tc>
        <w:tc>
          <w:tcPr>
            <w:tcW w:w="1453" w:type="dxa"/>
            <w:tcBorders>
              <w:top w:val="single" w:color="000000" w:sz="4" w:space="0"/>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shd w:val="clear" w:color="auto" w:fill="auto"/>
              </w:rPr>
            </w:pPr>
            <w:r>
              <w:rPr>
                <w:rFonts w:ascii="Times New Roman" w:hAnsi="Times New Roman" w:cs="Times New Roman"/>
                <w:color w:val="auto"/>
                <w:kern w:val="0"/>
                <w:sz w:val="22"/>
                <w:highlight w:val="none"/>
                <w:shd w:val="clear" w:color="auto" w:fill="auto"/>
              </w:rPr>
              <w:t>1</w:t>
            </w:r>
            <w:r>
              <w:rPr>
                <w:rFonts w:hint="eastAsia" w:ascii="Times New Roman" w:hAnsi="Times New Roman" w:cs="Times New Roman"/>
                <w:color w:val="auto"/>
                <w:kern w:val="0"/>
                <w:sz w:val="22"/>
                <w:highlight w:val="none"/>
                <w:shd w:val="clear" w:color="auto" w:fill="auto"/>
              </w:rPr>
              <w:t>套</w:t>
            </w:r>
          </w:p>
        </w:tc>
      </w:tr>
      <w:tr>
        <w:tblPrEx>
          <w:tblCellMar>
            <w:top w:w="0" w:type="dxa"/>
            <w:left w:w="108" w:type="dxa"/>
            <w:bottom w:w="0" w:type="dxa"/>
            <w:right w:w="108" w:type="dxa"/>
          </w:tblCellMar>
        </w:tblPrEx>
        <w:trPr>
          <w:trHeight w:val="499" w:hRule="atLeast"/>
        </w:trPr>
        <w:tc>
          <w:tcPr>
            <w:tcW w:w="8522" w:type="dxa"/>
            <w:gridSpan w:val="4"/>
            <w:tcBorders>
              <w:top w:val="single" w:color="000000" w:sz="4" w:space="0"/>
              <w:left w:val="single" w:color="000000" w:sz="4" w:space="0"/>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b/>
                <w:color w:val="auto"/>
                <w:szCs w:val="21"/>
                <w:highlight w:val="none"/>
              </w:rPr>
              <w:t>三、吊点设置</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5t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蜗壳层公用供水系统滤水器上方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公用供水滤水器吊运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2套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吊点，5</w:t>
            </w:r>
            <w:r>
              <w:rPr>
                <w:rFonts w:ascii="Times New Roman" w:hAnsi="Times New Roman" w:cs="Times New Roman"/>
                <w:color w:val="auto"/>
                <w:kern w:val="0"/>
                <w:sz w:val="22"/>
                <w:highlight w:val="none"/>
              </w:rPr>
              <w:t>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蜗壳层各机组段技术供水泵上方吊点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#1~#4机组技术供水泵吊运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8套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3t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蜗壳层各机组段滤水器上方吊点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#1~#4机组滤水器吊运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8套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4t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含油污水处理设备顶部</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含油污水处理设备吊运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4t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空调冷水机组设备顶部</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空调冷水机组设备吊运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5t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蜗壳层透平油库轴承油油罐上方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轴承油油罐检修吊运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5t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蜗壳层透平油库调速器油油罐上方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调速器油油罐检修吊运</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13t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蜗壳层各机组段压水气罐上方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#1~#4机组压水气罐检修吊点</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8</w:t>
            </w:r>
            <w:r>
              <w:rPr>
                <w:rFonts w:hint="eastAsia" w:ascii="Times New Roman" w:hAnsi="Times New Roman" w:cs="Times New Roman"/>
                <w:color w:val="auto"/>
                <w:kern w:val="0"/>
                <w:sz w:val="22"/>
                <w:highlight w:val="none"/>
              </w:rPr>
              <w:t>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6t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蜗壳层机组段进水球阀接力器防倾倒</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#1~#4机组球阀接力器检修防倾倒</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8套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3t</w:t>
            </w:r>
          </w:p>
        </w:tc>
        <w:tc>
          <w:tcPr>
            <w:tcW w:w="2524" w:type="dxa"/>
            <w:tcBorders>
              <w:top w:val="nil"/>
              <w:left w:val="nil"/>
              <w:bottom w:val="single" w:color="000000"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蜗壳层机组段蜗壳压力释放阀上方</w:t>
            </w:r>
          </w:p>
        </w:tc>
        <w:tc>
          <w:tcPr>
            <w:tcW w:w="2408"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#1~#4机组蜗壳压力释放阀更换</w:t>
            </w:r>
          </w:p>
        </w:tc>
        <w:tc>
          <w:tcPr>
            <w:tcW w:w="1453" w:type="dxa"/>
            <w:tcBorders>
              <w:top w:val="nil"/>
              <w:left w:val="nil"/>
              <w:bottom w:val="single" w:color="000000"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4套</w:t>
            </w:r>
          </w:p>
        </w:tc>
      </w:tr>
      <w:tr>
        <w:tblPrEx>
          <w:tblCellMar>
            <w:top w:w="0" w:type="dxa"/>
            <w:left w:w="108" w:type="dxa"/>
            <w:bottom w:w="0" w:type="dxa"/>
            <w:right w:w="108" w:type="dxa"/>
          </w:tblCellMar>
        </w:tblPrEx>
        <w:trPr>
          <w:trHeight w:val="619" w:hRule="atLeast"/>
        </w:trPr>
        <w:tc>
          <w:tcPr>
            <w:tcW w:w="2137" w:type="dxa"/>
            <w:tcBorders>
              <w:top w:val="nil"/>
              <w:left w:val="single" w:color="000000" w:sz="4" w:space="0"/>
              <w:bottom w:val="single" w:color="auto"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2t</w:t>
            </w:r>
          </w:p>
        </w:tc>
        <w:tc>
          <w:tcPr>
            <w:tcW w:w="2524" w:type="dxa"/>
            <w:tcBorders>
              <w:top w:val="nil"/>
              <w:left w:val="nil"/>
              <w:bottom w:val="single" w:color="auto" w:sz="4" w:space="0"/>
              <w:right w:val="single" w:color="000000"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水轮机层机组段推力外循环油泵上方</w:t>
            </w:r>
          </w:p>
        </w:tc>
        <w:tc>
          <w:tcPr>
            <w:tcW w:w="2408" w:type="dxa"/>
            <w:tcBorders>
              <w:top w:val="nil"/>
              <w:left w:val="nil"/>
              <w:bottom w:val="single" w:color="auto"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#1~#4机组推力外循环油泵更换</w:t>
            </w:r>
          </w:p>
        </w:tc>
        <w:tc>
          <w:tcPr>
            <w:tcW w:w="1453" w:type="dxa"/>
            <w:tcBorders>
              <w:top w:val="nil"/>
              <w:left w:val="nil"/>
              <w:bottom w:val="single" w:color="auto" w:sz="4" w:space="0"/>
              <w:right w:val="single" w:color="000000"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4套</w:t>
            </w:r>
          </w:p>
        </w:tc>
      </w:tr>
      <w:tr>
        <w:tblPrEx>
          <w:tblCellMar>
            <w:top w:w="0" w:type="dxa"/>
            <w:left w:w="108" w:type="dxa"/>
            <w:bottom w:w="0" w:type="dxa"/>
            <w:right w:w="108" w:type="dxa"/>
          </w:tblCellMar>
        </w:tblPrEx>
        <w:trPr>
          <w:trHeight w:val="619" w:hRule="atLeast"/>
        </w:trPr>
        <w:tc>
          <w:tcPr>
            <w:tcW w:w="21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3t</w:t>
            </w:r>
          </w:p>
        </w:tc>
        <w:tc>
          <w:tcPr>
            <w:tcW w:w="252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蜗壳层各机组段锥管回水排气液压阀上方</w:t>
            </w:r>
          </w:p>
        </w:tc>
        <w:tc>
          <w:tcPr>
            <w:tcW w:w="240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#1~#4机组锥管回水排气液压阀更换</w:t>
            </w:r>
          </w:p>
        </w:tc>
        <w:tc>
          <w:tcPr>
            <w:tcW w:w="14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4套</w:t>
            </w:r>
          </w:p>
        </w:tc>
      </w:tr>
      <w:tr>
        <w:tblPrEx>
          <w:tblCellMar>
            <w:top w:w="0" w:type="dxa"/>
            <w:left w:w="108" w:type="dxa"/>
            <w:bottom w:w="0" w:type="dxa"/>
            <w:right w:w="108" w:type="dxa"/>
          </w:tblCellMar>
        </w:tblPrEx>
        <w:trPr>
          <w:trHeight w:val="619" w:hRule="atLeast"/>
        </w:trPr>
        <w:tc>
          <w:tcPr>
            <w:tcW w:w="21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吊点，</w:t>
            </w:r>
            <w:r>
              <w:rPr>
                <w:rFonts w:ascii="Times New Roman" w:hAnsi="Times New Roman" w:cs="Times New Roman"/>
                <w:color w:val="auto"/>
                <w:kern w:val="0"/>
                <w:sz w:val="22"/>
                <w:highlight w:val="none"/>
              </w:rPr>
              <w:t>3t</w:t>
            </w:r>
          </w:p>
        </w:tc>
        <w:tc>
          <w:tcPr>
            <w:tcW w:w="252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母线洞吊点交流励磁设备上方</w:t>
            </w:r>
          </w:p>
        </w:tc>
        <w:tc>
          <w:tcPr>
            <w:tcW w:w="240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4#交流励磁设备安装</w:t>
            </w:r>
          </w:p>
        </w:tc>
        <w:tc>
          <w:tcPr>
            <w:tcW w:w="14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1套</w:t>
            </w:r>
          </w:p>
        </w:tc>
      </w:tr>
    </w:tbl>
    <w:p>
      <w:pPr>
        <w:pStyle w:val="76"/>
        <w:rPr>
          <w:color w:val="auto"/>
          <w:highlight w:val="none"/>
        </w:rPr>
      </w:pPr>
      <w:r>
        <w:rPr>
          <w:rFonts w:hint="eastAsia"/>
          <w:color w:val="auto"/>
          <w:highlight w:val="none"/>
        </w:rPr>
        <w:t>以上吊点设置为初步考虑，实际以施工图为准。</w:t>
      </w:r>
    </w:p>
    <w:p>
      <w:pPr>
        <w:pStyle w:val="76"/>
        <w:ind w:left="405" w:hanging="405" w:firstLineChars="0"/>
        <w:rPr>
          <w:color w:val="auto"/>
          <w:highlight w:val="none"/>
        </w:rPr>
      </w:pPr>
      <w:r>
        <w:rPr>
          <w:rFonts w:hint="eastAsia"/>
          <w:color w:val="auto"/>
          <w:highlight w:val="none"/>
        </w:rPr>
        <w:t xml:space="preserve">电动葫芦的其他配置(包含在本标承包人供货范围内) </w:t>
      </w:r>
    </w:p>
    <w:p>
      <w:pPr>
        <w:pStyle w:val="76"/>
        <w:rPr>
          <w:rFonts w:eastAsia="新宋体"/>
          <w:color w:val="auto"/>
          <w:highlight w:val="none"/>
        </w:rPr>
      </w:pPr>
      <w:r>
        <w:rPr>
          <w:rFonts w:eastAsia="新宋体"/>
          <w:color w:val="auto"/>
          <w:highlight w:val="none"/>
        </w:rPr>
        <w:t xml:space="preserve">(1) </w:t>
      </w:r>
      <w:r>
        <w:rPr>
          <w:rFonts w:hint="eastAsia" w:eastAsia="新宋体"/>
          <w:color w:val="auto"/>
          <w:highlight w:val="none"/>
        </w:rPr>
        <w:t>安全与状态监控器</w:t>
      </w:r>
    </w:p>
    <w:p>
      <w:pPr>
        <w:pStyle w:val="76"/>
        <w:rPr>
          <w:rFonts w:eastAsia="新宋体"/>
          <w:color w:val="auto"/>
          <w:highlight w:val="none"/>
        </w:rPr>
      </w:pPr>
      <w:r>
        <w:rPr>
          <w:rFonts w:eastAsia="新宋体"/>
          <w:color w:val="auto"/>
          <w:highlight w:val="none"/>
        </w:rPr>
        <w:t xml:space="preserve">(2) </w:t>
      </w:r>
      <w:r>
        <w:rPr>
          <w:rFonts w:hint="eastAsia" w:eastAsia="新宋体"/>
          <w:color w:val="auto"/>
          <w:highlight w:val="none"/>
        </w:rPr>
        <w:t>超载限制器</w:t>
      </w:r>
    </w:p>
    <w:p>
      <w:pPr>
        <w:pStyle w:val="76"/>
        <w:rPr>
          <w:rFonts w:eastAsia="新宋体"/>
          <w:color w:val="auto"/>
          <w:highlight w:val="none"/>
        </w:rPr>
      </w:pPr>
      <w:r>
        <w:rPr>
          <w:rFonts w:eastAsia="新宋体"/>
          <w:color w:val="auto"/>
          <w:highlight w:val="none"/>
        </w:rPr>
        <w:t xml:space="preserve">(3) </w:t>
      </w:r>
      <w:r>
        <w:rPr>
          <w:rFonts w:hint="eastAsia" w:eastAsia="新宋体"/>
          <w:color w:val="auto"/>
          <w:highlight w:val="none"/>
        </w:rPr>
        <w:t>所有电机带盘式制动器</w:t>
      </w:r>
    </w:p>
    <w:p>
      <w:pPr>
        <w:pStyle w:val="76"/>
        <w:rPr>
          <w:rFonts w:eastAsia="新宋体"/>
          <w:color w:val="auto"/>
          <w:highlight w:val="none"/>
        </w:rPr>
      </w:pPr>
      <w:r>
        <w:rPr>
          <w:rFonts w:eastAsia="新宋体"/>
          <w:color w:val="auto"/>
          <w:highlight w:val="none"/>
        </w:rPr>
        <w:t xml:space="preserve">(4) </w:t>
      </w:r>
      <w:r>
        <w:rPr>
          <w:rFonts w:hint="eastAsia" w:eastAsia="新宋体"/>
          <w:color w:val="auto"/>
          <w:highlight w:val="none"/>
        </w:rPr>
        <w:t>起升电机过热保护</w:t>
      </w:r>
    </w:p>
    <w:p>
      <w:pPr>
        <w:pStyle w:val="76"/>
        <w:rPr>
          <w:color w:val="auto"/>
          <w:highlight w:val="none"/>
        </w:rPr>
      </w:pPr>
      <w:r>
        <w:rPr>
          <w:rFonts w:eastAsia="新宋体"/>
          <w:color w:val="auto"/>
          <w:highlight w:val="none"/>
        </w:rPr>
        <w:t xml:space="preserve">(5) </w:t>
      </w:r>
      <w:r>
        <w:rPr>
          <w:rFonts w:hint="eastAsia" w:eastAsia="新宋体"/>
          <w:color w:val="auto"/>
          <w:highlight w:val="none"/>
        </w:rPr>
        <w:t>全部的预润滑</w:t>
      </w:r>
    </w:p>
    <w:p>
      <w:pPr>
        <w:pStyle w:val="157"/>
        <w:rPr>
          <w:rFonts w:hint="eastAsia"/>
          <w:b/>
          <w:bCs/>
          <w:color w:val="auto"/>
          <w:highlight w:val="none"/>
        </w:rPr>
      </w:pPr>
      <w:r>
        <w:rPr>
          <w:rFonts w:hint="eastAsia"/>
          <w:b/>
          <w:bCs/>
          <w:color w:val="auto"/>
          <w:highlight w:val="none"/>
        </w:rPr>
        <w:t>地下</w:t>
      </w:r>
      <w:r>
        <w:rPr>
          <w:b/>
          <w:bCs/>
          <w:color w:val="auto"/>
          <w:highlight w:val="none"/>
        </w:rPr>
        <w:t>GIS层电动葫芦</w:t>
      </w:r>
    </w:p>
    <w:p>
      <w:pPr>
        <w:pStyle w:val="76"/>
        <w:rPr>
          <w:rFonts w:eastAsia="新宋体"/>
          <w:color w:val="auto"/>
          <w:highlight w:val="none"/>
        </w:rPr>
      </w:pPr>
      <w:r>
        <w:rPr>
          <w:rFonts w:hint="eastAsia" w:eastAsia="新宋体"/>
          <w:color w:val="auto"/>
          <w:highlight w:val="none"/>
        </w:rPr>
        <w:t>额定起重量</w:t>
      </w:r>
      <w:r>
        <w:rPr>
          <w:rFonts w:eastAsia="新宋体"/>
          <w:color w:val="auto"/>
          <w:highlight w:val="none"/>
        </w:rPr>
        <w:tab/>
      </w:r>
      <w:r>
        <w:rPr>
          <w:rFonts w:eastAsia="新宋体"/>
          <w:color w:val="auto"/>
          <w:highlight w:val="none"/>
        </w:rPr>
        <w:t>100kN</w:t>
      </w:r>
    </w:p>
    <w:p>
      <w:pPr>
        <w:pStyle w:val="76"/>
        <w:rPr>
          <w:rFonts w:eastAsia="新宋体"/>
          <w:color w:val="auto"/>
          <w:highlight w:val="none"/>
        </w:rPr>
      </w:pPr>
      <w:r>
        <w:rPr>
          <w:rFonts w:hint="eastAsia" w:eastAsia="新宋体"/>
          <w:color w:val="auto"/>
          <w:highlight w:val="none"/>
        </w:rPr>
        <w:t>起升高度</w:t>
      </w:r>
      <w:r>
        <w:rPr>
          <w:rFonts w:eastAsia="新宋体"/>
          <w:color w:val="auto"/>
          <w:highlight w:val="none"/>
        </w:rPr>
        <w:tab/>
      </w:r>
      <w:r>
        <w:rPr>
          <w:rFonts w:eastAsia="新宋体"/>
          <w:color w:val="auto"/>
          <w:highlight w:val="none"/>
        </w:rPr>
        <w:t>16m</w:t>
      </w:r>
    </w:p>
    <w:p>
      <w:pPr>
        <w:pStyle w:val="76"/>
        <w:rPr>
          <w:rFonts w:eastAsia="新宋体"/>
          <w:color w:val="auto"/>
          <w:highlight w:val="none"/>
        </w:rPr>
      </w:pPr>
      <w:r>
        <w:rPr>
          <w:rFonts w:hint="eastAsia" w:eastAsia="新宋体"/>
          <w:color w:val="auto"/>
          <w:highlight w:val="none"/>
        </w:rPr>
        <w:t>型号</w:t>
      </w:r>
      <w:r>
        <w:rPr>
          <w:rFonts w:eastAsia="新宋体"/>
          <w:color w:val="auto"/>
          <w:highlight w:val="none"/>
        </w:rPr>
        <w:tab/>
      </w:r>
      <w:r>
        <w:rPr>
          <w:rFonts w:hint="eastAsia" w:eastAsia="新宋体"/>
          <w:color w:val="auto"/>
          <w:highlight w:val="none"/>
        </w:rPr>
        <w:t>单轨吊</w:t>
      </w:r>
    </w:p>
    <w:p>
      <w:pPr>
        <w:pStyle w:val="76"/>
        <w:rPr>
          <w:rFonts w:eastAsia="新宋体"/>
          <w:color w:val="auto"/>
          <w:highlight w:val="none"/>
        </w:rPr>
      </w:pPr>
      <w:r>
        <w:rPr>
          <w:rFonts w:hint="eastAsia" w:eastAsia="新宋体"/>
          <w:color w:val="auto"/>
          <w:highlight w:val="none"/>
        </w:rPr>
        <w:t>小车型式</w:t>
      </w:r>
      <w:r>
        <w:rPr>
          <w:rFonts w:eastAsia="新宋体"/>
          <w:color w:val="auto"/>
          <w:highlight w:val="none"/>
        </w:rPr>
        <w:tab/>
      </w:r>
      <w:r>
        <w:rPr>
          <w:rFonts w:hint="eastAsia" w:eastAsia="新宋体"/>
          <w:color w:val="auto"/>
          <w:highlight w:val="none"/>
        </w:rPr>
        <w:t>标准净空单梁葫芦</w:t>
      </w:r>
    </w:p>
    <w:p>
      <w:pPr>
        <w:pStyle w:val="76"/>
        <w:rPr>
          <w:rFonts w:eastAsia="新宋体"/>
          <w:color w:val="auto"/>
          <w:highlight w:val="none"/>
        </w:rPr>
      </w:pPr>
      <w:r>
        <w:rPr>
          <w:rFonts w:hint="eastAsia" w:eastAsia="新宋体"/>
          <w:color w:val="auto"/>
          <w:highlight w:val="none"/>
        </w:rPr>
        <w:t>轨道型号</w:t>
      </w:r>
      <w:r>
        <w:rPr>
          <w:rFonts w:eastAsia="新宋体"/>
          <w:color w:val="auto"/>
          <w:highlight w:val="none"/>
        </w:rPr>
        <w:tab/>
      </w:r>
      <w:r>
        <w:rPr>
          <w:rFonts w:eastAsia="新宋体"/>
          <w:color w:val="auto"/>
          <w:highlight w:val="none"/>
        </w:rPr>
        <w:t>I63c</w:t>
      </w:r>
    </w:p>
    <w:p>
      <w:pPr>
        <w:pStyle w:val="76"/>
        <w:rPr>
          <w:rFonts w:eastAsia="新宋体"/>
          <w:color w:val="auto"/>
          <w:highlight w:val="none"/>
        </w:rPr>
      </w:pPr>
      <w:r>
        <w:rPr>
          <w:rFonts w:hint="eastAsia" w:eastAsia="新宋体"/>
          <w:color w:val="auto"/>
          <w:highlight w:val="none"/>
        </w:rPr>
        <w:t>工作级别</w:t>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单轨吊</w:t>
      </w:r>
      <w:r>
        <w:rPr>
          <w:rFonts w:eastAsia="新宋体"/>
          <w:color w:val="auto"/>
          <w:highlight w:val="none"/>
        </w:rPr>
        <w:tab/>
      </w:r>
      <w:r>
        <w:rPr>
          <w:rFonts w:eastAsia="新宋体"/>
          <w:color w:val="auto"/>
          <w:highlight w:val="none"/>
        </w:rPr>
        <w:t>FEM A5</w:t>
      </w:r>
    </w:p>
    <w:p>
      <w:pPr>
        <w:pStyle w:val="76"/>
        <w:rPr>
          <w:rFonts w:eastAsia="新宋体"/>
          <w:color w:val="auto"/>
          <w:highlight w:val="none"/>
        </w:rPr>
      </w:pPr>
      <w:r>
        <w:rPr>
          <w:rFonts w:hint="eastAsia" w:eastAsia="新宋体"/>
          <w:color w:val="auto"/>
          <w:highlight w:val="none"/>
        </w:rPr>
        <w:t>起升</w:t>
      </w:r>
      <w:r>
        <w:rPr>
          <w:rFonts w:eastAsia="新宋体"/>
          <w:color w:val="auto"/>
          <w:highlight w:val="none"/>
        </w:rPr>
        <w:tab/>
      </w:r>
      <w:r>
        <w:rPr>
          <w:rFonts w:eastAsia="新宋体"/>
          <w:color w:val="auto"/>
          <w:highlight w:val="none"/>
        </w:rPr>
        <w:t xml:space="preserve">FEM M5 </w:t>
      </w:r>
    </w:p>
    <w:p>
      <w:pPr>
        <w:pStyle w:val="76"/>
        <w:rPr>
          <w:rFonts w:eastAsia="新宋体"/>
          <w:color w:val="auto"/>
          <w:highlight w:val="none"/>
        </w:rPr>
      </w:pPr>
      <w:r>
        <w:rPr>
          <w:rFonts w:hint="eastAsia" w:eastAsia="新宋体"/>
          <w:color w:val="auto"/>
          <w:highlight w:val="none"/>
        </w:rPr>
        <w:t>小车运行</w:t>
      </w:r>
      <w:r>
        <w:rPr>
          <w:rFonts w:eastAsia="新宋体"/>
          <w:color w:val="auto"/>
          <w:highlight w:val="none"/>
        </w:rPr>
        <w:tab/>
      </w:r>
      <w:r>
        <w:rPr>
          <w:rFonts w:eastAsia="新宋体"/>
          <w:color w:val="auto"/>
          <w:highlight w:val="none"/>
        </w:rPr>
        <w:t xml:space="preserve">FEM M5 </w:t>
      </w:r>
    </w:p>
    <w:p>
      <w:pPr>
        <w:pStyle w:val="76"/>
        <w:rPr>
          <w:rFonts w:eastAsia="新宋体"/>
          <w:color w:val="auto"/>
          <w:highlight w:val="none"/>
        </w:rPr>
      </w:pPr>
      <w:r>
        <w:rPr>
          <w:rFonts w:hint="eastAsia" w:eastAsia="新宋体"/>
          <w:color w:val="auto"/>
          <w:highlight w:val="none"/>
        </w:rPr>
        <w:t>速度</w:t>
      </w:r>
    </w:p>
    <w:p>
      <w:pPr>
        <w:pStyle w:val="76"/>
        <w:rPr>
          <w:rFonts w:eastAsia="新宋体"/>
          <w:color w:val="auto"/>
          <w:highlight w:val="none"/>
        </w:rPr>
      </w:pPr>
      <w:r>
        <w:rPr>
          <w:rFonts w:hint="eastAsia" w:eastAsia="新宋体"/>
          <w:color w:val="auto"/>
          <w:highlight w:val="none"/>
        </w:rPr>
        <w:t>起升速度</w:t>
      </w:r>
      <w:r>
        <w:rPr>
          <w:rFonts w:eastAsia="新宋体"/>
          <w:color w:val="auto"/>
          <w:highlight w:val="none"/>
        </w:rPr>
        <w:tab/>
      </w:r>
      <w:r>
        <w:rPr>
          <w:rFonts w:eastAsia="新宋体"/>
          <w:color w:val="auto"/>
          <w:highlight w:val="none"/>
        </w:rPr>
        <w:t xml:space="preserve">8/0.8 </w:t>
      </w:r>
      <w:r>
        <w:rPr>
          <w:rFonts w:hint="eastAsia" w:eastAsia="新宋体"/>
          <w:color w:val="auto"/>
          <w:highlight w:val="none"/>
        </w:rPr>
        <w:t>m/min变极双速</w:t>
      </w:r>
    </w:p>
    <w:p>
      <w:pPr>
        <w:pStyle w:val="76"/>
        <w:rPr>
          <w:rFonts w:eastAsia="新宋体"/>
          <w:color w:val="auto"/>
          <w:highlight w:val="none"/>
        </w:rPr>
      </w:pPr>
      <w:r>
        <w:rPr>
          <w:rFonts w:hint="eastAsia" w:eastAsia="新宋体"/>
          <w:color w:val="auto"/>
          <w:highlight w:val="none"/>
        </w:rPr>
        <w:t>小车运行速度</w:t>
      </w:r>
      <w:r>
        <w:rPr>
          <w:rFonts w:eastAsia="新宋体"/>
          <w:color w:val="auto"/>
          <w:highlight w:val="none"/>
        </w:rPr>
        <w:tab/>
      </w:r>
      <w:r>
        <w:rPr>
          <w:rFonts w:hint="eastAsia" w:eastAsia="新宋体"/>
          <w:color w:val="auto"/>
          <w:highlight w:val="none"/>
        </w:rPr>
        <w:t>20m/min变频调速</w:t>
      </w:r>
    </w:p>
    <w:p>
      <w:pPr>
        <w:pStyle w:val="76"/>
        <w:rPr>
          <w:rFonts w:eastAsia="新宋体"/>
          <w:color w:val="auto"/>
          <w:highlight w:val="none"/>
        </w:rPr>
      </w:pPr>
      <w:r>
        <w:rPr>
          <w:rFonts w:hint="eastAsia" w:eastAsia="新宋体"/>
          <w:color w:val="auto"/>
          <w:highlight w:val="none"/>
        </w:rPr>
        <w:t>单轨吊由有线地操控制(跟随葫芦移动)</w:t>
      </w:r>
      <w:r>
        <w:rPr>
          <w:rFonts w:eastAsia="新宋体"/>
          <w:color w:val="auto"/>
          <w:highlight w:val="none"/>
        </w:rPr>
        <w:t xml:space="preserve"> </w:t>
      </w:r>
      <w:r>
        <w:rPr>
          <w:rFonts w:hint="eastAsia" w:eastAsia="新宋体"/>
          <w:color w:val="auto"/>
          <w:highlight w:val="none"/>
        </w:rPr>
        <w:t>，按钮盒为全双速控制，达到控制起升、横向运动功能，并有急停按钮。</w:t>
      </w:r>
    </w:p>
    <w:p>
      <w:pPr>
        <w:pStyle w:val="157"/>
        <w:rPr>
          <w:rFonts w:hint="eastAsia"/>
          <w:b/>
          <w:bCs/>
          <w:color w:val="auto"/>
          <w:highlight w:val="none"/>
        </w:rPr>
      </w:pPr>
      <w:r>
        <w:rPr>
          <w:rFonts w:hint="eastAsia"/>
          <w:b/>
          <w:bCs/>
          <w:color w:val="auto"/>
          <w:highlight w:val="none"/>
          <w:lang w:val="en-US"/>
        </w:rPr>
        <w:t>高压电缆出线洞口</w:t>
      </w:r>
      <w:r>
        <w:rPr>
          <w:b/>
          <w:bCs/>
          <w:color w:val="auto"/>
          <w:highlight w:val="none"/>
        </w:rPr>
        <w:t>电动葫芦</w:t>
      </w:r>
    </w:p>
    <w:p>
      <w:pPr>
        <w:pStyle w:val="76"/>
        <w:rPr>
          <w:rFonts w:eastAsia="新宋体"/>
          <w:color w:val="auto"/>
          <w:highlight w:val="none"/>
        </w:rPr>
      </w:pPr>
      <w:r>
        <w:rPr>
          <w:rFonts w:hint="eastAsia" w:eastAsia="新宋体"/>
          <w:color w:val="auto"/>
          <w:highlight w:val="none"/>
        </w:rPr>
        <w:t>额定起重量</w:t>
      </w:r>
      <w:r>
        <w:rPr>
          <w:rFonts w:eastAsia="新宋体"/>
          <w:color w:val="auto"/>
          <w:highlight w:val="none"/>
        </w:rPr>
        <w:tab/>
      </w:r>
      <w:r>
        <w:rPr>
          <w:rFonts w:eastAsia="新宋体"/>
          <w:color w:val="auto"/>
          <w:highlight w:val="none"/>
        </w:rPr>
        <w:t>50kN</w:t>
      </w:r>
    </w:p>
    <w:p>
      <w:pPr>
        <w:pStyle w:val="76"/>
        <w:rPr>
          <w:rFonts w:eastAsia="新宋体"/>
          <w:color w:val="auto"/>
          <w:highlight w:val="none"/>
        </w:rPr>
      </w:pPr>
      <w:r>
        <w:rPr>
          <w:rFonts w:hint="eastAsia" w:eastAsia="新宋体"/>
          <w:color w:val="auto"/>
          <w:highlight w:val="none"/>
        </w:rPr>
        <w:t>起升高度</w:t>
      </w:r>
      <w:r>
        <w:rPr>
          <w:rFonts w:eastAsia="新宋体"/>
          <w:color w:val="auto"/>
          <w:highlight w:val="none"/>
        </w:rPr>
        <w:tab/>
      </w:r>
      <w:r>
        <w:rPr>
          <w:rFonts w:eastAsia="新宋体"/>
          <w:color w:val="auto"/>
          <w:highlight w:val="none"/>
        </w:rPr>
        <w:t>16m</w:t>
      </w:r>
    </w:p>
    <w:p>
      <w:pPr>
        <w:pStyle w:val="76"/>
        <w:rPr>
          <w:rFonts w:eastAsia="新宋体"/>
          <w:color w:val="auto"/>
          <w:highlight w:val="none"/>
        </w:rPr>
      </w:pPr>
      <w:r>
        <w:rPr>
          <w:rFonts w:hint="eastAsia" w:eastAsia="新宋体"/>
          <w:color w:val="auto"/>
          <w:highlight w:val="none"/>
        </w:rPr>
        <w:t>型号</w:t>
      </w:r>
      <w:r>
        <w:rPr>
          <w:rFonts w:eastAsia="新宋体"/>
          <w:color w:val="auto"/>
          <w:highlight w:val="none"/>
        </w:rPr>
        <w:tab/>
      </w:r>
      <w:r>
        <w:rPr>
          <w:rFonts w:hint="eastAsia" w:eastAsia="新宋体"/>
          <w:color w:val="auto"/>
          <w:highlight w:val="none"/>
        </w:rPr>
        <w:t>单轨吊</w:t>
      </w:r>
    </w:p>
    <w:p>
      <w:pPr>
        <w:pStyle w:val="76"/>
        <w:rPr>
          <w:rFonts w:eastAsia="新宋体"/>
          <w:color w:val="auto"/>
          <w:highlight w:val="none"/>
        </w:rPr>
      </w:pPr>
      <w:r>
        <w:rPr>
          <w:rFonts w:hint="eastAsia" w:eastAsia="新宋体"/>
          <w:color w:val="auto"/>
          <w:highlight w:val="none"/>
        </w:rPr>
        <w:t>小车型式</w:t>
      </w:r>
      <w:r>
        <w:rPr>
          <w:rFonts w:eastAsia="新宋体"/>
          <w:color w:val="auto"/>
          <w:highlight w:val="none"/>
        </w:rPr>
        <w:tab/>
      </w:r>
      <w:r>
        <w:rPr>
          <w:rFonts w:hint="eastAsia" w:eastAsia="新宋体"/>
          <w:color w:val="auto"/>
          <w:highlight w:val="none"/>
        </w:rPr>
        <w:t>标准净空单梁葫芦</w:t>
      </w:r>
    </w:p>
    <w:p>
      <w:pPr>
        <w:pStyle w:val="76"/>
        <w:rPr>
          <w:rFonts w:eastAsia="新宋体"/>
          <w:color w:val="auto"/>
          <w:highlight w:val="none"/>
        </w:rPr>
      </w:pPr>
      <w:r>
        <w:rPr>
          <w:rFonts w:hint="eastAsia" w:eastAsia="新宋体"/>
          <w:color w:val="auto"/>
          <w:highlight w:val="none"/>
        </w:rPr>
        <w:t>轨道型号</w:t>
      </w:r>
      <w:r>
        <w:rPr>
          <w:rFonts w:eastAsia="新宋体"/>
          <w:color w:val="auto"/>
          <w:highlight w:val="none"/>
        </w:rPr>
        <w:tab/>
      </w:r>
      <w:r>
        <w:rPr>
          <w:rFonts w:eastAsia="新宋体"/>
          <w:color w:val="auto"/>
          <w:highlight w:val="none"/>
        </w:rPr>
        <w:t>I63c</w:t>
      </w:r>
    </w:p>
    <w:p>
      <w:pPr>
        <w:pStyle w:val="76"/>
        <w:rPr>
          <w:rFonts w:eastAsia="新宋体"/>
          <w:color w:val="auto"/>
          <w:highlight w:val="none"/>
        </w:rPr>
      </w:pPr>
      <w:r>
        <w:rPr>
          <w:rFonts w:hint="eastAsia" w:eastAsia="新宋体"/>
          <w:color w:val="auto"/>
          <w:highlight w:val="none"/>
        </w:rPr>
        <w:t>工作级别</w:t>
      </w:r>
      <w:r>
        <w:rPr>
          <w:rFonts w:eastAsia="新宋体"/>
          <w:color w:val="auto"/>
          <w:highlight w:val="none"/>
        </w:rPr>
        <w:tab/>
      </w:r>
    </w:p>
    <w:p>
      <w:pPr>
        <w:pStyle w:val="76"/>
        <w:rPr>
          <w:rFonts w:eastAsia="新宋体"/>
          <w:color w:val="auto"/>
          <w:highlight w:val="none"/>
        </w:rPr>
      </w:pPr>
      <w:r>
        <w:rPr>
          <w:rFonts w:hint="eastAsia" w:eastAsia="新宋体"/>
          <w:color w:val="auto"/>
          <w:highlight w:val="none"/>
        </w:rPr>
        <w:t>单轨吊</w:t>
      </w:r>
      <w:r>
        <w:rPr>
          <w:rFonts w:eastAsia="新宋体"/>
          <w:color w:val="auto"/>
          <w:highlight w:val="none"/>
        </w:rPr>
        <w:tab/>
      </w:r>
      <w:r>
        <w:rPr>
          <w:rFonts w:eastAsia="新宋体"/>
          <w:color w:val="auto"/>
          <w:highlight w:val="none"/>
        </w:rPr>
        <w:t>FEM A5</w:t>
      </w:r>
    </w:p>
    <w:p>
      <w:pPr>
        <w:pStyle w:val="76"/>
        <w:rPr>
          <w:rFonts w:eastAsia="新宋体"/>
          <w:color w:val="auto"/>
          <w:highlight w:val="none"/>
        </w:rPr>
      </w:pPr>
      <w:r>
        <w:rPr>
          <w:rFonts w:hint="eastAsia" w:eastAsia="新宋体"/>
          <w:color w:val="auto"/>
          <w:highlight w:val="none"/>
        </w:rPr>
        <w:t>起升</w:t>
      </w:r>
      <w:r>
        <w:rPr>
          <w:rFonts w:eastAsia="新宋体"/>
          <w:color w:val="auto"/>
          <w:highlight w:val="none"/>
        </w:rPr>
        <w:tab/>
      </w:r>
      <w:r>
        <w:rPr>
          <w:rFonts w:eastAsia="新宋体"/>
          <w:color w:val="auto"/>
          <w:highlight w:val="none"/>
        </w:rPr>
        <w:t xml:space="preserve">FEM M5 </w:t>
      </w:r>
    </w:p>
    <w:p>
      <w:pPr>
        <w:pStyle w:val="76"/>
        <w:rPr>
          <w:rFonts w:eastAsia="新宋体"/>
          <w:color w:val="auto"/>
          <w:highlight w:val="none"/>
        </w:rPr>
      </w:pPr>
      <w:r>
        <w:rPr>
          <w:rFonts w:hint="eastAsia" w:eastAsia="新宋体"/>
          <w:color w:val="auto"/>
          <w:highlight w:val="none"/>
        </w:rPr>
        <w:t>小车运行</w:t>
      </w:r>
      <w:r>
        <w:rPr>
          <w:rFonts w:eastAsia="新宋体"/>
          <w:color w:val="auto"/>
          <w:highlight w:val="none"/>
        </w:rPr>
        <w:tab/>
      </w:r>
      <w:r>
        <w:rPr>
          <w:rFonts w:eastAsia="新宋体"/>
          <w:color w:val="auto"/>
          <w:highlight w:val="none"/>
        </w:rPr>
        <w:t xml:space="preserve">FEM M5 </w:t>
      </w:r>
    </w:p>
    <w:p>
      <w:pPr>
        <w:pStyle w:val="76"/>
        <w:rPr>
          <w:rFonts w:eastAsia="新宋体"/>
          <w:color w:val="auto"/>
          <w:highlight w:val="none"/>
        </w:rPr>
      </w:pPr>
      <w:r>
        <w:rPr>
          <w:rFonts w:hint="eastAsia" w:eastAsia="新宋体"/>
          <w:color w:val="auto"/>
          <w:highlight w:val="none"/>
        </w:rPr>
        <w:t>速度</w:t>
      </w:r>
    </w:p>
    <w:p>
      <w:pPr>
        <w:pStyle w:val="76"/>
        <w:rPr>
          <w:rFonts w:eastAsia="新宋体"/>
          <w:color w:val="auto"/>
          <w:highlight w:val="none"/>
        </w:rPr>
      </w:pPr>
      <w:r>
        <w:rPr>
          <w:rFonts w:hint="eastAsia" w:eastAsia="新宋体"/>
          <w:color w:val="auto"/>
          <w:highlight w:val="none"/>
        </w:rPr>
        <w:t>起升速度</w:t>
      </w:r>
      <w:r>
        <w:rPr>
          <w:rFonts w:eastAsia="新宋体"/>
          <w:color w:val="auto"/>
          <w:highlight w:val="none"/>
        </w:rPr>
        <w:tab/>
      </w:r>
      <w:r>
        <w:rPr>
          <w:rFonts w:eastAsia="新宋体"/>
          <w:color w:val="auto"/>
          <w:highlight w:val="none"/>
        </w:rPr>
        <w:t xml:space="preserve">8/0.8 </w:t>
      </w:r>
      <w:r>
        <w:rPr>
          <w:rFonts w:hint="eastAsia" w:eastAsia="新宋体"/>
          <w:color w:val="auto"/>
          <w:highlight w:val="none"/>
        </w:rPr>
        <w:t>m/min变极双速</w:t>
      </w:r>
    </w:p>
    <w:p>
      <w:pPr>
        <w:pStyle w:val="76"/>
        <w:rPr>
          <w:rFonts w:eastAsia="新宋体"/>
          <w:color w:val="auto"/>
          <w:highlight w:val="none"/>
        </w:rPr>
      </w:pPr>
      <w:r>
        <w:rPr>
          <w:rFonts w:hint="eastAsia" w:eastAsia="新宋体"/>
          <w:color w:val="auto"/>
          <w:highlight w:val="none"/>
        </w:rPr>
        <w:t>小车运行速度</w:t>
      </w:r>
      <w:r>
        <w:rPr>
          <w:rFonts w:eastAsia="新宋体"/>
          <w:color w:val="auto"/>
          <w:highlight w:val="none"/>
        </w:rPr>
        <w:tab/>
      </w:r>
      <w:r>
        <w:rPr>
          <w:rFonts w:hint="eastAsia" w:eastAsia="新宋体"/>
          <w:color w:val="auto"/>
          <w:highlight w:val="none"/>
        </w:rPr>
        <w:t>20m/min变频调速</w:t>
      </w:r>
    </w:p>
    <w:p>
      <w:pPr>
        <w:pStyle w:val="76"/>
        <w:rPr>
          <w:rFonts w:eastAsia="新宋体"/>
          <w:color w:val="auto"/>
          <w:highlight w:val="none"/>
        </w:rPr>
      </w:pPr>
      <w:r>
        <w:rPr>
          <w:rFonts w:hint="eastAsia" w:eastAsia="新宋体"/>
          <w:color w:val="auto"/>
          <w:highlight w:val="none"/>
        </w:rPr>
        <w:t>单轨吊由有线地操控制(跟随葫芦移动)</w:t>
      </w:r>
      <w:r>
        <w:rPr>
          <w:rFonts w:eastAsia="新宋体"/>
          <w:color w:val="auto"/>
          <w:highlight w:val="none"/>
        </w:rPr>
        <w:t xml:space="preserve"> </w:t>
      </w:r>
      <w:r>
        <w:rPr>
          <w:rFonts w:hint="eastAsia" w:eastAsia="新宋体"/>
          <w:color w:val="auto"/>
          <w:highlight w:val="none"/>
        </w:rPr>
        <w:t>，按钮盒为全双速控制，达到控制起升、横向运动功能，并有急停按钮。</w:t>
      </w:r>
    </w:p>
    <w:p>
      <w:pPr>
        <w:pStyle w:val="62"/>
        <w:rPr>
          <w:color w:val="auto"/>
          <w:highlight w:val="none"/>
        </w:rPr>
      </w:pPr>
      <w:r>
        <w:rPr>
          <w:color w:val="auto"/>
          <w:highlight w:val="none"/>
        </w:rPr>
        <w:t>6.6 计量与支付</w:t>
      </w:r>
    </w:p>
    <w:p>
      <w:pPr>
        <w:pStyle w:val="76"/>
        <w:rPr>
          <w:rFonts w:hint="eastAsia" w:eastAsia="新宋体"/>
          <w:color w:val="auto"/>
          <w:highlight w:val="none"/>
        </w:rPr>
      </w:pPr>
      <w:r>
        <w:rPr>
          <w:rFonts w:hint="eastAsia" w:eastAsia="新宋体"/>
          <w:color w:val="auto"/>
          <w:highlight w:val="none"/>
        </w:rPr>
        <w:t>增加以下内容：</w:t>
      </w:r>
    </w:p>
    <w:p>
      <w:pPr>
        <w:pStyle w:val="76"/>
        <w:rPr>
          <w:rFonts w:hint="eastAsia" w:eastAsia="新宋体"/>
          <w:color w:val="auto"/>
          <w:highlight w:val="none"/>
        </w:rPr>
      </w:pPr>
      <w:r>
        <w:rPr>
          <w:rFonts w:hint="eastAsia" w:eastAsia="新宋体"/>
          <w:color w:val="auto"/>
          <w:highlight w:val="none"/>
        </w:rPr>
        <w:t>电动葫芦/手拉葫芦的轨道梁及埋件的刷漆防腐工作由承包人负责，费用含在设备安装价格中，发包人不另行支付。</w:t>
      </w:r>
    </w:p>
    <w:p>
      <w:pPr>
        <w:pStyle w:val="76"/>
        <w:rPr>
          <w:rFonts w:hint="eastAsia" w:eastAsia="新宋体"/>
          <w:color w:val="auto"/>
          <w:highlight w:val="none"/>
        </w:rPr>
      </w:pPr>
    </w:p>
    <w:p>
      <w:pPr>
        <w:pStyle w:val="76"/>
        <w:rPr>
          <w:color w:val="auto"/>
          <w:highlight w:val="none"/>
        </w:rPr>
      </w:pPr>
      <w:r>
        <w:rPr>
          <w:rFonts w:hint="eastAsia"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r>
        <w:rPr>
          <w:rFonts w:eastAsia="新宋体"/>
          <w:color w:val="auto"/>
          <w:highlight w:val="none"/>
        </w:rPr>
        <w:tab/>
      </w: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142" w:name="_Toc127395719"/>
      <w:bookmarkStart w:id="143" w:name="_Toc114042609"/>
      <w:bookmarkStart w:id="144" w:name="_Toc14537"/>
      <w:bookmarkStart w:id="145" w:name="_Toc30099"/>
      <w:r>
        <w:rPr>
          <w:rFonts w:hint="eastAsia"/>
          <w:color w:val="auto"/>
          <w:highlight w:val="none"/>
        </w:rPr>
        <w:t>第7章</w:t>
      </w:r>
      <w:r>
        <w:rPr>
          <w:color w:val="auto"/>
          <w:highlight w:val="none"/>
        </w:rPr>
        <w:t xml:space="preserve">  </w:t>
      </w:r>
      <w:r>
        <w:rPr>
          <w:rFonts w:hint="eastAsia"/>
          <w:color w:val="auto"/>
          <w:highlight w:val="none"/>
        </w:rPr>
        <w:t>水力机械辅助设备</w:t>
      </w:r>
      <w:bookmarkEnd w:id="142"/>
      <w:bookmarkEnd w:id="143"/>
      <w:bookmarkEnd w:id="144"/>
      <w:bookmarkEnd w:id="145"/>
    </w:p>
    <w:p>
      <w:pPr>
        <w:pStyle w:val="62"/>
        <w:rPr>
          <w:rFonts w:hint="eastAsia"/>
          <w:color w:val="auto"/>
          <w:highlight w:val="none"/>
        </w:rPr>
      </w:pPr>
      <w:r>
        <w:rPr>
          <w:color w:val="auto"/>
          <w:highlight w:val="none"/>
        </w:rPr>
        <w:t xml:space="preserve">7.2  </w:t>
      </w:r>
      <w:r>
        <w:rPr>
          <w:rFonts w:hint="eastAsia"/>
          <w:color w:val="auto"/>
          <w:highlight w:val="none"/>
        </w:rPr>
        <w:t>简要技术说明</w:t>
      </w:r>
    </w:p>
    <w:p>
      <w:pPr>
        <w:pStyle w:val="76"/>
        <w:rPr>
          <w:rFonts w:hint="eastAsia"/>
          <w:color w:val="auto"/>
          <w:highlight w:val="none"/>
        </w:rPr>
      </w:pPr>
      <w:r>
        <w:rPr>
          <w:rFonts w:hint="eastAsia"/>
          <w:color w:val="auto"/>
          <w:highlight w:val="none"/>
        </w:rPr>
        <w:t>通用技术条款基础上增加以下章节：</w:t>
      </w:r>
    </w:p>
    <w:p>
      <w:pPr>
        <w:pStyle w:val="132"/>
        <w:rPr>
          <w:color w:val="auto"/>
          <w:highlight w:val="none"/>
        </w:rPr>
      </w:pPr>
      <w:r>
        <w:rPr>
          <w:color w:val="auto"/>
          <w:highlight w:val="none"/>
        </w:rPr>
        <w:t>7.2.2</w:t>
      </w:r>
      <w:r>
        <w:rPr>
          <w:rFonts w:hint="eastAsia"/>
          <w:color w:val="auto"/>
          <w:highlight w:val="none"/>
        </w:rPr>
        <w:t xml:space="preserve">  技术供水系统</w:t>
      </w:r>
    </w:p>
    <w:p>
      <w:pPr>
        <w:pStyle w:val="76"/>
        <w:rPr>
          <w:color w:val="auto"/>
          <w:highlight w:val="none"/>
        </w:rPr>
      </w:pPr>
      <w:r>
        <w:rPr>
          <w:rFonts w:hint="eastAsia"/>
          <w:color w:val="auto"/>
          <w:highlight w:val="none"/>
        </w:rPr>
        <w:t>机组冷却供排水是电站技术供水的主供水系统，采用水泵加压供水方式，单元供水，主水源取自每台机组尾水管，备用水源取自其他机组尾水取水预留的接口。每台机组设置2台加压水泵，1台主用、1台备用，可以自动切换、互相循环使用，每次启动后切换主备用关系；技术供水排水排至尾水事故闸门与机组尾水管之间钢管段。每台水泵后设置一台自动旋转式滤水器。供水对象主要包括：发电电动机空气冷却器，上导轴承油冷却器，下导、推力轴承油冷却器，水泵水轮机导轴承的冷却用水，上、下止漏环冷却和润滑用水，调速器油冷却器(如有)、交流励磁设备冷却用水，主变压器负载冷却用水等。技术供水水泵和滤水器布置在主厂房蜗壳层。</w:t>
      </w:r>
    </w:p>
    <w:p>
      <w:pPr>
        <w:pStyle w:val="76"/>
        <w:rPr>
          <w:color w:val="auto"/>
          <w:highlight w:val="none"/>
        </w:rPr>
      </w:pPr>
      <w:r>
        <w:rPr>
          <w:rFonts w:hint="eastAsia"/>
          <w:color w:val="auto"/>
          <w:highlight w:val="none"/>
        </w:rPr>
        <w:t>公用设备供水系统从下水库取水，在</w:t>
      </w:r>
      <w:r>
        <w:rPr>
          <w:rFonts w:ascii="宋体" w:hAnsi="宋体" w:cs="宋体"/>
          <w:color w:val="auto"/>
          <w:highlight w:val="none"/>
        </w:rPr>
        <w:t>1#</w:t>
      </w:r>
      <w:r>
        <w:rPr>
          <w:rFonts w:hint="eastAsia"/>
          <w:color w:val="auto"/>
          <w:highlight w:val="none"/>
        </w:rPr>
        <w:t>机尾水事故闸门后设一取水口，在下水库进出水口检修闸门后设一取水口作为备用，沿尾水隧洞和机组尾水管布置管路到厂房蜗壳层。供水管路上设置2台自动旋转式滤水器。全厂设一根公用供水总管，分别供中压空压机冷却用水、通风空调系统冷却用水，主变压器空载冷却用水，消防及生活用水等。其中，消防用水分为地下厂房消火栓系统、水喷雾消防系统用水，分别从公用供水总管两处取水，在地下厂房形成环管。</w:t>
      </w:r>
    </w:p>
    <w:p>
      <w:pPr>
        <w:pStyle w:val="76"/>
        <w:rPr>
          <w:color w:val="auto"/>
          <w:highlight w:val="none"/>
        </w:rPr>
      </w:pPr>
      <w:r>
        <w:rPr>
          <w:rFonts w:hint="eastAsia"/>
          <w:color w:val="auto"/>
          <w:highlight w:val="none"/>
        </w:rPr>
        <w:t>通风空调系统的冷却用水排至尾水事故闸门后，主变空载冷却用水排等其余用水经使用后均排到自流排水洞。公用滤水器布置在主厂房蜗壳层。</w:t>
      </w:r>
    </w:p>
    <w:p>
      <w:pPr>
        <w:pStyle w:val="76"/>
        <w:rPr>
          <w:color w:val="auto"/>
          <w:highlight w:val="none"/>
        </w:rPr>
      </w:pPr>
      <w:r>
        <w:rPr>
          <w:rFonts w:hint="eastAsia"/>
          <w:color w:val="auto"/>
          <w:highlight w:val="none"/>
        </w:rPr>
        <w:t>主轴密封用水从进水阀前压力钢管取水，经过减压装置减压后，过滤供给机组主轴密封用水。滤水器布置在主厂房蜗壳层。</w:t>
      </w:r>
    </w:p>
    <w:p>
      <w:pPr>
        <w:pStyle w:val="76"/>
        <w:rPr>
          <w:color w:val="auto"/>
          <w:highlight w:val="none"/>
        </w:rPr>
      </w:pPr>
      <w:r>
        <w:rPr>
          <w:rFonts w:hint="eastAsia"/>
          <w:color w:val="auto"/>
          <w:highlight w:val="none"/>
        </w:rPr>
        <w:t>技术供水系统图、系统内设备初步布置见附图。</w:t>
      </w:r>
    </w:p>
    <w:p>
      <w:pPr>
        <w:pStyle w:val="76"/>
        <w:ind w:firstLine="426"/>
        <w:rPr>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bookmarkStart w:id="146" w:name="_Toc2626"/>
      <w:r>
        <w:rPr>
          <w:color w:val="auto"/>
          <w:highlight w:val="none"/>
        </w:rPr>
        <w:t xml:space="preserve">7.2.2  </w:t>
      </w:r>
      <w:r>
        <w:rPr>
          <w:rFonts w:hint="eastAsia"/>
          <w:color w:val="auto"/>
          <w:highlight w:val="none"/>
        </w:rPr>
        <w:t>中压气系统</w:t>
      </w:r>
      <w:bookmarkEnd w:id="146"/>
    </w:p>
    <w:p>
      <w:pPr>
        <w:pStyle w:val="76"/>
        <w:rPr>
          <w:color w:val="auto"/>
          <w:highlight w:val="none"/>
        </w:rPr>
      </w:pPr>
      <w:r>
        <w:rPr>
          <w:rStyle w:val="121"/>
          <w:rFonts w:hint="eastAsia"/>
          <w:color w:val="auto"/>
          <w:highlight w:val="none"/>
        </w:rPr>
        <w:t>中压气系统内设备和管路由主机供货商供货，</w:t>
      </w:r>
      <w:r>
        <w:rPr>
          <w:rFonts w:hint="eastAsia"/>
          <w:color w:val="auto"/>
          <w:highlight w:val="none"/>
        </w:rPr>
        <w:t>电站中压压缩空气系统设计压力为8</w:t>
      </w:r>
      <w:r>
        <w:rPr>
          <w:color w:val="auto"/>
          <w:highlight w:val="none"/>
        </w:rPr>
        <w:t>.0MP</w:t>
      </w:r>
      <w:r>
        <w:rPr>
          <w:rFonts w:hint="eastAsia"/>
          <w:color w:val="auto"/>
          <w:highlight w:val="none"/>
        </w:rPr>
        <w:t>a，主要包括水泵水轮机启动及调相压水用气、转轮在空气中旋转的漏损补气、调速器操作系统油压装置用气（减压后7</w:t>
      </w:r>
      <w:r>
        <w:rPr>
          <w:color w:val="auto"/>
          <w:highlight w:val="none"/>
        </w:rPr>
        <w:t>.0MP</w:t>
      </w:r>
      <w:r>
        <w:rPr>
          <w:rFonts w:hint="eastAsia"/>
          <w:color w:val="auto"/>
          <w:highlight w:val="none"/>
        </w:rPr>
        <w:t>a）以及机组制动用气（减压后</w:t>
      </w:r>
      <w:r>
        <w:rPr>
          <w:color w:val="auto"/>
          <w:highlight w:val="none"/>
        </w:rPr>
        <w:t>0.8MP</w:t>
      </w:r>
      <w:r>
        <w:rPr>
          <w:rFonts w:hint="eastAsia"/>
          <w:color w:val="auto"/>
          <w:highlight w:val="none"/>
        </w:rPr>
        <w:t>a）。电站不设低压压缩空气系统，不设主轴检修密封用气。</w:t>
      </w:r>
    </w:p>
    <w:p>
      <w:pPr>
        <w:pStyle w:val="76"/>
        <w:rPr>
          <w:color w:val="auto"/>
          <w:highlight w:val="none"/>
        </w:rPr>
      </w:pPr>
      <w:r>
        <w:rPr>
          <w:rFonts w:hint="eastAsia"/>
          <w:color w:val="auto"/>
          <w:highlight w:val="none"/>
        </w:rPr>
        <w:t>中压气机、调速器压力油罐补气贮气罐、平衡气罐、机组制动贮气罐布置在副厂房中压空压机室(与蜗壳层同高程)。压力油罐供气、机组制动供气总管拟布置于水泵水轮机层上游侧。压水贮气罐拟布置在蜗壳层相应机组段，调相压水供气总管拟布置于蜗壳层上游侧。</w:t>
      </w:r>
    </w:p>
    <w:p>
      <w:pPr>
        <w:pStyle w:val="76"/>
        <w:rPr>
          <w:rFonts w:hint="eastAsia"/>
          <w:color w:val="auto"/>
          <w:highlight w:val="none"/>
        </w:rPr>
      </w:pPr>
      <w:r>
        <w:rPr>
          <w:rFonts w:hint="eastAsia"/>
          <w:color w:val="auto"/>
          <w:highlight w:val="none"/>
        </w:rPr>
        <w:t>中压压缩空气系统图、系统内设备初步布置见附图。</w:t>
      </w:r>
    </w:p>
    <w:p>
      <w:pPr>
        <w:pStyle w:val="76"/>
        <w:pBdr>
          <w:bottom w:val="none" w:color="auto" w:sz="0" w:space="0"/>
        </w:pBdr>
        <w:ind w:firstLine="426"/>
        <w:rPr>
          <w:rFonts w:hint="eastAsia"/>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bookmarkStart w:id="147" w:name="_Toc27918"/>
      <w:r>
        <w:rPr>
          <w:color w:val="auto"/>
          <w:highlight w:val="none"/>
        </w:rPr>
        <w:t xml:space="preserve">7.2.3  </w:t>
      </w:r>
      <w:r>
        <w:rPr>
          <w:rFonts w:hint="eastAsia"/>
          <w:color w:val="auto"/>
          <w:highlight w:val="none"/>
        </w:rPr>
        <w:t>水力量测系统</w:t>
      </w:r>
      <w:bookmarkEnd w:id="147"/>
    </w:p>
    <w:p>
      <w:pPr>
        <w:pStyle w:val="76"/>
        <w:rPr>
          <w:color w:val="auto"/>
          <w:highlight w:val="none"/>
        </w:rPr>
      </w:pPr>
      <w:r>
        <w:rPr>
          <w:rFonts w:hint="eastAsia"/>
          <w:color w:val="auto"/>
          <w:highlight w:val="none"/>
        </w:rPr>
        <w:t>水力量测系统设置项目包括全厂性测量和机组段测量两部分。</w:t>
      </w:r>
    </w:p>
    <w:p>
      <w:pPr>
        <w:pStyle w:val="76"/>
        <w:rPr>
          <w:color w:val="auto"/>
          <w:highlight w:val="none"/>
        </w:rPr>
      </w:pPr>
      <w:r>
        <w:rPr>
          <w:rFonts w:hint="eastAsia"/>
          <w:color w:val="auto"/>
          <w:highlight w:val="none"/>
        </w:rPr>
        <w:t>全厂性测量主要包括如下项目：上水库水位、调压井水位、下水库水位、电站毛水头或静扬程、上水库拦污栅压差、下水库拦污栅压差、上下水库水温、上、下库闸门及尾闸平压，水淹厂房报警等。</w:t>
      </w:r>
    </w:p>
    <w:p>
      <w:pPr>
        <w:pStyle w:val="76"/>
        <w:rPr>
          <w:color w:val="auto"/>
          <w:highlight w:val="none"/>
        </w:rPr>
      </w:pPr>
      <w:r>
        <w:rPr>
          <w:rFonts w:hint="eastAsia"/>
          <w:color w:val="auto"/>
          <w:highlight w:val="none"/>
        </w:rPr>
        <w:t>机组测量主要包括如下项目：钢管压力、蜗壳压力、转轮与导叶间的压力、上下止漏环进出口压力、转轮与顶盖之间的压力、尾水管进出口压力、尾水肘管进出口及中部压力、水泵水轮机有效水头或有效扬程、水轮机工况及水泵工况流量、尾水管压力脉动、转轮与导叶间压力脉动、顶盖及水导轴承振动、主轴摆度、水泵水轮机效率、发电电动机振动和摆度监测等。</w:t>
      </w:r>
    </w:p>
    <w:p>
      <w:pPr>
        <w:pStyle w:val="76"/>
        <w:rPr>
          <w:rFonts w:hint="eastAsia"/>
          <w:color w:val="auto"/>
          <w:highlight w:val="none"/>
        </w:rPr>
      </w:pPr>
      <w:r>
        <w:rPr>
          <w:rFonts w:hint="eastAsia"/>
          <w:color w:val="auto"/>
          <w:highlight w:val="none"/>
        </w:rPr>
        <w:t>水力量测系统图见附图。</w:t>
      </w:r>
    </w:p>
    <w:p>
      <w:pPr>
        <w:pStyle w:val="76"/>
        <w:pBdr>
          <w:bottom w:val="none" w:color="auto" w:sz="0" w:space="0"/>
        </w:pBdr>
        <w:ind w:firstLine="426"/>
        <w:rPr>
          <w:rFonts w:hint="eastAsia"/>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bookmarkStart w:id="148" w:name="_Toc32438"/>
      <w:r>
        <w:rPr>
          <w:color w:val="auto"/>
          <w:highlight w:val="none"/>
        </w:rPr>
        <w:t xml:space="preserve">7.2.4  </w:t>
      </w:r>
      <w:r>
        <w:rPr>
          <w:rFonts w:hint="eastAsia"/>
          <w:color w:val="auto"/>
          <w:highlight w:val="none"/>
        </w:rPr>
        <w:t>油系统</w:t>
      </w:r>
      <w:bookmarkEnd w:id="148"/>
    </w:p>
    <w:p>
      <w:pPr>
        <w:pStyle w:val="76"/>
        <w:rPr>
          <w:color w:val="auto"/>
          <w:highlight w:val="none"/>
        </w:rPr>
      </w:pPr>
      <w:r>
        <w:rPr>
          <w:rFonts w:hint="eastAsia"/>
          <w:color w:val="auto"/>
          <w:highlight w:val="none"/>
        </w:rPr>
        <w:t>本电站油系统分为透平油系统和绝缘油系统两部分。透平油系统供油主要包括水泵水轮机发电机组轴承润滑冷却用油、调速器操作系统，设置2个运行油罐，用于机组检修时排油和自循环净油，并兼作接受新油使用。透平油系统设置透平油室和油处理室，布置于地下副厂房与蜗壳层同高楼层，透平油供、排油总管拟布置于蜗壳层上游侧。绝缘油系统，设置必要的绝缘油处理设备，布置于主变洞端部。</w:t>
      </w:r>
    </w:p>
    <w:p>
      <w:pPr>
        <w:pStyle w:val="76"/>
        <w:rPr>
          <w:color w:val="auto"/>
          <w:highlight w:val="none"/>
        </w:rPr>
      </w:pPr>
      <w:r>
        <w:rPr>
          <w:rFonts w:hint="eastAsia"/>
          <w:color w:val="auto"/>
          <w:highlight w:val="none"/>
        </w:rPr>
        <w:t>油系统图、系统内设备初步布置见附图。</w:t>
      </w:r>
    </w:p>
    <w:p>
      <w:pPr>
        <w:pStyle w:val="76"/>
        <w:pBdr>
          <w:bottom w:val="none" w:color="auto" w:sz="0" w:space="0"/>
        </w:pBdr>
        <w:ind w:firstLine="426"/>
        <w:rPr>
          <w:rFonts w:hint="eastAsia"/>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bookmarkStart w:id="149" w:name="_Toc7306"/>
      <w:r>
        <w:rPr>
          <w:color w:val="auto"/>
          <w:highlight w:val="none"/>
        </w:rPr>
        <w:t xml:space="preserve">7.2.5  </w:t>
      </w:r>
      <w:r>
        <w:rPr>
          <w:rFonts w:hint="eastAsia"/>
          <w:color w:val="auto"/>
          <w:highlight w:val="none"/>
        </w:rPr>
        <w:t>排水系统</w:t>
      </w:r>
      <w:bookmarkEnd w:id="149"/>
    </w:p>
    <w:p>
      <w:pPr>
        <w:pStyle w:val="76"/>
        <w:rPr>
          <w:color w:val="auto"/>
          <w:highlight w:val="none"/>
        </w:rPr>
      </w:pPr>
      <w:r>
        <w:rPr>
          <w:rFonts w:hint="eastAsia"/>
          <w:color w:val="auto"/>
          <w:highlight w:val="none"/>
        </w:rPr>
        <w:t>电站排水系统包括渗漏排水和检修排水，均经贯穿全厂的集水廊道自流排至厂外。</w:t>
      </w:r>
    </w:p>
    <w:p>
      <w:pPr>
        <w:pStyle w:val="76"/>
        <w:rPr>
          <w:rFonts w:hint="eastAsia"/>
          <w:color w:val="auto"/>
          <w:highlight w:val="none"/>
        </w:rPr>
      </w:pPr>
      <w:r>
        <w:rPr>
          <w:rFonts w:hint="eastAsia"/>
          <w:color w:val="auto"/>
          <w:highlight w:val="none"/>
        </w:rPr>
        <w:t>排水系统图、系统内设备初步布置见附图。</w:t>
      </w:r>
    </w:p>
    <w:p>
      <w:pPr>
        <w:pStyle w:val="76"/>
        <w:pBdr>
          <w:bottom w:val="none" w:color="auto" w:sz="0" w:space="0"/>
        </w:pBdr>
        <w:ind w:firstLine="426"/>
        <w:rPr>
          <w:rFonts w:hint="eastAsia"/>
          <w:b/>
          <w:bCs/>
          <w:color w:val="auto"/>
          <w:highlight w:val="none"/>
        </w:rPr>
      </w:pPr>
      <w:bookmarkStart w:id="150" w:name="_Toc2004"/>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r>
        <w:rPr>
          <w:color w:val="auto"/>
          <w:highlight w:val="none"/>
        </w:rPr>
        <w:t xml:space="preserve">7.2.6  </w:t>
      </w:r>
      <w:r>
        <w:rPr>
          <w:rFonts w:hint="eastAsia"/>
          <w:color w:val="auto"/>
          <w:highlight w:val="none"/>
        </w:rPr>
        <w:t>油污水处理系统</w:t>
      </w:r>
      <w:bookmarkEnd w:id="150"/>
    </w:p>
    <w:p>
      <w:pPr>
        <w:pStyle w:val="76"/>
        <w:rPr>
          <w:color w:val="auto"/>
          <w:highlight w:val="none"/>
        </w:rPr>
      </w:pPr>
      <w:r>
        <w:rPr>
          <w:rFonts w:hint="eastAsia"/>
          <w:color w:val="auto"/>
          <w:highlight w:val="none"/>
        </w:rPr>
        <w:t>含油污水处理系统配置一套含油污水处理装置，包括取水泵组、高效水-油分离器、管路、阀门、污油贮存罐等，用于去除水中含油和悬浮物。含油污水处理系统设备布置于副厂房与管廊道层同高程楼层。</w:t>
      </w:r>
    </w:p>
    <w:p>
      <w:pPr>
        <w:pStyle w:val="76"/>
        <w:pBdr>
          <w:bottom w:val="none" w:color="auto" w:sz="0" w:space="0"/>
        </w:pBdr>
        <w:rPr>
          <w:rFonts w:hint="eastAsia"/>
          <w:color w:val="auto"/>
          <w:highlight w:val="none"/>
        </w:rPr>
      </w:pPr>
      <w:r>
        <w:rPr>
          <w:rFonts w:hint="eastAsia"/>
          <w:color w:val="auto"/>
          <w:highlight w:val="none"/>
        </w:rPr>
        <w:t>含油污水处理系统图、系统内设备初步布置见附图。</w:t>
      </w:r>
    </w:p>
    <w:p>
      <w:pPr>
        <w:pStyle w:val="76"/>
        <w:pBdr>
          <w:bottom w:val="none" w:color="auto" w:sz="0" w:space="0"/>
        </w:pBdr>
        <w:ind w:firstLine="426"/>
        <w:rPr>
          <w:rFonts w:hint="eastAsia"/>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bookmarkStart w:id="151" w:name="_Toc16"/>
      <w:r>
        <w:rPr>
          <w:color w:val="auto"/>
          <w:highlight w:val="none"/>
        </w:rPr>
        <w:t xml:space="preserve">7.2.7  </w:t>
      </w:r>
      <w:r>
        <w:rPr>
          <w:rFonts w:hint="eastAsia"/>
          <w:color w:val="auto"/>
          <w:highlight w:val="none"/>
        </w:rPr>
        <w:t>消防系统</w:t>
      </w:r>
      <w:bookmarkEnd w:id="151"/>
    </w:p>
    <w:p>
      <w:pPr>
        <w:pStyle w:val="76"/>
        <w:rPr>
          <w:color w:val="auto"/>
          <w:highlight w:val="none"/>
        </w:rPr>
      </w:pPr>
      <w:r>
        <w:rPr>
          <w:rFonts w:hint="eastAsia"/>
          <w:color w:val="auto"/>
          <w:highlight w:val="none"/>
        </w:rPr>
        <w:t>电站消防水源取自从下水库引水的自流供水总管。全厂消火栓系统与水喷雾系统分开设置，水喷雾系统供水需由消防加压泵加压供水，设置两台消防加压泵。</w:t>
      </w:r>
    </w:p>
    <w:p>
      <w:pPr>
        <w:pStyle w:val="76"/>
        <w:rPr>
          <w:color w:val="auto"/>
          <w:highlight w:val="none"/>
        </w:rPr>
      </w:pPr>
      <w:r>
        <w:rPr>
          <w:rFonts w:hint="eastAsia"/>
          <w:color w:val="auto"/>
          <w:highlight w:val="none"/>
        </w:rPr>
        <w:t>厂内贯穿全厂设有</w:t>
      </w:r>
      <w:r>
        <w:rPr>
          <w:rFonts w:hint="eastAsia"/>
          <w:color w:val="auto"/>
          <w:spacing w:val="4"/>
          <w:highlight w:val="none"/>
        </w:rPr>
        <w:t>消火栓消防供水环管与水喷雾消防供水环管，各用水系统自消防环管上枝状引水。本标承包人负责地下厂房</w:t>
      </w:r>
      <w:r>
        <w:rPr>
          <w:rFonts w:hint="eastAsia"/>
          <w:color w:val="auto"/>
          <w:highlight w:val="none"/>
        </w:rPr>
        <w:t>混凝土工程里的所有消防系统埋管的安装。消防系统设备及明管路、阀门的采购和安装由消防标承包人完成。</w:t>
      </w:r>
    </w:p>
    <w:p>
      <w:pPr>
        <w:pStyle w:val="76"/>
        <w:rPr>
          <w:color w:val="auto"/>
          <w:highlight w:val="none"/>
        </w:rPr>
      </w:pPr>
      <w:r>
        <w:rPr>
          <w:rFonts w:hint="eastAsia"/>
          <w:color w:val="auto"/>
          <w:highlight w:val="none"/>
        </w:rPr>
        <w:t>消防供水系统见附图。</w:t>
      </w:r>
    </w:p>
    <w:p>
      <w:pPr>
        <w:pStyle w:val="76"/>
        <w:pBdr>
          <w:bottom w:val="none" w:color="auto" w:sz="0" w:space="0"/>
        </w:pBdr>
        <w:ind w:firstLine="426"/>
        <w:rPr>
          <w:rFonts w:hint="eastAsia"/>
          <w:b/>
          <w:bCs/>
          <w:color w:val="auto"/>
          <w:highlight w:val="none"/>
        </w:rPr>
      </w:pPr>
      <w:r>
        <w:rPr>
          <w:rFonts w:hint="eastAsia"/>
          <w:b/>
          <w:bCs/>
          <w:color w:val="auto"/>
          <w:highlight w:val="none"/>
        </w:rPr>
        <w:t>本系统由发包人提供的主要设备、阀门、管路、自动化元件清单见专用技术条款附表章节，供报价参考。</w:t>
      </w:r>
    </w:p>
    <w:p>
      <w:pPr>
        <w:pStyle w:val="132"/>
        <w:rPr>
          <w:color w:val="auto"/>
          <w:highlight w:val="none"/>
        </w:rPr>
      </w:pPr>
      <w:r>
        <w:rPr>
          <w:color w:val="auto"/>
          <w:highlight w:val="none"/>
        </w:rPr>
        <w:t>7.2.</w:t>
      </w:r>
      <w:r>
        <w:rPr>
          <w:rFonts w:hint="eastAsia"/>
          <w:color w:val="auto"/>
          <w:highlight w:val="none"/>
        </w:rPr>
        <w:t>8</w:t>
      </w:r>
      <w:r>
        <w:rPr>
          <w:color w:val="auto"/>
          <w:highlight w:val="none"/>
        </w:rPr>
        <w:t xml:space="preserve">  流道</w:t>
      </w:r>
      <w:r>
        <w:rPr>
          <w:rFonts w:hint="eastAsia"/>
          <w:color w:val="auto"/>
          <w:highlight w:val="none"/>
        </w:rPr>
        <w:t>充水系统</w:t>
      </w:r>
    </w:p>
    <w:p>
      <w:pPr>
        <w:pStyle w:val="76"/>
        <w:rPr>
          <w:rFonts w:hint="eastAsia"/>
          <w:color w:val="auto"/>
          <w:highlight w:val="none"/>
        </w:rPr>
      </w:pPr>
      <w:r>
        <w:rPr>
          <w:rFonts w:hint="eastAsia"/>
          <w:color w:val="auto"/>
          <w:highlight w:val="none"/>
        </w:rPr>
        <w:t>流道充水系统用于对机组前的流道进行充水，为机组机组首次水泵工况启动创造条件。全厂设2台流道充水泵，1用1备，从尾水取水，通过管路与进水阀上游延伸段连接，将水从尾水充至引水水道。泵后设置孔板阀用于调节水泵流量和压力，管路上设有压力表和流量计等仪表和自动化元件。</w:t>
      </w:r>
    </w:p>
    <w:p>
      <w:pPr>
        <w:pStyle w:val="76"/>
        <w:rPr>
          <w:rFonts w:hint="eastAsia"/>
          <w:color w:val="auto"/>
          <w:highlight w:val="none"/>
        </w:rPr>
      </w:pPr>
      <w:r>
        <w:rPr>
          <w:rFonts w:hint="eastAsia"/>
          <w:color w:val="auto"/>
          <w:highlight w:val="none"/>
        </w:rPr>
        <w:t>本标承包人负责流道充水系统的安装，包括充水泵、阀门、管路及管件、管路支吊架以及仪表和自动化元件等；负责流道充水系统管路及管件、</w:t>
      </w:r>
      <w:r>
        <w:rPr>
          <w:rFonts w:hint="eastAsia"/>
          <w:color w:val="auto"/>
          <w:highlight w:val="none"/>
          <w:lang w:val="en-US" w:eastAsia="zh-CN"/>
        </w:rPr>
        <w:t>法兰（含密封及紧固件）、</w:t>
      </w:r>
      <w:r>
        <w:rPr>
          <w:rFonts w:hint="eastAsia"/>
          <w:color w:val="auto"/>
          <w:highlight w:val="none"/>
        </w:rPr>
        <w:t>管路支吊架的采购。</w:t>
      </w:r>
    </w:p>
    <w:p>
      <w:pPr>
        <w:pStyle w:val="76"/>
        <w:rPr>
          <w:rFonts w:hint="eastAsia"/>
          <w:color w:val="auto"/>
          <w:highlight w:val="none"/>
        </w:rPr>
      </w:pPr>
      <w:r>
        <w:rPr>
          <w:rFonts w:hint="eastAsia"/>
          <w:color w:val="auto"/>
          <w:highlight w:val="none"/>
        </w:rPr>
        <w:t>流道充水系统图见附图。</w:t>
      </w:r>
    </w:p>
    <w:p>
      <w:pPr>
        <w:pStyle w:val="132"/>
        <w:rPr>
          <w:color w:val="auto"/>
          <w:highlight w:val="none"/>
        </w:rPr>
      </w:pPr>
      <w:r>
        <w:rPr>
          <w:color w:val="auto"/>
          <w:highlight w:val="none"/>
        </w:rPr>
        <w:t>7.2.9  主轴密封临时供水</w:t>
      </w:r>
      <w:r>
        <w:rPr>
          <w:rFonts w:hint="eastAsia"/>
          <w:color w:val="auto"/>
          <w:highlight w:val="none"/>
        </w:rPr>
        <w:t>系统</w:t>
      </w:r>
    </w:p>
    <w:p>
      <w:pPr>
        <w:pStyle w:val="76"/>
        <w:rPr>
          <w:rFonts w:hint="eastAsia"/>
          <w:color w:val="auto"/>
          <w:highlight w:val="none"/>
        </w:rPr>
      </w:pPr>
      <w:r>
        <w:rPr>
          <w:rFonts w:hint="eastAsia"/>
          <w:color w:val="auto"/>
          <w:highlight w:val="none"/>
        </w:rPr>
        <w:t>主轴密封临时供水系统用于压力钢管未充水时机组主轴密封临时用水，全厂设置1套，包含1台稳压泵，取自公用供水，取水点为二号机蜗壳层消火栓供水管，连接至主轴密封供水装置。</w:t>
      </w:r>
    </w:p>
    <w:p>
      <w:pPr>
        <w:pStyle w:val="76"/>
        <w:rPr>
          <w:rFonts w:hint="eastAsia"/>
          <w:color w:val="auto"/>
          <w:highlight w:val="none"/>
        </w:rPr>
      </w:pPr>
      <w:r>
        <w:rPr>
          <w:rFonts w:hint="eastAsia"/>
          <w:color w:val="auto"/>
          <w:highlight w:val="none"/>
        </w:rPr>
        <w:t>本标承包人负责主轴密封临时供水系统的采购和安装，包括充水泵、阀门、管路及管件、管路支吊架以及仪表和自动化元件等；</w:t>
      </w:r>
    </w:p>
    <w:p>
      <w:pPr>
        <w:pStyle w:val="76"/>
        <w:rPr>
          <w:rFonts w:hint="eastAsia"/>
          <w:color w:val="auto"/>
          <w:highlight w:val="none"/>
        </w:rPr>
      </w:pPr>
      <w:r>
        <w:rPr>
          <w:rFonts w:hint="eastAsia"/>
          <w:color w:val="auto"/>
          <w:highlight w:val="none"/>
        </w:rPr>
        <w:t>主轴密封临时供水系统图见附图。</w:t>
      </w:r>
    </w:p>
    <w:p>
      <w:pPr>
        <w:pStyle w:val="76"/>
        <w:ind w:firstLine="426"/>
        <w:rPr>
          <w:rFonts w:hint="eastAsia"/>
          <w:b/>
          <w:bCs/>
          <w:color w:val="auto"/>
          <w:highlight w:val="none"/>
        </w:rPr>
      </w:pPr>
      <w:r>
        <w:rPr>
          <w:rFonts w:hint="eastAsia"/>
          <w:b/>
          <w:bCs/>
          <w:color w:val="auto"/>
          <w:highlight w:val="none"/>
        </w:rPr>
        <w:t>本系统由发包人提供的主要设备、阀门、自动化元件清单见文末附表，供报价参考。</w:t>
      </w:r>
    </w:p>
    <w:p>
      <w:pPr>
        <w:pStyle w:val="62"/>
        <w:rPr>
          <w:rFonts w:ascii="宋体" w:hAnsi="宋体" w:eastAsia="宋体" w:cs="宋体"/>
          <w:i w:val="0"/>
          <w:strike w:val="0"/>
          <w:color w:val="auto"/>
          <w:sz w:val="22"/>
          <w:highlight w:val="none"/>
          <w:u w:val="none"/>
        </w:rPr>
      </w:pPr>
      <w:r>
        <w:rPr>
          <w:color w:val="auto"/>
          <w:highlight w:val="none"/>
        </w:rPr>
        <w:t>7.5  计量和支付</w:t>
      </w:r>
    </w:p>
    <w:p>
      <w:pPr>
        <w:pStyle w:val="76"/>
        <w:pBdr>
          <w:bottom w:val="none" w:color="auto" w:sz="0" w:space="0"/>
        </w:pBdr>
        <w:rPr>
          <w:rFonts w:hint="eastAsia"/>
          <w:color w:val="auto"/>
          <w:highlight w:val="none"/>
        </w:rPr>
      </w:pPr>
      <w:r>
        <w:rPr>
          <w:rFonts w:hint="eastAsia"/>
          <w:color w:val="auto"/>
          <w:highlight w:val="none"/>
        </w:rPr>
        <w:t>管路安装费用中包含坡口加工的费用，发包人不再另行支付。</w:t>
      </w:r>
    </w:p>
    <w:p>
      <w:pPr>
        <w:pStyle w:val="76"/>
        <w:rPr>
          <w:rFonts w:hint="eastAsia"/>
          <w:color w:val="auto"/>
          <w:highlight w:val="none"/>
        </w:rPr>
      </w:pPr>
    </w:p>
    <w:p>
      <w:pPr>
        <w:pStyle w:val="76"/>
        <w:rPr>
          <w:rFonts w:hint="eastAsia"/>
          <w:color w:val="auto"/>
          <w:highlight w:val="none"/>
        </w:rPr>
      </w:pPr>
    </w:p>
    <w:p>
      <w:pPr>
        <w:pStyle w:val="76"/>
        <w:rPr>
          <w:color w:val="auto"/>
          <w:highlight w:val="none"/>
        </w:rPr>
      </w:pP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152" w:name="_Toc4031"/>
      <w:bookmarkStart w:id="153" w:name="_Toc26948"/>
      <w:bookmarkStart w:id="154" w:name="_Toc114042611"/>
      <w:bookmarkStart w:id="155" w:name="_Toc127395721"/>
      <w:r>
        <w:rPr>
          <w:rFonts w:hint="eastAsia"/>
          <w:color w:val="auto"/>
          <w:highlight w:val="none"/>
        </w:rPr>
        <w:t>第8章</w:t>
      </w:r>
      <w:r>
        <w:rPr>
          <w:color w:val="auto"/>
          <w:highlight w:val="none"/>
        </w:rPr>
        <w:t xml:space="preserve">  </w:t>
      </w:r>
      <w:r>
        <w:rPr>
          <w:rFonts w:hint="eastAsia"/>
          <w:color w:val="auto"/>
          <w:highlight w:val="none"/>
        </w:rPr>
        <w:t>发电电动机及附属设备</w:t>
      </w:r>
      <w:bookmarkEnd w:id="152"/>
      <w:bookmarkEnd w:id="153"/>
      <w:bookmarkEnd w:id="154"/>
      <w:bookmarkEnd w:id="155"/>
    </w:p>
    <w:p>
      <w:pPr>
        <w:pStyle w:val="62"/>
        <w:rPr>
          <w:color w:val="auto"/>
          <w:highlight w:val="none"/>
        </w:rPr>
      </w:pPr>
      <w:bookmarkStart w:id="156" w:name="_Toc380"/>
      <w:bookmarkStart w:id="157" w:name="_Toc17276"/>
      <w:r>
        <w:rPr>
          <w:color w:val="auto"/>
          <w:highlight w:val="none"/>
        </w:rPr>
        <w:t xml:space="preserve">8.1 </w:t>
      </w:r>
      <w:r>
        <w:rPr>
          <w:rFonts w:hint="eastAsia"/>
          <w:color w:val="auto"/>
          <w:highlight w:val="none"/>
        </w:rPr>
        <w:t>概述</w:t>
      </w:r>
      <w:bookmarkEnd w:id="156"/>
      <w:bookmarkEnd w:id="157"/>
    </w:p>
    <w:p>
      <w:pPr>
        <w:pStyle w:val="132"/>
        <w:rPr>
          <w:color w:val="auto"/>
          <w:highlight w:val="none"/>
        </w:rPr>
      </w:pPr>
      <w:bookmarkStart w:id="158" w:name="_Toc23576"/>
      <w:r>
        <w:rPr>
          <w:color w:val="auto"/>
          <w:highlight w:val="none"/>
        </w:rPr>
        <w:t xml:space="preserve">8.1.1  </w:t>
      </w:r>
      <w:r>
        <w:rPr>
          <w:rFonts w:hint="eastAsia"/>
          <w:color w:val="auto"/>
          <w:highlight w:val="none"/>
        </w:rPr>
        <w:t>工作范围</w:t>
      </w:r>
      <w:bookmarkEnd w:id="158"/>
    </w:p>
    <w:p>
      <w:pPr>
        <w:pStyle w:val="76"/>
        <w:rPr>
          <w:color w:val="auto"/>
          <w:highlight w:val="none"/>
        </w:rPr>
      </w:pPr>
      <w:r>
        <w:rPr>
          <w:rFonts w:hint="eastAsia"/>
          <w:color w:val="auto"/>
          <w:highlight w:val="none"/>
        </w:rPr>
        <w:t>见通用条款。</w:t>
      </w:r>
    </w:p>
    <w:p>
      <w:pPr>
        <w:pStyle w:val="62"/>
        <w:rPr>
          <w:color w:val="auto"/>
          <w:highlight w:val="none"/>
        </w:rPr>
      </w:pPr>
      <w:bookmarkStart w:id="159" w:name="_Toc388519871"/>
      <w:bookmarkStart w:id="160" w:name="_Toc524940442"/>
      <w:bookmarkStart w:id="161" w:name="_Toc387821305"/>
      <w:bookmarkStart w:id="162" w:name="_Toc1633032"/>
      <w:bookmarkStart w:id="163" w:name="_Toc411408930"/>
      <w:bookmarkStart w:id="164" w:name="_Toc488654961"/>
      <w:bookmarkStart w:id="165" w:name="_Toc387821621"/>
      <w:bookmarkStart w:id="166" w:name="_Toc522716067"/>
      <w:bookmarkStart w:id="167" w:name="_Toc387820969"/>
      <w:bookmarkStart w:id="168" w:name="_Toc8759"/>
      <w:bookmarkStart w:id="169" w:name="_Toc13281"/>
      <w:bookmarkStart w:id="170" w:name="_Toc114042612"/>
      <w:bookmarkStart w:id="171" w:name="_Toc127395722"/>
      <w:r>
        <w:rPr>
          <w:color w:val="auto"/>
          <w:highlight w:val="none"/>
        </w:rPr>
        <w:t xml:space="preserve">8.2  </w:t>
      </w:r>
      <w:bookmarkEnd w:id="159"/>
      <w:bookmarkEnd w:id="160"/>
      <w:bookmarkEnd w:id="161"/>
      <w:bookmarkEnd w:id="162"/>
      <w:bookmarkEnd w:id="163"/>
      <w:bookmarkEnd w:id="164"/>
      <w:bookmarkEnd w:id="165"/>
      <w:bookmarkEnd w:id="166"/>
      <w:bookmarkEnd w:id="167"/>
      <w:r>
        <w:rPr>
          <w:rFonts w:hint="eastAsia"/>
          <w:color w:val="auto"/>
          <w:highlight w:val="none"/>
        </w:rPr>
        <w:t>简要技术说明</w:t>
      </w:r>
      <w:bookmarkEnd w:id="168"/>
      <w:bookmarkEnd w:id="169"/>
    </w:p>
    <w:bookmarkEnd w:id="170"/>
    <w:bookmarkEnd w:id="171"/>
    <w:p>
      <w:pPr>
        <w:pStyle w:val="76"/>
        <w:rPr>
          <w:color w:val="auto"/>
          <w:highlight w:val="none"/>
        </w:rPr>
      </w:pPr>
      <w:r>
        <w:rPr>
          <w:color w:val="auto"/>
          <w:highlight w:val="none"/>
        </w:rPr>
        <w:t>本合同范围包括4台套发电电动机及其相关的可控硅励磁装置(4套)、机组变频起动装置(2套)、IG100</w:t>
      </w:r>
      <w:r>
        <w:rPr>
          <w:rFonts w:hint="eastAsia"/>
          <w:color w:val="auto"/>
          <w:highlight w:val="none"/>
        </w:rPr>
        <w:t>或其他气体灭火系统</w:t>
      </w:r>
      <w:r>
        <w:rPr>
          <w:color w:val="auto"/>
          <w:highlight w:val="none"/>
        </w:rPr>
        <w:t>(4套)等设备的安装</w:t>
      </w:r>
      <w:r>
        <w:rPr>
          <w:rFonts w:hint="eastAsia"/>
          <w:color w:val="auto"/>
          <w:highlight w:val="none"/>
        </w:rPr>
        <w:t>。</w:t>
      </w:r>
    </w:p>
    <w:p>
      <w:pPr>
        <w:pStyle w:val="76"/>
        <w:rPr>
          <w:color w:val="auto"/>
          <w:highlight w:val="none"/>
        </w:rPr>
      </w:pPr>
      <w:r>
        <w:rPr>
          <w:color w:val="auto"/>
          <w:highlight w:val="none"/>
        </w:rPr>
        <w:t>以下位置连接导体采用全绝缘浇注母线由本标段深化设计、采购供货。</w:t>
      </w:r>
    </w:p>
    <w:p>
      <w:pPr>
        <w:pStyle w:val="76"/>
        <w:rPr>
          <w:color w:val="auto"/>
          <w:highlight w:val="none"/>
        </w:rPr>
      </w:pPr>
      <w:r>
        <w:rPr>
          <w:color w:val="auto"/>
          <w:highlight w:val="none"/>
        </w:rPr>
        <w:t>（1）励磁变压器低压侧至励磁屏柜之间的连接导体；</w:t>
      </w:r>
    </w:p>
    <w:p>
      <w:pPr>
        <w:pStyle w:val="76"/>
        <w:rPr>
          <w:rFonts w:hint="eastAsia"/>
          <w:color w:val="auto"/>
          <w:highlight w:val="none"/>
        </w:rPr>
      </w:pPr>
      <w:r>
        <w:rPr>
          <w:color w:val="auto"/>
          <w:highlight w:val="none"/>
        </w:rPr>
        <w:t>（2）SFC输入变低压侧至输出变低压侧之间、SFC输入/输出电抗器至18kV开关柜之间以及18kV开关柜至SFC输入/输出变之间的全绝缘浇注母线的采购、安装工作。</w:t>
      </w:r>
    </w:p>
    <w:p>
      <w:pPr>
        <w:pStyle w:val="76"/>
        <w:rPr>
          <w:color w:val="auto"/>
          <w:highlight w:val="none"/>
        </w:rPr>
      </w:pPr>
      <w:r>
        <w:rPr>
          <w:color w:val="auto"/>
          <w:highlight w:val="none"/>
        </w:rPr>
        <w:t>（3）静止变频装置设备之间的二次电缆(包括通信光缆、尾纤、通信电缆、控制电缆及低压动力电缆)及其附件由主机标采购，本标负责安装</w:t>
      </w:r>
      <w:r>
        <w:rPr>
          <w:rFonts w:hint="eastAsia"/>
          <w:color w:val="auto"/>
          <w:highlight w:val="none"/>
        </w:rPr>
        <w:t>。</w:t>
      </w:r>
    </w:p>
    <w:p>
      <w:pPr>
        <w:pStyle w:val="132"/>
        <w:rPr>
          <w:color w:val="auto"/>
          <w:highlight w:val="none"/>
        </w:rPr>
      </w:pPr>
      <w:bookmarkStart w:id="172" w:name="_Toc387821629"/>
      <w:bookmarkStart w:id="173" w:name="_Toc23983"/>
      <w:r>
        <w:rPr>
          <w:color w:val="auto"/>
          <w:highlight w:val="none"/>
        </w:rPr>
        <w:t>8.2.1</w:t>
      </w:r>
      <w:r>
        <w:rPr>
          <w:rFonts w:hint="eastAsia"/>
          <w:color w:val="auto"/>
          <w:highlight w:val="none"/>
        </w:rPr>
        <w:t xml:space="preserve">  发电电动机</w:t>
      </w:r>
      <w:bookmarkEnd w:id="172"/>
      <w:bookmarkEnd w:id="173"/>
    </w:p>
    <w:p>
      <w:pPr>
        <w:snapToGrid w:val="0"/>
        <w:spacing w:line="460" w:lineRule="exact"/>
        <w:ind w:firstLine="424" w:firstLineChars="177"/>
        <w:jc w:val="left"/>
        <w:rPr>
          <w:rFonts w:hint="eastAsia" w:ascii="宋体" w:hAnsi="宋体" w:cs="Times New Roman"/>
          <w:color w:val="auto"/>
          <w:sz w:val="24"/>
          <w:szCs w:val="24"/>
          <w:highlight w:val="none"/>
        </w:rPr>
      </w:pPr>
      <w:r>
        <w:rPr>
          <w:rFonts w:ascii="宋体" w:hAnsi="宋体" w:cs="Times New Roman"/>
          <w:color w:val="auto"/>
          <w:sz w:val="24"/>
          <w:szCs w:val="24"/>
          <w:highlight w:val="none"/>
        </w:rPr>
        <w:t>发电电动机为</w:t>
      </w:r>
      <w:r>
        <w:rPr>
          <w:rFonts w:hint="eastAsia" w:ascii="宋体" w:hAnsi="宋体" w:cs="Times New Roman"/>
          <w:color w:val="auto"/>
          <w:sz w:val="24"/>
          <w:szCs w:val="24"/>
          <w:highlight w:val="none"/>
        </w:rPr>
        <w:t>竖</w:t>
      </w:r>
      <w:r>
        <w:rPr>
          <w:rFonts w:ascii="宋体" w:hAnsi="宋体" w:cs="Times New Roman"/>
          <w:color w:val="auto"/>
          <w:sz w:val="24"/>
          <w:szCs w:val="24"/>
          <w:highlight w:val="none"/>
        </w:rPr>
        <w:t>轴、半伞式、密闭自循环空气冷却、三相可逆式凸极同步发电电动机。</w:t>
      </w:r>
    </w:p>
    <w:p>
      <w:pPr>
        <w:snapToGrid w:val="0"/>
        <w:spacing w:line="460" w:lineRule="exact"/>
        <w:ind w:firstLine="424" w:firstLineChars="177"/>
        <w:jc w:val="left"/>
        <w:rPr>
          <w:rFonts w:ascii="Times New Roman" w:hAnsi="Times New Roman" w:cs="Times New Roman"/>
          <w:color w:val="auto"/>
          <w:sz w:val="24"/>
          <w:szCs w:val="24"/>
          <w:highlight w:val="none"/>
        </w:rPr>
      </w:pPr>
      <w:r>
        <w:rPr>
          <w:rFonts w:ascii="宋体" w:hAnsi="宋体" w:cs="Times New Roman"/>
          <w:color w:val="auto"/>
          <w:sz w:val="24"/>
          <w:szCs w:val="24"/>
          <w:highlight w:val="none"/>
        </w:rPr>
        <w:t>发电电动机轴包括上端轴、转子中心体和下端轴。转子中心体与下端轴间采用小间隙止口配合螺栓连接，</w:t>
      </w:r>
      <w:r>
        <w:rPr>
          <w:rFonts w:ascii="宋体" w:hAnsi="宋体" w:cs="Times New Roman"/>
          <w:bCs/>
          <w:color w:val="auto"/>
          <w:sz w:val="24"/>
          <w:szCs w:val="24"/>
          <w:highlight w:val="none"/>
        </w:rPr>
        <w:t>在工厂内通过加工精度保证</w:t>
      </w:r>
      <w:r>
        <w:rPr>
          <w:rFonts w:ascii="Times New Roman" w:hAnsi="Times New Roman" w:cs="Times New Roman"/>
          <w:bCs/>
          <w:color w:val="auto"/>
          <w:sz w:val="24"/>
          <w:szCs w:val="24"/>
          <w:highlight w:val="none"/>
        </w:rPr>
        <w:t>(</w:t>
      </w:r>
      <w:r>
        <w:rPr>
          <w:rFonts w:ascii="宋体" w:hAnsi="宋体" w:cs="Times New Roman"/>
          <w:bCs/>
          <w:color w:val="auto"/>
          <w:sz w:val="24"/>
          <w:szCs w:val="24"/>
          <w:highlight w:val="none"/>
        </w:rPr>
        <w:t>厂内铰孔</w:t>
      </w:r>
      <w:r>
        <w:rPr>
          <w:rFonts w:ascii="Times New Roman" w:hAnsi="Times New Roman" w:cs="Times New Roman"/>
          <w:bCs/>
          <w:color w:val="auto"/>
          <w:sz w:val="24"/>
          <w:szCs w:val="24"/>
          <w:highlight w:val="none"/>
        </w:rPr>
        <w:t xml:space="preserve">) </w:t>
      </w:r>
      <w:r>
        <w:rPr>
          <w:rFonts w:ascii="宋体" w:hAnsi="宋体" w:cs="Times New Roman"/>
          <w:color w:val="auto"/>
          <w:sz w:val="24"/>
          <w:szCs w:val="24"/>
          <w:highlight w:val="none"/>
        </w:rPr>
        <w:t>；转子中心体与上端轴采用大间隙止口配合螺栓连接，工地轴线调整合格后同钻铰定位销孔并装入定位销。水轮机主轴与下端轴在现场螺栓连接。发电电动机轴和水泵水轮机主轴在现场组装后应对整个轴线进行检查。</w:t>
      </w:r>
    </w:p>
    <w:p>
      <w:pPr>
        <w:adjustRightInd w:val="0"/>
        <w:snapToGrid w:val="0"/>
        <w:spacing w:line="480" w:lineRule="exact"/>
        <w:ind w:firstLine="480" w:firstLineChars="200"/>
        <w:rPr>
          <w:rFonts w:hint="eastAsia" w:ascii="宋体" w:hAnsi="宋体" w:cs="Calibri"/>
          <w:color w:val="auto"/>
          <w:kern w:val="0"/>
          <w:sz w:val="24"/>
          <w:szCs w:val="24"/>
          <w:highlight w:val="none"/>
        </w:rPr>
      </w:pPr>
      <w:r>
        <w:rPr>
          <w:rFonts w:hint="eastAsia" w:ascii="宋体" w:hAnsi="宋体" w:cs="Calibri"/>
          <w:color w:val="auto"/>
          <w:kern w:val="0"/>
          <w:sz w:val="24"/>
          <w:szCs w:val="24"/>
          <w:highlight w:val="none"/>
        </w:rPr>
        <w:t>定子绕组为分相绕组，</w:t>
      </w:r>
      <w:r>
        <w:rPr>
          <w:rFonts w:ascii="Times New Roman" w:hAnsi="Times New Roman" w:cs="Times New Roman"/>
          <w:color w:val="auto"/>
          <w:kern w:val="0"/>
          <w:sz w:val="24"/>
          <w:szCs w:val="24"/>
          <w:highlight w:val="none"/>
        </w:rPr>
        <w:t>Y</w:t>
      </w:r>
      <w:r>
        <w:rPr>
          <w:rFonts w:hint="eastAsia" w:ascii="宋体" w:hAnsi="宋体" w:cs="Calibri"/>
          <w:color w:val="auto"/>
          <w:kern w:val="0"/>
          <w:sz w:val="24"/>
          <w:szCs w:val="24"/>
          <w:highlight w:val="none"/>
        </w:rPr>
        <w:t>形接线，发电电动机主引线和中性点引线分别布置在</w:t>
      </w:r>
      <w:r>
        <w:rPr>
          <w:rFonts w:ascii="Times New Roman" w:hAnsi="Times New Roman" w:cs="Times New Roman"/>
          <w:color w:val="auto"/>
          <w:kern w:val="0"/>
          <w:sz w:val="24"/>
          <w:szCs w:val="24"/>
          <w:highlight w:val="none"/>
        </w:rPr>
        <w:t>IV</w:t>
      </w:r>
      <w:r>
        <w:rPr>
          <w:rFonts w:hint="eastAsia" w:ascii="宋体" w:hAnsi="宋体" w:cs="Calibri"/>
          <w:color w:val="auto"/>
          <w:kern w:val="0"/>
          <w:sz w:val="24"/>
          <w:szCs w:val="24"/>
          <w:highlight w:val="none"/>
        </w:rPr>
        <w:t>象限</w:t>
      </w:r>
      <w:r>
        <w:rPr>
          <w:rFonts w:ascii="Times New Roman" w:hAnsi="Times New Roman" w:cs="Times New Roman"/>
          <w:color w:val="auto"/>
          <w:kern w:val="0"/>
          <w:sz w:val="24"/>
          <w:szCs w:val="24"/>
          <w:highlight w:val="none"/>
        </w:rPr>
        <w:t>-Y</w:t>
      </w:r>
      <w:r>
        <w:rPr>
          <w:rFonts w:hint="eastAsia" w:ascii="宋体" w:hAnsi="宋体" w:cs="Calibri"/>
          <w:color w:val="auto"/>
          <w:kern w:val="0"/>
          <w:sz w:val="24"/>
          <w:szCs w:val="24"/>
          <w:highlight w:val="none"/>
        </w:rPr>
        <w:t>偏</w:t>
      </w:r>
      <w:r>
        <w:rPr>
          <w:rFonts w:ascii="Times New Roman" w:hAnsi="Times New Roman" w:cs="Times New Roman"/>
          <w:color w:val="auto"/>
          <w:kern w:val="0"/>
          <w:sz w:val="24"/>
          <w:szCs w:val="24"/>
          <w:highlight w:val="none"/>
        </w:rPr>
        <w:t>+X45</w:t>
      </w:r>
      <w:r>
        <w:rPr>
          <w:rFonts w:hint="eastAsia" w:ascii="宋体" w:hAnsi="宋体" w:cs="Calibri"/>
          <w:color w:val="auto"/>
          <w:kern w:val="0"/>
          <w:sz w:val="24"/>
          <w:szCs w:val="24"/>
          <w:highlight w:val="none"/>
        </w:rPr>
        <w:t>°方向和</w:t>
      </w:r>
      <w:r>
        <w:rPr>
          <w:rFonts w:ascii="Times New Roman" w:hAnsi="Times New Roman" w:cs="Times New Roman"/>
          <w:color w:val="auto"/>
          <w:kern w:val="0"/>
          <w:sz w:val="24"/>
          <w:szCs w:val="24"/>
          <w:highlight w:val="none"/>
        </w:rPr>
        <w:t>II</w:t>
      </w:r>
      <w:r>
        <w:rPr>
          <w:rFonts w:hint="eastAsia" w:ascii="宋体" w:hAnsi="宋体" w:cs="Calibri"/>
          <w:color w:val="auto"/>
          <w:kern w:val="0"/>
          <w:sz w:val="24"/>
          <w:szCs w:val="24"/>
          <w:highlight w:val="none"/>
        </w:rPr>
        <w:t>象限</w:t>
      </w:r>
      <w:r>
        <w:rPr>
          <w:rFonts w:ascii="Times New Roman" w:hAnsi="Times New Roman" w:cs="Times New Roman"/>
          <w:color w:val="auto"/>
          <w:kern w:val="0"/>
          <w:sz w:val="24"/>
          <w:szCs w:val="24"/>
          <w:highlight w:val="none"/>
        </w:rPr>
        <w:t>+Y</w:t>
      </w:r>
      <w:r>
        <w:rPr>
          <w:rFonts w:hint="eastAsia" w:ascii="宋体" w:hAnsi="宋体" w:cs="Calibri"/>
          <w:color w:val="auto"/>
          <w:kern w:val="0"/>
          <w:sz w:val="24"/>
          <w:szCs w:val="24"/>
          <w:highlight w:val="none"/>
        </w:rPr>
        <w:t>偏</w:t>
      </w:r>
      <w:r>
        <w:rPr>
          <w:rFonts w:ascii="Times New Roman" w:hAnsi="Times New Roman" w:cs="Times New Roman"/>
          <w:color w:val="auto"/>
          <w:kern w:val="0"/>
          <w:sz w:val="24"/>
          <w:szCs w:val="24"/>
          <w:highlight w:val="none"/>
        </w:rPr>
        <w:t>-X 45</w:t>
      </w:r>
      <w:r>
        <w:rPr>
          <w:rFonts w:hint="eastAsia" w:ascii="宋体" w:hAnsi="宋体" w:cs="Calibri"/>
          <w:color w:val="auto"/>
          <w:kern w:val="0"/>
          <w:sz w:val="24"/>
          <w:szCs w:val="24"/>
          <w:highlight w:val="none"/>
        </w:rPr>
        <w:t>°方向</w:t>
      </w:r>
      <w:r>
        <w:rPr>
          <w:rFonts w:ascii="Times New Roman" w:hAnsi="Times New Roman" w:cs="Times New Roman"/>
          <w:color w:val="auto"/>
          <w:kern w:val="0"/>
          <w:sz w:val="24"/>
          <w:szCs w:val="24"/>
          <w:highlight w:val="none"/>
        </w:rPr>
        <w:t>(</w:t>
      </w:r>
      <w:r>
        <w:rPr>
          <w:rFonts w:hint="eastAsia" w:ascii="宋体" w:hAnsi="宋体" w:cs="Calibri"/>
          <w:color w:val="auto"/>
          <w:kern w:val="0"/>
          <w:sz w:val="24"/>
          <w:szCs w:val="24"/>
          <w:highlight w:val="none"/>
        </w:rPr>
        <w:t>暂定</w:t>
      </w:r>
      <w:r>
        <w:rPr>
          <w:rFonts w:ascii="Times New Roman" w:hAnsi="Times New Roman" w:cs="Times New Roman"/>
          <w:color w:val="auto"/>
          <w:kern w:val="0"/>
          <w:sz w:val="24"/>
          <w:szCs w:val="24"/>
          <w:highlight w:val="none"/>
        </w:rPr>
        <w:t xml:space="preserve">) </w:t>
      </w:r>
      <w:r>
        <w:rPr>
          <w:rFonts w:hint="eastAsia" w:ascii="宋体" w:hAnsi="宋体" w:cs="Calibri"/>
          <w:color w:val="auto"/>
          <w:kern w:val="0"/>
          <w:sz w:val="24"/>
          <w:szCs w:val="24"/>
          <w:highlight w:val="none"/>
        </w:rPr>
        <w:t>。</w:t>
      </w:r>
    </w:p>
    <w:p>
      <w:pPr>
        <w:snapToGrid w:val="0"/>
        <w:spacing w:line="460" w:lineRule="exact"/>
        <w:ind w:firstLine="424" w:firstLineChars="177"/>
        <w:jc w:val="left"/>
        <w:rPr>
          <w:color w:val="auto"/>
          <w:highlight w:val="none"/>
        </w:rPr>
      </w:pPr>
      <w:r>
        <w:rPr>
          <w:rFonts w:hint="eastAsia" w:ascii="宋体" w:hAnsi="宋体" w:cs="Times New Roman"/>
          <w:color w:val="auto"/>
          <w:sz w:val="24"/>
          <w:szCs w:val="24"/>
          <w:highlight w:val="none"/>
        </w:rPr>
        <w:t>发电机转子磁轭采用</w:t>
      </w:r>
      <w:r>
        <w:rPr>
          <w:rFonts w:ascii="宋体" w:hAnsi="宋体" w:cs="宋体"/>
          <w:color w:val="auto"/>
          <w:sz w:val="24"/>
          <w:szCs w:val="24"/>
          <w:highlight w:val="none"/>
        </w:rPr>
        <w:t>厚板锻件结构</w:t>
      </w:r>
      <w:r>
        <w:rPr>
          <w:rFonts w:hint="eastAsia" w:ascii="宋体" w:hAnsi="宋体" w:cs="Times New Roman"/>
          <w:color w:val="auto"/>
          <w:sz w:val="24"/>
          <w:szCs w:val="24"/>
          <w:highlight w:val="none"/>
        </w:rPr>
        <w:t>，采用高强度锻件制成，由数段磁轭圈通过螺栓把合成整体。</w:t>
      </w:r>
    </w:p>
    <w:p>
      <w:pPr>
        <w:snapToGrid w:val="0"/>
        <w:spacing w:line="460" w:lineRule="exact"/>
        <w:ind w:firstLine="424" w:firstLineChars="177"/>
        <w:jc w:val="left"/>
        <w:rPr>
          <w:rFonts w:ascii="Times New Roman" w:hAnsi="Times New Roman" w:cs="Times New Roman"/>
          <w:color w:val="auto"/>
          <w:sz w:val="24"/>
          <w:szCs w:val="24"/>
          <w:highlight w:val="none"/>
        </w:rPr>
      </w:pPr>
      <w:r>
        <w:rPr>
          <w:rFonts w:ascii="宋体" w:hAnsi="宋体" w:cs="Times New Roman"/>
          <w:color w:val="auto"/>
          <w:sz w:val="24"/>
          <w:szCs w:val="24"/>
          <w:highlight w:val="none"/>
        </w:rPr>
        <w:t>推力轴承位于转子下方，安装在下机架中心体油槽内，与下导轴承共用一个油槽，为推导复合结构。推力轴承采用能自动平衡瓦间负荷的弹性油箱支撑结构。</w:t>
      </w:r>
    </w:p>
    <w:p>
      <w:pPr>
        <w:spacing w:before="120" w:after="120" w:line="360" w:lineRule="auto"/>
        <w:ind w:firstLine="510"/>
        <w:rPr>
          <w:rFonts w:hint="eastAsia" w:ascii="宋体" w:hAnsi="宋体" w:cs="Calibri"/>
          <w:color w:val="auto"/>
          <w:sz w:val="24"/>
          <w:szCs w:val="24"/>
          <w:highlight w:val="none"/>
        </w:rPr>
      </w:pPr>
      <w:r>
        <w:rPr>
          <w:rFonts w:ascii="宋体" w:hAnsi="宋体" w:cs="Calibri"/>
          <w:color w:val="auto"/>
          <w:sz w:val="24"/>
          <w:szCs w:val="24"/>
          <w:highlight w:val="none"/>
        </w:rPr>
        <w:t>在发电电动机转子上、下方各设置导轴承，导轴承均布置在机架内。上、下导轴承为油浸、可调的分块瓦型式</w:t>
      </w:r>
      <w:r>
        <w:rPr>
          <w:rFonts w:hint="eastAsia" w:ascii="宋体" w:hAnsi="宋体" w:cs="Calibri"/>
          <w:color w:val="auto"/>
          <w:sz w:val="24"/>
          <w:szCs w:val="24"/>
          <w:highlight w:val="none"/>
        </w:rPr>
        <w:t>。</w:t>
      </w:r>
      <w:r>
        <w:rPr>
          <w:rFonts w:ascii="宋体" w:hAnsi="宋体" w:cs="Calibri"/>
          <w:color w:val="auto"/>
          <w:sz w:val="24"/>
          <w:szCs w:val="24"/>
          <w:highlight w:val="none"/>
        </w:rPr>
        <w:t>上、下机架采用钢板焊接结构。上机架由中心体和</w:t>
      </w:r>
      <w:r>
        <w:rPr>
          <w:rFonts w:hint="eastAsia" w:ascii="宋体" w:hAnsi="宋体" w:cs="Calibri"/>
          <w:color w:val="auto"/>
          <w:sz w:val="24"/>
          <w:szCs w:val="24"/>
          <w:highlight w:val="none"/>
        </w:rPr>
        <w:t>径向</w:t>
      </w:r>
      <w:r>
        <w:rPr>
          <w:rFonts w:ascii="宋体" w:hAnsi="宋体" w:cs="Calibri"/>
          <w:color w:val="auto"/>
          <w:sz w:val="24"/>
          <w:szCs w:val="24"/>
          <w:highlight w:val="none"/>
        </w:rPr>
        <w:t>支臂组成，并在工地焊成一体。支臂轴向与定子机座上支墩把合固定，径向固定于机坑基础壁上，支臂与机坑基础间设有弹性阻尼支撑，弹性阻尼支撑能适应机架的热胀和降低机架振动。</w:t>
      </w:r>
    </w:p>
    <w:p>
      <w:pPr>
        <w:spacing w:before="120" w:after="120" w:line="360" w:lineRule="auto"/>
        <w:ind w:firstLine="510"/>
        <w:rPr>
          <w:rFonts w:hint="eastAsia" w:ascii="宋体" w:hAnsi="宋体" w:cs="Calibri"/>
          <w:color w:val="auto"/>
          <w:sz w:val="24"/>
          <w:szCs w:val="24"/>
          <w:highlight w:val="none"/>
        </w:rPr>
      </w:pPr>
      <w:r>
        <w:rPr>
          <w:rFonts w:ascii="宋体" w:hAnsi="宋体" w:cs="Times New Roman"/>
          <w:color w:val="auto"/>
          <w:sz w:val="24"/>
          <w:szCs w:val="24"/>
          <w:highlight w:val="none"/>
        </w:rPr>
        <w:t>发电电动机</w:t>
      </w:r>
      <w:r>
        <w:rPr>
          <w:rFonts w:hint="eastAsia" w:ascii="宋体" w:hAnsi="宋体" w:cs="Calibri"/>
          <w:color w:val="auto"/>
          <w:sz w:val="24"/>
          <w:szCs w:val="24"/>
          <w:highlight w:val="none"/>
        </w:rPr>
        <w:t>主要技术参数</w:t>
      </w:r>
    </w:p>
    <w:p>
      <w:pPr>
        <w:pStyle w:val="76"/>
        <w:rPr>
          <w:color w:val="auto"/>
          <w:highlight w:val="none"/>
        </w:rPr>
      </w:pPr>
      <w:r>
        <w:rPr>
          <w:color w:val="auto"/>
          <w:highlight w:val="none"/>
        </w:rPr>
        <w:t xml:space="preserve">(1) </w:t>
      </w:r>
      <w:r>
        <w:rPr>
          <w:rFonts w:hint="eastAsia"/>
          <w:color w:val="auto"/>
          <w:highlight w:val="none"/>
        </w:rPr>
        <w:t>型式：三相、竖轴、半伞式、空冷可逆式同步发电电动机</w:t>
      </w:r>
    </w:p>
    <w:p>
      <w:pPr>
        <w:pStyle w:val="76"/>
        <w:rPr>
          <w:rFonts w:ascii="宋体" w:hAnsi="宋体" w:cs="宋体"/>
          <w:color w:val="auto"/>
          <w:highlight w:val="none"/>
        </w:rPr>
      </w:pPr>
      <w:r>
        <w:rPr>
          <w:color w:val="auto"/>
          <w:highlight w:val="none"/>
        </w:rPr>
        <w:t xml:space="preserve">(2) </w:t>
      </w:r>
      <w:r>
        <w:rPr>
          <w:rFonts w:hint="eastAsia"/>
          <w:color w:val="auto"/>
          <w:highlight w:val="none"/>
        </w:rPr>
        <w:t>额定容量：</w:t>
      </w:r>
      <w:r>
        <w:rPr>
          <w:rFonts w:hint="eastAsia" w:ascii="宋体" w:hAnsi="宋体" w:cs="宋体"/>
          <w:color w:val="auto"/>
          <w:highlight w:val="none"/>
        </w:rPr>
        <w:t>发电工况333.4MVA</w:t>
      </w:r>
    </w:p>
    <w:p>
      <w:pPr>
        <w:pStyle w:val="76"/>
        <w:ind w:firstLine="1920" w:firstLineChars="800"/>
        <w:rPr>
          <w:rFonts w:ascii="宋体" w:hAnsi="宋体" w:cs="宋体"/>
          <w:color w:val="auto"/>
          <w:highlight w:val="none"/>
        </w:rPr>
      </w:pPr>
      <w:r>
        <w:rPr>
          <w:rFonts w:hint="eastAsia" w:ascii="宋体" w:hAnsi="宋体" w:cs="宋体"/>
          <w:color w:val="auto"/>
          <w:highlight w:val="none"/>
        </w:rPr>
        <w:t xml:space="preserve">  电动机工况</w:t>
      </w:r>
      <w:r>
        <w:rPr>
          <w:rFonts w:ascii="宋体" w:hAnsi="宋体" w:cs="宋体"/>
          <w:color w:val="auto"/>
          <w:highlight w:val="none"/>
        </w:rPr>
        <w:t>≥330</w:t>
      </w:r>
      <w:r>
        <w:rPr>
          <w:rFonts w:hint="eastAsia" w:ascii="宋体" w:hAnsi="宋体" w:cs="宋体"/>
          <w:color w:val="auto"/>
          <w:highlight w:val="none"/>
        </w:rPr>
        <w:t>MW</w:t>
      </w:r>
    </w:p>
    <w:p>
      <w:pPr>
        <w:pStyle w:val="76"/>
        <w:rPr>
          <w:color w:val="auto"/>
          <w:highlight w:val="none"/>
        </w:rPr>
      </w:pPr>
      <w:r>
        <w:rPr>
          <w:rFonts w:hint="eastAsia"/>
          <w:color w:val="auto"/>
          <w:highlight w:val="none"/>
        </w:rPr>
        <w:t xml:space="preserve">(3) 额定功率因数：发电工况0.9(滞后) </w:t>
      </w:r>
    </w:p>
    <w:p>
      <w:pPr>
        <w:pStyle w:val="76"/>
        <w:rPr>
          <w:color w:val="auto"/>
          <w:highlight w:val="none"/>
        </w:rPr>
      </w:pPr>
      <w:r>
        <w:rPr>
          <w:color w:val="auto"/>
          <w:highlight w:val="none"/>
        </w:rPr>
        <w:t xml:space="preserve">(4) </w:t>
      </w:r>
      <w:r>
        <w:rPr>
          <w:rFonts w:hint="eastAsia"/>
          <w:color w:val="auto"/>
          <w:highlight w:val="none"/>
        </w:rPr>
        <w:t>额定功率因数：电动机工况：0.975</w:t>
      </w:r>
    </w:p>
    <w:p>
      <w:pPr>
        <w:pStyle w:val="76"/>
        <w:rPr>
          <w:color w:val="auto"/>
          <w:highlight w:val="none"/>
        </w:rPr>
      </w:pPr>
      <w:r>
        <w:rPr>
          <w:color w:val="auto"/>
          <w:highlight w:val="none"/>
        </w:rPr>
        <w:t xml:space="preserve">(5) </w:t>
      </w:r>
      <w:r>
        <w:rPr>
          <w:rFonts w:hint="eastAsia"/>
          <w:color w:val="auto"/>
          <w:highlight w:val="none"/>
        </w:rPr>
        <w:t>额定电压：18kV</w:t>
      </w:r>
    </w:p>
    <w:p>
      <w:pPr>
        <w:pStyle w:val="76"/>
        <w:rPr>
          <w:color w:val="auto"/>
          <w:highlight w:val="none"/>
        </w:rPr>
      </w:pPr>
      <w:r>
        <w:rPr>
          <w:color w:val="auto"/>
          <w:highlight w:val="none"/>
        </w:rPr>
        <w:t xml:space="preserve">(6) </w:t>
      </w:r>
      <w:r>
        <w:rPr>
          <w:rFonts w:hint="eastAsia"/>
          <w:color w:val="auto"/>
          <w:highlight w:val="none"/>
        </w:rPr>
        <w:t>额定频率：50Hz</w:t>
      </w:r>
    </w:p>
    <w:p>
      <w:pPr>
        <w:pStyle w:val="76"/>
        <w:rPr>
          <w:color w:val="auto"/>
          <w:highlight w:val="none"/>
        </w:rPr>
      </w:pPr>
      <w:r>
        <w:rPr>
          <w:color w:val="auto"/>
          <w:highlight w:val="none"/>
        </w:rPr>
        <w:t xml:space="preserve">(7) </w:t>
      </w:r>
      <w:r>
        <w:rPr>
          <w:rFonts w:hint="eastAsia"/>
          <w:color w:val="auto"/>
          <w:highlight w:val="none"/>
        </w:rPr>
        <w:t>相数：3</w:t>
      </w:r>
    </w:p>
    <w:p>
      <w:pPr>
        <w:pStyle w:val="76"/>
        <w:rPr>
          <w:color w:val="auto"/>
          <w:highlight w:val="none"/>
        </w:rPr>
      </w:pPr>
      <w:r>
        <w:rPr>
          <w:color w:val="auto"/>
          <w:highlight w:val="none"/>
        </w:rPr>
        <w:t xml:space="preserve">(8) </w:t>
      </w:r>
      <w:r>
        <w:rPr>
          <w:rFonts w:hint="eastAsia"/>
          <w:color w:val="auto"/>
          <w:highlight w:val="none"/>
        </w:rPr>
        <w:t>额定转速：428.6r/min</w:t>
      </w:r>
    </w:p>
    <w:p>
      <w:pPr>
        <w:pStyle w:val="76"/>
        <w:rPr>
          <w:color w:val="auto"/>
          <w:highlight w:val="none"/>
        </w:rPr>
      </w:pPr>
      <w:r>
        <w:rPr>
          <w:color w:val="auto"/>
          <w:highlight w:val="none"/>
        </w:rPr>
        <w:t xml:space="preserve">(9) </w:t>
      </w:r>
      <w:r>
        <w:rPr>
          <w:rFonts w:hint="eastAsia"/>
          <w:color w:val="auto"/>
          <w:highlight w:val="none"/>
        </w:rPr>
        <w:t>定子绕组连接：Y形，中性点经CT、接地变压器接地</w:t>
      </w:r>
    </w:p>
    <w:p>
      <w:pPr>
        <w:pStyle w:val="76"/>
        <w:rPr>
          <w:color w:val="auto"/>
          <w:highlight w:val="none"/>
        </w:rPr>
      </w:pPr>
      <w:r>
        <w:rPr>
          <w:color w:val="auto"/>
          <w:highlight w:val="none"/>
        </w:rPr>
        <w:t xml:space="preserve">(10) </w:t>
      </w:r>
      <w:r>
        <w:rPr>
          <w:rFonts w:hint="eastAsia"/>
          <w:color w:val="auto"/>
          <w:highlight w:val="none"/>
        </w:rPr>
        <w:t>调压范围：</w:t>
      </w:r>
      <w:r>
        <w:rPr>
          <w:color w:val="auto"/>
          <w:highlight w:val="none"/>
        </w:rPr>
        <w:t>18±5%kV</w:t>
      </w:r>
    </w:p>
    <w:p>
      <w:pPr>
        <w:pStyle w:val="76"/>
        <w:rPr>
          <w:rFonts w:hint="eastAsia"/>
          <w:color w:val="auto"/>
          <w:highlight w:val="none"/>
        </w:rPr>
      </w:pPr>
      <w:r>
        <w:rPr>
          <w:rFonts w:hint="eastAsia"/>
          <w:color w:val="auto"/>
          <w:highlight w:val="none"/>
        </w:rPr>
        <w:t>(11) 灭火方式：气体灭火</w:t>
      </w:r>
    </w:p>
    <w:p>
      <w:pPr>
        <w:pStyle w:val="76"/>
        <w:rPr>
          <w:color w:val="auto"/>
          <w:highlight w:val="none"/>
        </w:rPr>
      </w:pPr>
      <w:r>
        <w:rPr>
          <w:color w:val="auto"/>
          <w:highlight w:val="none"/>
        </w:rPr>
        <w:t xml:space="preserve">(12) </w:t>
      </w:r>
      <w:r>
        <w:rPr>
          <w:rFonts w:hint="eastAsia"/>
          <w:color w:val="auto"/>
          <w:highlight w:val="none"/>
        </w:rPr>
        <w:t>定子绕组绝缘等级：F级</w:t>
      </w:r>
    </w:p>
    <w:p>
      <w:pPr>
        <w:pStyle w:val="76"/>
        <w:rPr>
          <w:color w:val="auto"/>
          <w:highlight w:val="none"/>
        </w:rPr>
      </w:pPr>
      <w:r>
        <w:rPr>
          <w:color w:val="auto"/>
          <w:highlight w:val="none"/>
        </w:rPr>
        <w:t xml:space="preserve">(13) </w:t>
      </w:r>
      <w:r>
        <w:rPr>
          <w:rFonts w:hint="eastAsia"/>
          <w:color w:val="auto"/>
          <w:highlight w:val="none"/>
        </w:rPr>
        <w:t>转动惯量：不小于</w:t>
      </w:r>
      <w:r>
        <w:rPr>
          <w:color w:val="auto"/>
          <w:highlight w:val="none"/>
        </w:rPr>
        <w:t>6000t*m</w:t>
      </w:r>
      <w:r>
        <w:rPr>
          <w:color w:val="auto"/>
          <w:highlight w:val="none"/>
          <w:vertAlign w:val="superscript"/>
        </w:rPr>
        <w:t>2</w:t>
      </w:r>
    </w:p>
    <w:p>
      <w:pPr>
        <w:pStyle w:val="76"/>
        <w:rPr>
          <w:color w:val="auto"/>
          <w:highlight w:val="none"/>
        </w:rPr>
      </w:pPr>
      <w:r>
        <w:rPr>
          <w:color w:val="auto"/>
          <w:highlight w:val="none"/>
        </w:rPr>
        <w:t xml:space="preserve">(14) </w:t>
      </w:r>
      <w:r>
        <w:rPr>
          <w:rFonts w:hint="eastAsia"/>
          <w:color w:val="auto"/>
          <w:highlight w:val="none"/>
        </w:rPr>
        <w:t>转子带轴起吊总重量：约</w:t>
      </w:r>
      <w:r>
        <w:rPr>
          <w:color w:val="auto"/>
          <w:highlight w:val="none"/>
        </w:rPr>
        <w:t xml:space="preserve">440t </w:t>
      </w:r>
    </w:p>
    <w:p>
      <w:pPr>
        <w:pStyle w:val="76"/>
        <w:rPr>
          <w:color w:val="auto"/>
          <w:highlight w:val="none"/>
        </w:rPr>
      </w:pPr>
      <w:r>
        <w:rPr>
          <w:color w:val="auto"/>
          <w:highlight w:val="none"/>
        </w:rPr>
        <w:t xml:space="preserve">(15) </w:t>
      </w:r>
      <w:r>
        <w:rPr>
          <w:rFonts w:hint="eastAsia"/>
          <w:color w:val="auto"/>
          <w:highlight w:val="none"/>
        </w:rPr>
        <w:t>润滑油牌号：</w:t>
      </w:r>
      <w:r>
        <w:rPr>
          <w:color w:val="auto"/>
          <w:highlight w:val="none"/>
        </w:rPr>
        <w:t>ISO VG-46</w:t>
      </w:r>
    </w:p>
    <w:p>
      <w:pPr>
        <w:pStyle w:val="76"/>
        <w:rPr>
          <w:color w:val="auto"/>
          <w:highlight w:val="none"/>
        </w:rPr>
      </w:pPr>
      <w:r>
        <w:rPr>
          <w:color w:val="auto"/>
          <w:highlight w:val="none"/>
        </w:rPr>
        <w:t xml:space="preserve">(16) </w:t>
      </w:r>
      <w:r>
        <w:rPr>
          <w:rFonts w:hint="eastAsia"/>
          <w:color w:val="auto"/>
          <w:highlight w:val="none"/>
        </w:rPr>
        <w:t>发电电动机定子起吊总重量：约</w:t>
      </w:r>
      <w:r>
        <w:rPr>
          <w:color w:val="auto"/>
          <w:highlight w:val="none"/>
        </w:rPr>
        <w:t>330t</w:t>
      </w:r>
    </w:p>
    <w:p>
      <w:pPr>
        <w:pStyle w:val="76"/>
        <w:rPr>
          <w:color w:val="auto"/>
          <w:highlight w:val="none"/>
        </w:rPr>
      </w:pPr>
      <w:r>
        <w:rPr>
          <w:color w:val="auto"/>
          <w:highlight w:val="none"/>
        </w:rPr>
        <w:t xml:space="preserve">(17) </w:t>
      </w:r>
      <w:r>
        <w:rPr>
          <w:rFonts w:hint="eastAsia"/>
          <w:color w:val="auto"/>
          <w:highlight w:val="none"/>
        </w:rPr>
        <w:t>大件运输重量尺寸：表中数量、总重均指一台机量值(运输尺寸及重量为初步的数据，最终以实际装箱为准。</w:t>
      </w:r>
    </w:p>
    <w:p>
      <w:pPr>
        <w:keepNext/>
        <w:adjustRightInd w:val="0"/>
        <w:snapToGrid w:val="0"/>
        <w:spacing w:before="156" w:beforeLines="50" w:line="460" w:lineRule="exact"/>
        <w:jc w:val="center"/>
        <w:rPr>
          <w:rFonts w:ascii="Times New Roman" w:hAnsi="Times New Roman" w:eastAsia="黑体" w:cs="Times New Roman"/>
          <w:color w:val="auto"/>
          <w:sz w:val="24"/>
          <w:szCs w:val="24"/>
          <w:highlight w:val="none"/>
          <w:lang w:val="zh-CN"/>
        </w:rPr>
      </w:pPr>
      <w:r>
        <w:rPr>
          <w:rFonts w:hint="eastAsia" w:ascii="Times New Roman" w:hAnsi="Times New Roman" w:eastAsia="黑体" w:cs="Times New Roman"/>
          <w:color w:val="auto"/>
          <w:sz w:val="24"/>
          <w:szCs w:val="24"/>
          <w:highlight w:val="none"/>
          <w:lang w:val="zh-CN"/>
        </w:rPr>
        <w:t>表8-1</w:t>
      </w:r>
      <w:r>
        <w:rPr>
          <w:rFonts w:ascii="Times New Roman" w:hAnsi="Times New Roman" w:eastAsia="黑体" w:cs="Times New Roman"/>
          <w:color w:val="auto"/>
          <w:sz w:val="24"/>
          <w:szCs w:val="24"/>
          <w:highlight w:val="none"/>
          <w:lang w:val="zh-CN"/>
        </w:rPr>
        <w:t xml:space="preserve">  </w:t>
      </w:r>
      <w:r>
        <w:rPr>
          <w:rFonts w:hint="eastAsia" w:ascii="Times New Roman" w:hAnsi="Times New Roman" w:eastAsia="黑体" w:cs="Times New Roman"/>
          <w:color w:val="auto"/>
          <w:sz w:val="24"/>
          <w:szCs w:val="24"/>
          <w:highlight w:val="none"/>
          <w:lang w:val="zh-CN"/>
        </w:rPr>
        <w:t>大件运输重量尺寸表</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44"/>
        <w:gridCol w:w="2413"/>
        <w:gridCol w:w="1551"/>
        <w:gridCol w:w="271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4"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部件名称</w:t>
            </w:r>
          </w:p>
        </w:tc>
        <w:tc>
          <w:tcPr>
            <w:tcW w:w="2413"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数量</w:t>
            </w:r>
          </w:p>
        </w:tc>
        <w:tc>
          <w:tcPr>
            <w:tcW w:w="1551"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单件重量</w:t>
            </w:r>
          </w:p>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t</w:t>
            </w:r>
          </w:p>
        </w:tc>
        <w:tc>
          <w:tcPr>
            <w:tcW w:w="2712"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单件最大尺寸</w:t>
            </w:r>
          </w:p>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长×宽×高</w:t>
            </w:r>
          </w:p>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2144"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下机架</w:t>
            </w:r>
          </w:p>
        </w:tc>
        <w:tc>
          <w:tcPr>
            <w:tcW w:w="2413"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1551"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62</w:t>
            </w:r>
          </w:p>
        </w:tc>
        <w:tc>
          <w:tcPr>
            <w:tcW w:w="2712"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Φ</w:t>
            </w:r>
            <w:r>
              <w:rPr>
                <w:rFonts w:ascii="Times New Roman" w:hAnsi="Times New Roman" w:cs="Times New Roman"/>
                <w:color w:val="auto"/>
                <w:kern w:val="0"/>
                <w:szCs w:val="21"/>
                <w:highlight w:val="none"/>
              </w:rPr>
              <w:t>5.40×2.90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4"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转子支架</w:t>
            </w:r>
          </w:p>
        </w:tc>
        <w:tc>
          <w:tcPr>
            <w:tcW w:w="2413"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1551"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68</w:t>
            </w:r>
          </w:p>
        </w:tc>
        <w:tc>
          <w:tcPr>
            <w:tcW w:w="2712" w:type="dxa"/>
            <w:tcMar>
              <w:left w:w="28" w:type="dxa"/>
              <w:right w:w="28" w:type="dxa"/>
            </w:tcMar>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3.8×3×3.1</w:t>
            </w:r>
          </w:p>
        </w:tc>
      </w:tr>
    </w:tbl>
    <w:p>
      <w:pPr>
        <w:pStyle w:val="132"/>
        <w:rPr>
          <w:color w:val="auto"/>
          <w:highlight w:val="none"/>
        </w:rPr>
      </w:pPr>
      <w:bookmarkStart w:id="174" w:name="_Toc27413"/>
      <w:r>
        <w:rPr>
          <w:color w:val="auto"/>
          <w:highlight w:val="none"/>
        </w:rPr>
        <w:t xml:space="preserve">8.2.2  </w:t>
      </w:r>
      <w:r>
        <w:rPr>
          <w:rFonts w:hint="eastAsia"/>
          <w:color w:val="auto"/>
          <w:highlight w:val="none"/>
        </w:rPr>
        <w:t>励磁系统主要技术特性</w:t>
      </w:r>
      <w:bookmarkEnd w:id="174"/>
    </w:p>
    <w:p>
      <w:pPr>
        <w:pStyle w:val="67"/>
        <w:rPr>
          <w:rFonts w:hint="eastAsia"/>
          <w:color w:val="auto"/>
          <w:highlight w:val="none"/>
        </w:rPr>
      </w:pPr>
      <w:r>
        <w:rPr>
          <w:color w:val="auto"/>
          <w:highlight w:val="none"/>
        </w:rPr>
        <w:t>8.2.2.1  励磁系统</w:t>
      </w:r>
    </w:p>
    <w:p>
      <w:pPr>
        <w:pStyle w:val="67"/>
        <w:ind w:firstLine="480" w:firstLineChars="200"/>
        <w:outlineLvl w:val="9"/>
        <w:rPr>
          <w:rFonts w:hint="eastAsia"/>
          <w:color w:val="auto"/>
          <w:highlight w:val="none"/>
        </w:rPr>
      </w:pPr>
      <w:r>
        <w:rPr>
          <w:color w:val="auto"/>
          <w:highlight w:val="none"/>
        </w:rPr>
        <w:t>(1)  机组励磁采用自并励静止整流励磁系统。励磁电源取自发电电动机断路器和主变压器之间的离相封闭母线。励磁系统包括：励磁变压器、励磁变压器低压侧断路器、晶闸管整流器、灭磁装置、过电压保护装置、调节器、控制（含电气制动的控制）、保护、监视信号系统、以及所必须的的硬件及软件等。励磁系统除了应满足机组发电、发电调相（进相）、抽水、抽水调相、线路充电（零起升压）和黑起动的运行工况要求外，还满足机组发电起动、电动工况起动、电气制动以及准同步并网等要求。</w:t>
      </w:r>
    </w:p>
    <w:p>
      <w:pPr>
        <w:pStyle w:val="67"/>
        <w:ind w:firstLine="480" w:firstLineChars="200"/>
        <w:outlineLvl w:val="9"/>
        <w:rPr>
          <w:rFonts w:hint="eastAsia"/>
          <w:color w:val="auto"/>
          <w:highlight w:val="none"/>
        </w:rPr>
      </w:pPr>
      <w:r>
        <w:rPr>
          <w:color w:val="auto"/>
          <w:highlight w:val="none"/>
        </w:rPr>
        <w:t>(2)  机组正常起励由电网经励磁变供电，为了使机组在电网失电时能紧急开机发电，励磁系统设有由厂用DC220V蓄电池供电的备用直流起励回路。</w:t>
      </w:r>
    </w:p>
    <w:p>
      <w:pPr>
        <w:pStyle w:val="76"/>
        <w:rPr>
          <w:color w:val="auto"/>
          <w:highlight w:val="none"/>
        </w:rPr>
      </w:pPr>
      <w:r>
        <w:rPr>
          <w:color w:val="auto"/>
          <w:highlight w:val="none"/>
        </w:rPr>
        <w:t xml:space="preserve">(3)  </w:t>
      </w:r>
      <w:r>
        <w:rPr>
          <w:rFonts w:hint="eastAsia"/>
          <w:color w:val="auto"/>
          <w:highlight w:val="none"/>
        </w:rPr>
        <w:t>励磁调节器采用PID调节规律，设有从电源到脉冲形成单元都相互独立的双调节通道，每个调节通道设有自动电压调节（AVR）和自动励磁电流调节（AER）功能。</w:t>
      </w:r>
    </w:p>
    <w:p>
      <w:pPr>
        <w:pStyle w:val="67"/>
        <w:rPr>
          <w:rFonts w:hint="eastAsia"/>
          <w:color w:val="auto"/>
          <w:highlight w:val="none"/>
        </w:rPr>
      </w:pPr>
      <w:r>
        <w:rPr>
          <w:color w:val="auto"/>
          <w:highlight w:val="none"/>
        </w:rPr>
        <w:t>8.2.2.2  励磁变压器</w:t>
      </w:r>
    </w:p>
    <w:p>
      <w:pPr>
        <w:pStyle w:val="76"/>
        <w:rPr>
          <w:color w:val="auto"/>
          <w:highlight w:val="none"/>
        </w:rPr>
      </w:pPr>
      <w:r>
        <w:rPr>
          <w:color w:val="auto"/>
          <w:highlight w:val="none"/>
        </w:rPr>
        <w:t xml:space="preserve">(1) </w:t>
      </w:r>
      <w:r>
        <w:rPr>
          <w:rFonts w:hint="eastAsia"/>
          <w:color w:val="auto"/>
          <w:highlight w:val="none"/>
        </w:rPr>
        <w:t>型式：三个单相、户内式、环氧浇注、铜绕组，金属外壳封闭、自然风冷、干式变压器。</w:t>
      </w:r>
    </w:p>
    <w:p>
      <w:pPr>
        <w:pStyle w:val="76"/>
        <w:rPr>
          <w:color w:val="auto"/>
          <w:highlight w:val="none"/>
        </w:rPr>
      </w:pPr>
      <w:r>
        <w:rPr>
          <w:color w:val="auto"/>
          <w:highlight w:val="none"/>
        </w:rPr>
        <w:t xml:space="preserve">(2) </w:t>
      </w:r>
      <w:r>
        <w:rPr>
          <w:rFonts w:hint="eastAsia"/>
          <w:color w:val="auto"/>
          <w:highlight w:val="none"/>
        </w:rPr>
        <w:t>额定值：</w:t>
      </w:r>
    </w:p>
    <w:p>
      <w:pPr>
        <w:pStyle w:val="76"/>
        <w:rPr>
          <w:color w:val="auto"/>
          <w:highlight w:val="none"/>
        </w:rPr>
      </w:pPr>
      <w:r>
        <w:rPr>
          <w:rFonts w:hint="eastAsia"/>
          <w:color w:val="auto"/>
          <w:highlight w:val="none"/>
        </w:rPr>
        <w:t>额定容量：</w:t>
      </w:r>
      <w:r>
        <w:rPr>
          <w:rFonts w:hint="eastAsia"/>
          <w:color w:val="auto"/>
          <w:szCs w:val="20"/>
          <w:highlight w:val="none"/>
        </w:rPr>
        <w:t>满足励磁系统需要，并共计不小于14%额定容量的谐波损耗、涡流损耗、杂散损耗。</w:t>
      </w:r>
    </w:p>
    <w:p>
      <w:pPr>
        <w:pStyle w:val="76"/>
        <w:rPr>
          <w:color w:val="auto"/>
          <w:highlight w:val="none"/>
        </w:rPr>
      </w:pPr>
      <w:r>
        <w:rPr>
          <w:rFonts w:hint="eastAsia"/>
          <w:color w:val="auto"/>
          <w:highlight w:val="none"/>
        </w:rPr>
        <w:t>额定电压：一次：</w:t>
      </w:r>
      <w:r>
        <w:rPr>
          <w:color w:val="auto"/>
          <w:szCs w:val="20"/>
          <w:highlight w:val="none"/>
        </w:rPr>
        <w:t>18kV/</w:t>
      </w:r>
      <w:r>
        <w:rPr>
          <w:color w:val="auto"/>
          <w:position w:val="-6"/>
          <w:szCs w:val="20"/>
          <w:highlight w:val="none"/>
        </w:rPr>
        <w:drawing>
          <wp:inline distT="0" distB="0" distL="114300" distR="114300">
            <wp:extent cx="232410" cy="232410"/>
            <wp:effectExtent l="0" t="0" r="15240" b="1524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icPr>
                  <pic:blipFill>
                    <a:blip r:embed="rId15" cstate="print"/>
                    <a:stretch>
                      <a:fillRect/>
                    </a:stretch>
                  </pic:blipFill>
                  <pic:spPr>
                    <a:xfrm>
                      <a:off x="0" y="0"/>
                      <a:ext cx="232918" cy="232918"/>
                    </a:xfrm>
                    <a:prstGeom prst="rect">
                      <a:avLst/>
                    </a:prstGeom>
                    <a:noFill/>
                    <a:ln>
                      <a:noFill/>
                    </a:ln>
                  </pic:spPr>
                </pic:pic>
              </a:graphicData>
            </a:graphic>
          </wp:inline>
        </w:drawing>
      </w:r>
    </w:p>
    <w:p>
      <w:pPr>
        <w:pStyle w:val="76"/>
        <w:rPr>
          <w:color w:val="auto"/>
          <w:highlight w:val="none"/>
        </w:rPr>
      </w:pPr>
      <w:r>
        <w:rPr>
          <w:rFonts w:hint="eastAsia"/>
          <w:color w:val="auto"/>
          <w:highlight w:val="none"/>
        </w:rPr>
        <w:t>绝缘等级：H级</w:t>
      </w:r>
    </w:p>
    <w:p>
      <w:pPr>
        <w:pStyle w:val="76"/>
        <w:rPr>
          <w:color w:val="auto"/>
          <w:highlight w:val="none"/>
        </w:rPr>
      </w:pPr>
      <w:r>
        <w:rPr>
          <w:rFonts w:hint="eastAsia"/>
          <w:color w:val="auto"/>
          <w:highlight w:val="none"/>
        </w:rPr>
        <w:t>绝缘水平：</w:t>
      </w:r>
    </w:p>
    <w:p>
      <w:pPr>
        <w:pStyle w:val="76"/>
        <w:rPr>
          <w:color w:val="auto"/>
          <w:highlight w:val="none"/>
        </w:rPr>
      </w:pPr>
      <w:r>
        <w:rPr>
          <w:rFonts w:hint="eastAsia"/>
          <w:color w:val="auto"/>
          <w:highlight w:val="none"/>
        </w:rPr>
        <w:t>一次侧，额定1min工频耐压(有效值)</w:t>
      </w:r>
      <w:r>
        <w:rPr>
          <w:color w:val="auto"/>
          <w:highlight w:val="none"/>
        </w:rPr>
        <w:t xml:space="preserve"> </w:t>
      </w:r>
      <w:r>
        <w:rPr>
          <w:rFonts w:hint="eastAsia"/>
          <w:color w:val="auto"/>
          <w:highlight w:val="none"/>
        </w:rPr>
        <w:t>：</w:t>
      </w:r>
      <w:r>
        <w:rPr>
          <w:color w:val="auto"/>
          <w:highlight w:val="none"/>
        </w:rPr>
        <w:t>50kV</w:t>
      </w:r>
    </w:p>
    <w:p>
      <w:pPr>
        <w:pStyle w:val="76"/>
        <w:rPr>
          <w:color w:val="auto"/>
          <w:highlight w:val="none"/>
        </w:rPr>
      </w:pPr>
      <w:r>
        <w:rPr>
          <w:rFonts w:hint="eastAsia"/>
          <w:color w:val="auto"/>
          <w:highlight w:val="none"/>
        </w:rPr>
        <w:t>额定雷电冲击耐压(峰值)</w:t>
      </w:r>
      <w:r>
        <w:rPr>
          <w:color w:val="auto"/>
          <w:highlight w:val="none"/>
        </w:rPr>
        <w:t xml:space="preserve"> </w:t>
      </w:r>
      <w:r>
        <w:rPr>
          <w:rFonts w:hint="eastAsia"/>
          <w:color w:val="auto"/>
          <w:highlight w:val="none"/>
        </w:rPr>
        <w:t>：</w:t>
      </w:r>
      <w:r>
        <w:rPr>
          <w:color w:val="auto"/>
          <w:highlight w:val="none"/>
        </w:rPr>
        <w:t>125kV</w:t>
      </w:r>
    </w:p>
    <w:p>
      <w:pPr>
        <w:pStyle w:val="76"/>
        <w:rPr>
          <w:color w:val="auto"/>
          <w:highlight w:val="none"/>
        </w:rPr>
      </w:pPr>
      <w:r>
        <w:rPr>
          <w:rFonts w:hint="eastAsia"/>
          <w:color w:val="auto"/>
          <w:highlight w:val="none"/>
        </w:rPr>
        <w:t>二次侧：额定1min工频耐压(有效值)</w:t>
      </w:r>
      <w:r>
        <w:rPr>
          <w:color w:val="auto"/>
          <w:highlight w:val="none"/>
        </w:rPr>
        <w:t xml:space="preserve"> </w:t>
      </w:r>
      <w:r>
        <w:rPr>
          <w:rFonts w:hint="eastAsia"/>
          <w:color w:val="auto"/>
          <w:highlight w:val="none"/>
        </w:rPr>
        <w:t>：3kV</w:t>
      </w:r>
    </w:p>
    <w:p>
      <w:pPr>
        <w:pStyle w:val="76"/>
        <w:rPr>
          <w:color w:val="auto"/>
          <w:highlight w:val="none"/>
        </w:rPr>
      </w:pPr>
      <w:r>
        <w:rPr>
          <w:rFonts w:hint="eastAsia"/>
          <w:color w:val="auto"/>
          <w:highlight w:val="none"/>
        </w:rPr>
        <w:t>最大温升：≤80K</w:t>
      </w:r>
    </w:p>
    <w:p>
      <w:pPr>
        <w:pStyle w:val="76"/>
        <w:rPr>
          <w:color w:val="auto"/>
          <w:highlight w:val="none"/>
        </w:rPr>
      </w:pPr>
      <w:r>
        <w:rPr>
          <w:rFonts w:hint="eastAsia"/>
          <w:color w:val="auto"/>
          <w:highlight w:val="none"/>
        </w:rPr>
        <w:t>联接方式：</w:t>
      </w:r>
      <w:r>
        <w:rPr>
          <w:color w:val="auto"/>
          <w:highlight w:val="none"/>
        </w:rPr>
        <w:t xml:space="preserve"> </w:t>
      </w:r>
      <w:r>
        <w:rPr>
          <w:rFonts w:hint="eastAsia"/>
          <w:color w:val="auto"/>
          <w:highlight w:val="none"/>
        </w:rPr>
        <w:t>Y，d11</w:t>
      </w:r>
    </w:p>
    <w:p>
      <w:pPr>
        <w:keepNext/>
        <w:keepLines/>
        <w:spacing w:line="460" w:lineRule="exact"/>
        <w:outlineLvl w:val="3"/>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8.2.2.3 </w:t>
      </w:r>
      <w:r>
        <w:rPr>
          <w:rFonts w:hint="eastAsia" w:ascii="Times New Roman" w:hAnsi="Times New Roman"/>
          <w:color w:val="auto"/>
          <w:kern w:val="0"/>
          <w:sz w:val="24"/>
          <w:szCs w:val="20"/>
          <w:highlight w:val="none"/>
        </w:rPr>
        <w:t>浇注母线</w:t>
      </w:r>
    </w:p>
    <w:p>
      <w:pPr>
        <w:pStyle w:val="76"/>
        <w:rPr>
          <w:color w:val="auto"/>
          <w:highlight w:val="none"/>
        </w:rPr>
      </w:pPr>
      <w:bookmarkStart w:id="175" w:name="_Hlk118130617"/>
      <w:r>
        <w:rPr>
          <w:rFonts w:hint="eastAsia"/>
          <w:color w:val="auto"/>
          <w:highlight w:val="none"/>
        </w:rPr>
        <w:t>励磁变压器低压侧至励磁屏柜之间浇注母线为自冷式中压三相一体全浇注母线，每台机约为60米。浇注母线导体采用铜母线，相间绝缘隔板为全模浇注隔离，导体绝缘层绝缘等级为B级，防护等IP67。母线产品应符合GB</w:t>
      </w:r>
      <w:r>
        <w:rPr>
          <w:color w:val="auto"/>
          <w:highlight w:val="none"/>
        </w:rPr>
        <w:t xml:space="preserve"> </w:t>
      </w:r>
      <w:r>
        <w:rPr>
          <w:rFonts w:hint="eastAsia"/>
          <w:color w:val="auto"/>
          <w:highlight w:val="none"/>
        </w:rPr>
        <w:t>7251.2。母线材料应符合GB/T</w:t>
      </w:r>
      <w:r>
        <w:rPr>
          <w:color w:val="auto"/>
          <w:highlight w:val="none"/>
        </w:rPr>
        <w:t xml:space="preserve"> </w:t>
      </w:r>
      <w:r>
        <w:rPr>
          <w:rFonts w:hint="eastAsia"/>
          <w:color w:val="auto"/>
          <w:highlight w:val="none"/>
        </w:rPr>
        <w:t>5231、GB/T3190、JB</w:t>
      </w:r>
      <w:r>
        <w:rPr>
          <w:color w:val="auto"/>
          <w:highlight w:val="none"/>
        </w:rPr>
        <w:t xml:space="preserve"> </w:t>
      </w:r>
      <w:r>
        <w:rPr>
          <w:rFonts w:hint="eastAsia"/>
          <w:color w:val="auto"/>
          <w:highlight w:val="none"/>
        </w:rPr>
        <w:t>1580中的相关规定。</w:t>
      </w:r>
    </w:p>
    <w:p>
      <w:pPr>
        <w:pStyle w:val="76"/>
        <w:rPr>
          <w:color w:val="auto"/>
          <w:highlight w:val="none"/>
        </w:rPr>
      </w:pPr>
      <w:r>
        <w:rPr>
          <w:rFonts w:hint="eastAsia"/>
          <w:color w:val="auto"/>
          <w:highlight w:val="none"/>
        </w:rPr>
        <w:t>主要技术参数（暂定，以励磁厂家提供的最终参数为准）：</w:t>
      </w:r>
    </w:p>
    <w:p>
      <w:pPr>
        <w:pStyle w:val="76"/>
        <w:rPr>
          <w:color w:val="auto"/>
          <w:highlight w:val="none"/>
        </w:rPr>
      </w:pPr>
      <w:r>
        <w:rPr>
          <w:rFonts w:hint="eastAsia"/>
          <w:color w:val="auto"/>
          <w:highlight w:val="none"/>
        </w:rPr>
        <w:t>材质：铜</w:t>
      </w:r>
    </w:p>
    <w:p>
      <w:pPr>
        <w:pStyle w:val="76"/>
        <w:rPr>
          <w:color w:val="auto"/>
          <w:highlight w:val="none"/>
        </w:rPr>
      </w:pPr>
      <w:r>
        <w:rPr>
          <w:rFonts w:hint="eastAsia"/>
          <w:color w:val="auto"/>
          <w:highlight w:val="none"/>
        </w:rPr>
        <w:t>额定电压：</w:t>
      </w:r>
      <w:r>
        <w:rPr>
          <w:color w:val="auto"/>
          <w:highlight w:val="none"/>
        </w:rPr>
        <w:t>1kV</w:t>
      </w:r>
      <w:r>
        <w:rPr>
          <w:rFonts w:hint="eastAsia"/>
          <w:color w:val="auto"/>
          <w:highlight w:val="none"/>
        </w:rPr>
        <w:t>；</w:t>
      </w:r>
    </w:p>
    <w:p>
      <w:pPr>
        <w:pStyle w:val="76"/>
        <w:rPr>
          <w:color w:val="auto"/>
          <w:highlight w:val="none"/>
        </w:rPr>
      </w:pPr>
      <w:r>
        <w:rPr>
          <w:rFonts w:hint="eastAsia"/>
          <w:color w:val="auto"/>
          <w:highlight w:val="none"/>
        </w:rPr>
        <w:t>工作电流：</w:t>
      </w:r>
      <w:r>
        <w:rPr>
          <w:color w:val="auto"/>
          <w:highlight w:val="none"/>
        </w:rPr>
        <w:t>2000A</w:t>
      </w:r>
    </w:p>
    <w:p>
      <w:pPr>
        <w:pStyle w:val="76"/>
        <w:rPr>
          <w:color w:val="auto"/>
          <w:highlight w:val="none"/>
        </w:rPr>
      </w:pPr>
      <w:r>
        <w:rPr>
          <w:rFonts w:hint="eastAsia"/>
          <w:color w:val="auto"/>
          <w:highlight w:val="none"/>
        </w:rPr>
        <w:t xml:space="preserve">结构及支架安装 </w:t>
      </w:r>
    </w:p>
    <w:p>
      <w:pPr>
        <w:pStyle w:val="76"/>
        <w:rPr>
          <w:color w:val="auto"/>
          <w:highlight w:val="none"/>
        </w:rPr>
      </w:pPr>
      <w:r>
        <w:rPr>
          <w:rFonts w:hint="eastAsia"/>
          <w:color w:val="auto"/>
          <w:highlight w:val="none"/>
        </w:rPr>
        <w:t>全浇注母线、母线引出线和在现场浇注接头的绝缘外壳表面应光滑平整，无裂缝。全浇注母线的支、吊架跨距应避开共振区，保证设备安全可靠运行。外壳支持构件应具有适量可调整功能，母线及支撑部件的设计和制造应允许在钢和砖石结构的建筑偏差范围内进行调整，但自励磁变至励磁盘柜之间的浇注母线中间补偿接头不得超过2个，且补偿接头应远离母线洞内检修平台、爬梯等人员通道。全浇注母线在轴向和辐向，应能满足支架或基础在40mm以内的不同沉降和位移。挠性连接体的对地距离以及在可拆挠性连接体拆下后，导体两端之间的距离均不应小于220mm。全浇注母线导体直线段误差不超过本身长度的0.1%。全线的支撑构件应进行等电位连接后在励磁变低压侧单点接地。</w:t>
      </w:r>
    </w:p>
    <w:p>
      <w:pPr>
        <w:pStyle w:val="76"/>
        <w:rPr>
          <w:color w:val="auto"/>
          <w:highlight w:val="none"/>
        </w:rPr>
      </w:pPr>
      <w:r>
        <w:rPr>
          <w:rFonts w:hint="eastAsia"/>
          <w:color w:val="auto"/>
          <w:highlight w:val="none"/>
        </w:rPr>
        <w:t xml:space="preserve">防磁 </w:t>
      </w:r>
    </w:p>
    <w:p>
      <w:pPr>
        <w:pStyle w:val="76"/>
        <w:rPr>
          <w:color w:val="auto"/>
          <w:highlight w:val="none"/>
        </w:rPr>
      </w:pPr>
      <w:r>
        <w:rPr>
          <w:rFonts w:hint="eastAsia"/>
          <w:color w:val="auto"/>
          <w:highlight w:val="none"/>
        </w:rPr>
        <w:t>全浇注母线段间导体连接的紧固件，宜采用非铁磁性材料，以免产生感应电流导致过热，接头螺栓螺母连接件应能防止松动，螺接面电流密度不大于0.1A/mm2。正常运行时母线的感应电压不高于12V。</w:t>
      </w:r>
    </w:p>
    <w:p>
      <w:pPr>
        <w:pStyle w:val="76"/>
        <w:rPr>
          <w:color w:val="auto"/>
          <w:highlight w:val="none"/>
        </w:rPr>
      </w:pPr>
      <w:r>
        <w:rPr>
          <w:rFonts w:hint="eastAsia"/>
          <w:color w:val="auto"/>
          <w:highlight w:val="none"/>
        </w:rPr>
        <w:t>全浇注母线的外壳与设备的外壳应相互绝缘。其连接金属部件、金属箱体等均应采用非磁性材料，或采用其他措施以免产生感应电流过热。</w:t>
      </w:r>
    </w:p>
    <w:p>
      <w:pPr>
        <w:pStyle w:val="76"/>
        <w:rPr>
          <w:color w:val="auto"/>
          <w:highlight w:val="none"/>
        </w:rPr>
      </w:pPr>
      <w:r>
        <w:rPr>
          <w:rFonts w:hint="eastAsia"/>
          <w:color w:val="auto"/>
          <w:highlight w:val="none"/>
        </w:rPr>
        <w:t>连接</w:t>
      </w:r>
    </w:p>
    <w:p>
      <w:pPr>
        <w:pStyle w:val="76"/>
        <w:rPr>
          <w:color w:val="auto"/>
          <w:highlight w:val="none"/>
        </w:rPr>
      </w:pPr>
      <w:r>
        <w:rPr>
          <w:rFonts w:hint="eastAsia"/>
          <w:color w:val="auto"/>
          <w:highlight w:val="none"/>
        </w:rPr>
        <w:t>全浇注母线引出线接头与连接设备的出线端连接装置应便于拆卸，以便对设备进行检修和试验。浇注母线与设备出线接头相间距离应与设备出线端子或出线母排相间距离一致。</w:t>
      </w:r>
    </w:p>
    <w:p>
      <w:pPr>
        <w:pStyle w:val="76"/>
        <w:rPr>
          <w:color w:val="auto"/>
          <w:highlight w:val="none"/>
        </w:rPr>
      </w:pPr>
      <w:r>
        <w:rPr>
          <w:rFonts w:hint="eastAsia"/>
          <w:color w:val="auto"/>
          <w:highlight w:val="none"/>
        </w:rPr>
        <w:t>温升根据工程实际情况，必要时接头处可加温度显示贴条。全浇注式母线温升限制为：平均周温35℃，最高温不超过40℃，导体温升不超过35K。</w:t>
      </w:r>
      <w:bookmarkEnd w:id="175"/>
    </w:p>
    <w:p>
      <w:pPr>
        <w:pStyle w:val="67"/>
        <w:rPr>
          <w:rFonts w:hint="eastAsia"/>
          <w:color w:val="auto"/>
          <w:highlight w:val="none"/>
        </w:rPr>
      </w:pPr>
      <w:r>
        <w:rPr>
          <w:color w:val="auto"/>
          <w:highlight w:val="none"/>
        </w:rPr>
        <w:t>8.</w:t>
      </w:r>
      <w:r>
        <w:rPr>
          <w:rFonts w:hint="eastAsia"/>
          <w:color w:val="auto"/>
          <w:highlight w:val="none"/>
        </w:rPr>
        <w:t>2</w:t>
      </w:r>
      <w:r>
        <w:rPr>
          <w:color w:val="auto"/>
          <w:highlight w:val="none"/>
        </w:rPr>
        <w:t>.2.</w:t>
      </w:r>
      <w:r>
        <w:rPr>
          <w:color w:val="auto"/>
          <w:highlight w:val="none"/>
          <w:lang w:val="en-US"/>
        </w:rPr>
        <w:t>4</w:t>
      </w:r>
      <w:r>
        <w:rPr>
          <w:color w:val="auto"/>
          <w:highlight w:val="none"/>
        </w:rPr>
        <w:t xml:space="preserve"> </w:t>
      </w:r>
      <w:r>
        <w:rPr>
          <w:color w:val="auto"/>
          <w:highlight w:val="none"/>
          <w:lang w:val="en-US"/>
        </w:rPr>
        <w:t xml:space="preserve"> </w:t>
      </w:r>
      <w:r>
        <w:rPr>
          <w:color w:val="auto"/>
          <w:highlight w:val="none"/>
        </w:rPr>
        <w:t>制造商提供的专用工器具</w:t>
      </w:r>
    </w:p>
    <w:p>
      <w:pPr>
        <w:pStyle w:val="76"/>
        <w:spacing w:line="480" w:lineRule="exact"/>
        <w:ind w:firstLine="480" w:firstLineChars="200"/>
        <w:jc w:val="both"/>
        <w:rPr>
          <w:color w:val="auto"/>
          <w:highlight w:val="none"/>
        </w:rPr>
      </w:pPr>
      <w:r>
        <w:rPr>
          <w:rFonts w:hint="eastAsia"/>
          <w:color w:val="auto"/>
          <w:highlight w:val="none"/>
        </w:rPr>
        <w:t>带有笔记本型微机的调试仪</w:t>
      </w:r>
      <w:r>
        <w:rPr>
          <w:color w:val="auto"/>
          <w:highlight w:val="none"/>
        </w:rPr>
        <w:tab/>
      </w:r>
      <w:r>
        <w:rPr>
          <w:color w:val="auto"/>
          <w:highlight w:val="none"/>
        </w:rPr>
        <w:tab/>
      </w:r>
      <w:r>
        <w:rPr>
          <w:rFonts w:hint="eastAsia"/>
          <w:color w:val="auto"/>
          <w:highlight w:val="none"/>
        </w:rPr>
        <w:t>2台</w:t>
      </w:r>
    </w:p>
    <w:p>
      <w:pPr>
        <w:pStyle w:val="132"/>
        <w:rPr>
          <w:color w:val="auto"/>
          <w:highlight w:val="none"/>
        </w:rPr>
      </w:pPr>
      <w:bookmarkStart w:id="176" w:name="_Toc387821631"/>
      <w:bookmarkStart w:id="177" w:name="_Toc27747"/>
      <w:r>
        <w:rPr>
          <w:color w:val="auto"/>
          <w:highlight w:val="none"/>
        </w:rPr>
        <w:t xml:space="preserve">8.2.3  </w:t>
      </w:r>
      <w:r>
        <w:rPr>
          <w:rFonts w:hint="eastAsia"/>
          <w:color w:val="auto"/>
          <w:highlight w:val="none"/>
        </w:rPr>
        <w:t>变频起动装置主要技术特性</w:t>
      </w:r>
      <w:bookmarkEnd w:id="176"/>
      <w:bookmarkEnd w:id="177"/>
    </w:p>
    <w:p>
      <w:pPr>
        <w:pStyle w:val="67"/>
        <w:rPr>
          <w:rFonts w:hint="eastAsia"/>
          <w:color w:val="auto"/>
          <w:highlight w:val="none"/>
        </w:rPr>
      </w:pPr>
      <w:r>
        <w:rPr>
          <w:color w:val="auto"/>
          <w:highlight w:val="none"/>
        </w:rPr>
        <w:t>8.2.3.1  变频起动装置</w:t>
      </w:r>
    </w:p>
    <w:p>
      <w:pPr>
        <w:pStyle w:val="76"/>
        <w:rPr>
          <w:color w:val="auto"/>
          <w:highlight w:val="none"/>
        </w:rPr>
      </w:pPr>
      <w:r>
        <w:rPr>
          <w:rFonts w:hint="eastAsia"/>
          <w:color w:val="auto"/>
          <w:highlight w:val="none"/>
        </w:rPr>
        <w:t>额定容量不小于：2</w:t>
      </w:r>
      <w:r>
        <w:rPr>
          <w:color w:val="auto"/>
          <w:highlight w:val="none"/>
        </w:rPr>
        <w:t>1</w:t>
      </w:r>
      <w:r>
        <w:rPr>
          <w:rFonts w:hint="eastAsia"/>
          <w:color w:val="auto"/>
          <w:highlight w:val="none"/>
        </w:rPr>
        <w:t xml:space="preserve">MW(初定) </w:t>
      </w:r>
    </w:p>
    <w:p>
      <w:pPr>
        <w:pStyle w:val="76"/>
        <w:rPr>
          <w:color w:val="auto"/>
          <w:highlight w:val="none"/>
        </w:rPr>
      </w:pPr>
      <w:r>
        <w:rPr>
          <w:rFonts w:hint="eastAsia"/>
          <w:color w:val="auto"/>
          <w:highlight w:val="none"/>
        </w:rPr>
        <w:t xml:space="preserve">输出电压：0kV～5.7kV(初定) </w:t>
      </w:r>
    </w:p>
    <w:p>
      <w:pPr>
        <w:pStyle w:val="76"/>
        <w:rPr>
          <w:color w:val="auto"/>
          <w:highlight w:val="none"/>
        </w:rPr>
      </w:pPr>
      <w:r>
        <w:rPr>
          <w:rFonts w:hint="eastAsia"/>
          <w:color w:val="auto"/>
          <w:highlight w:val="none"/>
        </w:rPr>
        <w:t>输出频率：0Hz～52.5Hz</w:t>
      </w:r>
      <w:r>
        <w:rPr>
          <w:color w:val="auto"/>
          <w:highlight w:val="none"/>
        </w:rPr>
        <w:t xml:space="preserve">     </w:t>
      </w:r>
      <w:r>
        <w:rPr>
          <w:rFonts w:hint="eastAsia"/>
          <w:color w:val="auto"/>
          <w:highlight w:val="none"/>
        </w:rPr>
        <w:t>精度0.5%</w:t>
      </w:r>
    </w:p>
    <w:p>
      <w:pPr>
        <w:pStyle w:val="76"/>
        <w:rPr>
          <w:color w:val="auto"/>
          <w:highlight w:val="none"/>
        </w:rPr>
      </w:pPr>
      <w:r>
        <w:rPr>
          <w:rFonts w:hint="eastAsia"/>
          <w:color w:val="auto"/>
          <w:highlight w:val="none"/>
        </w:rPr>
        <w:t>热周期为连续满载运行40分钟，紧接着静止40分钟。</w:t>
      </w:r>
    </w:p>
    <w:p>
      <w:pPr>
        <w:pStyle w:val="67"/>
        <w:rPr>
          <w:rFonts w:hint="eastAsia"/>
          <w:color w:val="auto"/>
          <w:highlight w:val="none"/>
        </w:rPr>
      </w:pPr>
      <w:r>
        <w:rPr>
          <w:color w:val="auto"/>
          <w:highlight w:val="none"/>
        </w:rPr>
        <w:t>8.2.3.2  输入变压器</w:t>
      </w:r>
    </w:p>
    <w:p>
      <w:pPr>
        <w:pStyle w:val="76"/>
        <w:rPr>
          <w:color w:val="auto"/>
          <w:highlight w:val="none"/>
        </w:rPr>
      </w:pPr>
      <w:r>
        <w:rPr>
          <w:rFonts w:hint="eastAsia"/>
          <w:color w:val="auto"/>
          <w:highlight w:val="none"/>
        </w:rPr>
        <w:t>容量/型式：待定</w:t>
      </w:r>
    </w:p>
    <w:p>
      <w:pPr>
        <w:pStyle w:val="76"/>
        <w:rPr>
          <w:color w:val="auto"/>
          <w:highlight w:val="none"/>
        </w:rPr>
      </w:pPr>
      <w:r>
        <w:rPr>
          <w:rFonts w:hint="eastAsia"/>
          <w:color w:val="auto"/>
          <w:highlight w:val="none"/>
        </w:rPr>
        <w:t>额定一次电压：18kV</w:t>
      </w:r>
      <w:r>
        <w:rPr>
          <w:color w:val="auto"/>
          <w:szCs w:val="20"/>
          <w:highlight w:val="none"/>
        </w:rPr>
        <w:t>±5%kV</w:t>
      </w:r>
    </w:p>
    <w:p>
      <w:pPr>
        <w:pStyle w:val="76"/>
        <w:rPr>
          <w:color w:val="auto"/>
          <w:highlight w:val="none"/>
        </w:rPr>
      </w:pPr>
      <w:r>
        <w:rPr>
          <w:rFonts w:hint="eastAsia"/>
          <w:color w:val="auto"/>
          <w:highlight w:val="none"/>
        </w:rPr>
        <w:t>额定二次电压：待定</w:t>
      </w:r>
    </w:p>
    <w:p>
      <w:pPr>
        <w:pStyle w:val="76"/>
        <w:rPr>
          <w:color w:val="auto"/>
          <w:highlight w:val="none"/>
        </w:rPr>
      </w:pPr>
      <w:r>
        <w:rPr>
          <w:rFonts w:hint="eastAsia"/>
          <w:color w:val="auto"/>
          <w:highlight w:val="none"/>
        </w:rPr>
        <w:t>额定频率：50Hz</w:t>
      </w:r>
    </w:p>
    <w:p>
      <w:pPr>
        <w:pStyle w:val="76"/>
        <w:rPr>
          <w:rFonts w:hint="eastAsia"/>
          <w:color w:val="auto"/>
          <w:highlight w:val="none"/>
        </w:rPr>
      </w:pPr>
      <w:r>
        <w:rPr>
          <w:rFonts w:hint="eastAsia"/>
          <w:color w:val="auto"/>
          <w:highlight w:val="none"/>
        </w:rPr>
        <w:t>数量：2台</w:t>
      </w:r>
    </w:p>
    <w:p>
      <w:pPr>
        <w:pStyle w:val="67"/>
        <w:rPr>
          <w:rFonts w:hint="eastAsia"/>
          <w:color w:val="auto"/>
          <w:highlight w:val="none"/>
        </w:rPr>
      </w:pPr>
      <w:r>
        <w:rPr>
          <w:color w:val="auto"/>
          <w:highlight w:val="none"/>
        </w:rPr>
        <w:t>8.2.3.3  输出变压器</w:t>
      </w:r>
    </w:p>
    <w:p>
      <w:pPr>
        <w:pStyle w:val="76"/>
        <w:rPr>
          <w:color w:val="auto"/>
          <w:highlight w:val="none"/>
        </w:rPr>
      </w:pPr>
      <w:r>
        <w:rPr>
          <w:rFonts w:hint="eastAsia"/>
          <w:color w:val="auto"/>
          <w:highlight w:val="none"/>
        </w:rPr>
        <w:t>同输入变压器。</w:t>
      </w:r>
    </w:p>
    <w:p>
      <w:pPr>
        <w:pStyle w:val="67"/>
        <w:rPr>
          <w:rFonts w:hint="eastAsia"/>
          <w:color w:val="auto"/>
          <w:highlight w:val="none"/>
        </w:rPr>
      </w:pPr>
      <w:r>
        <w:rPr>
          <w:color w:val="auto"/>
          <w:highlight w:val="none"/>
        </w:rPr>
        <w:t>8.2.3.4  直流电抗器</w:t>
      </w:r>
      <w:r>
        <w:rPr>
          <w:rFonts w:hint="eastAsia" w:hAnsi="Times New Roman"/>
          <w:color w:val="auto"/>
          <w:szCs w:val="20"/>
          <w:highlight w:val="none"/>
        </w:rPr>
        <w:t xml:space="preserve">(待定) </w:t>
      </w:r>
    </w:p>
    <w:p>
      <w:pPr>
        <w:pStyle w:val="67"/>
        <w:rPr>
          <w:rFonts w:hint="eastAsia"/>
          <w:color w:val="auto"/>
          <w:highlight w:val="none"/>
        </w:rPr>
      </w:pPr>
      <w:r>
        <w:rPr>
          <w:color w:val="auto"/>
          <w:highlight w:val="none"/>
        </w:rPr>
        <w:t>8.2.3.5  整流器与逆变器</w:t>
      </w:r>
      <w:r>
        <w:rPr>
          <w:rFonts w:hint="eastAsia" w:hAnsi="Times New Roman"/>
          <w:color w:val="auto"/>
          <w:szCs w:val="20"/>
          <w:highlight w:val="none"/>
        </w:rPr>
        <w:t xml:space="preserve">(待定) </w:t>
      </w:r>
    </w:p>
    <w:p>
      <w:pPr>
        <w:pStyle w:val="67"/>
        <w:rPr>
          <w:rFonts w:hint="eastAsia"/>
          <w:color w:val="auto"/>
          <w:highlight w:val="none"/>
        </w:rPr>
      </w:pPr>
      <w:r>
        <w:rPr>
          <w:color w:val="auto"/>
          <w:highlight w:val="none"/>
        </w:rPr>
        <w:t>8.2.3.6  SFC过电压保护装置：</w:t>
      </w:r>
    </w:p>
    <w:p>
      <w:pPr>
        <w:pStyle w:val="76"/>
        <w:rPr>
          <w:color w:val="auto"/>
          <w:highlight w:val="none"/>
        </w:rPr>
      </w:pPr>
      <w:r>
        <w:rPr>
          <w:rFonts w:hint="eastAsia"/>
          <w:color w:val="auto"/>
          <w:highlight w:val="none"/>
        </w:rPr>
        <w:t>设备配置：网桥/机桥</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8.2.3.7  </w:t>
      </w:r>
      <w:r>
        <w:rPr>
          <w:rFonts w:hint="eastAsia" w:ascii="Times New Roman" w:hAnsi="Times New Roman" w:cs="Times New Roman"/>
          <w:color w:val="auto"/>
          <w:kern w:val="0"/>
          <w:sz w:val="24"/>
          <w:szCs w:val="20"/>
          <w:highlight w:val="none"/>
        </w:rPr>
        <w:t>SFC输出电抗器</w:t>
      </w:r>
    </w:p>
    <w:p>
      <w:pPr>
        <w:pStyle w:val="76"/>
        <w:rPr>
          <w:color w:val="auto"/>
          <w:highlight w:val="none"/>
        </w:rPr>
      </w:pPr>
      <w:r>
        <w:rPr>
          <w:color w:val="auto"/>
          <w:highlight w:val="none"/>
        </w:rPr>
        <w:t xml:space="preserve">(1) </w:t>
      </w:r>
      <w:r>
        <w:rPr>
          <w:rFonts w:hint="eastAsia"/>
          <w:color w:val="auto"/>
          <w:highlight w:val="none"/>
        </w:rPr>
        <w:t>型式：户内、防潮、单相干式、自冷、铝导线。</w:t>
      </w:r>
    </w:p>
    <w:p>
      <w:pPr>
        <w:pStyle w:val="76"/>
        <w:rPr>
          <w:color w:val="auto"/>
          <w:highlight w:val="none"/>
        </w:rPr>
      </w:pPr>
      <w:r>
        <w:rPr>
          <w:color w:val="auto"/>
          <w:highlight w:val="none"/>
        </w:rPr>
        <w:t xml:space="preserve">(2) </w:t>
      </w:r>
      <w:r>
        <w:rPr>
          <w:rFonts w:hint="eastAsia"/>
          <w:color w:val="auto"/>
          <w:highlight w:val="none"/>
        </w:rPr>
        <w:t>数量及安装位置：2组(6只) ，布置在主变洞</w:t>
      </w:r>
      <w:r>
        <w:rPr>
          <w:color w:val="auto"/>
          <w:highlight w:val="none"/>
        </w:rPr>
        <w:t>537.000</w:t>
      </w:r>
      <w:r>
        <w:rPr>
          <w:rFonts w:hint="eastAsia"/>
          <w:color w:val="auto"/>
          <w:highlight w:val="none"/>
        </w:rPr>
        <w:t>m高程。</w:t>
      </w:r>
    </w:p>
    <w:p>
      <w:pPr>
        <w:pStyle w:val="76"/>
        <w:rPr>
          <w:color w:val="auto"/>
          <w:highlight w:val="none"/>
        </w:rPr>
      </w:pPr>
      <w:r>
        <w:rPr>
          <w:color w:val="auto"/>
          <w:highlight w:val="none"/>
        </w:rPr>
        <w:t xml:space="preserve">(3) </w:t>
      </w:r>
      <w:r>
        <w:rPr>
          <w:rFonts w:hint="eastAsia"/>
          <w:color w:val="auto"/>
          <w:highlight w:val="none"/>
        </w:rPr>
        <w:t>主要技术参数</w:t>
      </w:r>
    </w:p>
    <w:p>
      <w:pPr>
        <w:pStyle w:val="76"/>
        <w:rPr>
          <w:color w:val="auto"/>
          <w:highlight w:val="none"/>
        </w:rPr>
      </w:pPr>
      <w:r>
        <w:rPr>
          <w:rFonts w:hint="eastAsia"/>
          <w:color w:val="auto"/>
          <w:highlight w:val="none"/>
        </w:rPr>
        <w:t>额定工作电压：</w:t>
      </w:r>
      <w:r>
        <w:rPr>
          <w:color w:val="auto"/>
          <w:highlight w:val="none"/>
        </w:rPr>
        <w:t>18kV</w:t>
      </w:r>
    </w:p>
    <w:p>
      <w:pPr>
        <w:pStyle w:val="76"/>
        <w:rPr>
          <w:color w:val="auto"/>
          <w:highlight w:val="none"/>
        </w:rPr>
      </w:pPr>
      <w:r>
        <w:rPr>
          <w:rFonts w:hint="eastAsia"/>
          <w:color w:val="auto"/>
          <w:highlight w:val="none"/>
        </w:rPr>
        <w:t>设备最高电压：</w:t>
      </w:r>
      <w:r>
        <w:rPr>
          <w:color w:val="auto"/>
          <w:highlight w:val="none"/>
        </w:rPr>
        <w:t xml:space="preserve"> 24kV</w:t>
      </w:r>
    </w:p>
    <w:p>
      <w:pPr>
        <w:pStyle w:val="76"/>
        <w:rPr>
          <w:color w:val="auto"/>
          <w:highlight w:val="none"/>
        </w:rPr>
      </w:pPr>
      <w:r>
        <w:rPr>
          <w:rFonts w:hint="eastAsia"/>
          <w:color w:val="auto"/>
          <w:highlight w:val="none"/>
        </w:rPr>
        <w:t>额定频率：50Hz</w:t>
      </w:r>
    </w:p>
    <w:p>
      <w:pPr>
        <w:pStyle w:val="76"/>
        <w:rPr>
          <w:color w:val="auto"/>
          <w:highlight w:val="none"/>
        </w:rPr>
      </w:pPr>
      <w:r>
        <w:rPr>
          <w:rFonts w:hint="eastAsia"/>
          <w:color w:val="auto"/>
          <w:highlight w:val="none"/>
        </w:rPr>
        <w:t>工作频率：5Hz～52.5Hz</w:t>
      </w:r>
    </w:p>
    <w:p>
      <w:pPr>
        <w:pStyle w:val="76"/>
        <w:rPr>
          <w:color w:val="auto"/>
          <w:highlight w:val="none"/>
        </w:rPr>
      </w:pPr>
      <w:r>
        <w:rPr>
          <w:rFonts w:hint="eastAsia"/>
          <w:color w:val="auto"/>
          <w:highlight w:val="none"/>
        </w:rPr>
        <w:t>额定电流：1250A</w:t>
      </w:r>
    </w:p>
    <w:p>
      <w:pPr>
        <w:pStyle w:val="76"/>
        <w:rPr>
          <w:color w:val="auto"/>
          <w:highlight w:val="none"/>
        </w:rPr>
      </w:pPr>
      <w:r>
        <w:rPr>
          <w:rFonts w:hint="eastAsia"/>
          <w:color w:val="auto"/>
          <w:highlight w:val="none"/>
        </w:rPr>
        <w:t>额定短时耐受电流(有效值)</w:t>
      </w:r>
      <w:r>
        <w:rPr>
          <w:color w:val="auto"/>
          <w:highlight w:val="none"/>
        </w:rPr>
        <w:t xml:space="preserve"> </w:t>
      </w:r>
      <w:r>
        <w:rPr>
          <w:rFonts w:hint="eastAsia"/>
          <w:color w:val="auto"/>
          <w:highlight w:val="none"/>
        </w:rPr>
        <w:t>/时间：25kA/3s</w:t>
      </w:r>
    </w:p>
    <w:p>
      <w:pPr>
        <w:pStyle w:val="76"/>
        <w:rPr>
          <w:color w:val="auto"/>
          <w:highlight w:val="none"/>
        </w:rPr>
      </w:pPr>
      <w:r>
        <w:rPr>
          <w:rFonts w:hint="eastAsia"/>
          <w:color w:val="auto"/>
          <w:highlight w:val="none"/>
        </w:rPr>
        <w:t>额定峰值耐受电流：63kA</w:t>
      </w:r>
    </w:p>
    <w:p>
      <w:pPr>
        <w:pStyle w:val="76"/>
        <w:rPr>
          <w:color w:val="auto"/>
          <w:highlight w:val="none"/>
        </w:rPr>
      </w:pPr>
      <w:r>
        <w:rPr>
          <w:rFonts w:hint="eastAsia"/>
          <w:color w:val="auto"/>
          <w:highlight w:val="none"/>
        </w:rPr>
        <w:t>绝缘水平(对地)</w:t>
      </w:r>
      <w:r>
        <w:rPr>
          <w:color w:val="auto"/>
          <w:highlight w:val="none"/>
        </w:rPr>
        <w:t xml:space="preserve"> </w:t>
      </w:r>
      <w:r>
        <w:rPr>
          <w:rFonts w:hint="eastAsia"/>
          <w:color w:val="auto"/>
          <w:highlight w:val="none"/>
        </w:rPr>
        <w:t>：</w:t>
      </w:r>
    </w:p>
    <w:p>
      <w:pPr>
        <w:pStyle w:val="76"/>
        <w:rPr>
          <w:color w:val="auto"/>
          <w:highlight w:val="none"/>
        </w:rPr>
      </w:pPr>
      <w:r>
        <w:rPr>
          <w:rFonts w:hint="eastAsia"/>
          <w:color w:val="auto"/>
          <w:highlight w:val="none"/>
        </w:rPr>
        <w:t xml:space="preserve">雷电冲击耐压  125kV(峰值) </w:t>
      </w:r>
    </w:p>
    <w:p>
      <w:pPr>
        <w:pStyle w:val="76"/>
        <w:rPr>
          <w:color w:val="auto"/>
          <w:highlight w:val="none"/>
        </w:rPr>
      </w:pPr>
      <w:r>
        <w:rPr>
          <w:rFonts w:hint="eastAsia"/>
          <w:color w:val="auto"/>
          <w:highlight w:val="none"/>
        </w:rPr>
        <w:t xml:space="preserve">1分钟工频耐压55kV(有效值) </w:t>
      </w:r>
    </w:p>
    <w:p>
      <w:pPr>
        <w:pStyle w:val="76"/>
        <w:rPr>
          <w:color w:val="auto"/>
          <w:highlight w:val="none"/>
        </w:rPr>
      </w:pPr>
      <w:r>
        <w:rPr>
          <w:rFonts w:hint="eastAsia"/>
          <w:color w:val="auto"/>
          <w:highlight w:val="none"/>
        </w:rPr>
        <w:t>绝缘等级：</w:t>
      </w:r>
      <w:r>
        <w:rPr>
          <w:color w:val="auto"/>
          <w:highlight w:val="none"/>
        </w:rPr>
        <w:t xml:space="preserve"> </w:t>
      </w:r>
      <w:r>
        <w:rPr>
          <w:rFonts w:hint="eastAsia"/>
          <w:color w:val="auto"/>
          <w:highlight w:val="none"/>
        </w:rPr>
        <w:t>H级</w:t>
      </w:r>
    </w:p>
    <w:p>
      <w:pPr>
        <w:pStyle w:val="67"/>
        <w:rPr>
          <w:rFonts w:hint="eastAsia"/>
          <w:color w:val="auto"/>
          <w:highlight w:val="none"/>
        </w:rPr>
      </w:pPr>
      <w:r>
        <w:rPr>
          <w:color w:val="auto"/>
          <w:highlight w:val="none"/>
        </w:rPr>
        <w:t>8.2.3.8  SFC自动控制柜</w:t>
      </w:r>
    </w:p>
    <w:p>
      <w:pPr>
        <w:pStyle w:val="76"/>
        <w:rPr>
          <w:color w:val="auto"/>
          <w:highlight w:val="none"/>
        </w:rPr>
      </w:pPr>
      <w:r>
        <w:rPr>
          <w:rFonts w:hint="eastAsia"/>
          <w:color w:val="auto"/>
          <w:highlight w:val="none"/>
        </w:rPr>
        <w:t>SFC控制保护系统布置在SFC控制柜中。它包括一个高速运行的微处理器中央处理单元，通过监视可控硅脉冲进行速度调节及扭矩控制，对其它有关设备进行逻辑控制，发出控制命令，并具有完善的自诊断功能。输入变压器及其连接设备设置的电流差动保护、过电流保护、过电压保护和温度保护等，可控硅整流桥、逆变桥、直流电抗器及其连接设备设置的保护，整流器过电流保护、逆变器过电流保护、可控硅元件脉冲故障保护等，其它保护：机组起动时间保护、SFC过速保护、冷却系统事故保护、SFC的接地保护、电源故障保护等。</w:t>
      </w:r>
    </w:p>
    <w:p>
      <w:pPr>
        <w:keepNext/>
        <w:keepLines/>
        <w:spacing w:line="460" w:lineRule="exact"/>
        <w:outlineLvl w:val="3"/>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8.2.3.9 </w:t>
      </w:r>
      <w:r>
        <w:rPr>
          <w:rFonts w:hint="eastAsia" w:ascii="Times New Roman" w:hAnsi="Times New Roman"/>
          <w:color w:val="auto"/>
          <w:kern w:val="0"/>
          <w:sz w:val="24"/>
          <w:szCs w:val="20"/>
          <w:highlight w:val="none"/>
        </w:rPr>
        <w:t>连接导体</w:t>
      </w:r>
    </w:p>
    <w:p>
      <w:pPr>
        <w:spacing w:line="460" w:lineRule="exact"/>
        <w:ind w:firstLine="480" w:firstLineChars="200"/>
        <w:rPr>
          <w:rFonts w:hint="eastAsia"/>
          <w:color w:val="auto"/>
          <w:sz w:val="24"/>
          <w:highlight w:val="none"/>
        </w:rPr>
      </w:pPr>
      <w:r>
        <w:rPr>
          <w:rFonts w:hint="eastAsia"/>
          <w:color w:val="auto"/>
          <w:sz w:val="24"/>
          <w:highlight w:val="none"/>
        </w:rPr>
        <w:t>SFC变频装置输入/输出变压器低压侧间的连接导体（高压侧连接导体要求详间本技术文件9.2.5），包括SFC输入变至SFC变频装置柜之间、SFC变频装置柜至SFC输出变及其切换开关之间、SFC切换开关柜至输出变压器之间的连接导体采用全绝缘浇筑母线，由本标段深化设计、供货，连接导体型号需报招标人审批。</w:t>
      </w:r>
    </w:p>
    <w:p>
      <w:pPr>
        <w:spacing w:line="460" w:lineRule="exact"/>
        <w:ind w:firstLine="480" w:firstLineChars="200"/>
        <w:rPr>
          <w:color w:val="auto"/>
          <w:sz w:val="24"/>
          <w:highlight w:val="none"/>
        </w:rPr>
      </w:pPr>
      <w:r>
        <w:rPr>
          <w:rFonts w:hint="eastAsia"/>
          <w:color w:val="auto"/>
          <w:sz w:val="24"/>
          <w:highlight w:val="none"/>
        </w:rPr>
        <w:t>浇注母线基本参数（暂定，以</w:t>
      </w:r>
      <w:r>
        <w:rPr>
          <w:rFonts w:ascii="Times New Roman" w:hAnsi="Times New Roman" w:cs="Times New Roman"/>
          <w:color w:val="auto"/>
          <w:sz w:val="24"/>
          <w:highlight w:val="none"/>
        </w:rPr>
        <w:t>SFC</w:t>
      </w:r>
      <w:r>
        <w:rPr>
          <w:rFonts w:hint="eastAsia"/>
          <w:color w:val="auto"/>
          <w:sz w:val="24"/>
          <w:highlight w:val="none"/>
        </w:rPr>
        <w:t>厂家提供的最终参数为准）：</w:t>
      </w:r>
    </w:p>
    <w:p>
      <w:pPr>
        <w:spacing w:line="460" w:lineRule="exact"/>
        <w:ind w:firstLine="480" w:firstLineChars="200"/>
        <w:rPr>
          <w:color w:val="auto"/>
          <w:sz w:val="24"/>
          <w:highlight w:val="none"/>
        </w:rPr>
      </w:pPr>
      <w:r>
        <w:rPr>
          <w:rFonts w:hint="eastAsia"/>
          <w:color w:val="auto"/>
          <w:sz w:val="24"/>
          <w:highlight w:val="none"/>
        </w:rPr>
        <w:t>额定电压：</w:t>
      </w:r>
      <w:r>
        <w:rPr>
          <w:rFonts w:ascii="Times New Roman" w:hAnsi="Times New Roman" w:cs="Times New Roman"/>
          <w:color w:val="auto"/>
          <w:sz w:val="24"/>
          <w:highlight w:val="none"/>
        </w:rPr>
        <w:t>17.5kV(SFC</w:t>
      </w:r>
      <w:r>
        <w:rPr>
          <w:rFonts w:hint="eastAsia"/>
          <w:color w:val="auto"/>
          <w:sz w:val="24"/>
          <w:highlight w:val="none"/>
        </w:rPr>
        <w:t>变频装置旁路开关柜至SFC输出变压器高压侧之间浇注母线为</w:t>
      </w:r>
      <w:r>
        <w:rPr>
          <w:rFonts w:ascii="Times New Roman" w:hAnsi="Times New Roman" w:cs="Times New Roman"/>
          <w:color w:val="auto"/>
          <w:sz w:val="24"/>
          <w:highlight w:val="none"/>
        </w:rPr>
        <w:t>20kV)</w:t>
      </w:r>
    </w:p>
    <w:p>
      <w:pPr>
        <w:spacing w:line="460" w:lineRule="exact"/>
        <w:ind w:firstLine="480" w:firstLineChars="200"/>
        <w:rPr>
          <w:color w:val="auto"/>
          <w:sz w:val="24"/>
          <w:highlight w:val="none"/>
        </w:rPr>
      </w:pPr>
      <w:r>
        <w:rPr>
          <w:rFonts w:hint="eastAsia"/>
          <w:color w:val="auto"/>
          <w:sz w:val="24"/>
          <w:highlight w:val="none"/>
        </w:rPr>
        <w:t>额定电流：</w:t>
      </w:r>
      <w:r>
        <w:rPr>
          <w:rFonts w:ascii="Times New Roman" w:hAnsi="Times New Roman" w:cs="Times New Roman"/>
          <w:color w:val="auto"/>
          <w:sz w:val="24"/>
          <w:highlight w:val="none"/>
        </w:rPr>
        <w:t>2500A</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由投标方根据SFC设计的要求决定其余各项参数，各项参数应满足SFC启动和短路条件下的动、热稳定要求，应符合IEC与GB标准。</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投标方应根据设计单位提供的母线布置路径图进行现场的二测测量，并根据现场连接的设备接口尺寸进行弯头和端头加工。投标方应提交浇注母线详细的支撑点布置图和基础埋件图。</w:t>
      </w:r>
    </w:p>
    <w:p>
      <w:pPr>
        <w:adjustRightInd w:val="0"/>
        <w:snapToGrid w:val="0"/>
        <w:spacing w:line="48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其中</w:t>
      </w:r>
      <w:r>
        <w:rPr>
          <w:rFonts w:hint="eastAsia"/>
          <w:color w:val="auto"/>
          <w:sz w:val="24"/>
          <w:highlight w:val="none"/>
        </w:rPr>
        <w:t>全绝缘浇注母线</w:t>
      </w:r>
      <w:r>
        <w:rPr>
          <w:rFonts w:ascii="宋体" w:hAnsi="宋体" w:cs="宋体"/>
          <w:color w:val="auto"/>
          <w:sz w:val="24"/>
          <w:szCs w:val="24"/>
          <w:highlight w:val="none"/>
        </w:rPr>
        <w:t>应采用自冷式中压三相一体</w:t>
      </w:r>
      <w:r>
        <w:rPr>
          <w:rFonts w:hint="eastAsia"/>
          <w:color w:val="auto"/>
          <w:sz w:val="24"/>
          <w:highlight w:val="none"/>
        </w:rPr>
        <w:t>全绝缘浇注母线</w:t>
      </w:r>
      <w:r>
        <w:rPr>
          <w:rFonts w:ascii="宋体" w:hAnsi="宋体" w:cs="宋体"/>
          <w:color w:val="auto"/>
          <w:sz w:val="24"/>
          <w:szCs w:val="24"/>
          <w:highlight w:val="none"/>
        </w:rPr>
        <w:t>。</w:t>
      </w:r>
      <w:r>
        <w:rPr>
          <w:rFonts w:hint="eastAsia"/>
          <w:color w:val="auto"/>
          <w:sz w:val="24"/>
          <w:highlight w:val="none"/>
        </w:rPr>
        <w:t>浇注母线</w:t>
      </w:r>
      <w:r>
        <w:rPr>
          <w:rFonts w:ascii="宋体" w:hAnsi="宋体" w:cs="宋体"/>
          <w:color w:val="auto"/>
          <w:sz w:val="24"/>
          <w:szCs w:val="24"/>
          <w:highlight w:val="none"/>
        </w:rPr>
        <w:t>绝缘要求：</w:t>
      </w:r>
    </w:p>
    <w:p>
      <w:pPr>
        <w:adjustRightInd w:val="0"/>
        <w:snapToGrid w:val="0"/>
        <w:spacing w:line="480" w:lineRule="exact"/>
        <w:ind w:firstLine="420"/>
        <w:rPr>
          <w:rFonts w:ascii="Times New Roman" w:hAnsi="Times New Roman"/>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 1 \* GB3 \* MERGEFORMAT </w:instrText>
      </w:r>
      <w:r>
        <w:rPr>
          <w:rFonts w:ascii="Times New Roman" w:hAnsi="Times New Roman"/>
          <w:color w:val="auto"/>
          <w:sz w:val="24"/>
          <w:szCs w:val="24"/>
          <w:highlight w:val="none"/>
        </w:rPr>
        <w:fldChar w:fldCharType="separate"/>
      </w:r>
      <w:r>
        <w:rPr>
          <w:rFonts w:hint="eastAsia" w:ascii="宋体" w:hAnsi="宋体" w:cs="宋体"/>
          <w:color w:val="auto"/>
          <w:sz w:val="24"/>
          <w:szCs w:val="24"/>
          <w:highlight w:val="none"/>
        </w:rPr>
        <w:t>①</w:t>
      </w:r>
      <w:r>
        <w:rPr>
          <w:rFonts w:ascii="Times New Roman" w:hAnsi="Times New Roman"/>
          <w:color w:val="auto"/>
          <w:sz w:val="24"/>
          <w:szCs w:val="24"/>
          <w:highlight w:val="none"/>
        </w:rPr>
        <w:fldChar w:fldCharType="end"/>
      </w:r>
      <w:r>
        <w:rPr>
          <w:rFonts w:hint="eastAsia" w:ascii="Times New Roman" w:hAnsi="Times New Roman"/>
          <w:color w:val="auto"/>
          <w:sz w:val="24"/>
          <w:szCs w:val="24"/>
          <w:highlight w:val="none"/>
        </w:rPr>
        <w:t>正常运行时的感应电压不高于12V。</w:t>
      </w:r>
    </w:p>
    <w:p>
      <w:pPr>
        <w:adjustRightInd w:val="0"/>
        <w:snapToGrid w:val="0"/>
        <w:spacing w:line="480" w:lineRule="exact"/>
        <w:ind w:firstLine="420"/>
        <w:rPr>
          <w:rFonts w:ascii="Times New Roman" w:hAnsi="Times New Roman"/>
          <w:color w:val="auto"/>
          <w:sz w:val="24"/>
          <w:szCs w:val="24"/>
          <w:highlight w:val="none"/>
        </w:rPr>
      </w:pPr>
      <w:r>
        <w:rPr>
          <w:rFonts w:hint="eastAsia" w:ascii="宋体" w:hAnsi="宋体" w:cs="宋体"/>
          <w:color w:val="auto"/>
          <w:sz w:val="24"/>
          <w:szCs w:val="24"/>
          <w:highlight w:val="none"/>
        </w:rPr>
        <w:t>②</w:t>
      </w:r>
      <w:r>
        <w:rPr>
          <w:rFonts w:hint="eastAsia" w:ascii="Times New Roman" w:hAnsi="Times New Roman"/>
          <w:color w:val="auto"/>
          <w:sz w:val="24"/>
          <w:szCs w:val="24"/>
          <w:highlight w:val="none"/>
        </w:rPr>
        <w:t>自然冷却的</w:t>
      </w:r>
      <w:r>
        <w:rPr>
          <w:rFonts w:hint="eastAsia"/>
          <w:color w:val="auto"/>
          <w:sz w:val="24"/>
          <w:highlight w:val="none"/>
        </w:rPr>
        <w:t>全绝缘浇注母线</w:t>
      </w:r>
      <w:r>
        <w:rPr>
          <w:rFonts w:hint="eastAsia" w:ascii="Times New Roman" w:hAnsi="Times New Roman"/>
          <w:color w:val="auto"/>
          <w:sz w:val="24"/>
          <w:szCs w:val="24"/>
          <w:highlight w:val="none"/>
        </w:rPr>
        <w:t>，应能在户外全天候运行，应防止灰尘、潮气及雨水侵入全绝缘浇注母线内部，导体绝缘的防护等级不应低于IP67。</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宋体" w:hAnsi="宋体" w:cs="宋体"/>
          <w:color w:val="auto"/>
          <w:sz w:val="24"/>
          <w:szCs w:val="24"/>
          <w:highlight w:val="none"/>
        </w:rPr>
        <w:t>③</w:t>
      </w:r>
      <w:r>
        <w:rPr>
          <w:rFonts w:hint="eastAsia"/>
          <w:color w:val="auto"/>
          <w:sz w:val="24"/>
          <w:highlight w:val="none"/>
        </w:rPr>
        <w:t>全绝缘浇注母线</w:t>
      </w:r>
      <w:r>
        <w:rPr>
          <w:rFonts w:hint="eastAsia" w:ascii="Times New Roman" w:hAnsi="Times New Roman"/>
          <w:color w:val="auto"/>
          <w:sz w:val="24"/>
          <w:szCs w:val="24"/>
          <w:highlight w:val="none"/>
        </w:rPr>
        <w:t>、母线引出线和在现场浇注接头的绝缘外壳表面应光滑平整，无裂缝，无毛刺。且现场浇注时投标方技术人员应在现场指导。全浇注绝缘母线安装完成后，投标方技术人员应在现场指导耐压试验。工频耐压试验，绝缘试验应按ANSI标准进行。</w:t>
      </w:r>
    </w:p>
    <w:p>
      <w:pPr>
        <w:adjustRightInd w:val="0"/>
        <w:snapToGrid w:val="0"/>
        <w:spacing w:line="480" w:lineRule="exact"/>
        <w:ind w:firstLine="420"/>
        <w:rPr>
          <w:color w:val="auto"/>
          <w:highlight w:val="none"/>
        </w:rPr>
      </w:pPr>
      <w:r>
        <w:rPr>
          <w:rFonts w:hint="eastAsia"/>
          <w:color w:val="auto"/>
          <w:sz w:val="24"/>
          <w:highlight w:val="none"/>
        </w:rPr>
        <w:t>浇注母线</w:t>
      </w:r>
      <w:r>
        <w:rPr>
          <w:rFonts w:hint="eastAsia" w:ascii="宋体" w:hAnsi="宋体" w:cs="宋体"/>
          <w:color w:val="auto"/>
          <w:sz w:val="24"/>
          <w:szCs w:val="24"/>
          <w:highlight w:val="none"/>
        </w:rPr>
        <w:t>制造工艺</w:t>
      </w:r>
      <w:r>
        <w:rPr>
          <w:rFonts w:ascii="宋体" w:hAnsi="宋体" w:cs="宋体"/>
          <w:color w:val="auto"/>
          <w:sz w:val="24"/>
          <w:szCs w:val="24"/>
          <w:highlight w:val="none"/>
        </w:rPr>
        <w:t>要求：</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全绝缘浇注母线段间导体连接的紧固件宜采用非铁磁性材料，以免产生感应电流导致过热，接头螺栓螺母连接件应能防止松动，螺接面电流密度不大于0.1A/mm2。</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全绝缘浇注母线所有挠性连接件的载流量应不小于所连母线的载流量。挠性连接体的对地距离以及在可拆挠性连接体拆下后，导体两端之间的距离均不应小于220mm。</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全绝缘浇注母线引出线接头与变压器出线端子间的连接，应采用便于拆卸的镀锡铜编织带，以便对设备进行检修和试验。母线导体与铜编织带接触面应镀银。</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全绝缘浇注母线引出线接头与开关柜内母排连接装置应采用便于拆卸的镀锡铜编织带，以便对设备进行检修和试验。母线导体与铜编织带接触面应镀银。</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与变压器低压侧出线套管的引出线接头相间距离应与变压器低压侧出线端子相间距离一致。全浇注绝缘母线与开关柜内母排连接，引出线接头相间距离应与进线柜内母排相间距离一致。若不能按要求设计并保证安全距离，由卖方负责解决。</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全绝缘浇注母线的外壳与设备的外壳应相互绝缘，分别设置独立的接地点。其连接金属部件、金属箱体等均应采用非磁性材料，或采用其他措施以免产生感应电流过热。</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全绝缘浇注母线与变压器或开关柜的连接端，应装有良好的密封隔离箱体，防止变压器低压侧接线箱或进线柜内进水受潮或积灰，箱体应采用δ≥6mm铝合金或非磁性材料制造。</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在全绝缘浇注母线引出线接头和外壳的适当位置要标志黄、绿、红相序标记和接地标记。</w:t>
      </w:r>
    </w:p>
    <w:p>
      <w:pPr>
        <w:adjustRightInd w:val="0"/>
        <w:snapToGrid w:val="0"/>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全绝缘浇注母线宜根据工程现场母线布置方式的需要，按全绝缘浇注母线安装工艺要求设置伸缩补偿装置。</w:t>
      </w:r>
    </w:p>
    <w:p>
      <w:pPr>
        <w:pStyle w:val="62"/>
        <w:rPr>
          <w:color w:val="auto"/>
          <w:highlight w:val="none"/>
        </w:rPr>
      </w:pPr>
      <w:bookmarkStart w:id="178" w:name="_Toc20792"/>
      <w:bookmarkStart w:id="179" w:name="_Toc114042613"/>
      <w:bookmarkStart w:id="180" w:name="_Toc127395723"/>
      <w:bookmarkStart w:id="181" w:name="_Toc23272"/>
      <w:r>
        <w:rPr>
          <w:color w:val="auto"/>
          <w:highlight w:val="none"/>
        </w:rPr>
        <w:t xml:space="preserve">8.3  </w:t>
      </w:r>
      <w:r>
        <w:rPr>
          <w:rFonts w:hint="eastAsia"/>
          <w:color w:val="auto"/>
          <w:highlight w:val="none"/>
        </w:rPr>
        <w:t>制造商提供的专用工器具</w:t>
      </w:r>
      <w:bookmarkEnd w:id="178"/>
      <w:bookmarkEnd w:id="179"/>
      <w:bookmarkEnd w:id="180"/>
      <w:bookmarkEnd w:id="181"/>
    </w:p>
    <w:p>
      <w:pPr>
        <w:pStyle w:val="132"/>
        <w:rPr>
          <w:color w:val="auto"/>
          <w:highlight w:val="none"/>
        </w:rPr>
      </w:pPr>
      <w:bookmarkStart w:id="182" w:name="_Toc21159"/>
      <w:bookmarkStart w:id="183" w:name="_Toc387821639"/>
      <w:r>
        <w:rPr>
          <w:color w:val="auto"/>
          <w:highlight w:val="none"/>
        </w:rPr>
        <w:t xml:space="preserve">8.3.1  </w:t>
      </w:r>
      <w:r>
        <w:rPr>
          <w:rFonts w:hint="eastAsia"/>
          <w:color w:val="auto"/>
          <w:highlight w:val="none"/>
        </w:rPr>
        <w:t>用于发电电动机的专用工具和仪器</w:t>
      </w:r>
      <w:bookmarkEnd w:id="182"/>
      <w:bookmarkEnd w:id="183"/>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5170"/>
        <w:gridCol w:w="821"/>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spacing w:line="240" w:lineRule="exact"/>
              <w:jc w:val="center"/>
              <w:rPr>
                <w:rFonts w:ascii="Times" w:hAnsi="Times" w:cs="Times New Roman"/>
                <w:color w:val="auto"/>
                <w:kern w:val="0"/>
                <w:szCs w:val="21"/>
                <w:highlight w:val="none"/>
              </w:rPr>
            </w:pPr>
            <w:r>
              <w:rPr>
                <w:rFonts w:ascii="Times" w:hAnsi="Times" w:cs="Times New Roman"/>
                <w:color w:val="auto"/>
                <w:kern w:val="0"/>
                <w:szCs w:val="21"/>
                <w:highlight w:val="none"/>
              </w:rPr>
              <w:t>序号</w:t>
            </w:r>
          </w:p>
        </w:tc>
        <w:tc>
          <w:tcPr>
            <w:tcW w:w="5170" w:type="dxa"/>
            <w:vAlign w:val="center"/>
          </w:tcPr>
          <w:p>
            <w:pPr>
              <w:spacing w:line="240" w:lineRule="exact"/>
              <w:ind w:firstLine="510"/>
              <w:jc w:val="center"/>
              <w:rPr>
                <w:rFonts w:ascii="Times" w:hAnsi="Times" w:cs="Times New Roman"/>
                <w:color w:val="auto"/>
                <w:kern w:val="0"/>
                <w:szCs w:val="21"/>
                <w:highlight w:val="none"/>
              </w:rPr>
            </w:pPr>
            <w:r>
              <w:rPr>
                <w:rFonts w:ascii="Times" w:hAnsi="Times" w:cs="Times New Roman"/>
                <w:color w:val="auto"/>
                <w:kern w:val="0"/>
                <w:szCs w:val="21"/>
                <w:highlight w:val="none"/>
              </w:rPr>
              <w:t>名</w:t>
            </w:r>
            <w:r>
              <w:rPr>
                <w:rFonts w:hint="eastAsia" w:ascii="Times" w:hAnsi="Times" w:cs="Times New Roman"/>
                <w:color w:val="auto"/>
                <w:kern w:val="0"/>
                <w:szCs w:val="21"/>
                <w:highlight w:val="none"/>
              </w:rPr>
              <w:t xml:space="preserve">        </w:t>
            </w:r>
            <w:r>
              <w:rPr>
                <w:rFonts w:ascii="Times" w:hAnsi="Times" w:cs="Times New Roman"/>
                <w:color w:val="auto"/>
                <w:kern w:val="0"/>
                <w:szCs w:val="21"/>
                <w:highlight w:val="none"/>
              </w:rPr>
              <w:t>称</w:t>
            </w:r>
          </w:p>
        </w:tc>
        <w:tc>
          <w:tcPr>
            <w:tcW w:w="821" w:type="dxa"/>
            <w:vAlign w:val="center"/>
          </w:tcPr>
          <w:p>
            <w:pPr>
              <w:spacing w:line="240" w:lineRule="exact"/>
              <w:jc w:val="center"/>
              <w:rPr>
                <w:rFonts w:ascii="Times" w:hAnsi="Times" w:cs="Times New Roman"/>
                <w:color w:val="auto"/>
                <w:kern w:val="0"/>
                <w:szCs w:val="21"/>
                <w:highlight w:val="none"/>
              </w:rPr>
            </w:pPr>
            <w:r>
              <w:rPr>
                <w:rFonts w:ascii="Times" w:hAnsi="Times" w:cs="Times New Roman"/>
                <w:color w:val="auto"/>
                <w:kern w:val="0"/>
                <w:szCs w:val="21"/>
                <w:highlight w:val="none"/>
              </w:rPr>
              <w:t>单位</w:t>
            </w:r>
          </w:p>
        </w:tc>
        <w:tc>
          <w:tcPr>
            <w:tcW w:w="1630" w:type="dxa"/>
            <w:vAlign w:val="center"/>
          </w:tcPr>
          <w:p>
            <w:pPr>
              <w:spacing w:line="240" w:lineRule="exact"/>
              <w:jc w:val="center"/>
              <w:rPr>
                <w:rFonts w:ascii="Times" w:hAnsi="Times" w:cs="Times New Roman"/>
                <w:color w:val="auto"/>
                <w:kern w:val="0"/>
                <w:szCs w:val="21"/>
                <w:highlight w:val="none"/>
              </w:rPr>
            </w:pPr>
            <w:r>
              <w:rPr>
                <w:rFonts w:ascii="Times" w:hAnsi="Times"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522" w:type="dxa"/>
            <w:gridSpan w:val="4"/>
            <w:vAlign w:val="center"/>
          </w:tcPr>
          <w:p>
            <w:pPr>
              <w:widowControl/>
              <w:jc w:val="center"/>
              <w:rPr>
                <w:rFonts w:ascii="Times" w:hAnsi="Times" w:cs="Times New Roman"/>
                <w:color w:val="auto"/>
                <w:kern w:val="0"/>
                <w:szCs w:val="21"/>
                <w:highlight w:val="none"/>
              </w:rPr>
            </w:pPr>
            <w:r>
              <w:rPr>
                <w:rFonts w:ascii="Times" w:hAnsi="Times" w:cs="Times New Roman"/>
                <w:b/>
                <w:bCs/>
                <w:color w:val="auto"/>
                <w:kern w:val="0"/>
                <w:szCs w:val="21"/>
                <w:highlight w:val="none"/>
              </w:rPr>
              <w:t>一、发电电动机专用工具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定子在安装间组装用的支墩和基础板</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hint="eastAsia" w:ascii="Times" w:hAnsi="Times"/>
                <w:color w:val="auto"/>
                <w:highlight w:val="none"/>
              </w:rPr>
            </w:pPr>
            <w:r>
              <w:rPr>
                <w:rFonts w:hint="eastAsia" w:ascii="Times" w:hAnsi="Times"/>
                <w:color w:val="auto"/>
                <w:highlight w:val="none"/>
              </w:rPr>
              <w:t>2</w:t>
            </w:r>
          </w:p>
        </w:tc>
        <w:tc>
          <w:tcPr>
            <w:tcW w:w="5170" w:type="dxa"/>
            <w:vAlign w:val="center"/>
          </w:tcPr>
          <w:p>
            <w:pPr>
              <w:widowControl/>
              <w:jc w:val="left"/>
              <w:rPr>
                <w:rFonts w:hint="eastAsia" w:ascii="Times" w:hAnsi="Times" w:cs="宋体"/>
                <w:color w:val="auto"/>
                <w:kern w:val="0"/>
                <w:szCs w:val="21"/>
                <w:highlight w:val="none"/>
              </w:rPr>
            </w:pPr>
            <w:r>
              <w:rPr>
                <w:rFonts w:hint="eastAsia" w:ascii="Times" w:hAnsi="Times" w:cs="宋体"/>
                <w:color w:val="auto"/>
                <w:kern w:val="0"/>
                <w:szCs w:val="21"/>
                <w:highlight w:val="none"/>
              </w:rPr>
              <w:t>定子机座合缝装配专用工器具（若有）</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hint="eastAsia" w:ascii="Times" w:hAnsi="Times"/>
                <w:color w:val="auto"/>
                <w:highlight w:val="none"/>
              </w:rPr>
            </w:pPr>
            <w:r>
              <w:rPr>
                <w:rFonts w:hint="eastAsia" w:ascii="Times" w:hAnsi="Times"/>
                <w:color w:val="auto"/>
                <w:highlight w:val="none"/>
              </w:rPr>
              <w:t>3</w:t>
            </w:r>
          </w:p>
        </w:tc>
        <w:tc>
          <w:tcPr>
            <w:tcW w:w="5170" w:type="dxa"/>
            <w:vAlign w:val="center"/>
          </w:tcPr>
          <w:p>
            <w:pPr>
              <w:widowControl/>
              <w:jc w:val="left"/>
              <w:rPr>
                <w:rFonts w:hint="eastAsia" w:ascii="Times" w:hAnsi="Times" w:cs="宋体"/>
                <w:color w:val="auto"/>
                <w:kern w:val="0"/>
                <w:szCs w:val="21"/>
                <w:highlight w:val="none"/>
              </w:rPr>
            </w:pPr>
            <w:r>
              <w:rPr>
                <w:rFonts w:hint="eastAsia" w:ascii="Times" w:hAnsi="Times" w:cs="宋体"/>
                <w:color w:val="auto"/>
                <w:kern w:val="0"/>
                <w:szCs w:val="21"/>
                <w:highlight w:val="none"/>
              </w:rPr>
              <w:t>定子铁心现场叠片压紧专用工具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4</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定子中心测圆架（含基础）</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5</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定子下线工具</w:t>
            </w:r>
            <w:r>
              <w:rPr>
                <w:rFonts w:ascii="Times" w:hAnsi="Times" w:cs="Times New Roman"/>
                <w:color w:val="auto"/>
                <w:kern w:val="0"/>
                <w:szCs w:val="21"/>
                <w:highlight w:val="none"/>
              </w:rPr>
              <w:t xml:space="preserve">                                          </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6</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定子槽楔嵌入和拆除等专用工具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7</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定子槽楔松紧度测量仪器</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8</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定子银铜焊机及装置</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台</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9</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发电机主轴翻身及起吊工具，及所需的支墩及基础部件、预埋件（含钢丝绳）</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10</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转子组装基础埋件</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11</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转子测圆架（含基础）</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12</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转子磁轭装配工具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13</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磁极拆卸、吊装及翻身工具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14</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磁极称重挂钩式电子秤</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15</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转子磁轭轮毂加热装置和辅助装置（如有）</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　</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16</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推力头拆卸及翻身工具（如需要）</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17</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推力轴承及推力瓦拆卸、安装、更换、调整等专用工具</w:t>
            </w:r>
            <w:r>
              <w:rPr>
                <w:rFonts w:ascii="Times" w:hAnsi="Times" w:cs="Times New Roman"/>
                <w:color w:val="auto"/>
                <w:kern w:val="0"/>
                <w:szCs w:val="21"/>
                <w:highlight w:val="none"/>
              </w:rPr>
              <w:t xml:space="preserve"> </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18</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发电机大轴连轴连接螺栓液压拉伸器（不含发电机水轮机连轴螺栓）</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　</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19</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转子吊装（含平衡梁）专用工具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20</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定子吊装专用工具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21</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定子及定子基础、转子、机架等部件连接螺栓液压拉伸器或液压扳手，及其液压密封件</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22</w:t>
            </w:r>
          </w:p>
        </w:tc>
        <w:tc>
          <w:tcPr>
            <w:tcW w:w="5170" w:type="dxa"/>
            <w:vAlign w:val="center"/>
          </w:tcPr>
          <w:p>
            <w:pPr>
              <w:widowControl/>
              <w:jc w:val="left"/>
              <w:rPr>
                <w:rFonts w:ascii="Times" w:hAnsi="Times" w:cs="宋体"/>
                <w:color w:val="auto"/>
                <w:kern w:val="0"/>
                <w:szCs w:val="21"/>
                <w:highlight w:val="none"/>
              </w:rPr>
            </w:pPr>
            <w:r>
              <w:rPr>
                <w:rFonts w:hint="eastAsia" w:ascii="Times" w:hAnsi="Times" w:cs="宋体"/>
                <w:color w:val="auto"/>
                <w:kern w:val="0"/>
                <w:szCs w:val="21"/>
                <w:highlight w:val="none"/>
              </w:rPr>
              <w:t>发电机定转子气隙测量工具</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23</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顶转子移动式高压油泵装置</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24</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机组盘车专用工具，含各种百分表及其支座等</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25</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各种规格吊环和卸扣，满足发电机各设备吊装需求</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26</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发电机安装专用铰刀（含各种规格和详细清单）</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27</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发电机内径千分尺</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28</w:t>
            </w:r>
          </w:p>
        </w:tc>
        <w:tc>
          <w:tcPr>
            <w:tcW w:w="5170" w:type="dxa"/>
            <w:vAlign w:val="center"/>
          </w:tcPr>
          <w:p>
            <w:pPr>
              <w:widowControl/>
              <w:rPr>
                <w:rFonts w:ascii="Times" w:hAnsi="Times" w:cs="宋体"/>
                <w:color w:val="auto"/>
                <w:kern w:val="0"/>
                <w:szCs w:val="21"/>
                <w:highlight w:val="none"/>
              </w:rPr>
            </w:pPr>
            <w:r>
              <w:rPr>
                <w:rFonts w:hint="eastAsia" w:ascii="Times" w:hAnsi="Times" w:cs="宋体"/>
                <w:color w:val="auto"/>
                <w:kern w:val="0"/>
                <w:szCs w:val="21"/>
                <w:highlight w:val="none"/>
              </w:rPr>
              <w:t>特殊的专用工具和测量工具，配专用的工具箱（若有，列出用途和详细清单）</w:t>
            </w:r>
          </w:p>
        </w:tc>
        <w:tc>
          <w:tcPr>
            <w:tcW w:w="821" w:type="dxa"/>
            <w:vAlign w:val="center"/>
          </w:tcPr>
          <w:p>
            <w:pPr>
              <w:widowControl/>
              <w:jc w:val="center"/>
              <w:rPr>
                <w:rFonts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ascii="Times" w:hAnsi="Times" w:cs="Times New Roman"/>
                <w:color w:val="auto"/>
                <w:kern w:val="0"/>
                <w:szCs w:val="21"/>
                <w:highlight w:val="none"/>
              </w:rPr>
            </w:pPr>
            <w:r>
              <w:rPr>
                <w:rFonts w:ascii="Times" w:hAnsi="Times"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522" w:type="dxa"/>
            <w:gridSpan w:val="4"/>
            <w:vAlign w:val="center"/>
          </w:tcPr>
          <w:p>
            <w:pPr>
              <w:widowControl/>
              <w:jc w:val="center"/>
              <w:rPr>
                <w:rFonts w:ascii="Times" w:hAnsi="Times" w:cs="Times New Roman"/>
                <w:color w:val="auto"/>
                <w:kern w:val="0"/>
                <w:szCs w:val="21"/>
                <w:highlight w:val="none"/>
                <w:shd w:val="clear" w:color="auto" w:fill="FFFF00"/>
              </w:rPr>
            </w:pPr>
            <w:r>
              <w:rPr>
                <w:rFonts w:ascii="Times" w:hAnsi="Times" w:cs="Times New Roman"/>
                <w:b/>
                <w:bCs/>
                <w:color w:val="auto"/>
                <w:kern w:val="0"/>
                <w:szCs w:val="21"/>
                <w:highlight w:val="none"/>
              </w:rPr>
              <w:t>二、励磁系统专用工具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29</w:t>
            </w:r>
          </w:p>
        </w:tc>
        <w:tc>
          <w:tcPr>
            <w:tcW w:w="5170" w:type="dxa"/>
            <w:vAlign w:val="center"/>
          </w:tcPr>
          <w:p>
            <w:pPr>
              <w:widowControl/>
              <w:rPr>
                <w:rFonts w:hint="eastAsia" w:ascii="Times" w:hAnsi="Times" w:cs="宋体"/>
                <w:color w:val="auto"/>
                <w:kern w:val="0"/>
                <w:szCs w:val="21"/>
                <w:highlight w:val="none"/>
              </w:rPr>
            </w:pPr>
            <w:r>
              <w:rPr>
                <w:rFonts w:hint="eastAsia" w:ascii="Times" w:hAnsi="Times" w:cs="宋体"/>
                <w:color w:val="auto"/>
                <w:kern w:val="0"/>
                <w:szCs w:val="21"/>
                <w:highlight w:val="none"/>
              </w:rPr>
              <w:t>带有励磁系统调试软件、专用数据接口的笔记本电脑（含调试软件备用光盘、连接数据线等）</w:t>
            </w:r>
          </w:p>
        </w:tc>
        <w:tc>
          <w:tcPr>
            <w:tcW w:w="821"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30</w:t>
            </w:r>
          </w:p>
        </w:tc>
        <w:tc>
          <w:tcPr>
            <w:tcW w:w="5170" w:type="dxa"/>
            <w:vAlign w:val="center"/>
          </w:tcPr>
          <w:p>
            <w:pPr>
              <w:widowControl/>
              <w:rPr>
                <w:rFonts w:hint="eastAsia" w:ascii="Times" w:hAnsi="Times" w:cs="宋体"/>
                <w:color w:val="auto"/>
                <w:kern w:val="0"/>
                <w:szCs w:val="21"/>
                <w:highlight w:val="none"/>
              </w:rPr>
            </w:pPr>
            <w:r>
              <w:rPr>
                <w:rFonts w:hint="eastAsia" w:ascii="Times" w:hAnsi="Times" w:cs="宋体"/>
                <w:color w:val="auto"/>
                <w:kern w:val="0"/>
                <w:szCs w:val="21"/>
                <w:highlight w:val="none"/>
              </w:rPr>
              <w:t>EPROM（或类似的）存储器专用擦写工具（如有）</w:t>
            </w:r>
          </w:p>
        </w:tc>
        <w:tc>
          <w:tcPr>
            <w:tcW w:w="821"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jc w:val="center"/>
              <w:rPr>
                <w:rFonts w:ascii="Times" w:hAnsi="Times"/>
                <w:color w:val="auto"/>
                <w:highlight w:val="none"/>
              </w:rPr>
            </w:pPr>
            <w:r>
              <w:rPr>
                <w:rFonts w:ascii="Times" w:hAnsi="Times"/>
                <w:color w:val="auto"/>
                <w:highlight w:val="none"/>
              </w:rPr>
              <w:t>31</w:t>
            </w:r>
          </w:p>
        </w:tc>
        <w:tc>
          <w:tcPr>
            <w:tcW w:w="5170" w:type="dxa"/>
            <w:vAlign w:val="center"/>
          </w:tcPr>
          <w:p>
            <w:pPr>
              <w:widowControl/>
              <w:rPr>
                <w:rFonts w:hint="eastAsia" w:ascii="Times" w:hAnsi="Times" w:cs="宋体"/>
                <w:color w:val="auto"/>
                <w:kern w:val="0"/>
                <w:szCs w:val="21"/>
                <w:highlight w:val="none"/>
              </w:rPr>
            </w:pPr>
            <w:r>
              <w:rPr>
                <w:rFonts w:hint="eastAsia" w:ascii="Times" w:hAnsi="Times" w:cs="宋体"/>
                <w:color w:val="auto"/>
                <w:kern w:val="0"/>
                <w:szCs w:val="21"/>
                <w:highlight w:val="none"/>
              </w:rPr>
              <w:t>励磁系统可控硅拆卸专用工具（如有）</w:t>
            </w:r>
          </w:p>
        </w:tc>
        <w:tc>
          <w:tcPr>
            <w:tcW w:w="821"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8522" w:type="dxa"/>
            <w:gridSpan w:val="4"/>
            <w:vAlign w:val="center"/>
          </w:tcPr>
          <w:p>
            <w:pPr>
              <w:widowControl/>
              <w:pBdr>
                <w:bottom w:val="none" w:color="auto" w:sz="0" w:space="0"/>
              </w:pBdr>
              <w:jc w:val="center"/>
              <w:rPr>
                <w:color w:val="auto"/>
                <w:highlight w:val="none"/>
              </w:rPr>
            </w:pPr>
            <w:r>
              <w:rPr>
                <w:rFonts w:ascii="Times" w:hAnsi="Times" w:cs="Times New Roman"/>
                <w:b/>
                <w:bCs/>
                <w:color w:val="auto"/>
                <w:kern w:val="0"/>
                <w:szCs w:val="21"/>
                <w:highlight w:val="none"/>
              </w:rPr>
              <w:t>三、SFC系统专用工具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1"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32</w:t>
            </w:r>
          </w:p>
        </w:tc>
        <w:tc>
          <w:tcPr>
            <w:tcW w:w="5170" w:type="dxa"/>
            <w:vAlign w:val="center"/>
          </w:tcPr>
          <w:p>
            <w:pPr>
              <w:widowControl/>
              <w:rPr>
                <w:rFonts w:hint="eastAsia" w:ascii="Times" w:hAnsi="Times" w:cs="宋体"/>
                <w:color w:val="auto"/>
                <w:kern w:val="0"/>
                <w:szCs w:val="21"/>
                <w:highlight w:val="none"/>
              </w:rPr>
            </w:pPr>
            <w:r>
              <w:rPr>
                <w:rFonts w:hint="eastAsia" w:ascii="Times" w:hAnsi="Times" w:cs="宋体"/>
                <w:color w:val="auto"/>
                <w:kern w:val="0"/>
                <w:szCs w:val="21"/>
                <w:highlight w:val="none"/>
              </w:rPr>
              <w:t>带有SFC系统调试软件、专用数据接口的笔记本电脑（含调试软件备用光盘、连接数据线等）</w:t>
            </w:r>
          </w:p>
        </w:tc>
        <w:tc>
          <w:tcPr>
            <w:tcW w:w="821" w:type="dxa"/>
            <w:vAlign w:val="center"/>
          </w:tcPr>
          <w:p>
            <w:pPr>
              <w:widowControl/>
              <w:jc w:val="center"/>
              <w:rPr>
                <w:rFonts w:hint="eastAsia" w:ascii="Times" w:hAnsi="Times" w:cs="宋体"/>
                <w:color w:val="auto"/>
                <w:kern w:val="0"/>
                <w:szCs w:val="21"/>
                <w:highlight w:val="none"/>
              </w:rPr>
            </w:pPr>
            <w:r>
              <w:rPr>
                <w:rFonts w:hint="eastAsia" w:ascii="Times" w:hAnsi="Times" w:cs="宋体"/>
                <w:color w:val="auto"/>
                <w:kern w:val="0"/>
                <w:szCs w:val="21"/>
                <w:highlight w:val="none"/>
              </w:rPr>
              <w:t>套</w:t>
            </w:r>
          </w:p>
        </w:tc>
        <w:tc>
          <w:tcPr>
            <w:tcW w:w="1630" w:type="dxa"/>
            <w:vAlign w:val="center"/>
          </w:tcPr>
          <w:p>
            <w:pPr>
              <w:widowControl/>
              <w:rPr>
                <w:rFonts w:hint="eastAsia" w:ascii="Times" w:hAnsi="Times" w:cs="宋体"/>
                <w:color w:val="auto"/>
                <w:kern w:val="0"/>
                <w:szCs w:val="21"/>
                <w:highlight w:val="none"/>
              </w:rPr>
            </w:pPr>
            <w:r>
              <w:rPr>
                <w:rFonts w:hint="eastAsia" w:ascii="Times" w:hAnsi="Times" w:cs="宋体"/>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901" w:type="dxa"/>
            <w:vAlign w:val="center"/>
          </w:tcPr>
          <w:p>
            <w:pPr>
              <w:jc w:val="center"/>
              <w:rPr>
                <w:rFonts w:ascii="Times" w:hAnsi="Times"/>
                <w:color w:val="auto"/>
                <w:highlight w:val="none"/>
                <w:shd w:val="clear" w:color="auto" w:fill="FFFF00"/>
              </w:rPr>
            </w:pPr>
          </w:p>
        </w:tc>
        <w:tc>
          <w:tcPr>
            <w:tcW w:w="5170" w:type="dxa"/>
            <w:vAlign w:val="center"/>
          </w:tcPr>
          <w:p>
            <w:pPr>
              <w:widowControl/>
              <w:rPr>
                <w:rFonts w:ascii="Times" w:hAnsi="Times" w:cs="宋体"/>
                <w:color w:val="auto"/>
                <w:kern w:val="0"/>
                <w:szCs w:val="21"/>
                <w:highlight w:val="none"/>
                <w:shd w:val="clear" w:color="auto" w:fill="FFFF00"/>
              </w:rPr>
            </w:pPr>
          </w:p>
        </w:tc>
        <w:tc>
          <w:tcPr>
            <w:tcW w:w="821" w:type="dxa"/>
            <w:vAlign w:val="center"/>
          </w:tcPr>
          <w:p>
            <w:pPr>
              <w:widowControl/>
              <w:jc w:val="center"/>
              <w:rPr>
                <w:rFonts w:ascii="Times" w:hAnsi="Times" w:cs="宋体"/>
                <w:color w:val="auto"/>
                <w:kern w:val="0"/>
                <w:szCs w:val="21"/>
                <w:highlight w:val="none"/>
                <w:shd w:val="clear" w:color="auto" w:fill="FFFF00"/>
              </w:rPr>
            </w:pPr>
          </w:p>
        </w:tc>
        <w:tc>
          <w:tcPr>
            <w:tcW w:w="1630" w:type="dxa"/>
            <w:vAlign w:val="center"/>
          </w:tcPr>
          <w:p>
            <w:pPr>
              <w:widowControl/>
              <w:jc w:val="center"/>
              <w:rPr>
                <w:rFonts w:ascii="Times" w:hAnsi="Times" w:cs="Times New Roman"/>
                <w:color w:val="auto"/>
                <w:kern w:val="0"/>
                <w:szCs w:val="21"/>
                <w:highlight w:val="none"/>
                <w:shd w:val="clear" w:color="auto" w:fill="FFFF00"/>
              </w:rPr>
            </w:pPr>
          </w:p>
        </w:tc>
      </w:tr>
    </w:tbl>
    <w:p>
      <w:pPr>
        <w:pStyle w:val="76"/>
        <w:rPr>
          <w:color w:val="auto"/>
          <w:highlight w:val="none"/>
        </w:rPr>
      </w:pPr>
      <w:r>
        <w:rPr>
          <w:rFonts w:hint="eastAsia"/>
          <w:color w:val="auto"/>
          <w:highlight w:val="none"/>
        </w:rPr>
        <w:t>注：以</w:t>
      </w:r>
      <w:r>
        <w:rPr>
          <w:rFonts w:hint="eastAsia"/>
          <w:color w:val="auto"/>
          <w:highlight w:val="none"/>
          <w:lang w:val="en-US" w:eastAsia="zh-CN"/>
        </w:rPr>
        <w:t>设备</w:t>
      </w:r>
      <w:r>
        <w:rPr>
          <w:rFonts w:hint="eastAsia"/>
          <w:color w:val="auto"/>
          <w:highlight w:val="none"/>
        </w:rPr>
        <w:t>厂最终提供专用工具为准。</w:t>
      </w:r>
    </w:p>
    <w:p>
      <w:pPr>
        <w:widowControl/>
        <w:jc w:val="left"/>
        <w:rPr>
          <w:color w:val="auto"/>
          <w:highlight w:val="none"/>
        </w:rPr>
      </w:pPr>
      <w:r>
        <w:rPr>
          <w:color w:val="auto"/>
          <w:highlight w:val="none"/>
        </w:rPr>
        <w:br w:type="page"/>
      </w:r>
    </w:p>
    <w:p>
      <w:pPr>
        <w:pStyle w:val="50"/>
        <w:rPr>
          <w:color w:val="auto"/>
          <w:highlight w:val="none"/>
        </w:rPr>
      </w:pPr>
      <w:bookmarkStart w:id="184" w:name="_Toc127395724"/>
      <w:bookmarkStart w:id="185" w:name="_Toc10893"/>
      <w:bookmarkStart w:id="186" w:name="_Toc114042614"/>
      <w:bookmarkStart w:id="187" w:name="_Toc8496"/>
      <w:r>
        <w:rPr>
          <w:rFonts w:hint="eastAsia"/>
          <w:color w:val="auto"/>
          <w:highlight w:val="none"/>
        </w:rPr>
        <w:t>第9章</w:t>
      </w:r>
      <w:r>
        <w:rPr>
          <w:color w:val="auto"/>
          <w:highlight w:val="none"/>
        </w:rPr>
        <w:t xml:space="preserve">  </w:t>
      </w:r>
      <w:r>
        <w:rPr>
          <w:rFonts w:hint="eastAsia"/>
          <w:color w:val="auto"/>
          <w:highlight w:val="none"/>
        </w:rPr>
        <w:t>发电机电压设备和厂用电设备</w:t>
      </w:r>
      <w:bookmarkEnd w:id="184"/>
      <w:bookmarkEnd w:id="185"/>
      <w:bookmarkEnd w:id="186"/>
      <w:bookmarkEnd w:id="187"/>
    </w:p>
    <w:p>
      <w:pPr>
        <w:pStyle w:val="62"/>
        <w:rPr>
          <w:color w:val="auto"/>
          <w:highlight w:val="none"/>
        </w:rPr>
      </w:pPr>
      <w:bookmarkStart w:id="188" w:name="_Toc127395725"/>
      <w:bookmarkStart w:id="189" w:name="_Toc28025"/>
      <w:bookmarkStart w:id="190" w:name="_Toc19803"/>
      <w:bookmarkStart w:id="191" w:name="_Toc114042615"/>
      <w:r>
        <w:rPr>
          <w:color w:val="auto"/>
          <w:highlight w:val="none"/>
        </w:rPr>
        <w:t>9.</w:t>
      </w:r>
      <w:bookmarkStart w:id="192" w:name="_Toc522716075"/>
      <w:bookmarkStart w:id="193" w:name="_Toc488654969"/>
      <w:bookmarkStart w:id="194" w:name="_Toc387821313"/>
      <w:bookmarkStart w:id="195" w:name="_Toc524940455"/>
      <w:bookmarkStart w:id="196" w:name="_Toc1633076"/>
      <w:bookmarkStart w:id="197" w:name="_Toc387821646"/>
      <w:bookmarkStart w:id="198" w:name="_Toc387820977"/>
      <w:bookmarkStart w:id="199" w:name="_Toc388519879"/>
      <w:bookmarkStart w:id="200" w:name="_Toc411408938"/>
      <w:r>
        <w:rPr>
          <w:color w:val="auto"/>
          <w:highlight w:val="none"/>
        </w:rPr>
        <w:t xml:space="preserve">1  </w:t>
      </w:r>
      <w:r>
        <w:rPr>
          <w:rFonts w:hint="eastAsia"/>
          <w:color w:val="auto"/>
          <w:highlight w:val="none"/>
        </w:rPr>
        <w:t>简要技术说明</w:t>
      </w:r>
      <w:bookmarkEnd w:id="188"/>
      <w:bookmarkEnd w:id="189"/>
      <w:bookmarkEnd w:id="190"/>
      <w:bookmarkEnd w:id="191"/>
      <w:bookmarkEnd w:id="192"/>
      <w:bookmarkEnd w:id="193"/>
      <w:bookmarkEnd w:id="194"/>
      <w:bookmarkEnd w:id="195"/>
      <w:bookmarkEnd w:id="196"/>
      <w:bookmarkEnd w:id="197"/>
      <w:bookmarkEnd w:id="198"/>
      <w:bookmarkEnd w:id="199"/>
      <w:bookmarkEnd w:id="200"/>
    </w:p>
    <w:p>
      <w:pPr>
        <w:pStyle w:val="132"/>
        <w:rPr>
          <w:color w:val="auto"/>
          <w:highlight w:val="none"/>
          <w:lang w:val="en-US"/>
        </w:rPr>
      </w:pPr>
      <w:bookmarkStart w:id="201" w:name="_Toc387821647"/>
      <w:bookmarkStart w:id="202" w:name="_Toc5479"/>
      <w:r>
        <w:rPr>
          <w:color w:val="auto"/>
          <w:highlight w:val="none"/>
        </w:rPr>
        <w:t xml:space="preserve">9.1.1  </w:t>
      </w:r>
      <w:r>
        <w:rPr>
          <w:rFonts w:hint="eastAsia"/>
          <w:color w:val="auto"/>
          <w:highlight w:val="none"/>
        </w:rPr>
        <w:t>电气主接线</w:t>
      </w:r>
      <w:bookmarkEnd w:id="201"/>
      <w:r>
        <w:rPr>
          <w:rFonts w:hint="eastAsia"/>
          <w:color w:val="auto"/>
          <w:highlight w:val="none"/>
          <w:lang w:val="en-US"/>
        </w:rPr>
        <w:t>和厂用电接线</w:t>
      </w:r>
      <w:bookmarkEnd w:id="202"/>
    </w:p>
    <w:p>
      <w:pPr>
        <w:pStyle w:val="76"/>
        <w:rPr>
          <w:color w:val="auto"/>
          <w:highlight w:val="none"/>
        </w:rPr>
      </w:pPr>
      <w:r>
        <w:rPr>
          <w:rFonts w:hint="eastAsia"/>
          <w:color w:val="auto"/>
          <w:highlight w:val="none"/>
        </w:rPr>
        <w:t>全厂由4台300MW发电电动机分别和4台360MVA、2</w:t>
      </w:r>
      <w:r>
        <w:rPr>
          <w:color w:val="auto"/>
          <w:highlight w:val="none"/>
        </w:rPr>
        <w:t>20</w:t>
      </w:r>
      <w:r>
        <w:rPr>
          <w:rFonts w:hint="eastAsia"/>
          <w:color w:val="auto"/>
          <w:highlight w:val="none"/>
        </w:rPr>
        <w:t>0kV三相主变压器接成单元接线后，再在每2台主变压器高压侧并接，共组成2组联合单元接线。每组联合单元在220kV侧成一回进线。220kV地下GIS由2套联合单元GIS组成。每套GIS分别连接2台主变压器，并以2回220kV电缆接至</w:t>
      </w:r>
      <w:r>
        <w:rPr>
          <w:color w:val="auto"/>
          <w:highlight w:val="none"/>
        </w:rPr>
        <w:t>22</w:t>
      </w:r>
      <w:r>
        <w:rPr>
          <w:rFonts w:hint="eastAsia"/>
          <w:color w:val="auto"/>
          <w:highlight w:val="none"/>
        </w:rPr>
        <w:t>0kV地面GIS。电站以</w:t>
      </w:r>
      <w:r>
        <w:rPr>
          <w:color w:val="auto"/>
          <w:highlight w:val="none"/>
        </w:rPr>
        <w:t>2</w:t>
      </w:r>
      <w:r>
        <w:rPr>
          <w:rFonts w:hint="eastAsia"/>
          <w:color w:val="auto"/>
          <w:highlight w:val="none"/>
        </w:rPr>
        <w:t>回</w:t>
      </w:r>
      <w:r>
        <w:rPr>
          <w:color w:val="auto"/>
          <w:highlight w:val="none"/>
        </w:rPr>
        <w:t>220</w:t>
      </w:r>
      <w:r>
        <w:rPr>
          <w:rFonts w:hint="eastAsia"/>
          <w:color w:val="auto"/>
          <w:highlight w:val="none"/>
        </w:rPr>
        <w:t>kV出线接入</w:t>
      </w:r>
      <w:r>
        <w:rPr>
          <w:color w:val="auto"/>
          <w:highlight w:val="none"/>
        </w:rPr>
        <w:t>500kV</w:t>
      </w:r>
      <w:r>
        <w:rPr>
          <w:rFonts w:hint="eastAsia"/>
          <w:color w:val="auto"/>
          <w:highlight w:val="none"/>
        </w:rPr>
        <w:t>桂北站。</w:t>
      </w:r>
    </w:p>
    <w:p>
      <w:pPr>
        <w:pStyle w:val="76"/>
        <w:rPr>
          <w:color w:val="auto"/>
          <w:highlight w:val="none"/>
        </w:rPr>
      </w:pPr>
      <w:r>
        <w:rPr>
          <w:rFonts w:hint="eastAsia"/>
          <w:color w:val="auto"/>
          <w:highlight w:val="none"/>
        </w:rPr>
        <w:t>机组和主变压器间设置发电机断路器。起动设备电源、厂用电源和励磁变压器电源均由主变压器低压侧引接。该处设有避雷器，并配置电流互感器及电压互感器供测量和保护用。发电电动机至主变压器低压侧的连接采用离相封闭母线。</w:t>
      </w:r>
    </w:p>
    <w:p>
      <w:pPr>
        <w:pStyle w:val="76"/>
        <w:rPr>
          <w:color w:val="auto"/>
          <w:highlight w:val="none"/>
        </w:rPr>
      </w:pPr>
      <w:r>
        <w:rPr>
          <w:rFonts w:hint="eastAsia"/>
          <w:color w:val="auto"/>
          <w:highlight w:val="none"/>
        </w:rPr>
        <w:t>厂用电采用10kV和0.4kV两级电压供电，设</w:t>
      </w:r>
      <w:r>
        <w:rPr>
          <w:color w:val="auto"/>
          <w:highlight w:val="none"/>
        </w:rPr>
        <w:t>4</w:t>
      </w:r>
      <w:r>
        <w:rPr>
          <w:rFonts w:hint="eastAsia"/>
          <w:color w:val="auto"/>
          <w:highlight w:val="none"/>
        </w:rPr>
        <w:t>台高压厂用变压器。10kV母线分</w:t>
      </w:r>
      <w:r>
        <w:rPr>
          <w:color w:val="auto"/>
          <w:highlight w:val="none"/>
        </w:rPr>
        <w:t>5</w:t>
      </w:r>
      <w:r>
        <w:rPr>
          <w:rFonts w:hint="eastAsia"/>
          <w:color w:val="auto"/>
          <w:highlight w:val="none"/>
        </w:rPr>
        <w:t>段，第Ⅰ段母线接自</w:t>
      </w:r>
      <w:r>
        <w:rPr>
          <w:rFonts w:hint="eastAsia" w:ascii="宋体" w:hAnsi="宋体" w:cs="宋体"/>
          <w:color w:val="auto"/>
          <w:highlight w:val="none"/>
        </w:rPr>
        <w:t>①</w:t>
      </w:r>
      <w:r>
        <w:rPr>
          <w:rFonts w:hint="eastAsia"/>
          <w:color w:val="auto"/>
          <w:highlight w:val="none"/>
        </w:rPr>
        <w:t>号机组；第Ⅱ段母线接自</w:t>
      </w:r>
      <w:r>
        <w:rPr>
          <w:rFonts w:hint="eastAsia" w:ascii="宋体" w:hAnsi="宋体" w:cs="宋体"/>
          <w:color w:val="auto"/>
          <w:highlight w:val="none"/>
        </w:rPr>
        <w:t>②</w:t>
      </w:r>
      <w:r>
        <w:rPr>
          <w:rFonts w:hint="eastAsia"/>
          <w:color w:val="auto"/>
          <w:highlight w:val="none"/>
        </w:rPr>
        <w:t>号机组，第Ⅲ段母线接自</w:t>
      </w:r>
      <w:r>
        <w:rPr>
          <w:rFonts w:hint="eastAsia" w:ascii="宋体" w:hAnsi="宋体" w:cs="宋体"/>
          <w:color w:val="auto"/>
          <w:highlight w:val="none"/>
        </w:rPr>
        <w:t>③</w:t>
      </w:r>
      <w:r>
        <w:rPr>
          <w:rFonts w:hint="eastAsia"/>
          <w:color w:val="auto"/>
          <w:highlight w:val="none"/>
        </w:rPr>
        <w:t>号机组；第</w:t>
      </w:r>
      <w:r>
        <w:rPr>
          <w:rFonts w:hint="eastAsia" w:ascii="宋体" w:hAnsi="宋体"/>
          <w:color w:val="auto"/>
          <w:highlight w:val="none"/>
        </w:rPr>
        <w:t>Ⅳ</w:t>
      </w:r>
      <w:r>
        <w:rPr>
          <w:rFonts w:hint="eastAsia"/>
          <w:color w:val="auto"/>
          <w:highlight w:val="none"/>
        </w:rPr>
        <w:t>段母线接自</w:t>
      </w:r>
      <w:r>
        <w:rPr>
          <w:rFonts w:hint="eastAsia" w:ascii="宋体" w:hAnsi="宋体" w:cs="宋体"/>
          <w:color w:val="auto"/>
          <w:highlight w:val="none"/>
        </w:rPr>
        <w:t>④</w:t>
      </w:r>
      <w:r>
        <w:rPr>
          <w:rFonts w:hint="eastAsia"/>
          <w:color w:val="auto"/>
          <w:highlight w:val="none"/>
        </w:rPr>
        <w:t>号机组；第</w:t>
      </w:r>
      <w:r>
        <w:rPr>
          <w:rFonts w:hint="eastAsia" w:ascii="宋体" w:hAnsi="宋体"/>
          <w:color w:val="auto"/>
          <w:highlight w:val="none"/>
        </w:rPr>
        <w:t>Ⅴ</w:t>
      </w:r>
      <w:r>
        <w:rPr>
          <w:rFonts w:hint="eastAsia"/>
          <w:color w:val="auto"/>
          <w:highlight w:val="none"/>
        </w:rPr>
        <w:t>段母线接外来</w:t>
      </w:r>
      <w:r>
        <w:rPr>
          <w:color w:val="auto"/>
          <w:highlight w:val="none"/>
        </w:rPr>
        <w:t>10kV</w:t>
      </w:r>
      <w:r>
        <w:rPr>
          <w:rFonts w:hint="eastAsia"/>
          <w:color w:val="auto"/>
          <w:highlight w:val="none"/>
        </w:rPr>
        <w:t>备用电源和柴油发电机，作为备用母线。3段母线通过母联断路器连接。正常情况下由第Ⅰ</w:t>
      </w:r>
      <w:r>
        <w:rPr>
          <w:color w:val="auto"/>
          <w:highlight w:val="none"/>
        </w:rPr>
        <w:t>和</w:t>
      </w:r>
      <w:r>
        <w:rPr>
          <w:rFonts w:hint="eastAsia"/>
          <w:color w:val="auto"/>
          <w:highlight w:val="none"/>
        </w:rPr>
        <w:t>Ⅱ段、第Ⅲ</w:t>
      </w:r>
      <w:r>
        <w:rPr>
          <w:color w:val="auto"/>
          <w:highlight w:val="none"/>
        </w:rPr>
        <w:t>和Ⅳ</w:t>
      </w:r>
      <w:r>
        <w:rPr>
          <w:rFonts w:hint="eastAsia"/>
          <w:color w:val="auto"/>
          <w:highlight w:val="none"/>
        </w:rPr>
        <w:t>段母线供电站的全部厂用负荷；在第Ⅰ</w:t>
      </w:r>
      <w:r>
        <w:rPr>
          <w:color w:val="auto"/>
          <w:highlight w:val="none"/>
        </w:rPr>
        <w:t>和</w:t>
      </w:r>
      <w:r>
        <w:rPr>
          <w:rFonts w:hint="eastAsia"/>
          <w:color w:val="auto"/>
          <w:highlight w:val="none"/>
        </w:rPr>
        <w:t>Ⅱ段、第Ⅲ</w:t>
      </w:r>
      <w:r>
        <w:rPr>
          <w:color w:val="auto"/>
          <w:highlight w:val="none"/>
        </w:rPr>
        <w:t>和Ⅳ</w:t>
      </w:r>
      <w:r>
        <w:rPr>
          <w:rFonts w:hint="eastAsia"/>
          <w:color w:val="auto"/>
          <w:highlight w:val="none"/>
        </w:rPr>
        <w:t>段母线失电的情况下，第</w:t>
      </w:r>
      <w:r>
        <w:rPr>
          <w:color w:val="auto"/>
          <w:highlight w:val="none"/>
        </w:rPr>
        <w:t>Ⅴ</w:t>
      </w:r>
      <w:r>
        <w:rPr>
          <w:rFonts w:hint="eastAsia"/>
          <w:color w:val="auto"/>
          <w:highlight w:val="none"/>
        </w:rPr>
        <w:t>段母线投入运行。</w:t>
      </w:r>
    </w:p>
    <w:p>
      <w:pPr>
        <w:pStyle w:val="76"/>
        <w:rPr>
          <w:color w:val="auto"/>
          <w:highlight w:val="none"/>
        </w:rPr>
      </w:pPr>
      <w:r>
        <w:rPr>
          <w:color w:val="auto"/>
          <w:highlight w:val="none"/>
        </w:rPr>
        <w:t>机组换相开关设在发电机断路器外侧，在发电机断路器两侧接有起动隔离开关。全厂设置</w:t>
      </w:r>
      <w:r>
        <w:rPr>
          <w:rFonts w:hint="eastAsia"/>
          <w:color w:val="auto"/>
          <w:highlight w:val="none"/>
        </w:rPr>
        <w:t>两</w:t>
      </w:r>
      <w:r>
        <w:rPr>
          <w:color w:val="auto"/>
          <w:highlight w:val="none"/>
        </w:rPr>
        <w:t>套变频起动装置供机组电动工况起动用，同时</w:t>
      </w:r>
      <w:r>
        <w:rPr>
          <w:rFonts w:hint="eastAsia"/>
          <w:color w:val="auto"/>
          <w:highlight w:val="none"/>
        </w:rPr>
        <w:t>互为</w:t>
      </w:r>
      <w:r>
        <w:rPr>
          <w:color w:val="auto"/>
          <w:highlight w:val="none"/>
        </w:rPr>
        <w:t>备用。起动回路接线可以</w:t>
      </w:r>
      <w:r>
        <w:rPr>
          <w:rFonts w:hint="eastAsia"/>
          <w:color w:val="auto"/>
          <w:highlight w:val="none"/>
        </w:rPr>
        <w:t>同时起动2台机组或逐台连续起动4台机组</w:t>
      </w:r>
      <w:r>
        <w:rPr>
          <w:color w:val="auto"/>
          <w:highlight w:val="none"/>
        </w:rPr>
        <w:t>。变频起动装置电源分别从1#、3#主变低压侧引接以及2#、4#主变低压侧引接。</w:t>
      </w:r>
    </w:p>
    <w:p>
      <w:pPr>
        <w:pStyle w:val="76"/>
        <w:rPr>
          <w:color w:val="auto"/>
          <w:highlight w:val="none"/>
        </w:rPr>
      </w:pPr>
      <w:r>
        <w:rPr>
          <w:rFonts w:hint="eastAsia"/>
          <w:color w:val="auto"/>
          <w:highlight w:val="none"/>
        </w:rPr>
        <w:t>每台机组设电制动短路开关，机组正常制动停机时，电制动和机械制动装置联合使用。</w:t>
      </w:r>
    </w:p>
    <w:p>
      <w:pPr>
        <w:pStyle w:val="132"/>
        <w:rPr>
          <w:color w:val="auto"/>
          <w:highlight w:val="none"/>
        </w:rPr>
      </w:pPr>
      <w:bookmarkStart w:id="203" w:name="_Toc6641"/>
      <w:bookmarkStart w:id="204" w:name="_Toc387821648"/>
      <w:r>
        <w:rPr>
          <w:color w:val="auto"/>
          <w:highlight w:val="none"/>
        </w:rPr>
        <w:t xml:space="preserve">9.1.2  </w:t>
      </w:r>
      <w:r>
        <w:rPr>
          <w:rFonts w:hint="eastAsia"/>
          <w:color w:val="auto"/>
          <w:highlight w:val="none"/>
        </w:rPr>
        <w:t>电气设备布置</w:t>
      </w:r>
      <w:bookmarkEnd w:id="203"/>
      <w:bookmarkEnd w:id="204"/>
    </w:p>
    <w:p>
      <w:pPr>
        <w:pStyle w:val="76"/>
        <w:rPr>
          <w:color w:val="auto"/>
          <w:highlight w:val="none"/>
        </w:rPr>
      </w:pPr>
      <w:r>
        <w:rPr>
          <w:rFonts w:hint="eastAsia"/>
          <w:color w:val="auto"/>
          <w:highlight w:val="none"/>
        </w:rPr>
        <w:t>地下主厂房内分别安装4台机组。发电机层布置机组自用电配电柜、机旁盘等设备。母线层布置发电电动机主引出线、中性点设备柜等设备。水轮机层下游侧布置推力轴承外循环油冷却器、电缆通道、机组动力及仪表柜。4条母线洞高程与母线层一致，每条洞布置主回路和部分分支回路的离相封闭母线、发电机断路器单元、换相开关单元、电制动短路断路器、励磁变压器、电压互感器柜、部分起动母线等。</w:t>
      </w:r>
    </w:p>
    <w:p>
      <w:pPr>
        <w:pStyle w:val="76"/>
        <w:rPr>
          <w:color w:val="auto"/>
          <w:highlight w:val="none"/>
        </w:rPr>
      </w:pPr>
      <w:r>
        <w:rPr>
          <w:rFonts w:hint="eastAsia"/>
          <w:color w:val="auto"/>
          <w:highlight w:val="none"/>
        </w:rPr>
        <w:t>主变洞位于主厂房洞下游，分三层，第一层为</w:t>
      </w:r>
      <w:r>
        <w:rPr>
          <w:color w:val="auto"/>
          <w:highlight w:val="none"/>
        </w:rPr>
        <w:t>529.000</w:t>
      </w:r>
      <w:r>
        <w:rPr>
          <w:rFonts w:hint="eastAsia"/>
          <w:color w:val="auto"/>
          <w:highlight w:val="none"/>
        </w:rPr>
        <w:t>m高程，布置</w:t>
      </w:r>
      <w:r>
        <w:rPr>
          <w:color w:val="auto"/>
          <w:highlight w:val="none"/>
        </w:rPr>
        <w:t>4</w:t>
      </w:r>
      <w:r>
        <w:rPr>
          <w:rFonts w:hint="eastAsia"/>
          <w:color w:val="auto"/>
          <w:highlight w:val="none"/>
        </w:rPr>
        <w:t>台变压器及主变搬运道、变频装置输入</w:t>
      </w:r>
      <w:r>
        <w:rPr>
          <w:color w:val="auto"/>
          <w:highlight w:val="none"/>
        </w:rPr>
        <w:t>\</w:t>
      </w:r>
      <w:r>
        <w:rPr>
          <w:rFonts w:hint="eastAsia"/>
          <w:color w:val="auto"/>
          <w:highlight w:val="none"/>
        </w:rPr>
        <w:t>输出变压器、</w:t>
      </w:r>
      <w:r>
        <w:rPr>
          <w:color w:val="auto"/>
          <w:highlight w:val="none"/>
        </w:rPr>
        <w:t>4</w:t>
      </w:r>
      <w:r>
        <w:rPr>
          <w:rFonts w:hint="eastAsia"/>
          <w:color w:val="auto"/>
          <w:highlight w:val="none"/>
        </w:rPr>
        <w:t>组高压厂用变压器等设备。第二层</w:t>
      </w:r>
      <w:r>
        <w:rPr>
          <w:color w:val="auto"/>
          <w:highlight w:val="none"/>
        </w:rPr>
        <w:t>537.000m</w:t>
      </w:r>
      <w:r>
        <w:rPr>
          <w:rFonts w:hint="eastAsia"/>
          <w:color w:val="auto"/>
          <w:highlight w:val="none"/>
        </w:rPr>
        <w:t>高程，布置洞内</w:t>
      </w:r>
      <w:r>
        <w:rPr>
          <w:color w:val="auto"/>
          <w:highlight w:val="none"/>
        </w:rPr>
        <w:t>GIS</w:t>
      </w:r>
      <w:r>
        <w:rPr>
          <w:rFonts w:hint="eastAsia"/>
          <w:color w:val="auto"/>
          <w:highlight w:val="none"/>
        </w:rPr>
        <w:t>设备、</w:t>
      </w:r>
      <w:r>
        <w:rPr>
          <w:color w:val="auto"/>
          <w:highlight w:val="none"/>
        </w:rPr>
        <w:t>220kV</w:t>
      </w:r>
      <w:r>
        <w:rPr>
          <w:rFonts w:hint="eastAsia"/>
          <w:color w:val="auto"/>
          <w:highlight w:val="none"/>
        </w:rPr>
        <w:t>电缆终端、限流电抗器、变频装置等设备。第三层</w:t>
      </w:r>
      <w:r>
        <w:rPr>
          <w:color w:val="auto"/>
          <w:highlight w:val="none"/>
        </w:rPr>
        <w:t>544.600</w:t>
      </w:r>
      <w:r>
        <w:rPr>
          <w:rFonts w:hint="eastAsia"/>
          <w:color w:val="auto"/>
          <w:highlight w:val="none"/>
        </w:rPr>
        <w:t>高程，布置风机等设备。主变洞内主变及各设备可以通过主变运输廊道或通过连接主厂房安装场与主变洞的交通洞，运至各相应位置。</w:t>
      </w:r>
    </w:p>
    <w:p>
      <w:pPr>
        <w:pStyle w:val="76"/>
        <w:rPr>
          <w:color w:val="auto"/>
          <w:highlight w:val="none"/>
        </w:rPr>
      </w:pPr>
      <w:r>
        <w:rPr>
          <w:rFonts w:hint="eastAsia"/>
          <w:color w:val="auto"/>
          <w:highlight w:val="none"/>
        </w:rPr>
        <w:t>副厂房段自下至上共设</w:t>
      </w:r>
      <w:r>
        <w:rPr>
          <w:color w:val="auto"/>
          <w:highlight w:val="none"/>
        </w:rPr>
        <w:t>10</w:t>
      </w:r>
      <w:r>
        <w:rPr>
          <w:rFonts w:hint="eastAsia"/>
          <w:color w:val="auto"/>
          <w:highlight w:val="none"/>
        </w:rPr>
        <w:t>层，高程及每层布置见</w:t>
      </w:r>
      <w:bookmarkStart w:id="205" w:name="_Hlk67775867"/>
      <w:r>
        <w:rPr>
          <w:rFonts w:hint="eastAsia"/>
          <w:color w:val="auto"/>
          <w:highlight w:val="none"/>
        </w:rPr>
        <w:t>表</w:t>
      </w:r>
      <w:r>
        <w:rPr>
          <w:color w:val="auto"/>
          <w:highlight w:val="none"/>
        </w:rPr>
        <w:t>9.1.2-</w:t>
      </w:r>
      <w:bookmarkEnd w:id="205"/>
      <w:r>
        <w:rPr>
          <w:color w:val="auto"/>
          <w:highlight w:val="none"/>
        </w:rPr>
        <w:t>1</w:t>
      </w:r>
      <w:r>
        <w:rPr>
          <w:rFonts w:hint="eastAsia"/>
          <w:color w:val="auto"/>
          <w:highlight w:val="none"/>
        </w:rPr>
        <w:t>。</w:t>
      </w:r>
    </w:p>
    <w:p>
      <w:pPr>
        <w:pStyle w:val="76"/>
        <w:ind w:firstLine="0" w:firstLineChars="0"/>
        <w:jc w:val="center"/>
        <w:rPr>
          <w:color w:val="auto"/>
          <w:highlight w:val="none"/>
        </w:rPr>
      </w:pPr>
      <w:r>
        <w:rPr>
          <w:rFonts w:hint="eastAsia"/>
          <w:color w:val="auto"/>
          <w:highlight w:val="none"/>
        </w:rPr>
        <w:t>表</w:t>
      </w:r>
      <w:r>
        <w:rPr>
          <w:color w:val="auto"/>
          <w:highlight w:val="none"/>
        </w:rPr>
        <w:t>9.2.2-</w:t>
      </w:r>
      <w:r>
        <w:rPr>
          <w:rFonts w:hint="eastAsia"/>
          <w:color w:val="auto"/>
          <w:highlight w:val="none"/>
        </w:rPr>
        <w:t>1</w:t>
      </w:r>
      <w:r>
        <w:rPr>
          <w:color w:val="auto"/>
          <w:highlight w:val="none"/>
        </w:rPr>
        <w:t xml:space="preserve">  </w:t>
      </w:r>
      <w:r>
        <w:rPr>
          <w:rFonts w:hint="eastAsia"/>
          <w:color w:val="auto"/>
          <w:highlight w:val="none"/>
        </w:rPr>
        <w:t>副厂房各层布置</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316"/>
        <w:gridCol w:w="55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部位</w:t>
            </w:r>
          </w:p>
        </w:tc>
        <w:tc>
          <w:tcPr>
            <w:tcW w:w="131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高程</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用</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第一层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500.400m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bidi="ar"/>
              </w:rPr>
              <w:t>油污水处理室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第二层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508.300m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透平油室、中压气机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第三层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516.200m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透平油处理设备室、冷水机房</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第四层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522.500m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公用厂用变室、自动化工作间、电气工具间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第五层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526.000m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电缆层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第六层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529.000m</w:t>
            </w:r>
          </w:p>
        </w:tc>
        <w:tc>
          <w:tcPr>
            <w:tcW w:w="551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400V</w:t>
            </w:r>
            <w:r>
              <w:rPr>
                <w:rFonts w:hint="eastAsia" w:ascii="Times New Roman" w:hAnsi="Times New Roman" w:cs="Times New Roman"/>
                <w:color w:val="auto"/>
                <w:szCs w:val="21"/>
                <w:highlight w:val="none"/>
              </w:rPr>
              <w:t>厂用主盘室、</w:t>
            </w:r>
            <w:r>
              <w:rPr>
                <w:rFonts w:ascii="Times New Roman" w:hAnsi="Times New Roman" w:cs="Times New Roman"/>
                <w:color w:val="auto"/>
                <w:szCs w:val="21"/>
                <w:highlight w:val="none"/>
              </w:rPr>
              <w:t>10kV</w:t>
            </w:r>
            <w:r>
              <w:rPr>
                <w:rFonts w:hint="eastAsia" w:ascii="Times New Roman" w:hAnsi="Times New Roman" w:cs="Times New Roman"/>
                <w:color w:val="auto"/>
                <w:szCs w:val="21"/>
                <w:highlight w:val="none"/>
              </w:rPr>
              <w:t>开关柜室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第七层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534.400m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调试监控室、二次盘柜室、运行管理间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第八层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540.400m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直流屏室、蓄电池室、通信设备室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第九层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545.800m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蓄电池室、通信设备室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51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第十层</w:t>
            </w:r>
          </w:p>
        </w:tc>
        <w:tc>
          <w:tcPr>
            <w:tcW w:w="131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548.800m</w:t>
            </w:r>
          </w:p>
        </w:tc>
        <w:tc>
          <w:tcPr>
            <w:tcW w:w="551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空调设备室</w:t>
            </w:r>
          </w:p>
        </w:tc>
      </w:tr>
    </w:tbl>
    <w:p>
      <w:pPr>
        <w:rPr>
          <w:color w:val="auto"/>
          <w:highlight w:val="none"/>
        </w:rPr>
      </w:pPr>
    </w:p>
    <w:p>
      <w:pPr>
        <w:pStyle w:val="76"/>
        <w:rPr>
          <w:color w:val="auto"/>
          <w:highlight w:val="none"/>
        </w:rPr>
      </w:pPr>
      <w:r>
        <w:rPr>
          <w:color w:val="auto"/>
          <w:highlight w:val="none"/>
        </w:rPr>
        <w:t>22</w:t>
      </w:r>
      <w:r>
        <w:rPr>
          <w:rFonts w:hint="eastAsia"/>
          <w:color w:val="auto"/>
          <w:highlight w:val="none"/>
        </w:rPr>
        <w:t>0kV电缆从主变洞中部通过</w:t>
      </w:r>
      <w:r>
        <w:rPr>
          <w:color w:val="auto"/>
          <w:highlight w:val="none"/>
        </w:rPr>
        <w:t>22</w:t>
      </w:r>
      <w:r>
        <w:rPr>
          <w:rFonts w:hint="eastAsia"/>
          <w:color w:val="auto"/>
          <w:highlight w:val="none"/>
        </w:rPr>
        <w:t>0kV电缆平洞引至地面GIS开关站，高压电缆洞内两回路6根电缆。</w:t>
      </w:r>
    </w:p>
    <w:p>
      <w:pPr>
        <w:pStyle w:val="76"/>
        <w:rPr>
          <w:color w:val="auto"/>
          <w:highlight w:val="none"/>
        </w:rPr>
      </w:pPr>
      <w:r>
        <w:rPr>
          <w:rFonts w:hint="eastAsia"/>
          <w:color w:val="auto"/>
          <w:highlight w:val="none"/>
        </w:rPr>
        <w:t>地面</w:t>
      </w:r>
      <w:r>
        <w:rPr>
          <w:color w:val="auto"/>
          <w:highlight w:val="none"/>
        </w:rPr>
        <w:t>22</w:t>
      </w:r>
      <w:r>
        <w:rPr>
          <w:rFonts w:hint="eastAsia"/>
          <w:color w:val="auto"/>
          <w:highlight w:val="none"/>
        </w:rPr>
        <w:t>0kV开关站分为GIS楼和户外出线场两部分，GIS楼内布置GIS室和继保楼，第一层布置电缆层等，第二层布置GIS室、站用低压配电室、继电保护室，第三层布置继电保护试验室、蓄电池室、通信设备室等。</w:t>
      </w:r>
    </w:p>
    <w:p>
      <w:pPr>
        <w:pStyle w:val="62"/>
        <w:rPr>
          <w:color w:val="auto"/>
          <w:highlight w:val="none"/>
        </w:rPr>
      </w:pPr>
      <w:bookmarkStart w:id="206" w:name="_Toc5394"/>
      <w:bookmarkStart w:id="207" w:name="_Toc9585"/>
      <w:bookmarkStart w:id="208" w:name="_Toc24733"/>
      <w:bookmarkStart w:id="209" w:name="_Toc114042616"/>
      <w:r>
        <w:rPr>
          <w:rFonts w:hint="eastAsia"/>
          <w:color w:val="auto"/>
          <w:highlight w:val="none"/>
        </w:rPr>
        <w:t>9</w:t>
      </w:r>
      <w:r>
        <w:rPr>
          <w:color w:val="auto"/>
          <w:highlight w:val="none"/>
        </w:rPr>
        <w:t>.</w:t>
      </w:r>
      <w:r>
        <w:rPr>
          <w:rFonts w:hint="eastAsia"/>
          <w:color w:val="auto"/>
          <w:highlight w:val="none"/>
        </w:rPr>
        <w:t>2</w:t>
      </w:r>
      <w:r>
        <w:rPr>
          <w:color w:val="auto"/>
          <w:highlight w:val="none"/>
        </w:rPr>
        <w:t xml:space="preserve">  </w:t>
      </w:r>
      <w:r>
        <w:rPr>
          <w:rFonts w:hint="eastAsia"/>
          <w:color w:val="auto"/>
          <w:highlight w:val="none"/>
        </w:rPr>
        <w:t>主要技术特性</w:t>
      </w:r>
      <w:bookmarkEnd w:id="206"/>
      <w:bookmarkEnd w:id="207"/>
      <w:bookmarkEnd w:id="208"/>
      <w:bookmarkEnd w:id="209"/>
    </w:p>
    <w:p>
      <w:pPr>
        <w:pStyle w:val="132"/>
        <w:rPr>
          <w:color w:val="auto"/>
          <w:highlight w:val="none"/>
        </w:rPr>
      </w:pPr>
      <w:bookmarkStart w:id="210" w:name="_Toc387821650"/>
      <w:bookmarkStart w:id="211" w:name="_Toc28482"/>
      <w:r>
        <w:rPr>
          <w:color w:val="auto"/>
          <w:highlight w:val="none"/>
        </w:rPr>
        <w:t>9.2.1</w:t>
      </w:r>
      <w:r>
        <w:rPr>
          <w:rFonts w:hint="eastAsia"/>
          <w:color w:val="auto"/>
          <w:highlight w:val="none"/>
        </w:rPr>
        <w:t xml:space="preserve">  离相封闭母线及配套设备</w:t>
      </w:r>
      <w:bookmarkEnd w:id="210"/>
      <w:r>
        <w:rPr>
          <w:rFonts w:hint="eastAsia"/>
          <w:color w:val="auto"/>
          <w:highlight w:val="none"/>
        </w:rPr>
        <w:t>技术特性</w:t>
      </w:r>
      <w:bookmarkEnd w:id="211"/>
    </w:p>
    <w:p>
      <w:pPr>
        <w:pStyle w:val="76"/>
        <w:rPr>
          <w:color w:val="auto"/>
          <w:highlight w:val="none"/>
        </w:rPr>
      </w:pPr>
      <w:r>
        <w:rPr>
          <w:rFonts w:hint="eastAsia"/>
          <w:color w:val="auto"/>
          <w:highlight w:val="none"/>
        </w:rPr>
        <w:t>离相封闭母线及配套设备包括4台发电电动机至主变压器低压侧的离相封闭母线(包括主回路离相封闭母线、分支回路离相封闭母线、起动回路离相封闭母线)</w:t>
      </w:r>
      <w:r>
        <w:rPr>
          <w:color w:val="auto"/>
          <w:highlight w:val="none"/>
        </w:rPr>
        <w:t xml:space="preserve"> </w:t>
      </w:r>
      <w:r>
        <w:rPr>
          <w:rFonts w:hint="eastAsia"/>
          <w:color w:val="auto"/>
          <w:highlight w:val="none"/>
        </w:rPr>
        <w:t>、电流互感器、发电机出口电压互感器柜、电压互感器避雷器柜、电容器、接地开关等。</w:t>
      </w:r>
    </w:p>
    <w:p>
      <w:pPr>
        <w:pStyle w:val="76"/>
        <w:ind w:firstLine="426"/>
        <w:rPr>
          <w:b/>
          <w:bCs/>
          <w:color w:val="auto"/>
          <w:highlight w:val="none"/>
        </w:rPr>
      </w:pPr>
      <w:r>
        <w:rPr>
          <w:rFonts w:hint="eastAsia"/>
          <w:b/>
          <w:bCs/>
          <w:color w:val="auto"/>
          <w:highlight w:val="none"/>
        </w:rPr>
        <w:t>本系统由发包人提供的主要设备清单如下，供报价参考：</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3113"/>
        <w:gridCol w:w="1931"/>
        <w:gridCol w:w="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离相封闭母线主回路</w:t>
            </w:r>
          </w:p>
        </w:tc>
        <w:tc>
          <w:tcPr>
            <w:tcW w:w="3113" w:type="dxa"/>
            <w:vAlign w:val="center"/>
          </w:tcPr>
          <w:p>
            <w:pPr>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12500A,</w:t>
            </w:r>
            <w:r>
              <w:rPr>
                <w:rFonts w:hint="eastAsia" w:ascii="Times New Roman" w:hAnsi="Times New Roman" w:cs="Times New Roman"/>
                <w:color w:val="auto"/>
                <w:szCs w:val="21"/>
                <w:highlight w:val="none"/>
              </w:rPr>
              <w:t>约</w:t>
            </w:r>
            <w:r>
              <w:rPr>
                <w:rFonts w:ascii="Times New Roman" w:hAnsi="Times New Roman" w:cs="Times New Roman"/>
                <w:color w:val="auto"/>
                <w:szCs w:val="21"/>
                <w:highlight w:val="none"/>
              </w:rPr>
              <w:t>1000</w:t>
            </w:r>
            <w:r>
              <w:rPr>
                <w:rFonts w:hint="eastAsia" w:ascii="Times New Roman" w:hAnsi="Times New Roman" w:cs="Times New Roman"/>
                <w:color w:val="auto"/>
                <w:szCs w:val="21"/>
                <w:highlight w:val="none"/>
              </w:rPr>
              <w:t>米</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离相封闭母线分支回路</w:t>
            </w:r>
          </w:p>
        </w:tc>
        <w:tc>
          <w:tcPr>
            <w:tcW w:w="3113" w:type="dxa"/>
            <w:vAlign w:val="center"/>
          </w:tcPr>
          <w:p>
            <w:pPr>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2000A,</w:t>
            </w:r>
            <w:r>
              <w:rPr>
                <w:rFonts w:hint="eastAsia" w:ascii="Times New Roman" w:hAnsi="Times New Roman" w:cs="Times New Roman"/>
                <w:color w:val="auto"/>
                <w:szCs w:val="21"/>
                <w:highlight w:val="none"/>
              </w:rPr>
              <w:t>约</w:t>
            </w:r>
            <w:r>
              <w:rPr>
                <w:rFonts w:ascii="Times New Roman" w:hAnsi="Times New Roman" w:cs="Times New Roman"/>
                <w:color w:val="auto"/>
                <w:szCs w:val="21"/>
                <w:highlight w:val="none"/>
              </w:rPr>
              <w:t>600m</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电流互感器</w:t>
            </w:r>
          </w:p>
        </w:tc>
        <w:tc>
          <w:tcPr>
            <w:tcW w:w="3113" w:type="dxa"/>
            <w:vAlign w:val="center"/>
          </w:tcPr>
          <w:p>
            <w:pPr>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15000/1A</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离相封闭母线配套设备</w:t>
            </w:r>
            <w:r>
              <w:rPr>
                <w:rFonts w:ascii="Times New Roman" w:hAnsi="Times New Roman" w:cs="Times New Roman"/>
                <w:color w:val="auto"/>
                <w:szCs w:val="21"/>
                <w:highlight w:val="none"/>
              </w:rPr>
              <w:t>18kV PT</w:t>
            </w:r>
            <w:r>
              <w:rPr>
                <w:rFonts w:hint="eastAsia" w:ascii="Times New Roman" w:hAnsi="Times New Roman" w:cs="Times New Roman"/>
                <w:color w:val="auto"/>
                <w:szCs w:val="21"/>
                <w:highlight w:val="none"/>
              </w:rPr>
              <w:t>柜</w:t>
            </w:r>
          </w:p>
        </w:tc>
        <w:tc>
          <w:tcPr>
            <w:tcW w:w="3113"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内装</w:t>
            </w:r>
            <w:r>
              <w:rPr>
                <w:rFonts w:ascii="Times New Roman" w:hAnsi="Times New Roman" w:cs="Times New Roman"/>
                <w:color w:val="auto"/>
                <w:szCs w:val="21"/>
                <w:highlight w:val="none"/>
              </w:rPr>
              <w:t>3</w:t>
            </w:r>
            <w:r>
              <w:rPr>
                <w:rFonts w:hint="eastAsia" w:ascii="Times New Roman" w:hAnsi="Times New Roman" w:cs="Times New Roman"/>
                <w:color w:val="auto"/>
                <w:szCs w:val="21"/>
                <w:highlight w:val="none"/>
              </w:rPr>
              <w:t>组</w:t>
            </w:r>
            <w:r>
              <w:rPr>
                <w:rFonts w:ascii="Times New Roman" w:hAnsi="Times New Roman" w:cs="Times New Roman"/>
                <w:color w:val="auto"/>
                <w:szCs w:val="21"/>
                <w:highlight w:val="none"/>
              </w:rPr>
              <w:t>PT</w:t>
            </w:r>
            <w:r>
              <w:rPr>
                <w:rFonts w:hint="eastAsia" w:ascii="Times New Roman" w:hAnsi="Times New Roman" w:cs="Times New Roman"/>
                <w:color w:val="auto"/>
                <w:szCs w:val="21"/>
                <w:highlight w:val="none"/>
              </w:rPr>
              <w:t>，带熔断器</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台</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离相封闭母线配套设备</w:t>
            </w:r>
            <w:r>
              <w:rPr>
                <w:rFonts w:ascii="Times New Roman" w:hAnsi="Times New Roman" w:cs="Times New Roman"/>
                <w:color w:val="auto"/>
                <w:szCs w:val="21"/>
                <w:highlight w:val="none"/>
              </w:rPr>
              <w:t>18kV PT</w:t>
            </w:r>
            <w:r>
              <w:rPr>
                <w:rFonts w:hint="eastAsia" w:ascii="Times New Roman" w:hAnsi="Times New Roman" w:cs="Times New Roman"/>
                <w:color w:val="auto"/>
                <w:szCs w:val="21"/>
                <w:highlight w:val="none"/>
              </w:rPr>
              <w:t>避雷器柜</w:t>
            </w:r>
          </w:p>
        </w:tc>
        <w:tc>
          <w:tcPr>
            <w:tcW w:w="3113"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内装</w:t>
            </w:r>
            <w:r>
              <w:rPr>
                <w:rFonts w:ascii="Times New Roman" w:hAnsi="Times New Roman" w:cs="Times New Roman"/>
                <w:color w:val="auto"/>
                <w:szCs w:val="21"/>
                <w:highlight w:val="none"/>
              </w:rPr>
              <w:t>2</w:t>
            </w:r>
            <w:r>
              <w:rPr>
                <w:rFonts w:hint="eastAsia" w:ascii="Times New Roman" w:hAnsi="Times New Roman" w:cs="Times New Roman"/>
                <w:color w:val="auto"/>
                <w:szCs w:val="21"/>
                <w:highlight w:val="none"/>
              </w:rPr>
              <w:t>组</w:t>
            </w:r>
            <w:r>
              <w:rPr>
                <w:rFonts w:ascii="Times New Roman" w:hAnsi="Times New Roman" w:cs="Times New Roman"/>
                <w:color w:val="auto"/>
                <w:szCs w:val="21"/>
                <w:highlight w:val="none"/>
              </w:rPr>
              <w:t>PT</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组避雷器</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台</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空气循环干燥装置</w:t>
            </w:r>
          </w:p>
        </w:tc>
        <w:tc>
          <w:tcPr>
            <w:tcW w:w="3113" w:type="dxa"/>
            <w:vAlign w:val="center"/>
          </w:tcPr>
          <w:p>
            <w:pPr>
              <w:widowControl/>
              <w:rPr>
                <w:rFonts w:ascii="Times New Roman" w:hAnsi="Times New Roman" w:cs="Times New Roman"/>
                <w:color w:val="auto"/>
                <w:szCs w:val="21"/>
                <w:highlight w:val="none"/>
              </w:rPr>
            </w:pP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离相封闭母线配套设备其他</w:t>
            </w:r>
          </w:p>
        </w:tc>
        <w:tc>
          <w:tcPr>
            <w:tcW w:w="3113"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测温装置等</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发电机断路器与换相隔离开关的检修平台、灭弧室吊梁、围栏及通道</w:t>
            </w:r>
          </w:p>
        </w:tc>
        <w:tc>
          <w:tcPr>
            <w:tcW w:w="3113" w:type="dxa"/>
            <w:vAlign w:val="center"/>
          </w:tcPr>
          <w:p>
            <w:pPr>
              <w:widowControl/>
              <w:rPr>
                <w:rFonts w:ascii="Times New Roman" w:hAnsi="Times New Roman" w:cs="Times New Roman"/>
                <w:color w:val="auto"/>
                <w:szCs w:val="21"/>
                <w:highlight w:val="none"/>
              </w:rPr>
            </w:pPr>
          </w:p>
        </w:tc>
        <w:tc>
          <w:tcPr>
            <w:tcW w:w="1931"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 w:val="24"/>
                <w:szCs w:val="24"/>
                <w:highlight w:val="none"/>
              </w:rPr>
              <w:t>套</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 w:val="24"/>
                <w:szCs w:val="24"/>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起动刀隔离开关检修平台、围栏及通道</w:t>
            </w:r>
          </w:p>
        </w:tc>
        <w:tc>
          <w:tcPr>
            <w:tcW w:w="3113" w:type="dxa"/>
            <w:vAlign w:val="center"/>
          </w:tcPr>
          <w:p>
            <w:pPr>
              <w:widowControl/>
              <w:rPr>
                <w:rFonts w:ascii="Times New Roman" w:hAnsi="Times New Roman" w:cs="Times New Roman"/>
                <w:color w:val="auto"/>
                <w:szCs w:val="21"/>
                <w:highlight w:val="none"/>
              </w:rPr>
            </w:pPr>
          </w:p>
        </w:tc>
        <w:tc>
          <w:tcPr>
            <w:tcW w:w="1931"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 w:val="24"/>
                <w:szCs w:val="24"/>
                <w:highlight w:val="none"/>
              </w:rPr>
              <w:t>套</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 w:val="24"/>
                <w:szCs w:val="24"/>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5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支架、吊杆、连接件、接地线等</w:t>
            </w:r>
          </w:p>
        </w:tc>
        <w:tc>
          <w:tcPr>
            <w:tcW w:w="3113"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支架、吊杆、连接件、接地线等</w:t>
            </w:r>
          </w:p>
        </w:tc>
        <w:tc>
          <w:tcPr>
            <w:tcW w:w="1931"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948"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bl>
    <w:p>
      <w:pPr>
        <w:pStyle w:val="76"/>
        <w:rPr>
          <w:color w:val="auto"/>
          <w:highlight w:val="none"/>
        </w:rPr>
      </w:pPr>
      <w:r>
        <w:rPr>
          <w:rFonts w:hint="eastAsia"/>
          <w:color w:val="auto"/>
          <w:highlight w:val="none"/>
        </w:rPr>
        <w:t>离相封闭母线与主变压器低压侧的安装属于本标范围。</w:t>
      </w:r>
    </w:p>
    <w:p>
      <w:pPr>
        <w:pStyle w:val="67"/>
        <w:rPr>
          <w:rFonts w:hint="eastAsia"/>
          <w:color w:val="auto"/>
          <w:highlight w:val="none"/>
        </w:rPr>
      </w:pPr>
      <w:bookmarkStart w:id="212" w:name="_Toc387821651"/>
      <w:r>
        <w:rPr>
          <w:color w:val="auto"/>
          <w:highlight w:val="none"/>
        </w:rPr>
        <w:t>9.2.1.1  离相封闭母线</w:t>
      </w:r>
      <w:bookmarkEnd w:id="212"/>
    </w:p>
    <w:p>
      <w:pPr>
        <w:pStyle w:val="76"/>
        <w:rPr>
          <w:color w:val="auto"/>
          <w:highlight w:val="none"/>
        </w:rPr>
      </w:pPr>
      <w:r>
        <w:rPr>
          <w:color w:val="auto"/>
          <w:highlight w:val="none"/>
        </w:rPr>
        <w:t>(1)</w:t>
      </w:r>
      <w:r>
        <w:rPr>
          <w:rFonts w:hint="eastAsia"/>
          <w:color w:val="auto"/>
          <w:highlight w:val="none"/>
        </w:rPr>
        <w:t xml:space="preserve"> 型式：自然冷却、三相、全连式</w:t>
      </w:r>
    </w:p>
    <w:p>
      <w:pPr>
        <w:pStyle w:val="76"/>
        <w:rPr>
          <w:color w:val="auto"/>
          <w:highlight w:val="none"/>
        </w:rPr>
      </w:pPr>
      <w:r>
        <w:rPr>
          <w:color w:val="auto"/>
          <w:highlight w:val="none"/>
        </w:rPr>
        <w:t xml:space="preserve">(2) </w:t>
      </w:r>
      <w:r>
        <w:rPr>
          <w:rFonts w:hint="eastAsia"/>
          <w:color w:val="auto"/>
          <w:highlight w:val="none"/>
        </w:rPr>
        <w:t>范围</w:t>
      </w:r>
    </w:p>
    <w:p>
      <w:pPr>
        <w:pStyle w:val="76"/>
        <w:rPr>
          <w:color w:val="auto"/>
          <w:highlight w:val="none"/>
        </w:rPr>
      </w:pPr>
      <w:bookmarkStart w:id="213" w:name="_Toc1633078"/>
      <w:r>
        <w:rPr>
          <w:color w:val="auto"/>
          <w:highlight w:val="none"/>
        </w:rPr>
        <w:t xml:space="preserve">1) </w:t>
      </w:r>
      <w:r>
        <w:rPr>
          <w:rFonts w:hint="eastAsia"/>
          <w:color w:val="auto"/>
          <w:highlight w:val="none"/>
        </w:rPr>
        <w:t>主回路：</w:t>
      </w:r>
      <w:bookmarkEnd w:id="213"/>
    </w:p>
    <w:p>
      <w:pPr>
        <w:pStyle w:val="76"/>
        <w:rPr>
          <w:color w:val="auto"/>
          <w:highlight w:val="none"/>
        </w:rPr>
      </w:pPr>
      <w:bookmarkStart w:id="214" w:name="_Toc524940457"/>
      <w:bookmarkStart w:id="215" w:name="_Toc1633079"/>
      <w:r>
        <w:rPr>
          <w:rFonts w:hint="eastAsia"/>
          <w:color w:val="auto"/>
          <w:highlight w:val="none"/>
        </w:rPr>
        <w:t>4台发电电动机至主变压器低压侧</w:t>
      </w:r>
      <w:bookmarkEnd w:id="214"/>
      <w:bookmarkEnd w:id="215"/>
    </w:p>
    <w:p>
      <w:pPr>
        <w:pStyle w:val="76"/>
        <w:rPr>
          <w:color w:val="auto"/>
          <w:highlight w:val="none"/>
        </w:rPr>
      </w:pPr>
      <w:bookmarkStart w:id="216" w:name="_Toc1633080"/>
      <w:r>
        <w:rPr>
          <w:color w:val="auto"/>
          <w:highlight w:val="none"/>
        </w:rPr>
        <w:t xml:space="preserve">2) </w:t>
      </w:r>
      <w:r>
        <w:rPr>
          <w:rFonts w:hint="eastAsia"/>
          <w:color w:val="auto"/>
          <w:highlight w:val="none"/>
        </w:rPr>
        <w:t>分支回路：</w:t>
      </w:r>
      <w:bookmarkEnd w:id="216"/>
    </w:p>
    <w:p>
      <w:pPr>
        <w:pStyle w:val="76"/>
        <w:rPr>
          <w:color w:val="auto"/>
          <w:highlight w:val="none"/>
        </w:rPr>
      </w:pPr>
      <w:r>
        <w:rPr>
          <w:rFonts w:hint="eastAsia"/>
          <w:color w:val="auto"/>
          <w:highlight w:val="none"/>
        </w:rPr>
        <w:t>从主回路至SFC分支限流电抗器输入端、厂用分支限流电抗器输入端。由主回路T接至各设备柜。</w:t>
      </w:r>
    </w:p>
    <w:p>
      <w:pPr>
        <w:pStyle w:val="76"/>
        <w:rPr>
          <w:color w:val="auto"/>
          <w:highlight w:val="none"/>
        </w:rPr>
      </w:pPr>
      <w:r>
        <w:rPr>
          <w:color w:val="auto"/>
          <w:highlight w:val="none"/>
        </w:rPr>
        <w:t xml:space="preserve">(3) </w:t>
      </w:r>
      <w:r>
        <w:rPr>
          <w:rFonts w:hint="eastAsia"/>
          <w:color w:val="auto"/>
          <w:highlight w:val="none"/>
        </w:rPr>
        <w:t>内容</w:t>
      </w:r>
    </w:p>
    <w:p>
      <w:pPr>
        <w:pStyle w:val="76"/>
        <w:rPr>
          <w:color w:val="auto"/>
          <w:highlight w:val="none"/>
        </w:rPr>
      </w:pPr>
      <w:r>
        <w:rPr>
          <w:rFonts w:hint="eastAsia"/>
          <w:color w:val="auto"/>
          <w:highlight w:val="none"/>
        </w:rPr>
        <w:t>导体、外壳、伸缩节、波纹管、支持绝缘子、防火隔板以及离相封闭母线内部及与各设备之间的连接。空气循环干燥装置安装、调试。</w:t>
      </w:r>
    </w:p>
    <w:p>
      <w:pPr>
        <w:pStyle w:val="76"/>
        <w:rPr>
          <w:color w:val="auto"/>
          <w:highlight w:val="none"/>
        </w:rPr>
      </w:pPr>
      <w:r>
        <w:rPr>
          <w:rFonts w:hint="eastAsia"/>
          <w:color w:val="auto"/>
          <w:highlight w:val="none"/>
        </w:rPr>
        <w:t>安装、维护离相封闭母线(采用后置式膨胀螺栓方式)</w:t>
      </w:r>
      <w:r>
        <w:rPr>
          <w:color w:val="auto"/>
          <w:highlight w:val="none"/>
        </w:rPr>
        <w:t xml:space="preserve"> </w:t>
      </w:r>
      <w:r>
        <w:rPr>
          <w:rFonts w:hint="eastAsia"/>
          <w:color w:val="auto"/>
          <w:highlight w:val="none"/>
        </w:rPr>
        <w:t>及附属设备所需的埋件及支架结构。</w:t>
      </w:r>
    </w:p>
    <w:p>
      <w:pPr>
        <w:pStyle w:val="76"/>
        <w:rPr>
          <w:color w:val="auto"/>
          <w:highlight w:val="none"/>
        </w:rPr>
      </w:pPr>
      <w:r>
        <w:rPr>
          <w:rFonts w:hint="eastAsia"/>
          <w:color w:val="auto"/>
          <w:highlight w:val="none"/>
        </w:rPr>
        <w:t>主要技术参数见表9</w:t>
      </w:r>
      <w:r>
        <w:rPr>
          <w:color w:val="auto"/>
          <w:highlight w:val="none"/>
        </w:rPr>
        <w:t>.2-3</w:t>
      </w:r>
      <w:r>
        <w:rPr>
          <w:rFonts w:hint="eastAsia"/>
          <w:color w:val="auto"/>
          <w:highlight w:val="none"/>
        </w:rPr>
        <w:t>。</w:t>
      </w:r>
    </w:p>
    <w:p>
      <w:pPr>
        <w:pStyle w:val="76"/>
        <w:jc w:val="center"/>
        <w:rPr>
          <w:color w:val="auto"/>
          <w:highlight w:val="none"/>
        </w:rPr>
      </w:pPr>
      <w:r>
        <w:rPr>
          <w:rFonts w:hint="eastAsia"/>
          <w:color w:val="auto"/>
          <w:highlight w:val="none"/>
        </w:rPr>
        <w:t>表9.2-</w:t>
      </w:r>
      <w:r>
        <w:rPr>
          <w:color w:val="auto"/>
          <w:highlight w:val="none"/>
        </w:rPr>
        <w:t xml:space="preserve">3  </w:t>
      </w:r>
      <w:r>
        <w:rPr>
          <w:rFonts w:hint="eastAsia"/>
          <w:color w:val="auto"/>
          <w:highlight w:val="none"/>
        </w:rPr>
        <w:t>主要技术参数表</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2489"/>
        <w:gridCol w:w="22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设备参数</w:t>
            </w:r>
          </w:p>
        </w:tc>
        <w:tc>
          <w:tcPr>
            <w:tcW w:w="248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主回路</w:t>
            </w:r>
          </w:p>
        </w:tc>
        <w:tc>
          <w:tcPr>
            <w:tcW w:w="225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分支回路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额定电压</w:t>
            </w:r>
          </w:p>
        </w:tc>
        <w:tc>
          <w:tcPr>
            <w:tcW w:w="248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18 kV</w:t>
            </w:r>
          </w:p>
        </w:tc>
        <w:tc>
          <w:tcPr>
            <w:tcW w:w="225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18kV</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设备最高电压</w:t>
            </w:r>
          </w:p>
        </w:tc>
        <w:tc>
          <w:tcPr>
            <w:tcW w:w="248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24 kV</w:t>
            </w:r>
          </w:p>
        </w:tc>
        <w:tc>
          <w:tcPr>
            <w:tcW w:w="225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24 kV</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额定电流</w:t>
            </w:r>
          </w:p>
        </w:tc>
        <w:tc>
          <w:tcPr>
            <w:tcW w:w="248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12500A</w:t>
            </w:r>
          </w:p>
        </w:tc>
        <w:tc>
          <w:tcPr>
            <w:tcW w:w="225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2000A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额定频率</w:t>
            </w:r>
          </w:p>
        </w:tc>
        <w:tc>
          <w:tcPr>
            <w:tcW w:w="248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50Hz</w:t>
            </w:r>
          </w:p>
        </w:tc>
        <w:tc>
          <w:tcPr>
            <w:tcW w:w="225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50Hz</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工作频率</w:t>
            </w:r>
          </w:p>
        </w:tc>
        <w:tc>
          <w:tcPr>
            <w:tcW w:w="2489"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0Hz</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52.5Hz</w:t>
            </w:r>
          </w:p>
        </w:tc>
        <w:tc>
          <w:tcPr>
            <w:tcW w:w="2256" w:type="dxa"/>
            <w:vAlign w:val="center"/>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0Hz</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52.5Hz</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外壳材料</w:t>
            </w:r>
          </w:p>
        </w:tc>
        <w:tc>
          <w:tcPr>
            <w:tcW w:w="248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铝</w:t>
            </w:r>
          </w:p>
        </w:tc>
        <w:tc>
          <w:tcPr>
            <w:tcW w:w="225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导体材料</w:t>
            </w:r>
          </w:p>
        </w:tc>
        <w:tc>
          <w:tcPr>
            <w:tcW w:w="248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铝</w:t>
            </w:r>
          </w:p>
        </w:tc>
        <w:tc>
          <w:tcPr>
            <w:tcW w:w="225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接地方式</w:t>
            </w:r>
          </w:p>
        </w:tc>
        <w:tc>
          <w:tcPr>
            <w:tcW w:w="248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多点接地</w:t>
            </w:r>
          </w:p>
        </w:tc>
        <w:tc>
          <w:tcPr>
            <w:tcW w:w="225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多点接地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67"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长度</w:t>
            </w:r>
          </w:p>
        </w:tc>
        <w:tc>
          <w:tcPr>
            <w:tcW w:w="2489"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约</w:t>
            </w:r>
            <w:r>
              <w:rPr>
                <w:rFonts w:ascii="Times New Roman" w:hAnsi="Times New Roman" w:cs="Times New Roman"/>
                <w:color w:val="auto"/>
                <w:szCs w:val="21"/>
                <w:highlight w:val="none"/>
              </w:rPr>
              <w:t>1000m</w:t>
            </w:r>
          </w:p>
        </w:tc>
        <w:tc>
          <w:tcPr>
            <w:tcW w:w="2256" w:type="dxa"/>
            <w:vAlign w:val="center"/>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约</w:t>
            </w:r>
            <w:r>
              <w:rPr>
                <w:rFonts w:ascii="Times New Roman" w:hAnsi="Times New Roman" w:cs="Times New Roman"/>
                <w:color w:val="auto"/>
                <w:szCs w:val="21"/>
                <w:highlight w:val="none"/>
              </w:rPr>
              <w:t>600m</w:t>
            </w:r>
          </w:p>
        </w:tc>
      </w:tr>
    </w:tbl>
    <w:p>
      <w:pPr>
        <w:rPr>
          <w:rFonts w:ascii="Times New Roman" w:hAnsi="Times New Roman" w:cs="Times New Roman"/>
          <w:color w:val="auto"/>
          <w:sz w:val="24"/>
          <w:szCs w:val="24"/>
          <w:highlight w:val="none"/>
        </w:rPr>
      </w:pPr>
    </w:p>
    <w:p>
      <w:pPr>
        <w:pStyle w:val="76"/>
        <w:rPr>
          <w:color w:val="auto"/>
          <w:highlight w:val="none"/>
        </w:rPr>
      </w:pPr>
      <w:r>
        <w:rPr>
          <w:rFonts w:hint="eastAsia"/>
          <w:color w:val="auto"/>
          <w:highlight w:val="none"/>
        </w:rPr>
        <w:t>安装位置：主回路布置在主厂房中间层、母线洞及主变洞内。所有分支回路布置在母线洞及主变洞内。</w:t>
      </w:r>
    </w:p>
    <w:p>
      <w:pPr>
        <w:pStyle w:val="67"/>
        <w:rPr>
          <w:rFonts w:hint="eastAsia"/>
          <w:color w:val="auto"/>
          <w:highlight w:val="none"/>
        </w:rPr>
      </w:pPr>
      <w:r>
        <w:rPr>
          <w:color w:val="auto"/>
          <w:highlight w:val="none"/>
        </w:rPr>
        <w:t>9.2.1.2  电流互感器</w:t>
      </w:r>
    </w:p>
    <w:p>
      <w:pPr>
        <w:pStyle w:val="76"/>
        <w:rPr>
          <w:color w:val="auto"/>
          <w:highlight w:val="none"/>
        </w:rPr>
      </w:pPr>
      <w:bookmarkStart w:id="217" w:name="_Toc522347894"/>
      <w:r>
        <w:rPr>
          <w:color w:val="auto"/>
          <w:highlight w:val="none"/>
        </w:rPr>
        <w:t xml:space="preserve">(1) </w:t>
      </w:r>
      <w:r>
        <w:rPr>
          <w:rFonts w:hint="eastAsia"/>
          <w:color w:val="auto"/>
          <w:highlight w:val="none"/>
        </w:rPr>
        <w:t>型式：单相、户内、干式。详见表9.2-2（暂定）。</w:t>
      </w:r>
      <w:bookmarkEnd w:id="217"/>
      <w:r>
        <w:rPr>
          <w:color w:val="auto"/>
          <w:highlight w:val="none"/>
        </w:rPr>
        <w:t xml:space="preserve">(2) </w:t>
      </w:r>
      <w:r>
        <w:rPr>
          <w:rFonts w:hint="eastAsia"/>
          <w:color w:val="auto"/>
          <w:highlight w:val="none"/>
        </w:rPr>
        <w:t>技术参数及配套要求</w:t>
      </w:r>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额定频率：</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50Hz</w:t>
      </w:r>
    </w:p>
    <w:p>
      <w:pPr>
        <w:spacing w:line="460" w:lineRule="exact"/>
        <w:ind w:firstLine="480" w:firstLineChars="200"/>
        <w:rPr>
          <w:color w:val="auto"/>
          <w:highlight w:val="none"/>
        </w:rPr>
      </w:pPr>
      <w:r>
        <w:rPr>
          <w:rFonts w:ascii="Times New Roman" w:hAnsi="宋体" w:cs="Times New Roman"/>
          <w:color w:val="auto"/>
          <w:kern w:val="0"/>
          <w:sz w:val="24"/>
          <w:szCs w:val="24"/>
          <w:highlight w:val="none"/>
        </w:rPr>
        <w:t>工作频率：</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0Hz</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52.5Hz</w:t>
      </w:r>
    </w:p>
    <w:p>
      <w:pPr>
        <w:pStyle w:val="67"/>
        <w:rPr>
          <w:rFonts w:hint="eastAsia"/>
          <w:color w:val="auto"/>
          <w:highlight w:val="none"/>
        </w:rPr>
      </w:pPr>
      <w:bookmarkStart w:id="218" w:name="_Toc524940459"/>
      <w:bookmarkStart w:id="219" w:name="_Toc522716315"/>
      <w:bookmarkStart w:id="220" w:name="_Toc522347897"/>
      <w:bookmarkStart w:id="221" w:name="_Toc522716077"/>
      <w:r>
        <w:rPr>
          <w:color w:val="auto"/>
          <w:highlight w:val="none"/>
        </w:rPr>
        <w:t>9.2.1.3  电压互感器柜</w:t>
      </w:r>
      <w:bookmarkEnd w:id="218"/>
      <w:bookmarkEnd w:id="219"/>
      <w:bookmarkEnd w:id="220"/>
      <w:bookmarkEnd w:id="221"/>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型式：户内，每台柜内装有</w:t>
      </w:r>
      <w:r>
        <w:rPr>
          <w:rFonts w:ascii="Times New Roman" w:hAnsi="Times New Roman" w:cs="Times New Roman"/>
          <w:color w:val="auto"/>
          <w:kern w:val="0"/>
          <w:sz w:val="24"/>
          <w:szCs w:val="24"/>
          <w:highlight w:val="none"/>
        </w:rPr>
        <w:t>3</w:t>
      </w:r>
      <w:r>
        <w:rPr>
          <w:rFonts w:ascii="Times New Roman" w:hAnsi="宋体" w:cs="Times New Roman"/>
          <w:color w:val="auto"/>
          <w:kern w:val="0"/>
          <w:sz w:val="24"/>
          <w:szCs w:val="24"/>
          <w:highlight w:val="none"/>
        </w:rPr>
        <w:t>只电压互感器及</w:t>
      </w:r>
      <w:r>
        <w:rPr>
          <w:rFonts w:ascii="Times New Roman" w:hAnsi="Times New Roman" w:cs="Times New Roman"/>
          <w:color w:val="auto"/>
          <w:kern w:val="0"/>
          <w:sz w:val="24"/>
          <w:szCs w:val="24"/>
          <w:highlight w:val="none"/>
        </w:rPr>
        <w:t>1</w:t>
      </w:r>
      <w:r>
        <w:rPr>
          <w:rFonts w:ascii="Times New Roman" w:hAnsi="宋体" w:cs="Times New Roman"/>
          <w:color w:val="auto"/>
          <w:kern w:val="0"/>
          <w:sz w:val="24"/>
          <w:szCs w:val="24"/>
          <w:highlight w:val="none"/>
        </w:rPr>
        <w:t>组电容器。电压互感器为单相、干式。</w:t>
      </w:r>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安装位置及数量：</w:t>
      </w:r>
      <w:r>
        <w:rPr>
          <w:rFonts w:hint="eastAsia" w:ascii="Times New Roman" w:hAnsi="宋体" w:cs="Times New Roman"/>
          <w:color w:val="auto"/>
          <w:kern w:val="0"/>
          <w:sz w:val="24"/>
          <w:szCs w:val="24"/>
          <w:highlight w:val="none"/>
        </w:rPr>
        <w:t>每台机组</w:t>
      </w:r>
      <w:r>
        <w:rPr>
          <w:rFonts w:ascii="Times New Roman" w:hAnsi="宋体" w:cs="Times New Roman"/>
          <w:color w:val="auto"/>
          <w:kern w:val="0"/>
          <w:sz w:val="24"/>
          <w:szCs w:val="24"/>
          <w:highlight w:val="none"/>
        </w:rPr>
        <w:t>主变低压侧电压互感器柜安装</w:t>
      </w:r>
      <w:r>
        <w:rPr>
          <w:rFonts w:ascii="Times New Roman" w:hAnsi="Times New Roman" w:cs="Times New Roman"/>
          <w:color w:val="auto"/>
          <w:kern w:val="0"/>
          <w:sz w:val="24"/>
          <w:szCs w:val="24"/>
          <w:highlight w:val="none"/>
        </w:rPr>
        <w:t>2</w:t>
      </w:r>
      <w:r>
        <w:rPr>
          <w:rFonts w:ascii="Times New Roman" w:hAnsi="宋体" w:cs="Times New Roman"/>
          <w:color w:val="auto"/>
          <w:kern w:val="0"/>
          <w:sz w:val="24"/>
          <w:szCs w:val="24"/>
          <w:highlight w:val="none"/>
        </w:rPr>
        <w:t>组</w:t>
      </w:r>
      <w:r>
        <w:rPr>
          <w:rFonts w:ascii="Times New Roman" w:hAnsi="Times New Roman" w:cs="Times New Roman"/>
          <w:color w:val="auto"/>
          <w:kern w:val="0"/>
          <w:sz w:val="24"/>
          <w:szCs w:val="24"/>
          <w:highlight w:val="none"/>
        </w:rPr>
        <w:t>PT</w:t>
      </w:r>
      <w:r>
        <w:rPr>
          <w:rFonts w:ascii="Times New Roman" w:hAnsi="宋体" w:cs="Times New Roman"/>
          <w:color w:val="auto"/>
          <w:kern w:val="0"/>
          <w:sz w:val="24"/>
          <w:szCs w:val="24"/>
          <w:highlight w:val="none"/>
        </w:rPr>
        <w:t>和</w:t>
      </w:r>
      <w:r>
        <w:rPr>
          <w:rFonts w:ascii="Times New Roman" w:hAnsi="Times New Roman" w:cs="Times New Roman"/>
          <w:color w:val="auto"/>
          <w:kern w:val="0"/>
          <w:sz w:val="24"/>
          <w:szCs w:val="24"/>
          <w:highlight w:val="none"/>
        </w:rPr>
        <w:t>1</w:t>
      </w:r>
      <w:r>
        <w:rPr>
          <w:rFonts w:ascii="Times New Roman" w:hAnsi="宋体" w:cs="Times New Roman"/>
          <w:color w:val="auto"/>
          <w:kern w:val="0"/>
          <w:sz w:val="24"/>
          <w:szCs w:val="24"/>
          <w:highlight w:val="none"/>
        </w:rPr>
        <w:t>组避雷器</w:t>
      </w: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发电机出口侧</w:t>
      </w:r>
      <w:r>
        <w:rPr>
          <w:rFonts w:hint="eastAsia" w:ascii="Times New Roman" w:hAnsi="宋体" w:cs="Times New Roman"/>
          <w:color w:val="auto"/>
          <w:kern w:val="0"/>
          <w:sz w:val="24"/>
          <w:szCs w:val="24"/>
          <w:highlight w:val="none"/>
        </w:rPr>
        <w:t>各安装</w:t>
      </w:r>
      <w:r>
        <w:rPr>
          <w:rFonts w:ascii="Times New Roman" w:hAnsi="宋体" w:cs="Times New Roman"/>
          <w:color w:val="auto"/>
          <w:kern w:val="0"/>
          <w:sz w:val="24"/>
          <w:szCs w:val="24"/>
          <w:highlight w:val="none"/>
        </w:rPr>
        <w:t>1组电压互感器柜安装</w:t>
      </w:r>
      <w:r>
        <w:rPr>
          <w:rFonts w:ascii="Times New Roman" w:hAnsi="Times New Roman" w:cs="Times New Roman"/>
          <w:color w:val="auto"/>
          <w:kern w:val="0"/>
          <w:sz w:val="24"/>
          <w:szCs w:val="24"/>
          <w:highlight w:val="none"/>
        </w:rPr>
        <w:t>3</w:t>
      </w:r>
      <w:r>
        <w:rPr>
          <w:rFonts w:ascii="Times New Roman" w:hAnsi="宋体" w:cs="Times New Roman"/>
          <w:color w:val="auto"/>
          <w:kern w:val="0"/>
          <w:sz w:val="24"/>
          <w:szCs w:val="24"/>
          <w:highlight w:val="none"/>
        </w:rPr>
        <w:t>组</w:t>
      </w:r>
      <w:r>
        <w:rPr>
          <w:rFonts w:ascii="Times New Roman" w:hAnsi="Times New Roman" w:cs="Times New Roman"/>
          <w:color w:val="auto"/>
          <w:kern w:val="0"/>
          <w:sz w:val="24"/>
          <w:szCs w:val="24"/>
          <w:highlight w:val="none"/>
        </w:rPr>
        <w:t>PT</w:t>
      </w:r>
      <w:r>
        <w:rPr>
          <w:rFonts w:ascii="Times New Roman" w:hAnsi="宋体" w:cs="Times New Roman"/>
          <w:color w:val="auto"/>
          <w:kern w:val="0"/>
          <w:sz w:val="24"/>
          <w:szCs w:val="24"/>
          <w:highlight w:val="none"/>
        </w:rPr>
        <w:t>和</w:t>
      </w:r>
      <w:r>
        <w:rPr>
          <w:rFonts w:ascii="Times New Roman" w:hAnsi="Times New Roman" w:cs="Times New Roman"/>
          <w:color w:val="auto"/>
          <w:kern w:val="0"/>
          <w:sz w:val="24"/>
          <w:szCs w:val="24"/>
          <w:highlight w:val="none"/>
        </w:rPr>
        <w:t>1</w:t>
      </w:r>
      <w:r>
        <w:rPr>
          <w:rFonts w:ascii="Times New Roman" w:hAnsi="宋体" w:cs="Times New Roman"/>
          <w:color w:val="auto"/>
          <w:kern w:val="0"/>
          <w:sz w:val="24"/>
          <w:szCs w:val="24"/>
          <w:highlight w:val="none"/>
        </w:rPr>
        <w:t>组</w:t>
      </w:r>
      <w:r>
        <w:rPr>
          <w:rFonts w:hint="eastAsia" w:ascii="Times New Roman" w:hAnsi="宋体" w:cs="Times New Roman"/>
          <w:color w:val="auto"/>
          <w:kern w:val="0"/>
          <w:sz w:val="24"/>
          <w:szCs w:val="24"/>
          <w:highlight w:val="none"/>
        </w:rPr>
        <w:t>熔断</w:t>
      </w:r>
      <w:r>
        <w:rPr>
          <w:rFonts w:ascii="Times New Roman" w:hAnsi="宋体" w:cs="Times New Roman"/>
          <w:color w:val="auto"/>
          <w:kern w:val="0"/>
          <w:sz w:val="24"/>
          <w:szCs w:val="24"/>
          <w:highlight w:val="none"/>
        </w:rPr>
        <w:t>器。</w:t>
      </w:r>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技术参数及配置要求</w:t>
      </w:r>
    </w:p>
    <w:p>
      <w:pPr>
        <w:spacing w:line="46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额定工作电压：</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hint="eastAsia" w:ascii="Times New Roman" w:hAnsi="Times New Roman" w:cs="Times New Roman"/>
          <w:color w:val="auto"/>
          <w:kern w:val="0"/>
          <w:sz w:val="24"/>
          <w:szCs w:val="24"/>
          <w:highlight w:val="none"/>
        </w:rPr>
        <w:t>≥24kV</w:t>
      </w:r>
    </w:p>
    <w:p>
      <w:pPr>
        <w:spacing w:line="46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额定一次电压：</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18/</w:t>
      </w:r>
      <w:r>
        <w:rPr>
          <w:rFonts w:ascii="Arial" w:hAnsi="Arial" w:eastAsia="Arial" w:cs="Arial"/>
          <w:color w:val="auto"/>
          <w:highlight w:val="none"/>
        </w:rPr>
        <w:t>√3</w:t>
      </w:r>
      <w:r>
        <w:rPr>
          <w:rFonts w:ascii="Times New Roman" w:hAnsi="Times New Roman" w:cs="Times New Roman"/>
          <w:color w:val="auto"/>
          <w:kern w:val="0"/>
          <w:sz w:val="24"/>
          <w:szCs w:val="24"/>
          <w:highlight w:val="none"/>
        </w:rPr>
        <w:t>kV</w:t>
      </w:r>
    </w:p>
    <w:p>
      <w:pPr>
        <w:spacing w:line="46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额定二次电压：</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Arial" w:hAnsi="Arial" w:eastAsia="Arial" w:cs="Arial"/>
          <w:color w:val="auto"/>
          <w:highlight w:val="none"/>
        </w:rPr>
        <w:t>0.1/√3</w:t>
      </w:r>
      <w:r>
        <w:rPr>
          <w:rFonts w:ascii="Times New Roman" w:hAnsi="Times New Roman" w:cs="Times New Roman"/>
          <w:color w:val="auto"/>
          <w:kern w:val="0"/>
          <w:sz w:val="24"/>
          <w:szCs w:val="24"/>
          <w:highlight w:val="none"/>
        </w:rPr>
        <w:t>kV</w:t>
      </w:r>
    </w:p>
    <w:p>
      <w:pPr>
        <w:spacing w:line="46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剩余绕组：</w:t>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ab/>
      </w:r>
      <w:r>
        <w:rPr>
          <w:rFonts w:ascii="Times New Roman" w:hAnsi="Times New Roman" w:cs="Times New Roman"/>
          <w:color w:val="auto"/>
          <w:kern w:val="0"/>
          <w:sz w:val="24"/>
          <w:szCs w:val="24"/>
          <w:highlight w:val="none"/>
        </w:rPr>
        <w:t>0.1/3kV</w:t>
      </w:r>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额定频率：</w:t>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Times New Roman" w:cs="Times New Roman"/>
          <w:color w:val="auto"/>
          <w:kern w:val="0"/>
          <w:sz w:val="24"/>
          <w:szCs w:val="24"/>
          <w:highlight w:val="none"/>
        </w:rPr>
        <w:t>50Hz</w:t>
      </w:r>
    </w:p>
    <w:p>
      <w:pPr>
        <w:spacing w:line="46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工作频率：</w:t>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宋体" w:cs="Times New Roman"/>
          <w:color w:val="auto"/>
          <w:kern w:val="0"/>
          <w:sz w:val="24"/>
          <w:szCs w:val="24"/>
          <w:highlight w:val="none"/>
        </w:rPr>
        <w:tab/>
      </w:r>
      <w:r>
        <w:rPr>
          <w:rFonts w:ascii="Times New Roman" w:hAnsi="Times New Roman" w:cs="Times New Roman"/>
          <w:color w:val="auto"/>
          <w:kern w:val="0"/>
          <w:sz w:val="24"/>
          <w:szCs w:val="24"/>
          <w:highlight w:val="none"/>
        </w:rPr>
        <w:t>0</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52.5Hz</w:t>
      </w:r>
    </w:p>
    <w:p>
      <w:pPr>
        <w:spacing w:line="240" w:lineRule="exact"/>
        <w:ind w:firstLine="510"/>
        <w:rPr>
          <w:rFonts w:ascii="Times New Roman" w:hAnsi="Times New Roman" w:cs="Times New Roman"/>
          <w:b/>
          <w:color w:val="auto"/>
          <w:kern w:val="0"/>
          <w:sz w:val="24"/>
          <w:szCs w:val="24"/>
          <w:highlight w:val="none"/>
        </w:rPr>
      </w:pPr>
    </w:p>
    <w:p>
      <w:pPr>
        <w:keepNext/>
        <w:keepLines/>
        <w:spacing w:line="460" w:lineRule="exact"/>
        <w:outlineLvl w:val="3"/>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9.2.1.4  避雷器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型式：无间隙氧化锌避雷器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组，共</w:t>
      </w:r>
      <w:r>
        <w:rPr>
          <w:rFonts w:ascii="Times New Roman" w:hAnsi="Times New Roman" w:cs="Times New Roman"/>
          <w:color w:val="auto"/>
          <w:kern w:val="0"/>
          <w:sz w:val="24"/>
          <w:szCs w:val="24"/>
          <w:highlight w:val="none"/>
        </w:rPr>
        <w:t>12</w:t>
      </w:r>
      <w:r>
        <w:rPr>
          <w:rFonts w:ascii="Times New Roman" w:hAnsi="宋体" w:cs="Times New Roman"/>
          <w:color w:val="auto"/>
          <w:kern w:val="0"/>
          <w:sz w:val="24"/>
          <w:szCs w:val="24"/>
          <w:highlight w:val="none"/>
        </w:rPr>
        <w:t>只。</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≥20kV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持续运行电压：</w:t>
      </w:r>
      <w:r>
        <w:rPr>
          <w:rFonts w:hint="eastAsia"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标称放电电流</w:t>
      </w:r>
      <w:r>
        <w:rPr>
          <w:rFonts w:ascii="Times New Roman" w:hAnsi="Times New Roman" w:cs="Times New Roman"/>
          <w:color w:val="auto"/>
          <w:kern w:val="0"/>
          <w:sz w:val="24"/>
          <w:szCs w:val="24"/>
          <w:highlight w:val="none"/>
        </w:rPr>
        <w:t xml:space="preserve">(8/20μs) </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5kA</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标称放电电流下残压：</w:t>
      </w:r>
      <w:r>
        <w:rPr>
          <w:rFonts w:hint="eastAsia" w:ascii="Times New Roman" w:hAnsi="Times New Roman" w:cs="Times New Roman"/>
          <w:color w:val="auto"/>
          <w:kern w:val="0"/>
          <w:sz w:val="24"/>
          <w:szCs w:val="24"/>
          <w:highlight w:val="none"/>
        </w:rPr>
        <w:t>≤40kV</w:t>
      </w:r>
    </w:p>
    <w:p>
      <w:pPr>
        <w:keepNext/>
        <w:keepLines/>
        <w:spacing w:before="60" w:after="60" w:line="460" w:lineRule="exact"/>
        <w:outlineLvl w:val="2"/>
        <w:rPr>
          <w:rFonts w:ascii="Times New Roman" w:hAnsi="Times New Roman" w:eastAsia="黑体" w:cs="Times New Roman"/>
          <w:color w:val="auto"/>
          <w:kern w:val="0"/>
          <w:sz w:val="24"/>
          <w:szCs w:val="20"/>
          <w:highlight w:val="none"/>
          <w:lang w:val="zh-CN"/>
        </w:rPr>
      </w:pPr>
      <w:bookmarkStart w:id="222" w:name="_Toc387821652"/>
      <w:bookmarkStart w:id="223" w:name="_Toc32431"/>
      <w:r>
        <w:rPr>
          <w:rFonts w:ascii="Times New Roman" w:hAnsi="Times New Roman" w:eastAsia="黑体" w:cs="Times New Roman"/>
          <w:color w:val="auto"/>
          <w:kern w:val="0"/>
          <w:sz w:val="24"/>
          <w:szCs w:val="20"/>
          <w:highlight w:val="none"/>
          <w:lang w:val="zh-CN"/>
        </w:rPr>
        <w:t>9.2.2</w:t>
      </w:r>
      <w:r>
        <w:rPr>
          <w:rFonts w:hint="eastAsia" w:ascii="Times New Roman" w:hAnsi="Times New Roman" w:eastAsia="黑体" w:cs="Times New Roman"/>
          <w:color w:val="auto"/>
          <w:kern w:val="0"/>
          <w:sz w:val="24"/>
          <w:szCs w:val="20"/>
          <w:highlight w:val="none"/>
          <w:lang w:val="zh-CN"/>
        </w:rPr>
        <w:t xml:space="preserve">  起动回路设备</w:t>
      </w:r>
      <w:bookmarkEnd w:id="222"/>
      <w:r>
        <w:rPr>
          <w:rFonts w:hint="eastAsia" w:ascii="Times New Roman" w:hAnsi="Times New Roman" w:eastAsia="黑体" w:cs="Times New Roman"/>
          <w:color w:val="auto"/>
          <w:kern w:val="0"/>
          <w:sz w:val="24"/>
          <w:szCs w:val="20"/>
          <w:highlight w:val="none"/>
          <w:lang w:val="zh-CN"/>
        </w:rPr>
        <w:t>技术特性</w:t>
      </w:r>
      <w:bookmarkEnd w:id="223"/>
    </w:p>
    <w:p>
      <w:pPr>
        <w:spacing w:line="480" w:lineRule="exact"/>
        <w:ind w:firstLine="480" w:firstLineChars="200"/>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起动回路设备包括从</w:t>
      </w:r>
      <w:r>
        <w:rPr>
          <w:rFonts w:ascii="Times New Roman" w:hAnsi="Times New Roman" w:cs="Times New Roman"/>
          <w:color w:val="auto"/>
          <w:kern w:val="0"/>
          <w:sz w:val="24"/>
          <w:szCs w:val="24"/>
          <w:highlight w:val="none"/>
        </w:rPr>
        <w:t>SFC</w:t>
      </w:r>
      <w:r>
        <w:rPr>
          <w:rFonts w:ascii="Times New Roman" w:hAnsi="宋体" w:cs="Times New Roman"/>
          <w:color w:val="auto"/>
          <w:kern w:val="0"/>
          <w:sz w:val="24"/>
          <w:szCs w:val="24"/>
          <w:highlight w:val="none"/>
        </w:rPr>
        <w:t>变频装置输出电抗器输出侧至每台发电电动机的发电机断路器两侧的起动隔离开关、起动母线、起动母线分段隔离开关及接地开关。</w:t>
      </w:r>
    </w:p>
    <w:p>
      <w:pPr>
        <w:pStyle w:val="76"/>
        <w:ind w:firstLine="426"/>
        <w:rPr>
          <w:b/>
          <w:bCs/>
          <w:color w:val="auto"/>
          <w:highlight w:val="none"/>
        </w:rPr>
      </w:pPr>
      <w:r>
        <w:rPr>
          <w:rFonts w:hint="eastAsia"/>
          <w:b/>
          <w:bCs/>
          <w:color w:val="auto"/>
          <w:highlight w:val="none"/>
        </w:rPr>
        <w:t>本系统由发包人提供的主要设备清单如下，供报价参考：</w:t>
      </w:r>
    </w:p>
    <w:tbl>
      <w:tblPr>
        <w:tblStyle w:val="36"/>
        <w:tblW w:w="0" w:type="auto"/>
        <w:jc w:val="center"/>
        <w:tblLayout w:type="fixed"/>
        <w:tblCellMar>
          <w:top w:w="0" w:type="dxa"/>
          <w:left w:w="108" w:type="dxa"/>
          <w:bottom w:w="0" w:type="dxa"/>
          <w:right w:w="108" w:type="dxa"/>
        </w:tblCellMar>
      </w:tblPr>
      <w:tblGrid>
        <w:gridCol w:w="2830"/>
        <w:gridCol w:w="2977"/>
        <w:gridCol w:w="1134"/>
        <w:gridCol w:w="567"/>
      </w:tblGrid>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隔离开关</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w:t>
            </w:r>
            <w:r>
              <w:rPr>
                <w:rFonts w:hint="eastAsia" w:ascii="Times New Roman" w:hAnsi="Times New Roman" w:cs="Times New Roman"/>
                <w:color w:val="auto"/>
                <w:kern w:val="0"/>
                <w:szCs w:val="21"/>
                <w:highlight w:val="none"/>
              </w:rPr>
              <w:t>、</w:t>
            </w:r>
            <w:r>
              <w:rPr>
                <w:rFonts w:ascii="Times New Roman" w:hAnsi="Times New Roman" w:cs="Times New Roman"/>
                <w:color w:val="auto"/>
                <w:kern w:val="0"/>
                <w:szCs w:val="21"/>
                <w:highlight w:val="none"/>
              </w:rPr>
              <w:t>2000A</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56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接地开关</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起动母线</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离相封闭母线</w:t>
            </w:r>
            <w:r>
              <w:rPr>
                <w:rFonts w:ascii="Times New Roman" w:hAnsi="Times New Roman" w:cs="Times New Roman"/>
                <w:color w:val="auto"/>
                <w:kern w:val="0"/>
                <w:szCs w:val="21"/>
                <w:highlight w:val="none"/>
              </w:rPr>
              <w:t>2000A</w:t>
            </w:r>
            <w:r>
              <w:rPr>
                <w:rFonts w:hint="eastAsia" w:ascii="宋体" w:hAnsi="宋体" w:cs="宋体"/>
                <w:color w:val="auto"/>
                <w:kern w:val="0"/>
                <w:szCs w:val="21"/>
                <w:highlight w:val="none"/>
              </w:rPr>
              <w:t>，约1000m</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空气循环干燥装置</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离相封闭母线配套设备其他</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母线干燥系统等</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支架、吊杆、连接件、接地线等</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支架、吊杆、连接件、接地线等</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r>
        <w:tblPrEx>
          <w:tblCellMar>
            <w:top w:w="0" w:type="dxa"/>
            <w:left w:w="108" w:type="dxa"/>
            <w:bottom w:w="0" w:type="dxa"/>
            <w:right w:w="108" w:type="dxa"/>
          </w:tblCellMar>
        </w:tblPrEx>
        <w:trPr>
          <w:trHeight w:val="600" w:hRule="atLeast"/>
          <w:jc w:val="center"/>
        </w:trPr>
        <w:tc>
          <w:tcPr>
            <w:tcW w:w="2830"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起动母线分段隔离开关的平台</w:t>
            </w:r>
          </w:p>
        </w:tc>
        <w:tc>
          <w:tcPr>
            <w:tcW w:w="2977"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567" w:type="dxa"/>
            <w:tcBorders>
              <w:top w:val="single" w:color="000000" w:sz="4" w:space="0"/>
              <w:left w:val="single" w:color="000000" w:sz="4" w:space="0"/>
              <w:bottom w:val="single" w:color="000000" w:sz="4" w:space="0"/>
              <w:right w:val="single" w:color="auto" w:sz="4" w:space="0"/>
            </w:tcBorders>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r>
    </w:tbl>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9.2.2</w:t>
      </w:r>
      <w:r>
        <w:rPr>
          <w:rFonts w:hint="eastAsia" w:ascii="Times New Roman" w:hAnsi="Times New Roman" w:cs="Times New Roman"/>
          <w:color w:val="auto"/>
          <w:kern w:val="0"/>
          <w:sz w:val="24"/>
          <w:szCs w:val="20"/>
          <w:highlight w:val="none"/>
        </w:rPr>
        <w:t xml:space="preserve">.1  离相封闭母线(起动母线) </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型式：自然冷却、三相、全连式</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范围：从</w:t>
      </w:r>
      <w:r>
        <w:rPr>
          <w:rFonts w:ascii="Times New Roman" w:hAnsi="Times New Roman" w:cs="Times New Roman"/>
          <w:color w:val="auto"/>
          <w:kern w:val="0"/>
          <w:sz w:val="24"/>
          <w:szCs w:val="24"/>
          <w:highlight w:val="none"/>
        </w:rPr>
        <w:t>SFC</w:t>
      </w:r>
      <w:r>
        <w:rPr>
          <w:rFonts w:ascii="Times New Roman" w:hAnsi="宋体" w:cs="Times New Roman"/>
          <w:color w:val="auto"/>
          <w:kern w:val="0"/>
          <w:sz w:val="24"/>
          <w:szCs w:val="24"/>
          <w:highlight w:val="none"/>
        </w:rPr>
        <w:t>变频装置输出电抗器输出侧至每台发电电动机的发电机断路器两侧。</w:t>
      </w:r>
    </w:p>
    <w:p>
      <w:pPr>
        <w:spacing w:line="480" w:lineRule="exact"/>
        <w:ind w:firstLine="480" w:firstLineChars="200"/>
        <w:rPr>
          <w:rFonts w:ascii="Times New Roman" w:hAnsi="Times New Roman" w:cs="Times New Roman"/>
          <w:color w:val="auto"/>
          <w:kern w:val="0"/>
          <w:sz w:val="24"/>
          <w:szCs w:val="24"/>
          <w:highlight w:val="none"/>
        </w:rPr>
      </w:pPr>
      <w:bookmarkStart w:id="224" w:name="_Toc1633082"/>
      <w:bookmarkStart w:id="225" w:name="_Toc524940461"/>
      <w:r>
        <w:rPr>
          <w:rFonts w:ascii="Times New Roman" w:hAnsi="Times New Roman" w:cs="Times New Roman"/>
          <w:color w:val="auto"/>
          <w:kern w:val="0"/>
          <w:sz w:val="24"/>
          <w:szCs w:val="24"/>
          <w:highlight w:val="none"/>
        </w:rPr>
        <w:t xml:space="preserve">(3) </w:t>
      </w:r>
      <w:r>
        <w:rPr>
          <w:rFonts w:hint="eastAsia" w:ascii="Times New Roman" w:hAnsi="Times New Roman" w:cs="Times New Roman"/>
          <w:color w:val="auto"/>
          <w:kern w:val="0"/>
          <w:sz w:val="24"/>
          <w:szCs w:val="24"/>
          <w:highlight w:val="none"/>
        </w:rPr>
        <w:t>内容</w:t>
      </w:r>
      <w:bookmarkEnd w:id="224"/>
      <w:bookmarkEnd w:id="225"/>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导体、外壳、伸缩节、波纹管、支持绝缘子、防火隔板以及离相封闭母线内部及与各设备之间的连接。</w:t>
      </w:r>
      <w:r>
        <w:rPr>
          <w:rFonts w:hint="eastAsia" w:ascii="Times New Roman" w:hAnsi="宋体" w:cs="Times New Roman"/>
          <w:color w:val="auto"/>
          <w:kern w:val="0"/>
          <w:sz w:val="24"/>
          <w:szCs w:val="24"/>
          <w:highlight w:val="none"/>
        </w:rPr>
        <w:t>空气循环干燥装置安装、调试。</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安装、维护离相封闭母线</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采用后置式膨胀螺栓方式</w:t>
      </w:r>
      <w:r>
        <w:rPr>
          <w:rFonts w:ascii="Times New Roman" w:hAnsi="Times New Roman" w:cs="Times New Roman"/>
          <w:color w:val="auto"/>
          <w:kern w:val="0"/>
          <w:sz w:val="24"/>
          <w:szCs w:val="24"/>
          <w:highlight w:val="none"/>
        </w:rPr>
        <w:t xml:space="preserve">) </w:t>
      </w:r>
      <w:r>
        <w:rPr>
          <w:rFonts w:ascii="Times New Roman" w:hAnsi="宋体" w:cs="Times New Roman"/>
          <w:color w:val="auto"/>
          <w:kern w:val="0"/>
          <w:sz w:val="24"/>
          <w:szCs w:val="24"/>
          <w:highlight w:val="none"/>
        </w:rPr>
        <w:t>及附属设备所需的埋件及支架结构。</w:t>
      </w:r>
    </w:p>
    <w:p>
      <w:pPr>
        <w:spacing w:line="480" w:lineRule="exact"/>
        <w:ind w:firstLine="480" w:firstLineChars="200"/>
        <w:rPr>
          <w:rFonts w:ascii="Times New Roman" w:hAnsi="Times New Roman" w:eastAsia="黑体" w:cs="Times New Roman"/>
          <w:color w:val="auto"/>
          <w:kern w:val="44"/>
          <w:sz w:val="24"/>
          <w:szCs w:val="20"/>
          <w:highlight w:val="none"/>
          <w:lang w:val="zh-CN"/>
        </w:rPr>
      </w:pPr>
      <w:r>
        <w:rPr>
          <w:rFonts w:ascii="Times New Roman" w:hAnsi="宋体" w:cs="Times New Roman"/>
          <w:color w:val="auto"/>
          <w:kern w:val="0"/>
          <w:sz w:val="24"/>
          <w:szCs w:val="24"/>
          <w:highlight w:val="none"/>
        </w:rPr>
        <w:t>主要技术参数见表</w:t>
      </w:r>
      <w:r>
        <w:rPr>
          <w:rFonts w:ascii="Times New Roman" w:hAnsi="Times New Roman" w:cs="Times New Roman"/>
          <w:color w:val="auto"/>
          <w:kern w:val="0"/>
          <w:sz w:val="24"/>
          <w:szCs w:val="24"/>
          <w:highlight w:val="none"/>
        </w:rPr>
        <w:t>9.2-4</w:t>
      </w:r>
      <w:r>
        <w:rPr>
          <w:rFonts w:ascii="Times New Roman" w:hAnsi="宋体" w:cs="Times New Roman"/>
          <w:color w:val="auto"/>
          <w:kern w:val="0"/>
          <w:sz w:val="24"/>
          <w:szCs w:val="24"/>
          <w:highlight w:val="none"/>
        </w:rPr>
        <w:t>。</w:t>
      </w:r>
    </w:p>
    <w:p>
      <w:pPr>
        <w:spacing w:line="480" w:lineRule="exact"/>
        <w:ind w:firstLine="480" w:firstLineChars="200"/>
        <w:jc w:val="center"/>
        <w:rPr>
          <w:rFonts w:ascii="Times New Roman" w:hAnsi="Times New Roman" w:eastAsia="黑体" w:cs="Times New Roman"/>
          <w:color w:val="auto"/>
          <w:kern w:val="44"/>
          <w:sz w:val="24"/>
          <w:szCs w:val="20"/>
          <w:highlight w:val="none"/>
          <w:lang w:val="zh-CN"/>
        </w:rPr>
      </w:pPr>
      <w:r>
        <w:rPr>
          <w:rFonts w:hint="eastAsia" w:ascii="Times New Roman" w:hAnsi="Times New Roman" w:eastAsia="黑体" w:cs="Times New Roman"/>
          <w:color w:val="auto"/>
          <w:kern w:val="44"/>
          <w:sz w:val="24"/>
          <w:szCs w:val="20"/>
          <w:highlight w:val="none"/>
          <w:lang w:val="zh-CN"/>
        </w:rPr>
        <w:t>表9.2-4</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46"/>
        <w:gridCol w:w="396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设备参数</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起动回路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额定工作电压</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w:t>
            </w:r>
            <w:r>
              <w:rPr>
                <w:rFonts w:ascii="Times New Roman" w:hAnsi="Times New Roman" w:cs="Times New Roman"/>
                <w:color w:val="auto"/>
                <w:kern w:val="0"/>
                <w:szCs w:val="21"/>
                <w:highlight w:val="none"/>
              </w:rPr>
              <w:t>18 kV</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设备最高工作电压</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24 kV</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额定电流</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2000A(暂定)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额定频率</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50Hz</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工作频率</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0Hz～52.5Hz</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外壳材料</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导体材料</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接地方式</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多点接地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长度</w:t>
            </w:r>
          </w:p>
        </w:tc>
        <w:tc>
          <w:tcPr>
            <w:tcW w:w="3966" w:type="dxa"/>
            <w:vAlign w:val="center"/>
          </w:tcPr>
          <w:p>
            <w:pPr>
              <w:spacing w:line="240" w:lineRule="exac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约</w:t>
            </w:r>
            <w:r>
              <w:rPr>
                <w:rFonts w:ascii="Times New Roman" w:hAnsi="Times New Roman" w:cs="Times New Roman"/>
                <w:color w:val="auto"/>
                <w:kern w:val="0"/>
                <w:szCs w:val="21"/>
                <w:highlight w:val="none"/>
              </w:rPr>
              <w:t>1000m</w:t>
            </w:r>
          </w:p>
        </w:tc>
      </w:tr>
    </w:tbl>
    <w:p>
      <w:pPr>
        <w:spacing w:line="240" w:lineRule="exact"/>
        <w:ind w:firstLine="480" w:firstLineChars="200"/>
        <w:rPr>
          <w:rFonts w:ascii="Times New Roman" w:hAnsi="Times New Roman" w:cs="Times New Roman"/>
          <w:color w:val="auto"/>
          <w:kern w:val="0"/>
          <w:sz w:val="24"/>
          <w:szCs w:val="24"/>
          <w:highlight w:val="none"/>
        </w:rPr>
      </w:pP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安装位置：布置在母线洞及主变洞内。</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9.2.2.2  </w:t>
      </w:r>
      <w:r>
        <w:rPr>
          <w:rFonts w:hint="eastAsia" w:ascii="Times New Roman" w:hAnsi="Times New Roman" w:cs="Times New Roman"/>
          <w:color w:val="auto"/>
          <w:kern w:val="0"/>
          <w:sz w:val="24"/>
          <w:szCs w:val="20"/>
          <w:highlight w:val="none"/>
        </w:rPr>
        <w:t>隔离开关</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型式：三相、金属封闭。</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1</w:t>
      </w:r>
      <w:r>
        <w:rPr>
          <w:rFonts w:ascii="Times New Roman" w:hAnsi="宋体" w:cs="Times New Roman"/>
          <w:color w:val="auto"/>
          <w:kern w:val="0"/>
          <w:sz w:val="24"/>
          <w:szCs w:val="24"/>
          <w:highlight w:val="none"/>
        </w:rPr>
        <w:t>组用于起动母线分段，布置在主变洞</w:t>
      </w:r>
      <w:r>
        <w:rPr>
          <w:rFonts w:ascii="Times New Roman" w:hAnsi="Times New Roman" w:cs="Times New Roman"/>
          <w:color w:val="auto"/>
          <w:kern w:val="0"/>
          <w:sz w:val="24"/>
          <w:szCs w:val="24"/>
          <w:highlight w:val="none"/>
        </w:rPr>
        <w:t>537.000m</w:t>
      </w:r>
      <w:r>
        <w:rPr>
          <w:rFonts w:ascii="Times New Roman" w:hAnsi="宋体" w:cs="Times New Roman"/>
          <w:color w:val="auto"/>
          <w:kern w:val="0"/>
          <w:sz w:val="24"/>
          <w:szCs w:val="24"/>
          <w:highlight w:val="none"/>
        </w:rPr>
        <w:t>高程</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三相联动</w:t>
      </w:r>
      <w:r>
        <w:rPr>
          <w:rFonts w:ascii="Times New Roman" w:hAnsi="Times New Roman" w:cs="Times New Roman"/>
          <w:color w:val="auto"/>
          <w:kern w:val="0"/>
          <w:sz w:val="24"/>
          <w:szCs w:val="24"/>
          <w:highlight w:val="none"/>
        </w:rPr>
        <w:t xml:space="preserve">) </w:t>
      </w:r>
      <w:r>
        <w:rPr>
          <w:rFonts w:ascii="Times New Roman" w:hAnsi="宋体" w:cs="Times New Roman"/>
          <w:color w:val="auto"/>
          <w:kern w:val="0"/>
          <w:sz w:val="24"/>
          <w:szCs w:val="24"/>
          <w:highlight w:val="none"/>
        </w:rPr>
        <w:t>；</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组用于1#~4#发电机断路器两侧，布置在母线洞内。</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w:t>
      </w:r>
      <w:r>
        <w:rPr>
          <w:rFonts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额定电流：</w:t>
      </w:r>
      <w:r>
        <w:rPr>
          <w:rFonts w:ascii="Times New Roman" w:hAnsi="Times New Roman" w:cs="Times New Roman"/>
          <w:color w:val="auto"/>
          <w:kern w:val="0"/>
          <w:sz w:val="24"/>
          <w:szCs w:val="24"/>
          <w:highlight w:val="none"/>
        </w:rPr>
        <w:t>2000A(</w:t>
      </w:r>
      <w:r>
        <w:rPr>
          <w:rFonts w:ascii="Times New Roman" w:hAnsi="宋体" w:cs="Times New Roman"/>
          <w:color w:val="auto"/>
          <w:kern w:val="0"/>
          <w:sz w:val="24"/>
          <w:szCs w:val="24"/>
          <w:highlight w:val="none"/>
        </w:rPr>
        <w:t>暂定</w:t>
      </w:r>
      <w:r>
        <w:rPr>
          <w:rFonts w:ascii="Times New Roman" w:hAnsi="Times New Roman" w:cs="Times New Roman"/>
          <w:color w:val="auto"/>
          <w:kern w:val="0"/>
          <w:sz w:val="24"/>
          <w:szCs w:val="24"/>
          <w:highlight w:val="none"/>
        </w:rPr>
        <w:t xml:space="preserve">) </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9.2.2.3  </w:t>
      </w:r>
      <w:r>
        <w:rPr>
          <w:rFonts w:hint="eastAsia" w:ascii="Times New Roman" w:hAnsi="Times New Roman" w:cs="Times New Roman"/>
          <w:color w:val="auto"/>
          <w:kern w:val="0"/>
          <w:sz w:val="24"/>
          <w:szCs w:val="20"/>
          <w:highlight w:val="none"/>
        </w:rPr>
        <w:t>接地开关</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型式：三相驱动，联动操作，空气绝缘，接地开关仅作检修用，不具有关合或开断负荷电流和故障电流的能力。</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w:t>
      </w:r>
      <w:r>
        <w:rPr>
          <w:rFonts w:ascii="Times New Roman" w:hAnsi="Times New Roman" w:cs="Times New Roman"/>
          <w:color w:val="auto"/>
          <w:kern w:val="0"/>
          <w:sz w:val="24"/>
          <w:szCs w:val="24"/>
          <w:highlight w:val="none"/>
        </w:rPr>
        <w:t>2</w:t>
      </w:r>
      <w:r>
        <w:rPr>
          <w:rFonts w:ascii="Times New Roman" w:hAnsi="宋体" w:cs="Times New Roman"/>
          <w:color w:val="auto"/>
          <w:kern w:val="0"/>
          <w:sz w:val="24"/>
          <w:szCs w:val="24"/>
          <w:highlight w:val="none"/>
        </w:rPr>
        <w:t>组</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每组</w:t>
      </w:r>
      <w:r>
        <w:rPr>
          <w:rFonts w:ascii="Times New Roman" w:hAnsi="Times New Roman" w:cs="Times New Roman"/>
          <w:color w:val="auto"/>
          <w:kern w:val="0"/>
          <w:sz w:val="24"/>
          <w:szCs w:val="24"/>
          <w:highlight w:val="none"/>
        </w:rPr>
        <w:t>3</w:t>
      </w:r>
      <w:r>
        <w:rPr>
          <w:rFonts w:ascii="Times New Roman" w:hAnsi="宋体" w:cs="Times New Roman"/>
          <w:color w:val="auto"/>
          <w:kern w:val="0"/>
          <w:sz w:val="24"/>
          <w:szCs w:val="24"/>
          <w:highlight w:val="none"/>
        </w:rPr>
        <w:t>只单相</w:t>
      </w:r>
      <w:r>
        <w:rPr>
          <w:rFonts w:ascii="Times New Roman" w:hAnsi="Times New Roman" w:cs="Times New Roman"/>
          <w:color w:val="auto"/>
          <w:kern w:val="0"/>
          <w:sz w:val="24"/>
          <w:szCs w:val="24"/>
          <w:highlight w:val="none"/>
        </w:rPr>
        <w:t xml:space="preserve">) </w:t>
      </w:r>
      <w:r>
        <w:rPr>
          <w:rFonts w:ascii="Times New Roman" w:hAnsi="宋体" w:cs="Times New Roman"/>
          <w:color w:val="auto"/>
          <w:kern w:val="0"/>
          <w:sz w:val="24"/>
          <w:szCs w:val="24"/>
          <w:highlight w:val="none"/>
        </w:rPr>
        <w:t>，安装在主变洞</w:t>
      </w:r>
      <w:r>
        <w:rPr>
          <w:rFonts w:ascii="Times New Roman" w:hAnsi="Times New Roman" w:cs="Times New Roman"/>
          <w:color w:val="auto"/>
          <w:kern w:val="0"/>
          <w:sz w:val="24"/>
          <w:szCs w:val="24"/>
          <w:highlight w:val="none"/>
        </w:rPr>
        <w:t>529.000m</w:t>
      </w:r>
      <w:r>
        <w:rPr>
          <w:rFonts w:ascii="Times New Roman" w:hAnsi="宋体" w:cs="Times New Roman"/>
          <w:color w:val="auto"/>
          <w:kern w:val="0"/>
          <w:sz w:val="24"/>
          <w:szCs w:val="24"/>
          <w:highlight w:val="none"/>
        </w:rPr>
        <w:t>高程起动母线分段隔离开关两侧。</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接地开关的主要性能参数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设备工作电压：</w:t>
      </w:r>
      <w:r>
        <w:rPr>
          <w:rFonts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额定短时耐受电流</w:t>
      </w:r>
      <w:r>
        <w:rPr>
          <w:rFonts w:ascii="Times New Roman" w:hAnsi="Times New Roman" w:cs="Times New Roman"/>
          <w:color w:val="auto"/>
          <w:kern w:val="0"/>
          <w:sz w:val="24"/>
          <w:szCs w:val="24"/>
          <w:highlight w:val="none"/>
        </w:rPr>
        <w:t xml:space="preserve">(1s) </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160kA(</w:t>
      </w:r>
      <w:r>
        <w:rPr>
          <w:rFonts w:ascii="Times New Roman" w:hAnsi="宋体" w:cs="Times New Roman"/>
          <w:color w:val="auto"/>
          <w:kern w:val="0"/>
          <w:sz w:val="24"/>
          <w:szCs w:val="24"/>
          <w:highlight w:val="none"/>
        </w:rPr>
        <w:t>有效值</w:t>
      </w:r>
      <w:r>
        <w:rPr>
          <w:rFonts w:ascii="Times New Roman" w:hAnsi="Times New Roman" w:cs="Times New Roman"/>
          <w:color w:val="auto"/>
          <w:kern w:val="0"/>
          <w:sz w:val="24"/>
          <w:szCs w:val="24"/>
          <w:highlight w:val="none"/>
        </w:rPr>
        <w:t xml:space="preserve">) </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额定峰值耐受电流：</w:t>
      </w:r>
      <w:r>
        <w:rPr>
          <w:rFonts w:ascii="Times New Roman" w:hAnsi="Times New Roman" w:cs="Times New Roman"/>
          <w:color w:val="auto"/>
          <w:kern w:val="0"/>
          <w:sz w:val="24"/>
          <w:szCs w:val="24"/>
          <w:highlight w:val="none"/>
        </w:rPr>
        <w:t>450kA(</w:t>
      </w:r>
      <w:r>
        <w:rPr>
          <w:rFonts w:ascii="Times New Roman" w:hAnsi="宋体" w:cs="Times New Roman"/>
          <w:color w:val="auto"/>
          <w:kern w:val="0"/>
          <w:sz w:val="24"/>
          <w:szCs w:val="24"/>
          <w:highlight w:val="none"/>
        </w:rPr>
        <w:t>峰值</w:t>
      </w:r>
      <w:r>
        <w:rPr>
          <w:rFonts w:ascii="Times New Roman" w:hAnsi="Times New Roman" w:cs="Times New Roman"/>
          <w:color w:val="auto"/>
          <w:kern w:val="0"/>
          <w:sz w:val="24"/>
          <w:szCs w:val="24"/>
          <w:highlight w:val="none"/>
        </w:rPr>
        <w:t xml:space="preserve">) </w:t>
      </w:r>
    </w:p>
    <w:p>
      <w:pPr>
        <w:keepNext/>
        <w:keepLines/>
        <w:spacing w:before="60" w:after="60" w:line="460" w:lineRule="exact"/>
        <w:outlineLvl w:val="2"/>
        <w:rPr>
          <w:rFonts w:ascii="Times New Roman" w:hAnsi="Times New Roman" w:eastAsia="黑体" w:cs="Times New Roman"/>
          <w:color w:val="auto"/>
          <w:kern w:val="0"/>
          <w:sz w:val="24"/>
          <w:szCs w:val="20"/>
          <w:highlight w:val="none"/>
          <w:lang w:val="zh-CN"/>
        </w:rPr>
      </w:pPr>
      <w:bookmarkStart w:id="226" w:name="_Toc387821653"/>
      <w:bookmarkStart w:id="227" w:name="_Toc14779"/>
      <w:r>
        <w:rPr>
          <w:rFonts w:ascii="Times New Roman" w:hAnsi="Times New Roman" w:eastAsia="黑体" w:cs="Times New Roman"/>
          <w:color w:val="auto"/>
          <w:kern w:val="0"/>
          <w:sz w:val="24"/>
          <w:szCs w:val="20"/>
          <w:highlight w:val="none"/>
          <w:lang w:val="zh-CN"/>
        </w:rPr>
        <w:t>9.2.3</w:t>
      </w:r>
      <w:r>
        <w:rPr>
          <w:rFonts w:hint="eastAsia" w:ascii="Times New Roman" w:hAnsi="Times New Roman" w:eastAsia="黑体" w:cs="Times New Roman"/>
          <w:color w:val="auto"/>
          <w:kern w:val="0"/>
          <w:sz w:val="24"/>
          <w:szCs w:val="20"/>
          <w:highlight w:val="none"/>
          <w:lang w:val="zh-CN"/>
        </w:rPr>
        <w:t xml:space="preserve">  发电机断路器、换相开关、电制动断路器</w:t>
      </w:r>
      <w:bookmarkEnd w:id="226"/>
      <w:r>
        <w:rPr>
          <w:rFonts w:hint="eastAsia" w:ascii="Times New Roman" w:hAnsi="Times New Roman" w:eastAsia="黑体" w:cs="Times New Roman"/>
          <w:color w:val="auto"/>
          <w:kern w:val="0"/>
          <w:sz w:val="24"/>
          <w:szCs w:val="20"/>
          <w:highlight w:val="none"/>
          <w:lang w:val="zh-CN"/>
        </w:rPr>
        <w:t>技术特性</w:t>
      </w:r>
      <w:bookmarkEnd w:id="227"/>
    </w:p>
    <w:p>
      <w:pPr>
        <w:pStyle w:val="76"/>
        <w:ind w:firstLine="426"/>
        <w:rPr>
          <w:b/>
          <w:bCs/>
          <w:color w:val="auto"/>
          <w:highlight w:val="none"/>
        </w:rPr>
      </w:pPr>
      <w:bookmarkStart w:id="228" w:name="_Hlk118977315"/>
      <w:r>
        <w:rPr>
          <w:rFonts w:hint="eastAsia"/>
          <w:b/>
          <w:bCs/>
          <w:color w:val="auto"/>
          <w:highlight w:val="none"/>
        </w:rPr>
        <w:t>本系统由发包人提供的主要设备清单如下，供报价参考：</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965"/>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发</w:t>
            </w:r>
            <w:bookmarkEnd w:id="228"/>
            <w:r>
              <w:rPr>
                <w:rFonts w:hint="eastAsia" w:ascii="宋体" w:hAnsi="宋体" w:cs="宋体"/>
                <w:color w:val="auto"/>
                <w:kern w:val="0"/>
                <w:szCs w:val="21"/>
                <w:highlight w:val="none"/>
              </w:rPr>
              <w:t>电机断路器单元</w:t>
            </w:r>
          </w:p>
        </w:tc>
        <w:tc>
          <w:tcPr>
            <w:tcW w:w="296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18kV12500A(</w:t>
            </w:r>
            <w:r>
              <w:rPr>
                <w:rFonts w:hint="eastAsia" w:ascii="宋体" w:hAnsi="宋体" w:cs="Times New Roman"/>
                <w:color w:val="auto"/>
                <w:kern w:val="0"/>
                <w:szCs w:val="21"/>
                <w:highlight w:val="none"/>
              </w:rPr>
              <w:t>每组断路器单元包括</w:t>
            </w:r>
            <w:r>
              <w:rPr>
                <w:rFonts w:ascii="Times New Roman" w:hAnsi="Times New Roman" w:cs="Times New Roman"/>
                <w:color w:val="auto"/>
                <w:kern w:val="0"/>
                <w:szCs w:val="21"/>
                <w:highlight w:val="none"/>
              </w:rPr>
              <w:t>2</w:t>
            </w:r>
            <w:r>
              <w:rPr>
                <w:rFonts w:hint="eastAsia" w:ascii="宋体" w:hAnsi="宋体" w:cs="Times New Roman"/>
                <w:color w:val="auto"/>
                <w:kern w:val="0"/>
                <w:szCs w:val="21"/>
                <w:highlight w:val="none"/>
              </w:rPr>
              <w:t>组起动隔离开关等设备</w:t>
            </w:r>
            <w:r>
              <w:rPr>
                <w:rFonts w:ascii="Times New Roman" w:hAnsi="Times New Roman" w:cs="Times New Roman"/>
                <w:color w:val="auto"/>
                <w:kern w:val="0"/>
                <w:szCs w:val="21"/>
                <w:highlight w:val="none"/>
              </w:rPr>
              <w:t>)</w:t>
            </w: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换相开关单元</w:t>
            </w:r>
          </w:p>
        </w:tc>
        <w:tc>
          <w:tcPr>
            <w:tcW w:w="296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 12500A</w:t>
            </w:r>
            <w:r>
              <w:rPr>
                <w:rFonts w:hint="eastAsia" w:ascii="宋体" w:hAnsi="宋体" w:cs="Times New Roman"/>
                <w:color w:val="auto"/>
                <w:kern w:val="0"/>
                <w:szCs w:val="21"/>
                <w:highlight w:val="none"/>
              </w:rPr>
              <w:t>三相五极</w:t>
            </w: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电制动断路器</w:t>
            </w:r>
          </w:p>
        </w:tc>
        <w:tc>
          <w:tcPr>
            <w:tcW w:w="296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 16000A(10min)</w:t>
            </w: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其他</w:t>
            </w:r>
            <w:r>
              <w:rPr>
                <w:rFonts w:ascii="Times New Roman" w:hAnsi="Times New Roman" w:cs="Times New Roman"/>
                <w:color w:val="auto"/>
                <w:kern w:val="0"/>
                <w:szCs w:val="21"/>
                <w:highlight w:val="none"/>
              </w:rPr>
              <w:t>(</w:t>
            </w:r>
            <w:r>
              <w:rPr>
                <w:rFonts w:hint="eastAsia" w:ascii="宋体" w:hAnsi="宋体" w:cs="宋体"/>
                <w:color w:val="auto"/>
                <w:kern w:val="0"/>
                <w:szCs w:val="21"/>
                <w:highlight w:val="none"/>
              </w:rPr>
              <w:t>控制柜</w:t>
            </w:r>
            <w:r>
              <w:rPr>
                <w:rFonts w:ascii="Times New Roman" w:hAnsi="Times New Roman" w:cs="Times New Roman"/>
                <w:color w:val="auto"/>
                <w:kern w:val="0"/>
                <w:szCs w:val="21"/>
                <w:highlight w:val="none"/>
              </w:rPr>
              <w:t>)</w:t>
            </w:r>
          </w:p>
        </w:tc>
        <w:tc>
          <w:tcPr>
            <w:tcW w:w="2965" w:type="dxa"/>
            <w:vAlign w:val="center"/>
          </w:tcPr>
          <w:p>
            <w:pPr>
              <w:widowControl/>
              <w:rPr>
                <w:rFonts w:hint="eastAsia" w:ascii="宋体" w:hAnsi="宋体" w:cs="宋体"/>
                <w:color w:val="auto"/>
                <w:kern w:val="0"/>
                <w:szCs w:val="21"/>
                <w:highlight w:val="none"/>
              </w:rPr>
            </w:pP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发电机断路器在线监测系统</w:t>
            </w:r>
          </w:p>
        </w:tc>
        <w:tc>
          <w:tcPr>
            <w:tcW w:w="2965" w:type="dxa"/>
            <w:vAlign w:val="center"/>
          </w:tcPr>
          <w:p>
            <w:pPr>
              <w:widowControl/>
              <w:rPr>
                <w:rFonts w:hint="eastAsia" w:ascii="宋体" w:hAnsi="宋体" w:cs="宋体"/>
                <w:color w:val="auto"/>
                <w:kern w:val="0"/>
                <w:szCs w:val="21"/>
                <w:highlight w:val="none"/>
              </w:rPr>
            </w:pP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93"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设备基础</w:t>
            </w:r>
          </w:p>
        </w:tc>
        <w:tc>
          <w:tcPr>
            <w:tcW w:w="2965"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设备预埋板等，约4m</w:t>
            </w:r>
            <w:r>
              <w:rPr>
                <w:rFonts w:hint="eastAsia" w:ascii="宋体" w:hAnsi="宋体" w:cs="宋体"/>
                <w:color w:val="auto"/>
                <w:kern w:val="0"/>
                <w:szCs w:val="21"/>
                <w:highlight w:val="none"/>
                <w:vertAlign w:val="superscript"/>
              </w:rPr>
              <w:t>2</w:t>
            </w:r>
          </w:p>
        </w:tc>
        <w:tc>
          <w:tcPr>
            <w:tcW w:w="992"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w:t>
            </w:r>
          </w:p>
        </w:tc>
        <w:tc>
          <w:tcPr>
            <w:tcW w:w="1134"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bl>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9.2.3.1  </w:t>
      </w:r>
      <w:r>
        <w:rPr>
          <w:rFonts w:hint="eastAsia" w:ascii="Times New Roman" w:hAnsi="Times New Roman" w:cs="Times New Roman"/>
          <w:color w:val="auto"/>
          <w:kern w:val="0"/>
          <w:sz w:val="24"/>
          <w:szCs w:val="20"/>
          <w:highlight w:val="none"/>
        </w:rPr>
        <w:t>发电机出口断路器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全厂共</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组，每组包括发电机</w:t>
      </w:r>
      <w:r>
        <w:rPr>
          <w:rFonts w:hint="eastAsia" w:ascii="Times New Roman" w:hAnsi="宋体" w:cs="Times New Roman"/>
          <w:color w:val="auto"/>
          <w:kern w:val="0"/>
          <w:sz w:val="24"/>
          <w:szCs w:val="24"/>
          <w:highlight w:val="none"/>
        </w:rPr>
        <w:t>出口</w:t>
      </w:r>
      <w:r>
        <w:rPr>
          <w:rFonts w:ascii="Times New Roman" w:hAnsi="宋体" w:cs="Times New Roman"/>
          <w:color w:val="auto"/>
          <w:kern w:val="0"/>
          <w:sz w:val="24"/>
          <w:szCs w:val="24"/>
          <w:highlight w:val="none"/>
        </w:rPr>
        <w:t>断路器、发电机电源侧电容器及电源侧接地开关、操作机构及其辅助设备、控制柜、</w:t>
      </w:r>
      <w:r>
        <w:rPr>
          <w:rFonts w:ascii="Times New Roman" w:hAnsi="Times New Roman" w:cs="Times New Roman"/>
          <w:color w:val="auto"/>
          <w:kern w:val="0"/>
          <w:sz w:val="24"/>
          <w:szCs w:val="24"/>
          <w:highlight w:val="none"/>
        </w:rPr>
        <w:t>SF6</w:t>
      </w:r>
      <w:r>
        <w:rPr>
          <w:rFonts w:ascii="Times New Roman" w:hAnsi="宋体" w:cs="Times New Roman"/>
          <w:color w:val="auto"/>
          <w:kern w:val="0"/>
          <w:sz w:val="24"/>
          <w:szCs w:val="24"/>
          <w:highlight w:val="none"/>
        </w:rPr>
        <w:t>气体系统和所需</w:t>
      </w:r>
      <w:r>
        <w:rPr>
          <w:rFonts w:ascii="Times New Roman" w:hAnsi="Times New Roman" w:cs="Times New Roman"/>
          <w:color w:val="auto"/>
          <w:kern w:val="0"/>
          <w:sz w:val="24"/>
          <w:szCs w:val="24"/>
          <w:highlight w:val="none"/>
        </w:rPr>
        <w:t>SF6</w:t>
      </w:r>
      <w:r>
        <w:rPr>
          <w:rFonts w:ascii="Times New Roman" w:hAnsi="宋体" w:cs="Times New Roman"/>
          <w:color w:val="auto"/>
          <w:kern w:val="0"/>
          <w:sz w:val="24"/>
          <w:szCs w:val="24"/>
          <w:highlight w:val="none"/>
        </w:rPr>
        <w:t>气体、断路器基础支架、连接管道及所需的连接电缆，还包括发电机断路器触头寿命、操作机构状态在线监测系统等。</w:t>
      </w:r>
    </w:p>
    <w:p>
      <w:pPr>
        <w:spacing w:line="480" w:lineRule="exact"/>
        <w:ind w:firstLine="720" w:firstLineChars="300"/>
        <w:rPr>
          <w:rFonts w:ascii="Times New Roman" w:hAnsi="Times New Roman" w:cs="Times New Roman"/>
          <w:color w:val="auto"/>
          <w:kern w:val="0"/>
          <w:sz w:val="24"/>
          <w:szCs w:val="24"/>
          <w:highlight w:val="none"/>
        </w:rPr>
      </w:pPr>
      <w:bookmarkStart w:id="229" w:name="_Toc524940462"/>
      <w:bookmarkStart w:id="230" w:name="_Toc1633083"/>
      <w:r>
        <w:rPr>
          <w:rFonts w:ascii="Times New Roman" w:hAnsi="Times New Roman" w:cs="Times New Roman"/>
          <w:color w:val="auto"/>
          <w:kern w:val="0"/>
          <w:sz w:val="24"/>
          <w:szCs w:val="24"/>
          <w:highlight w:val="none"/>
        </w:rPr>
        <w:t xml:space="preserve">(1) </w:t>
      </w:r>
      <w:r>
        <w:rPr>
          <w:rFonts w:hint="eastAsia" w:ascii="Times New Roman" w:hAnsi="Times New Roman" w:cs="Times New Roman"/>
          <w:color w:val="auto"/>
          <w:kern w:val="0"/>
          <w:sz w:val="24"/>
          <w:szCs w:val="24"/>
          <w:highlight w:val="none"/>
        </w:rPr>
        <w:t>发电出口机断路器</w:t>
      </w:r>
      <w:bookmarkEnd w:id="229"/>
      <w:bookmarkEnd w:id="230"/>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型式：户内</w:t>
      </w: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卧式</w:t>
      </w:r>
      <w:r>
        <w:rPr>
          <w:rFonts w:hint="eastAsia"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SF6</w:t>
      </w:r>
      <w:r>
        <w:rPr>
          <w:rFonts w:ascii="Times New Roman" w:hAnsi="宋体" w:cs="Times New Roman"/>
          <w:color w:val="auto"/>
          <w:kern w:val="0"/>
          <w:sz w:val="24"/>
          <w:szCs w:val="24"/>
          <w:highlight w:val="none"/>
        </w:rPr>
        <w:t>气体灭弧和绝缘，自然冷却、水平布置、三相机械联动，外壳防护等级</w:t>
      </w:r>
      <w:r>
        <w:rPr>
          <w:rFonts w:hint="eastAsia" w:ascii="Times New Roman" w:hAnsi="宋体" w:cs="Times New Roman"/>
          <w:color w:val="auto"/>
          <w:kern w:val="0"/>
          <w:sz w:val="24"/>
          <w:szCs w:val="24"/>
          <w:highlight w:val="none"/>
        </w:rPr>
        <w:t>不低于</w:t>
      </w:r>
      <w:r>
        <w:rPr>
          <w:rFonts w:ascii="Times New Roman" w:hAnsi="Times New Roman" w:cs="Times New Roman"/>
          <w:color w:val="auto"/>
          <w:kern w:val="0"/>
          <w:sz w:val="24"/>
          <w:szCs w:val="24"/>
          <w:highlight w:val="none"/>
        </w:rPr>
        <w:t>IP64</w:t>
      </w:r>
      <w:r>
        <w:rPr>
          <w:rFonts w:ascii="Times New Roman" w:hAnsi="宋体" w:cs="Times New Roman"/>
          <w:color w:val="auto"/>
          <w:kern w:val="0"/>
          <w:sz w:val="24"/>
          <w:szCs w:val="24"/>
          <w:highlight w:val="none"/>
        </w:rPr>
        <w:t>。</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数量及安装位置：全厂共</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组，布置在母线洞</w:t>
      </w:r>
      <w:r>
        <w:rPr>
          <w:rFonts w:ascii="Times New Roman" w:hAnsi="Times New Roman" w:cs="Times New Roman"/>
          <w:color w:val="auto"/>
          <w:kern w:val="0"/>
          <w:sz w:val="24"/>
          <w:szCs w:val="24"/>
          <w:highlight w:val="none"/>
        </w:rPr>
        <w:t>522.500</w:t>
      </w:r>
      <w:r>
        <w:rPr>
          <w:rFonts w:hint="eastAsia" w:ascii="Times New Roman" w:hAnsi="Times New Roman" w:cs="Times New Roman"/>
          <w:color w:val="auto"/>
          <w:kern w:val="0"/>
          <w:sz w:val="24"/>
          <w:szCs w:val="24"/>
          <w:highlight w:val="none"/>
        </w:rPr>
        <w:t>m</w:t>
      </w:r>
      <w:r>
        <w:rPr>
          <w:rFonts w:ascii="Times New Roman" w:hAnsi="宋体" w:cs="Times New Roman"/>
          <w:color w:val="auto"/>
          <w:kern w:val="0"/>
          <w:sz w:val="24"/>
          <w:szCs w:val="24"/>
          <w:highlight w:val="none"/>
        </w:rPr>
        <w:t>高程。</w:t>
      </w:r>
    </w:p>
    <w:p>
      <w:pPr>
        <w:spacing w:line="480" w:lineRule="exact"/>
        <w:ind w:firstLine="960" w:firstLineChars="400"/>
        <w:rPr>
          <w:rFonts w:hint="eastAsia" w:ascii="Times New Roman" w:hAnsi="宋体" w:cs="Times New Roman"/>
          <w:color w:val="auto"/>
          <w:kern w:val="0"/>
          <w:sz w:val="24"/>
          <w:szCs w:val="24"/>
          <w:highlight w:val="none"/>
        </w:rPr>
      </w:pPr>
      <w:bookmarkStart w:id="231" w:name="_Toc1633084"/>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bookmarkEnd w:id="231"/>
    </w:p>
    <w:p>
      <w:pPr>
        <w:spacing w:line="480" w:lineRule="exact"/>
        <w:ind w:firstLine="960" w:firstLineChars="4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≥18kV</w:t>
      </w:r>
    </w:p>
    <w:p>
      <w:pPr>
        <w:spacing w:line="480" w:lineRule="exact"/>
        <w:ind w:firstLine="960" w:firstLineChars="4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960" w:firstLineChars="4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额定电流：</w:t>
      </w:r>
      <w:r>
        <w:rPr>
          <w:rFonts w:ascii="Times New Roman" w:hAnsi="Times New Roman" w:cs="Times New Roman"/>
          <w:color w:val="auto"/>
          <w:kern w:val="0"/>
          <w:sz w:val="24"/>
          <w:szCs w:val="24"/>
          <w:highlight w:val="none"/>
        </w:rPr>
        <w:t>12500A</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检修接地开关</w:t>
      </w:r>
    </w:p>
    <w:p>
      <w:pPr>
        <w:spacing w:line="480" w:lineRule="exact"/>
        <w:ind w:firstLine="480" w:firstLineChars="200"/>
        <w:rPr>
          <w:rFonts w:hint="eastAsia" w:ascii="Times New Roman" w:hAnsi="宋体" w:cs="Times New Roman"/>
          <w:color w:val="auto"/>
          <w:kern w:val="0"/>
          <w:sz w:val="24"/>
          <w:szCs w:val="24"/>
          <w:highlight w:val="none"/>
        </w:rPr>
      </w:pPr>
      <w:bookmarkStart w:id="232" w:name="_Toc1633085"/>
      <w:r>
        <w:rPr>
          <w:rFonts w:ascii="Times New Roman" w:hAnsi="宋体" w:cs="Times New Roman"/>
          <w:color w:val="auto"/>
          <w:kern w:val="0"/>
          <w:sz w:val="24"/>
          <w:szCs w:val="24"/>
          <w:highlight w:val="none"/>
        </w:rPr>
        <w:t>1) 型式：单相户内、三相联动操作，气体绝缘</w:t>
      </w:r>
      <w:bookmarkEnd w:id="232"/>
    </w:p>
    <w:p>
      <w:pPr>
        <w:numPr>
          <w:ilvl w:val="0"/>
          <w:numId w:val="6"/>
        </w:numPr>
        <w:spacing w:line="480" w:lineRule="exact"/>
        <w:rPr>
          <w:rFonts w:ascii="宋体" w:hAnsi="宋体" w:eastAsia="宋体" w:cs="宋体"/>
          <w:i w:val="0"/>
          <w:strike w:val="0"/>
          <w:color w:val="auto"/>
          <w:sz w:val="24"/>
          <w:highlight w:val="none"/>
          <w:u w:val="none"/>
        </w:rPr>
      </w:pPr>
      <w:r>
        <w:rPr>
          <w:rFonts w:ascii="Times New Roman" w:hAnsi="宋体" w:cs="Times New Roman"/>
          <w:color w:val="auto"/>
          <w:kern w:val="0"/>
          <w:sz w:val="24"/>
          <w:szCs w:val="24"/>
          <w:highlight w:val="none"/>
        </w:rPr>
        <w:t>数量及安装位置：</w:t>
      </w:r>
      <w:r>
        <w:rPr>
          <w:rFonts w:ascii="宋体" w:hAnsi="宋体" w:eastAsia="宋体" w:cs="宋体"/>
          <w:i w:val="0"/>
          <w:strike w:val="0"/>
          <w:color w:val="auto"/>
          <w:sz w:val="24"/>
          <w:highlight w:val="none"/>
          <w:u w:val="none"/>
        </w:rPr>
        <w:t>安装在发电机断路器单元内。每台发电机断路器</w:t>
      </w:r>
      <w:r>
        <w:rPr>
          <w:rFonts w:ascii="Times New Roman" w:hAnsi="Times New Roman" w:eastAsia="Times New Roman" w:cs="Times New Roman"/>
          <w:i w:val="0"/>
          <w:strike w:val="0"/>
          <w:color w:val="auto"/>
          <w:sz w:val="24"/>
          <w:highlight w:val="none"/>
          <w:u w:val="none"/>
        </w:rPr>
        <w:t>1</w:t>
      </w:r>
      <w:r>
        <w:rPr>
          <w:rFonts w:ascii="宋体" w:hAnsi="宋体" w:eastAsia="宋体" w:cs="宋体"/>
          <w:i w:val="0"/>
          <w:strike w:val="0"/>
          <w:color w:val="auto"/>
          <w:sz w:val="24"/>
          <w:highlight w:val="none"/>
          <w:u w:val="none"/>
        </w:rPr>
        <w:t>组，共</w:t>
      </w:r>
      <w:r>
        <w:rPr>
          <w:rFonts w:ascii="Times New Roman" w:hAnsi="Times New Roman" w:eastAsia="Times New Roman" w:cs="Times New Roman"/>
          <w:i w:val="0"/>
          <w:strike w:val="0"/>
          <w:color w:val="auto"/>
          <w:sz w:val="24"/>
          <w:highlight w:val="none"/>
          <w:u w:val="none"/>
        </w:rPr>
        <w:t>4</w:t>
      </w:r>
      <w:r>
        <w:rPr>
          <w:rFonts w:ascii="宋体" w:hAnsi="宋体" w:eastAsia="宋体" w:cs="宋体"/>
          <w:i w:val="0"/>
          <w:strike w:val="0"/>
          <w:color w:val="auto"/>
          <w:sz w:val="24"/>
          <w:highlight w:val="none"/>
          <w:u w:val="none"/>
        </w:rPr>
        <w:t>组</w:t>
      </w:r>
    </w:p>
    <w:p>
      <w:pPr>
        <w:numPr>
          <w:ilvl w:val="0"/>
          <w:numId w:val="6"/>
        </w:numPr>
        <w:spacing w:line="480" w:lineRule="exact"/>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 xml:space="preserve"> 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额定短时耐受电流</w:t>
      </w:r>
      <w:r>
        <w:rPr>
          <w:rFonts w:ascii="Times New Roman" w:hAnsi="Times New Roman" w:cs="Times New Roman"/>
          <w:color w:val="auto"/>
          <w:kern w:val="0"/>
          <w:sz w:val="24"/>
          <w:szCs w:val="24"/>
          <w:highlight w:val="none"/>
        </w:rPr>
        <w:t xml:space="preserve">(3s) </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100kA(</w:t>
      </w:r>
      <w:r>
        <w:rPr>
          <w:rFonts w:ascii="Times New Roman" w:hAnsi="宋体" w:cs="Times New Roman"/>
          <w:color w:val="auto"/>
          <w:kern w:val="0"/>
          <w:sz w:val="24"/>
          <w:szCs w:val="24"/>
          <w:highlight w:val="none"/>
        </w:rPr>
        <w:t>有效值</w:t>
      </w:r>
      <w:r>
        <w:rPr>
          <w:rFonts w:ascii="Times New Roman" w:hAnsi="Times New Roman" w:cs="Times New Roman"/>
          <w:color w:val="auto"/>
          <w:kern w:val="0"/>
          <w:sz w:val="24"/>
          <w:szCs w:val="24"/>
          <w:highlight w:val="none"/>
        </w:rPr>
        <w:t xml:space="preserve">) </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额定峰值耐受电流：</w:t>
      </w:r>
      <w:r>
        <w:rPr>
          <w:rFonts w:ascii="Times New Roman" w:hAnsi="Times New Roman" w:cs="Times New Roman"/>
          <w:color w:val="auto"/>
          <w:kern w:val="0"/>
          <w:sz w:val="24"/>
          <w:szCs w:val="24"/>
          <w:highlight w:val="none"/>
        </w:rPr>
        <w:t>300kA(</w:t>
      </w:r>
      <w:r>
        <w:rPr>
          <w:rFonts w:ascii="Times New Roman" w:hAnsi="宋体" w:cs="Times New Roman"/>
          <w:color w:val="auto"/>
          <w:kern w:val="0"/>
          <w:sz w:val="24"/>
          <w:szCs w:val="24"/>
          <w:highlight w:val="none"/>
        </w:rPr>
        <w:t>峰值</w:t>
      </w:r>
      <w:r>
        <w:rPr>
          <w:rFonts w:ascii="Times New Roman" w:hAnsi="Times New Roman" w:cs="Times New Roman"/>
          <w:color w:val="auto"/>
          <w:kern w:val="0"/>
          <w:sz w:val="24"/>
          <w:szCs w:val="24"/>
          <w:highlight w:val="none"/>
        </w:rPr>
        <w:t xml:space="preserve">) </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每组发电机</w:t>
      </w:r>
      <w:r>
        <w:rPr>
          <w:rFonts w:hint="eastAsia" w:ascii="Times New Roman" w:hAnsi="宋体" w:cs="Times New Roman"/>
          <w:color w:val="auto"/>
          <w:kern w:val="0"/>
          <w:sz w:val="24"/>
          <w:szCs w:val="24"/>
          <w:highlight w:val="none"/>
        </w:rPr>
        <w:t>出口</w:t>
      </w:r>
      <w:r>
        <w:rPr>
          <w:rFonts w:ascii="Times New Roman" w:hAnsi="宋体" w:cs="Times New Roman"/>
          <w:color w:val="auto"/>
          <w:kern w:val="0"/>
          <w:sz w:val="24"/>
          <w:szCs w:val="24"/>
          <w:highlight w:val="none"/>
        </w:rPr>
        <w:t>断路器还设有下列主要附件</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操动机构：液压弹簧操动机构一套</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控制柜：一套</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SF6</w:t>
      </w:r>
      <w:r>
        <w:rPr>
          <w:rFonts w:ascii="Times New Roman" w:hAnsi="宋体" w:cs="Times New Roman"/>
          <w:color w:val="auto"/>
          <w:kern w:val="0"/>
          <w:sz w:val="24"/>
          <w:szCs w:val="24"/>
          <w:highlight w:val="none"/>
        </w:rPr>
        <w:t>系统：一套</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9.2.3.2  </w:t>
      </w:r>
      <w:r>
        <w:rPr>
          <w:rFonts w:hint="eastAsia" w:ascii="Times New Roman" w:hAnsi="Times New Roman" w:cs="Times New Roman"/>
          <w:color w:val="auto"/>
          <w:kern w:val="0"/>
          <w:sz w:val="24"/>
          <w:szCs w:val="20"/>
          <w:highlight w:val="none"/>
        </w:rPr>
        <w:t>换相隔离开关</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换相隔离开关</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型式：换相隔离开关为三相五极、户内水平布置、三相联动带封闭外壳与离相封闭母线相连接、空气绝缘、自然冷却、电动操作，外壳防护等级</w:t>
      </w:r>
      <w:r>
        <w:rPr>
          <w:rFonts w:ascii="Times New Roman" w:hAnsi="Times New Roman" w:cs="Times New Roman"/>
          <w:color w:val="auto"/>
          <w:kern w:val="0"/>
          <w:sz w:val="24"/>
          <w:szCs w:val="24"/>
          <w:highlight w:val="none"/>
        </w:rPr>
        <w:t>IP64</w:t>
      </w:r>
      <w:r>
        <w:rPr>
          <w:rFonts w:ascii="Times New Roman" w:hAnsi="宋体" w:cs="Times New Roman"/>
          <w:color w:val="auto"/>
          <w:kern w:val="0"/>
          <w:sz w:val="24"/>
          <w:szCs w:val="24"/>
          <w:highlight w:val="none"/>
        </w:rPr>
        <w:t>。</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组，布置在母线洞</w:t>
      </w:r>
      <w:r>
        <w:rPr>
          <w:rFonts w:ascii="Times New Roman" w:hAnsi="Times New Roman" w:cs="Times New Roman"/>
          <w:color w:val="auto"/>
          <w:kern w:val="0"/>
          <w:sz w:val="24"/>
          <w:szCs w:val="24"/>
          <w:highlight w:val="none"/>
        </w:rPr>
        <w:t>522.500</w:t>
      </w:r>
      <w:r>
        <w:rPr>
          <w:rFonts w:hint="eastAsia" w:ascii="Times New Roman" w:hAnsi="Times New Roman" w:cs="Times New Roman"/>
          <w:color w:val="auto"/>
          <w:kern w:val="0"/>
          <w:sz w:val="24"/>
          <w:szCs w:val="24"/>
          <w:highlight w:val="none"/>
        </w:rPr>
        <w:t>m</w:t>
      </w:r>
      <w:r>
        <w:rPr>
          <w:rFonts w:ascii="Times New Roman" w:hAnsi="宋体" w:cs="Times New Roman"/>
          <w:color w:val="auto"/>
          <w:kern w:val="0"/>
          <w:sz w:val="24"/>
          <w:szCs w:val="24"/>
          <w:highlight w:val="none"/>
        </w:rPr>
        <w:t>高程。</w:t>
      </w:r>
    </w:p>
    <w:p>
      <w:pPr>
        <w:spacing w:line="480" w:lineRule="exact"/>
        <w:ind w:firstLine="720" w:firstLineChars="300"/>
        <w:rPr>
          <w:rFonts w:ascii="Times New Roman" w:hAnsi="Times New Roman" w:cs="Times New Roman"/>
          <w:color w:val="auto"/>
          <w:kern w:val="0"/>
          <w:sz w:val="24"/>
          <w:szCs w:val="24"/>
          <w:highlight w:val="none"/>
        </w:rPr>
      </w:pPr>
      <w:bookmarkStart w:id="233" w:name="_Toc1633087"/>
      <w:r>
        <w:rPr>
          <w:rFonts w:ascii="Times New Roman" w:hAnsi="Times New Roman" w:cs="Times New Roman"/>
          <w:color w:val="auto"/>
          <w:kern w:val="0"/>
          <w:sz w:val="24"/>
          <w:szCs w:val="24"/>
          <w:highlight w:val="none"/>
        </w:rPr>
        <w:t xml:space="preserve">3) </w:t>
      </w:r>
      <w:r>
        <w:rPr>
          <w:rFonts w:hint="eastAsia" w:ascii="Times New Roman" w:hAnsi="Times New Roman" w:cs="Times New Roman"/>
          <w:color w:val="auto"/>
          <w:kern w:val="0"/>
          <w:sz w:val="24"/>
          <w:szCs w:val="24"/>
          <w:highlight w:val="none"/>
        </w:rPr>
        <w:t>主要技术参数</w:t>
      </w:r>
      <w:bookmarkEnd w:id="233"/>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 xml:space="preserve"> ≥18kV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额定频率：</w:t>
      </w:r>
      <w:r>
        <w:rPr>
          <w:rFonts w:ascii="Times New Roman" w:hAnsi="Times New Roman" w:cs="Times New Roman"/>
          <w:color w:val="auto"/>
          <w:kern w:val="0"/>
          <w:sz w:val="24"/>
          <w:szCs w:val="24"/>
          <w:highlight w:val="none"/>
        </w:rPr>
        <w:t>50Hz</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额定电流：</w:t>
      </w:r>
      <w:r>
        <w:rPr>
          <w:rFonts w:ascii="Times New Roman" w:hAnsi="Times New Roman" w:cs="Times New Roman"/>
          <w:color w:val="auto"/>
          <w:kern w:val="0"/>
          <w:sz w:val="24"/>
          <w:szCs w:val="24"/>
          <w:highlight w:val="none"/>
        </w:rPr>
        <w:t>12500A</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接地开关</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型式：安装在换相开关单元内</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w:t>
      </w:r>
      <w:r>
        <w:rPr>
          <w:rFonts w:ascii="宋体" w:hAnsi="宋体" w:eastAsia="宋体" w:cs="宋体"/>
          <w:i w:val="0"/>
          <w:strike w:val="0"/>
          <w:color w:val="auto"/>
          <w:sz w:val="24"/>
          <w:highlight w:val="none"/>
          <w:u w:val="none"/>
        </w:rPr>
        <w:t>每台换相隔离开关</w:t>
      </w:r>
      <w:r>
        <w:rPr>
          <w:rFonts w:ascii="Times New Roman" w:hAnsi="Times New Roman" w:eastAsia="Times New Roman" w:cs="Times New Roman"/>
          <w:i w:val="0"/>
          <w:strike w:val="0"/>
          <w:color w:val="auto"/>
          <w:sz w:val="24"/>
          <w:highlight w:val="none"/>
          <w:u w:val="none"/>
        </w:rPr>
        <w:t>2</w:t>
      </w:r>
      <w:r>
        <w:rPr>
          <w:rFonts w:ascii="宋体" w:hAnsi="宋体" w:eastAsia="宋体" w:cs="宋体"/>
          <w:i w:val="0"/>
          <w:strike w:val="0"/>
          <w:color w:val="auto"/>
          <w:sz w:val="24"/>
          <w:highlight w:val="none"/>
          <w:u w:val="none"/>
        </w:rPr>
        <w:t>组，共</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组，布置在母线洞</w:t>
      </w:r>
      <w:r>
        <w:rPr>
          <w:rFonts w:ascii="Times New Roman" w:hAnsi="Times New Roman" w:cs="Times New Roman"/>
          <w:color w:val="auto"/>
          <w:kern w:val="0"/>
          <w:sz w:val="24"/>
          <w:szCs w:val="24"/>
          <w:highlight w:val="none"/>
        </w:rPr>
        <w:t>522.500</w:t>
      </w:r>
      <w:r>
        <w:rPr>
          <w:rFonts w:hint="eastAsia" w:ascii="Times New Roman" w:hAnsi="Times New Roman" w:cs="Times New Roman"/>
          <w:color w:val="auto"/>
          <w:kern w:val="0"/>
          <w:sz w:val="24"/>
          <w:szCs w:val="24"/>
          <w:highlight w:val="none"/>
        </w:rPr>
        <w:t>m</w:t>
      </w:r>
      <w:r>
        <w:rPr>
          <w:rFonts w:ascii="Times New Roman" w:hAnsi="宋体" w:cs="Times New Roman"/>
          <w:color w:val="auto"/>
          <w:kern w:val="0"/>
          <w:sz w:val="24"/>
          <w:szCs w:val="24"/>
          <w:highlight w:val="none"/>
        </w:rPr>
        <w:t>高程。</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额定短时耐受电流</w:t>
      </w:r>
      <w:r>
        <w:rPr>
          <w:rFonts w:ascii="Times New Roman" w:hAnsi="Times New Roman" w:cs="Times New Roman"/>
          <w:color w:val="auto"/>
          <w:kern w:val="0"/>
          <w:sz w:val="24"/>
          <w:szCs w:val="24"/>
          <w:highlight w:val="none"/>
        </w:rPr>
        <w:t xml:space="preserve">(1s) </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100kA</w:t>
      </w:r>
      <w:r>
        <w:rPr>
          <w:rFonts w:ascii="Times New Roman" w:hAnsi="宋体" w:cs="Times New Roman"/>
          <w:color w:val="auto"/>
          <w:kern w:val="0"/>
          <w:sz w:val="24"/>
          <w:szCs w:val="24"/>
          <w:highlight w:val="none"/>
        </w:rPr>
        <w:t>〈有效值〉</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额定峰值耐受电流：</w:t>
      </w:r>
      <w:r>
        <w:rPr>
          <w:rFonts w:ascii="Times New Roman" w:hAnsi="Times New Roman" w:cs="Times New Roman"/>
          <w:color w:val="auto"/>
          <w:kern w:val="0"/>
          <w:sz w:val="24"/>
          <w:szCs w:val="24"/>
          <w:highlight w:val="none"/>
        </w:rPr>
        <w:t>300kA(</w:t>
      </w:r>
      <w:r>
        <w:rPr>
          <w:rFonts w:ascii="Times New Roman" w:hAnsi="宋体" w:cs="Times New Roman"/>
          <w:color w:val="auto"/>
          <w:kern w:val="0"/>
          <w:sz w:val="24"/>
          <w:szCs w:val="24"/>
          <w:highlight w:val="none"/>
        </w:rPr>
        <w:t>峰值</w:t>
      </w:r>
      <w:r>
        <w:rPr>
          <w:rFonts w:ascii="Times New Roman" w:hAnsi="Times New Roman" w:cs="Times New Roman"/>
          <w:color w:val="auto"/>
          <w:kern w:val="0"/>
          <w:sz w:val="24"/>
          <w:szCs w:val="24"/>
          <w:highlight w:val="none"/>
        </w:rPr>
        <w:t xml:space="preserve">) </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额定频率：</w:t>
      </w:r>
      <w:r>
        <w:rPr>
          <w:rFonts w:ascii="Times New Roman" w:hAnsi="Times New Roman" w:cs="Times New Roman"/>
          <w:color w:val="auto"/>
          <w:kern w:val="0"/>
          <w:sz w:val="24"/>
          <w:szCs w:val="24"/>
          <w:highlight w:val="none"/>
        </w:rPr>
        <w:t>50Hz</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9.2.3.3  </w:t>
      </w:r>
      <w:r>
        <w:rPr>
          <w:rFonts w:hint="eastAsia" w:ascii="Times New Roman" w:hAnsi="Times New Roman" w:cs="Times New Roman"/>
          <w:color w:val="auto"/>
          <w:kern w:val="0"/>
          <w:sz w:val="24"/>
          <w:szCs w:val="20"/>
          <w:highlight w:val="none"/>
        </w:rPr>
        <w:t>电制动断路器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w:t>
      </w:r>
      <w:r>
        <w:rPr>
          <w:rFonts w:ascii="Times New Roman" w:hAnsi="Times New Roman" w:cs="Times New Roman"/>
          <w:color w:val="auto"/>
          <w:kern w:val="0"/>
          <w:sz w:val="24"/>
          <w:szCs w:val="24"/>
          <w:highlight w:val="none"/>
        </w:rPr>
        <w:t>SF6</w:t>
      </w:r>
      <w:r>
        <w:rPr>
          <w:rFonts w:ascii="Times New Roman" w:hAnsi="宋体" w:cs="Times New Roman"/>
          <w:color w:val="auto"/>
          <w:kern w:val="0"/>
          <w:sz w:val="24"/>
          <w:szCs w:val="24"/>
          <w:highlight w:val="none"/>
        </w:rPr>
        <w:t>气体绝缘和灭弧，户内卧式、自然冷却、三相机械联动、外壳防护等级</w:t>
      </w:r>
      <w:r>
        <w:rPr>
          <w:rFonts w:ascii="Times New Roman" w:hAnsi="Times New Roman" w:cs="Times New Roman"/>
          <w:color w:val="auto"/>
          <w:kern w:val="0"/>
          <w:sz w:val="24"/>
          <w:szCs w:val="24"/>
          <w:highlight w:val="none"/>
        </w:rPr>
        <w:t>IP54</w:t>
      </w:r>
      <w:r>
        <w:rPr>
          <w:rFonts w:ascii="Times New Roman" w:hAnsi="宋体" w:cs="Times New Roman"/>
          <w:color w:val="auto"/>
          <w:kern w:val="0"/>
          <w:sz w:val="24"/>
          <w:szCs w:val="24"/>
          <w:highlight w:val="none"/>
        </w:rPr>
        <w:t>。</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数量及安装位置：全厂共</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套，布置在母线洞</w:t>
      </w:r>
      <w:r>
        <w:rPr>
          <w:rFonts w:ascii="Times New Roman" w:hAnsi="Times New Roman" w:cs="Times New Roman"/>
          <w:color w:val="auto"/>
          <w:kern w:val="0"/>
          <w:sz w:val="24"/>
          <w:szCs w:val="24"/>
          <w:highlight w:val="none"/>
        </w:rPr>
        <w:t>522.500</w:t>
      </w:r>
      <w:r>
        <w:rPr>
          <w:rFonts w:hint="eastAsia" w:ascii="Times New Roman" w:hAnsi="Times New Roman" w:cs="Times New Roman"/>
          <w:color w:val="auto"/>
          <w:kern w:val="0"/>
          <w:sz w:val="24"/>
          <w:szCs w:val="24"/>
          <w:highlight w:val="none"/>
        </w:rPr>
        <w:t>m</w:t>
      </w:r>
      <w:r>
        <w:rPr>
          <w:rFonts w:ascii="Times New Roman" w:hAnsi="宋体" w:cs="Times New Roman"/>
          <w:color w:val="auto"/>
          <w:kern w:val="0"/>
          <w:sz w:val="24"/>
          <w:szCs w:val="24"/>
          <w:highlight w:val="none"/>
        </w:rPr>
        <w:t>高程。</w:t>
      </w:r>
    </w:p>
    <w:p>
      <w:pPr>
        <w:spacing w:line="480" w:lineRule="exact"/>
        <w:ind w:firstLine="508" w:firstLineChars="212"/>
        <w:rPr>
          <w:rFonts w:ascii="Times New Roman" w:hAnsi="Times New Roman" w:cs="Times New Roman"/>
          <w:color w:val="auto"/>
          <w:kern w:val="0"/>
          <w:sz w:val="24"/>
          <w:szCs w:val="24"/>
          <w:highlight w:val="none"/>
        </w:rPr>
      </w:pPr>
      <w:bookmarkStart w:id="234" w:name="_Toc1633088"/>
      <w:r>
        <w:rPr>
          <w:rFonts w:ascii="Times New Roman" w:hAnsi="Times New Roman" w:cs="Times New Roman"/>
          <w:color w:val="auto"/>
          <w:kern w:val="0"/>
          <w:sz w:val="24"/>
          <w:szCs w:val="24"/>
          <w:highlight w:val="none"/>
        </w:rPr>
        <w:t xml:space="preserve">(3) </w:t>
      </w:r>
      <w:r>
        <w:rPr>
          <w:rFonts w:hint="eastAsia" w:ascii="Times New Roman" w:hAnsi="Times New Roman" w:cs="Times New Roman"/>
          <w:color w:val="auto"/>
          <w:kern w:val="0"/>
          <w:sz w:val="24"/>
          <w:szCs w:val="24"/>
          <w:highlight w:val="none"/>
        </w:rPr>
        <w:t>主要技术参数</w:t>
      </w:r>
      <w:bookmarkEnd w:id="234"/>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额定电压：</w:t>
      </w:r>
      <w:r>
        <w:rPr>
          <w:rFonts w:hint="eastAsia" w:ascii="Times New Roman" w:hAnsi="Times New Roman" w:cs="Times New Roman"/>
          <w:color w:val="auto"/>
          <w:kern w:val="0"/>
          <w:sz w:val="24"/>
          <w:szCs w:val="24"/>
          <w:highlight w:val="none"/>
        </w:rPr>
        <w:t>≥18kV</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回路短时工作电流：</w:t>
      </w:r>
      <w:r>
        <w:rPr>
          <w:rFonts w:ascii="Times New Roman" w:hAnsi="Times New Roman" w:cs="Times New Roman"/>
          <w:color w:val="auto"/>
          <w:kern w:val="0"/>
          <w:sz w:val="24"/>
          <w:szCs w:val="24"/>
          <w:highlight w:val="none"/>
        </w:rPr>
        <w:t>16000A</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回路电流持续时间：</w:t>
      </w:r>
      <w:r>
        <w:rPr>
          <w:rFonts w:ascii="Times New Roman" w:hAnsi="Times New Roman" w:cs="Times New Roman"/>
          <w:color w:val="auto"/>
          <w:kern w:val="0"/>
          <w:sz w:val="24"/>
          <w:szCs w:val="24"/>
          <w:highlight w:val="none"/>
        </w:rPr>
        <w:t>10min</w:t>
      </w:r>
    </w:p>
    <w:p>
      <w:pPr>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8) </w:t>
      </w:r>
      <w:r>
        <w:rPr>
          <w:rFonts w:ascii="Times New Roman" w:hAnsi="宋体" w:cs="Times New Roman"/>
          <w:color w:val="auto"/>
          <w:kern w:val="0"/>
          <w:sz w:val="24"/>
          <w:szCs w:val="24"/>
          <w:highlight w:val="none"/>
        </w:rPr>
        <w:t>不用检修操作次数：</w:t>
      </w:r>
      <w:r>
        <w:rPr>
          <w:rFonts w:ascii="Times New Roman" w:hAnsi="Times New Roman" w:cs="Times New Roman"/>
          <w:color w:val="auto"/>
          <w:kern w:val="0"/>
          <w:sz w:val="24"/>
          <w:szCs w:val="24"/>
          <w:highlight w:val="none"/>
        </w:rPr>
        <w:t>10000</w:t>
      </w:r>
      <w:r>
        <w:rPr>
          <w:rFonts w:ascii="Times New Roman" w:hAnsi="宋体" w:cs="Times New Roman"/>
          <w:color w:val="auto"/>
          <w:kern w:val="0"/>
          <w:sz w:val="24"/>
          <w:szCs w:val="24"/>
          <w:highlight w:val="none"/>
        </w:rPr>
        <w:t>次合分</w:t>
      </w:r>
    </w:p>
    <w:p>
      <w:pPr>
        <w:keepNext/>
        <w:keepLines/>
        <w:spacing w:before="60" w:after="60" w:line="460" w:lineRule="exact"/>
        <w:outlineLvl w:val="2"/>
        <w:rPr>
          <w:rFonts w:ascii="Times New Roman" w:hAnsi="Times New Roman" w:eastAsia="黑体" w:cs="Times New Roman"/>
          <w:color w:val="auto"/>
          <w:kern w:val="0"/>
          <w:sz w:val="24"/>
          <w:szCs w:val="20"/>
          <w:highlight w:val="none"/>
          <w:lang w:val="zh-CN"/>
        </w:rPr>
      </w:pPr>
      <w:bookmarkStart w:id="235" w:name="_Toc387821654"/>
      <w:bookmarkStart w:id="236" w:name="_Toc18000"/>
      <w:r>
        <w:rPr>
          <w:rFonts w:ascii="Times New Roman" w:hAnsi="Times New Roman" w:eastAsia="黑体" w:cs="Times New Roman"/>
          <w:color w:val="auto"/>
          <w:kern w:val="0"/>
          <w:sz w:val="24"/>
          <w:szCs w:val="20"/>
          <w:highlight w:val="none"/>
          <w:lang w:val="zh-CN"/>
        </w:rPr>
        <w:t>9.2.4</w:t>
      </w:r>
      <w:r>
        <w:rPr>
          <w:rFonts w:hint="eastAsia" w:ascii="Times New Roman" w:hAnsi="Times New Roman" w:eastAsia="黑体" w:cs="Times New Roman"/>
          <w:color w:val="auto"/>
          <w:kern w:val="0"/>
          <w:sz w:val="24"/>
          <w:szCs w:val="20"/>
          <w:highlight w:val="none"/>
          <w:lang w:val="zh-CN"/>
        </w:rPr>
        <w:t xml:space="preserve">  发电机电压其它设备</w:t>
      </w:r>
      <w:bookmarkEnd w:id="235"/>
      <w:r>
        <w:rPr>
          <w:rFonts w:hint="eastAsia" w:ascii="Times New Roman" w:hAnsi="Times New Roman" w:eastAsia="黑体" w:cs="Times New Roman"/>
          <w:color w:val="auto"/>
          <w:kern w:val="0"/>
          <w:sz w:val="24"/>
          <w:szCs w:val="20"/>
          <w:highlight w:val="none"/>
          <w:lang w:val="zh-CN"/>
        </w:rPr>
        <w:t>技术特性</w:t>
      </w:r>
      <w:bookmarkEnd w:id="236"/>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本系统由发包人提供的主要设备清单如下，供报价参考：</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9"/>
        <w:gridCol w:w="3297"/>
        <w:gridCol w:w="935"/>
        <w:gridCol w:w="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w:t>
            </w:r>
            <w:r>
              <w:rPr>
                <w:rFonts w:ascii="宋体" w:hAnsi="宋体" w:cs="Times New Roman"/>
                <w:color w:val="auto"/>
                <w:kern w:val="0"/>
                <w:szCs w:val="21"/>
                <w:highlight w:val="none"/>
              </w:rPr>
              <w:t>限流电抗器</w:t>
            </w:r>
          </w:p>
        </w:tc>
        <w:tc>
          <w:tcPr>
            <w:tcW w:w="3297"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 1250A</w:t>
            </w: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组</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限流电抗器围栏</w:t>
            </w:r>
          </w:p>
        </w:tc>
        <w:tc>
          <w:tcPr>
            <w:tcW w:w="3297" w:type="dxa"/>
            <w:vAlign w:val="center"/>
          </w:tcPr>
          <w:p>
            <w:pPr>
              <w:widowControl/>
              <w:rPr>
                <w:rFonts w:hint="eastAsia" w:ascii="宋体" w:hAnsi="宋体" w:cs="宋体"/>
                <w:color w:val="auto"/>
                <w:kern w:val="0"/>
                <w:szCs w:val="21"/>
                <w:highlight w:val="none"/>
              </w:rPr>
            </w:pP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套</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w:t>
            </w:r>
            <w:r>
              <w:rPr>
                <w:rFonts w:ascii="宋体" w:hAnsi="宋体" w:cs="Times New Roman"/>
                <w:color w:val="auto"/>
                <w:kern w:val="0"/>
                <w:szCs w:val="21"/>
                <w:highlight w:val="none"/>
              </w:rPr>
              <w:t>厂用变压器</w:t>
            </w:r>
          </w:p>
        </w:tc>
        <w:tc>
          <w:tcPr>
            <w:tcW w:w="3297"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18/10kV,</w:t>
            </w:r>
            <w:r>
              <w:rPr>
                <w:rFonts w:ascii="宋体" w:hAnsi="宋体" w:cs="Times New Roman"/>
                <w:color w:val="auto"/>
                <w:kern w:val="0"/>
                <w:szCs w:val="21"/>
                <w:highlight w:val="none"/>
              </w:rPr>
              <w:t>三相，</w:t>
            </w:r>
            <w:r>
              <w:rPr>
                <w:rFonts w:ascii="Times New Roman" w:hAnsi="Times New Roman" w:cs="Times New Roman"/>
                <w:color w:val="auto"/>
                <w:kern w:val="0"/>
                <w:szCs w:val="21"/>
                <w:highlight w:val="none"/>
              </w:rPr>
              <w:t>4000kVA</w:t>
            </w: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台</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w:t>
            </w:r>
            <w:r>
              <w:rPr>
                <w:rFonts w:ascii="宋体" w:hAnsi="宋体" w:cs="Times New Roman"/>
                <w:color w:val="auto"/>
                <w:kern w:val="0"/>
                <w:szCs w:val="21"/>
                <w:highlight w:val="none"/>
              </w:rPr>
              <w:t>断路器柜</w:t>
            </w:r>
          </w:p>
        </w:tc>
        <w:tc>
          <w:tcPr>
            <w:tcW w:w="3297"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18kV,1250A(</w:t>
            </w:r>
            <w:r>
              <w:rPr>
                <w:rFonts w:ascii="宋体" w:hAnsi="宋体" w:cs="Times New Roman"/>
                <w:color w:val="auto"/>
                <w:kern w:val="0"/>
                <w:szCs w:val="21"/>
                <w:highlight w:val="none"/>
              </w:rPr>
              <w:t>柜内装设断路器、</w:t>
            </w:r>
            <w:r>
              <w:rPr>
                <w:rFonts w:ascii="Times New Roman" w:hAnsi="Times New Roman" w:cs="Times New Roman"/>
                <w:color w:val="auto"/>
                <w:kern w:val="0"/>
                <w:szCs w:val="21"/>
                <w:highlight w:val="none"/>
              </w:rPr>
              <w:t>CT</w:t>
            </w:r>
            <w:r>
              <w:rPr>
                <w:rFonts w:ascii="宋体" w:hAnsi="宋体" w:cs="Times New Roman"/>
                <w:color w:val="auto"/>
                <w:kern w:val="0"/>
                <w:szCs w:val="21"/>
                <w:highlight w:val="none"/>
              </w:rPr>
              <w:t>、</w:t>
            </w:r>
            <w:r>
              <w:rPr>
                <w:rFonts w:ascii="Times New Roman" w:hAnsi="Times New Roman" w:cs="Times New Roman"/>
                <w:color w:val="auto"/>
                <w:kern w:val="0"/>
                <w:szCs w:val="21"/>
                <w:highlight w:val="none"/>
              </w:rPr>
              <w:t>PT</w:t>
            </w:r>
            <w:r>
              <w:rPr>
                <w:rFonts w:ascii="宋体" w:hAnsi="宋体" w:cs="Times New Roman"/>
                <w:color w:val="auto"/>
                <w:kern w:val="0"/>
                <w:szCs w:val="21"/>
                <w:highlight w:val="none"/>
              </w:rPr>
              <w:t>和接地开关</w:t>
            </w:r>
            <w:r>
              <w:rPr>
                <w:rFonts w:ascii="Times New Roman" w:hAnsi="Times New Roman" w:cs="Times New Roman"/>
                <w:color w:val="auto"/>
                <w:kern w:val="0"/>
                <w:szCs w:val="21"/>
                <w:highlight w:val="none"/>
              </w:rPr>
              <w:t>)</w:t>
            </w: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面</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其它</w:t>
            </w:r>
          </w:p>
        </w:tc>
        <w:tc>
          <w:tcPr>
            <w:tcW w:w="3297" w:type="dxa"/>
            <w:vAlign w:val="center"/>
          </w:tcPr>
          <w:p>
            <w:pPr>
              <w:widowControl/>
              <w:rPr>
                <w:rFonts w:hint="eastAsia" w:ascii="宋体" w:hAnsi="宋体" w:cs="宋体"/>
                <w:color w:val="auto"/>
                <w:kern w:val="0"/>
                <w:szCs w:val="21"/>
                <w:highlight w:val="none"/>
              </w:rPr>
            </w:pPr>
            <w:r>
              <w:rPr>
                <w:rFonts w:ascii="宋体" w:hAnsi="宋体" w:cs="宋体"/>
                <w:color w:val="auto"/>
                <w:kern w:val="0"/>
                <w:szCs w:val="21"/>
                <w:highlight w:val="none"/>
              </w:rPr>
              <w:t>含</w:t>
            </w:r>
            <w:r>
              <w:rPr>
                <w:rFonts w:ascii="Times New Roman" w:hAnsi="Times New Roman" w:cs="Times New Roman"/>
                <w:color w:val="auto"/>
                <w:kern w:val="0"/>
                <w:szCs w:val="21"/>
                <w:highlight w:val="none"/>
              </w:rPr>
              <w:t>18kV</w:t>
            </w:r>
            <w:r>
              <w:rPr>
                <w:rFonts w:ascii="宋体" w:hAnsi="宋体" w:cs="宋体"/>
                <w:color w:val="auto"/>
                <w:kern w:val="0"/>
                <w:szCs w:val="21"/>
                <w:highlight w:val="none"/>
              </w:rPr>
              <w:t>开关柜用电量表计</w:t>
            </w: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29" w:type="dxa"/>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设备预埋板等</w:t>
            </w:r>
          </w:p>
        </w:tc>
        <w:tc>
          <w:tcPr>
            <w:tcW w:w="3297" w:type="dxa"/>
            <w:vAlign w:val="center"/>
          </w:tcPr>
          <w:p>
            <w:pPr>
              <w:widowControl/>
              <w:rPr>
                <w:rFonts w:hint="eastAsia" w:ascii="宋体" w:hAnsi="宋体" w:cs="宋体"/>
                <w:color w:val="auto"/>
                <w:kern w:val="0"/>
                <w:szCs w:val="21"/>
                <w:highlight w:val="none"/>
              </w:rPr>
            </w:pPr>
            <w:r>
              <w:rPr>
                <w:rFonts w:ascii="宋体" w:hAnsi="宋体" w:cs="宋体"/>
                <w:color w:val="auto"/>
                <w:kern w:val="0"/>
                <w:szCs w:val="21"/>
                <w:highlight w:val="none"/>
              </w:rPr>
              <w:t>设备预埋板等，约4m</w:t>
            </w:r>
            <w:r>
              <w:rPr>
                <w:rFonts w:ascii="宋体" w:hAnsi="宋体" w:cs="宋体"/>
                <w:color w:val="auto"/>
                <w:kern w:val="0"/>
                <w:szCs w:val="21"/>
                <w:highlight w:val="none"/>
                <w:vertAlign w:val="superscript"/>
              </w:rPr>
              <w:t>2</w:t>
            </w:r>
          </w:p>
        </w:tc>
        <w:tc>
          <w:tcPr>
            <w:tcW w:w="935" w:type="dxa"/>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w:t>
            </w:r>
          </w:p>
        </w:tc>
        <w:tc>
          <w:tcPr>
            <w:tcW w:w="935"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r>
    </w:tbl>
    <w:p>
      <w:pPr>
        <w:pStyle w:val="76"/>
        <w:rPr>
          <w:color w:val="auto"/>
          <w:highlight w:val="none"/>
          <w:lang w:val="zh-CN"/>
        </w:rPr>
      </w:pP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9.2.4.1  </w:t>
      </w:r>
      <w:r>
        <w:rPr>
          <w:rFonts w:hint="eastAsia" w:ascii="Times New Roman" w:hAnsi="Times New Roman" w:cs="Times New Roman"/>
          <w:color w:val="auto"/>
          <w:kern w:val="0"/>
          <w:sz w:val="24"/>
          <w:szCs w:val="20"/>
          <w:highlight w:val="none"/>
        </w:rPr>
        <w:t>限流电抗器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hint="eastAsia" w:ascii="Times New Roman" w:hAnsi="Times New Roman" w:cs="Times New Roman"/>
          <w:color w:val="auto"/>
          <w:kern w:val="0"/>
          <w:sz w:val="24"/>
          <w:szCs w:val="24"/>
          <w:highlight w:val="none"/>
        </w:rPr>
        <w:t>型式：户内、干式、自冷、单相、铝线圈。</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数量及安装位置：共</w:t>
      </w:r>
      <w:r>
        <w:rPr>
          <w:rFonts w:ascii="Times New Roman" w:hAnsi="Times New Roman" w:cs="Times New Roman"/>
          <w:color w:val="auto"/>
          <w:kern w:val="0"/>
          <w:sz w:val="24"/>
          <w:szCs w:val="24"/>
          <w:highlight w:val="none"/>
        </w:rPr>
        <w:t>10</w:t>
      </w:r>
      <w:r>
        <w:rPr>
          <w:rFonts w:ascii="Times New Roman" w:hAnsi="宋体" w:cs="Times New Roman"/>
          <w:color w:val="auto"/>
          <w:kern w:val="0"/>
          <w:sz w:val="24"/>
          <w:szCs w:val="24"/>
          <w:highlight w:val="none"/>
        </w:rPr>
        <w:t>组</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每组</w:t>
      </w:r>
      <w:r>
        <w:rPr>
          <w:rFonts w:ascii="Times New Roman" w:hAnsi="Times New Roman" w:cs="Times New Roman"/>
          <w:color w:val="auto"/>
          <w:kern w:val="0"/>
          <w:sz w:val="24"/>
          <w:szCs w:val="24"/>
          <w:highlight w:val="none"/>
        </w:rPr>
        <w:t>3</w:t>
      </w:r>
      <w:r>
        <w:rPr>
          <w:rFonts w:ascii="Times New Roman" w:hAnsi="宋体" w:cs="Times New Roman"/>
          <w:color w:val="auto"/>
          <w:kern w:val="0"/>
          <w:sz w:val="24"/>
          <w:szCs w:val="24"/>
          <w:highlight w:val="none"/>
        </w:rPr>
        <w:t>只</w:t>
      </w:r>
      <w:r>
        <w:rPr>
          <w:rFonts w:ascii="Times New Roman" w:hAnsi="Times New Roman" w:cs="Times New Roman"/>
          <w:color w:val="auto"/>
          <w:kern w:val="0"/>
          <w:sz w:val="24"/>
          <w:szCs w:val="24"/>
          <w:highlight w:val="none"/>
        </w:rPr>
        <w:t>)</w:t>
      </w:r>
      <w:r>
        <w:rPr>
          <w:rFonts w:hint="eastAsia"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为单相一字型布置</w:t>
      </w:r>
      <w:r>
        <w:rPr>
          <w:rFonts w:hint="eastAsia" w:ascii="Times New Roman" w:hAnsi="宋体" w:cs="Times New Roman"/>
          <w:color w:val="auto"/>
          <w:kern w:val="0"/>
          <w:sz w:val="24"/>
          <w:szCs w:val="24"/>
          <w:highlight w:val="none"/>
        </w:rPr>
        <w:t>(暂定)。</w:t>
      </w:r>
      <w:r>
        <w:rPr>
          <w:rFonts w:ascii="Times New Roman" w:hAnsi="宋体" w:cs="Times New Roman"/>
          <w:color w:val="auto"/>
          <w:kern w:val="0"/>
          <w:sz w:val="24"/>
          <w:szCs w:val="24"/>
          <w:highlight w:val="none"/>
        </w:rPr>
        <w:t>限流电抗器布置在主变洞</w:t>
      </w:r>
      <w:r>
        <w:rPr>
          <w:rFonts w:ascii="Times New Roman" w:hAnsi="Times New Roman" w:cs="Times New Roman"/>
          <w:color w:val="auto"/>
          <w:kern w:val="0"/>
          <w:sz w:val="24"/>
          <w:szCs w:val="24"/>
          <w:highlight w:val="none"/>
        </w:rPr>
        <w:t>529.000</w:t>
      </w:r>
      <w:r>
        <w:rPr>
          <w:rFonts w:ascii="Times New Roman" w:hAnsi="Times New Roman" w:eastAsia="Times New Roman" w:cs="Times New Roman"/>
          <w:i w:val="0"/>
          <w:strike w:val="0"/>
          <w:color w:val="auto"/>
          <w:sz w:val="24"/>
          <w:highlight w:val="none"/>
          <w:u w:val="none"/>
        </w:rPr>
        <w:t>m</w:t>
      </w:r>
      <w:r>
        <w:rPr>
          <w:rFonts w:ascii="宋体" w:hAnsi="宋体" w:eastAsia="宋体" w:cs="宋体"/>
          <w:i w:val="0"/>
          <w:strike w:val="0"/>
          <w:color w:val="auto"/>
          <w:sz w:val="24"/>
          <w:highlight w:val="none"/>
          <w:u w:val="none"/>
        </w:rPr>
        <w:t>及</w:t>
      </w:r>
      <w:r>
        <w:rPr>
          <w:rFonts w:ascii="Times New Roman" w:hAnsi="Times New Roman" w:eastAsia="Times New Roman" w:cs="Times New Roman"/>
          <w:i w:val="0"/>
          <w:strike w:val="0"/>
          <w:color w:val="auto"/>
          <w:sz w:val="24"/>
          <w:highlight w:val="none"/>
          <w:u w:val="none"/>
        </w:rPr>
        <w:t>537.000m</w:t>
      </w:r>
      <w:r>
        <w:rPr>
          <w:rFonts w:ascii="Times New Roman" w:hAnsi="宋体" w:cs="Times New Roman"/>
          <w:color w:val="auto"/>
          <w:kern w:val="0"/>
          <w:sz w:val="24"/>
          <w:szCs w:val="24"/>
          <w:highlight w:val="none"/>
        </w:rPr>
        <w:t>高程。</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hint="eastAsia" w:ascii="Times New Roman" w:hAnsi="Times New Roman" w:cs="Times New Roman"/>
          <w:color w:val="auto"/>
          <w:kern w:val="0"/>
          <w:sz w:val="24"/>
          <w:szCs w:val="24"/>
          <w:highlight w:val="none"/>
        </w:rPr>
        <w:t>≥</w:t>
      </w:r>
      <w:r>
        <w:rPr>
          <w:rFonts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额定电流：</w:t>
      </w:r>
      <w:r>
        <w:rPr>
          <w:rFonts w:ascii="Times New Roman" w:hAnsi="Times New Roman" w:cs="Times New Roman"/>
          <w:color w:val="auto"/>
          <w:kern w:val="0"/>
          <w:sz w:val="24"/>
          <w:szCs w:val="24"/>
          <w:highlight w:val="none"/>
        </w:rPr>
        <w:t>1250A</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9.2.4.2  </w:t>
      </w:r>
      <w:r>
        <w:rPr>
          <w:rFonts w:hint="eastAsia" w:ascii="Times New Roman" w:hAnsi="Times New Roman" w:cs="Times New Roman"/>
          <w:color w:val="auto"/>
          <w:kern w:val="0"/>
          <w:sz w:val="24"/>
          <w:szCs w:val="20"/>
          <w:highlight w:val="none"/>
        </w:rPr>
        <w:t>18kV厂用变压器</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型式：三相无载调压，户内干式带金属外壳，自然风冷、防潮型。</w:t>
      </w:r>
      <w:r>
        <w:rPr>
          <w:rFonts w:hint="eastAsia" w:ascii="Times New Roman" w:hAnsi="宋体" w:cs="Times New Roman"/>
          <w:color w:val="auto"/>
          <w:kern w:val="0"/>
          <w:sz w:val="24"/>
          <w:szCs w:val="24"/>
          <w:highlight w:val="none"/>
        </w:rPr>
        <w:t>带金属保护外壳，前后设可拆装的盖子，高压进线与</w:t>
      </w:r>
      <w:r>
        <w:rPr>
          <w:rFonts w:ascii="Times New Roman" w:hAnsi="宋体" w:cs="Times New Roman"/>
          <w:color w:val="auto"/>
          <w:kern w:val="0"/>
          <w:sz w:val="24"/>
          <w:szCs w:val="24"/>
          <w:highlight w:val="none"/>
        </w:rPr>
        <w:t>18kV干式电缆相连，低压出线与10kV干式电缆相连。</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数量及安装位置：全厂共</w:t>
      </w:r>
      <w:r>
        <w:rPr>
          <w:rFonts w:ascii="Times New Roman" w:hAnsi="Times New Roman" w:cs="Times New Roman"/>
          <w:color w:val="auto"/>
          <w:kern w:val="0"/>
          <w:sz w:val="24"/>
          <w:szCs w:val="24"/>
          <w:highlight w:val="none"/>
        </w:rPr>
        <w:t>4</w:t>
      </w:r>
      <w:r>
        <w:rPr>
          <w:rFonts w:ascii="Times New Roman" w:hAnsi="宋体" w:cs="Times New Roman"/>
          <w:color w:val="auto"/>
          <w:kern w:val="0"/>
          <w:sz w:val="24"/>
          <w:szCs w:val="24"/>
          <w:highlight w:val="none"/>
        </w:rPr>
        <w:t>台，安装在主变洞</w:t>
      </w:r>
      <w:r>
        <w:rPr>
          <w:rFonts w:ascii="Times New Roman" w:hAnsi="Times New Roman" w:eastAsia="Times New Roman" w:cs="Times New Roman"/>
          <w:i w:val="0"/>
          <w:strike w:val="0"/>
          <w:color w:val="auto"/>
          <w:sz w:val="24"/>
          <w:highlight w:val="none"/>
          <w:u w:val="none"/>
        </w:rPr>
        <w:t>529.000m</w:t>
      </w:r>
      <w:r>
        <w:rPr>
          <w:rFonts w:ascii="Times New Roman" w:hAnsi="宋体" w:cs="Times New Roman"/>
          <w:color w:val="auto"/>
          <w:kern w:val="0"/>
          <w:sz w:val="24"/>
          <w:szCs w:val="24"/>
          <w:highlight w:val="none"/>
        </w:rPr>
        <w:t>高程高压厂用变压器室内。</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主要技术参数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型号：</w:t>
      </w:r>
      <w:r>
        <w:rPr>
          <w:rFonts w:ascii="Times New Roman" w:hAnsi="Times New Roman" w:cs="Times New Roman"/>
          <w:color w:val="auto"/>
          <w:kern w:val="0"/>
          <w:sz w:val="24"/>
          <w:szCs w:val="24"/>
          <w:highlight w:val="none"/>
        </w:rPr>
        <w:t>SCB14-4000/18/10</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额定容量：</w:t>
      </w:r>
      <w:r>
        <w:rPr>
          <w:rFonts w:ascii="Times New Roman" w:hAnsi="Times New Roman" w:cs="Times New Roman"/>
          <w:color w:val="auto"/>
          <w:kern w:val="0"/>
          <w:sz w:val="24"/>
          <w:szCs w:val="24"/>
          <w:highlight w:val="none"/>
        </w:rPr>
        <w:t>4000kVA</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额定电压比：</w:t>
      </w:r>
      <w:r>
        <w:rPr>
          <w:rFonts w:ascii="Times New Roman" w:hAnsi="Times New Roman" w:cs="Times New Roman"/>
          <w:color w:val="auto"/>
          <w:kern w:val="0"/>
          <w:sz w:val="24"/>
          <w:szCs w:val="24"/>
          <w:highlight w:val="none"/>
        </w:rPr>
        <w:t>18±</w:t>
      </w:r>
      <w:r>
        <w:rPr>
          <w:rFonts w:ascii="Times New Roman" w:hAnsi="Times New Roman" w:cs="Times New Roman"/>
          <w:color w:val="auto"/>
          <w:kern w:val="0"/>
          <w:sz w:val="24"/>
          <w:szCs w:val="20"/>
          <w:highlight w:val="none"/>
        </w:rPr>
        <w:t>2x2.5%</w:t>
      </w:r>
      <w:r>
        <w:rPr>
          <w:rFonts w:ascii="Times New Roman" w:hAnsi="Times New Roman" w:cs="Times New Roman"/>
          <w:color w:val="auto"/>
          <w:kern w:val="0"/>
          <w:sz w:val="24"/>
          <w:szCs w:val="24"/>
          <w:highlight w:val="none"/>
        </w:rPr>
        <w:t>/10.5kV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联接组标号：</w:t>
      </w:r>
      <w:r>
        <w:rPr>
          <w:rFonts w:ascii="Times New Roman" w:hAnsi="Times New Roman" w:cs="Times New Roman"/>
          <w:color w:val="auto"/>
          <w:kern w:val="0"/>
          <w:sz w:val="24"/>
          <w:szCs w:val="24"/>
          <w:highlight w:val="none"/>
        </w:rPr>
        <w:t xml:space="preserve"> D</w:t>
      </w:r>
      <w:r>
        <w:rPr>
          <w:rFonts w:ascii="Times New Roman" w:hAnsi="宋体" w:cs="Times New Roman"/>
          <w:color w:val="auto"/>
          <w:kern w:val="0"/>
          <w:sz w:val="24"/>
          <w:szCs w:val="24"/>
          <w:highlight w:val="none"/>
        </w:rPr>
        <w:t>，</w:t>
      </w:r>
      <w:r>
        <w:rPr>
          <w:rFonts w:hint="eastAsia" w:ascii="Times New Roman" w:hAnsi="宋体" w:cs="Times New Roman"/>
          <w:color w:val="auto"/>
          <w:kern w:val="0"/>
          <w:sz w:val="24"/>
          <w:szCs w:val="24"/>
          <w:highlight w:val="none"/>
        </w:rPr>
        <w:t>yn</w:t>
      </w:r>
      <w:r>
        <w:rPr>
          <w:rFonts w:ascii="Times New Roman" w:hAnsi="Times New Roman" w:cs="Times New Roman"/>
          <w:color w:val="auto"/>
          <w:kern w:val="0"/>
          <w:sz w:val="24"/>
          <w:szCs w:val="24"/>
          <w:highlight w:val="none"/>
        </w:rPr>
        <w:t>11</w:t>
      </w: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9.2.4.3  </w:t>
      </w:r>
      <w:r>
        <w:rPr>
          <w:rFonts w:hint="eastAsia" w:ascii="Times New Roman" w:hAnsi="Times New Roman" w:cs="Times New Roman"/>
          <w:color w:val="auto"/>
          <w:kern w:val="0"/>
          <w:sz w:val="24"/>
          <w:szCs w:val="20"/>
          <w:highlight w:val="none"/>
        </w:rPr>
        <w:t>18kV手车式开关柜</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型式：铠装中置式金属封闭式开关柜。</w:t>
      </w:r>
    </w:p>
    <w:p>
      <w:pPr>
        <w:pBdr>
          <w:bottom w:val="none" w:color="auto" w:sz="0" w:space="0"/>
        </w:pBdr>
        <w:spacing w:line="480" w:lineRule="exact"/>
        <w:ind w:firstLine="480" w:firstLineChars="200"/>
        <w:rPr>
          <w:rFonts w:ascii="Times New Roman" w:hAnsi="宋体" w:cs="Times New Roman"/>
          <w:color w:val="auto"/>
          <w:kern w:val="0"/>
          <w:sz w:val="24"/>
          <w:szCs w:val="24"/>
          <w:highlight w:val="none"/>
        </w:rPr>
      </w:pPr>
      <w:r>
        <w:rPr>
          <w:rFonts w:ascii="Times New Roman" w:hAnsi="Times New Roman" w:cs="Times New Roman"/>
          <w:color w:val="auto"/>
          <w:kern w:val="0"/>
          <w:sz w:val="24"/>
          <w:szCs w:val="24"/>
          <w:highlight w:val="none"/>
        </w:rPr>
        <w:t>(2) 数量及安装位置：18面，柜内装设输入断路器、CT、接地开关等。其中厂用变压器回路8面，安装在主变</w:t>
      </w:r>
      <w:r>
        <w:rPr>
          <w:rFonts w:ascii="Times New Roman" w:hAnsi="宋体" w:cs="Times New Roman"/>
          <w:color w:val="auto"/>
          <w:kern w:val="0"/>
          <w:sz w:val="24"/>
          <w:szCs w:val="24"/>
          <w:highlight w:val="none"/>
        </w:rPr>
        <w:t>洞5229.5000m厂用变高压室内。SFC回路510面安装在主变洞52937.000高层SFC室内。</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(3) </w:t>
      </w:r>
      <w:r>
        <w:rPr>
          <w:rFonts w:ascii="Times New Roman" w:hAnsi="宋体" w:cs="Times New Roman"/>
          <w:color w:val="auto"/>
          <w:kern w:val="0"/>
          <w:sz w:val="24"/>
          <w:szCs w:val="24"/>
          <w:highlight w:val="none"/>
        </w:rPr>
        <w:t>技术参数</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额定工作电压：</w:t>
      </w:r>
      <w:r>
        <w:rPr>
          <w:rFonts w:ascii="Times New Roman" w:hAnsi="Times New Roman" w:cs="Times New Roman"/>
          <w:color w:val="auto"/>
          <w:kern w:val="0"/>
          <w:sz w:val="24"/>
          <w:szCs w:val="24"/>
          <w:highlight w:val="none"/>
        </w:rPr>
        <w:t>18kV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设备最高工作电压：</w:t>
      </w:r>
      <w:r>
        <w:rPr>
          <w:rFonts w:ascii="Times New Roman" w:hAnsi="Times New Roman" w:cs="Times New Roman"/>
          <w:color w:val="auto"/>
          <w:kern w:val="0"/>
          <w:sz w:val="24"/>
          <w:szCs w:val="24"/>
          <w:highlight w:val="none"/>
        </w:rPr>
        <w:t>24kV</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额定频率：</w:t>
      </w:r>
      <w:r>
        <w:rPr>
          <w:rFonts w:ascii="Times New Roman" w:hAnsi="Times New Roman" w:cs="Times New Roman"/>
          <w:color w:val="auto"/>
          <w:kern w:val="0"/>
          <w:sz w:val="24"/>
          <w:szCs w:val="24"/>
          <w:highlight w:val="none"/>
        </w:rPr>
        <w:t>50Hz</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额定电流：</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厂用电回路</w:t>
      </w:r>
      <w:r>
        <w:rPr>
          <w:rFonts w:ascii="Times New Roman" w:hAnsi="Times New Roman" w:cs="Times New Roman"/>
          <w:color w:val="auto"/>
          <w:kern w:val="0"/>
          <w:sz w:val="24"/>
          <w:szCs w:val="24"/>
          <w:highlight w:val="none"/>
        </w:rPr>
        <w:t xml:space="preserve"> 1250A</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SFC</w:t>
      </w:r>
      <w:r>
        <w:rPr>
          <w:rFonts w:ascii="Times New Roman" w:hAnsi="宋体" w:cs="Times New Roman"/>
          <w:color w:val="auto"/>
          <w:kern w:val="0"/>
          <w:sz w:val="24"/>
          <w:szCs w:val="24"/>
          <w:highlight w:val="none"/>
        </w:rPr>
        <w:t>回路</w:t>
      </w:r>
      <w:r>
        <w:rPr>
          <w:rFonts w:ascii="Times New Roman" w:hAnsi="Times New Roman" w:cs="Times New Roman"/>
          <w:color w:val="auto"/>
          <w:kern w:val="0"/>
          <w:sz w:val="24"/>
          <w:szCs w:val="24"/>
          <w:highlight w:val="none"/>
        </w:rPr>
        <w:t xml:space="preserve"> 2000A</w:t>
      </w:r>
    </w:p>
    <w:p>
      <w:pPr>
        <w:keepNext/>
        <w:keepLines/>
        <w:spacing w:before="60" w:after="60" w:line="460" w:lineRule="exact"/>
        <w:outlineLvl w:val="2"/>
        <w:rPr>
          <w:rFonts w:ascii="Times New Roman" w:hAnsi="Times New Roman" w:eastAsia="黑体" w:cs="Times New Roman"/>
          <w:color w:val="auto"/>
          <w:kern w:val="0"/>
          <w:sz w:val="24"/>
          <w:szCs w:val="20"/>
          <w:highlight w:val="none"/>
          <w:lang w:val="zh-CN"/>
        </w:rPr>
      </w:pPr>
      <w:bookmarkStart w:id="237" w:name="_Toc14937"/>
      <w:r>
        <w:rPr>
          <w:rFonts w:ascii="Times New Roman" w:hAnsi="Times New Roman" w:eastAsia="黑体" w:cs="Times New Roman"/>
          <w:color w:val="auto"/>
          <w:kern w:val="0"/>
          <w:sz w:val="24"/>
          <w:szCs w:val="20"/>
          <w:highlight w:val="none"/>
          <w:lang w:val="zh-CN"/>
        </w:rPr>
        <w:t xml:space="preserve">9.2.5  </w:t>
      </w:r>
      <w:r>
        <w:rPr>
          <w:rFonts w:hint="eastAsia" w:ascii="Times New Roman" w:hAnsi="Times New Roman" w:eastAsia="黑体" w:cs="Times New Roman"/>
          <w:color w:val="auto"/>
          <w:kern w:val="0"/>
          <w:sz w:val="24"/>
          <w:szCs w:val="20"/>
          <w:highlight w:val="none"/>
          <w:lang w:val="zh-CN"/>
        </w:rPr>
        <w:t>中压全浇注母线技术特性</w:t>
      </w:r>
      <w:bookmarkEnd w:id="237"/>
    </w:p>
    <w:p>
      <w:pPr>
        <w:pStyle w:val="76"/>
        <w:rPr>
          <w:color w:val="auto"/>
          <w:highlight w:val="none"/>
        </w:rPr>
      </w:pPr>
      <w:r>
        <w:rPr>
          <w:rFonts w:hint="eastAsia"/>
          <w:color w:val="auto"/>
          <w:highlight w:val="none"/>
        </w:rPr>
        <w:t>承包人负责采购和安装在主变洞内长度约</w:t>
      </w:r>
      <w:r>
        <w:rPr>
          <w:color w:val="auto"/>
          <w:highlight w:val="none"/>
        </w:rPr>
        <w:t>650</w:t>
      </w:r>
      <w:r>
        <w:rPr>
          <w:rFonts w:hint="eastAsia"/>
          <w:color w:val="auto"/>
          <w:highlight w:val="none"/>
        </w:rPr>
        <w:t>米（暂定）的18kV三相全浇注母线，</w:t>
      </w:r>
      <w:r>
        <w:rPr>
          <w:rFonts w:ascii="宋体" w:hAnsi="宋体" w:eastAsia="宋体" w:cs="宋体"/>
          <w:i w:val="0"/>
          <w:strike w:val="0"/>
          <w:color w:val="auto"/>
          <w:sz w:val="21"/>
          <w:highlight w:val="none"/>
          <w:u w:val="none"/>
        </w:rPr>
        <w:t>包括</w:t>
      </w:r>
      <w:r>
        <w:rPr>
          <w:rFonts w:ascii="Calibri" w:hAnsi="Calibri" w:eastAsia="Calibri" w:cs="Calibri"/>
          <w:i w:val="0"/>
          <w:strike w:val="0"/>
          <w:color w:val="auto"/>
          <w:sz w:val="21"/>
          <w:highlight w:val="none"/>
          <w:u w:val="none"/>
        </w:rPr>
        <w:t>SFC</w:t>
      </w:r>
      <w:r>
        <w:rPr>
          <w:rFonts w:ascii="宋体" w:hAnsi="宋体" w:eastAsia="宋体" w:cs="宋体"/>
          <w:i w:val="0"/>
          <w:strike w:val="0"/>
          <w:color w:val="auto"/>
          <w:sz w:val="21"/>
          <w:highlight w:val="none"/>
          <w:u w:val="none"/>
        </w:rPr>
        <w:t>输入断路器柜至</w:t>
      </w:r>
      <w:r>
        <w:rPr>
          <w:rFonts w:ascii="Calibri" w:hAnsi="Calibri" w:eastAsia="Calibri" w:cs="Calibri"/>
          <w:i w:val="0"/>
          <w:strike w:val="0"/>
          <w:color w:val="auto"/>
          <w:sz w:val="21"/>
          <w:highlight w:val="none"/>
          <w:u w:val="none"/>
        </w:rPr>
        <w:t>SFC</w:t>
      </w:r>
      <w:r>
        <w:rPr>
          <w:rFonts w:ascii="宋体" w:hAnsi="宋体" w:eastAsia="宋体" w:cs="宋体"/>
          <w:i w:val="0"/>
          <w:strike w:val="0"/>
          <w:color w:val="auto"/>
          <w:sz w:val="21"/>
          <w:highlight w:val="none"/>
          <w:u w:val="none"/>
        </w:rPr>
        <w:t>输入变高压侧之间的连接导体、</w:t>
      </w:r>
      <w:r>
        <w:rPr>
          <w:rFonts w:ascii="Calibri" w:hAnsi="Calibri" w:eastAsia="Calibri" w:cs="Calibri"/>
          <w:i w:val="0"/>
          <w:strike w:val="0"/>
          <w:color w:val="auto"/>
          <w:sz w:val="21"/>
          <w:highlight w:val="none"/>
          <w:u w:val="none"/>
        </w:rPr>
        <w:t>SFC</w:t>
      </w:r>
      <w:r>
        <w:rPr>
          <w:rFonts w:ascii="宋体" w:hAnsi="宋体" w:eastAsia="宋体" w:cs="宋体"/>
          <w:i w:val="0"/>
          <w:strike w:val="0"/>
          <w:color w:val="auto"/>
          <w:sz w:val="21"/>
          <w:highlight w:val="none"/>
          <w:u w:val="none"/>
        </w:rPr>
        <w:t>输出断路器柜至</w:t>
      </w:r>
      <w:r>
        <w:rPr>
          <w:rFonts w:ascii="Calibri" w:hAnsi="Calibri" w:eastAsia="Calibri" w:cs="Calibri"/>
          <w:i w:val="0"/>
          <w:strike w:val="0"/>
          <w:color w:val="auto"/>
          <w:sz w:val="21"/>
          <w:highlight w:val="none"/>
          <w:u w:val="none"/>
        </w:rPr>
        <w:t>SFC</w:t>
      </w:r>
      <w:r>
        <w:rPr>
          <w:rFonts w:ascii="宋体" w:hAnsi="宋体" w:eastAsia="宋体" w:cs="宋体"/>
          <w:i w:val="0"/>
          <w:strike w:val="0"/>
          <w:color w:val="auto"/>
          <w:sz w:val="21"/>
          <w:highlight w:val="none"/>
          <w:u w:val="none"/>
        </w:rPr>
        <w:t>输出变高压侧之间、</w:t>
      </w:r>
      <w:r>
        <w:rPr>
          <w:rFonts w:ascii="Calibri" w:hAnsi="Calibri" w:eastAsia="Calibri" w:cs="Calibri"/>
          <w:i w:val="0"/>
          <w:strike w:val="0"/>
          <w:color w:val="auto"/>
          <w:sz w:val="21"/>
          <w:highlight w:val="none"/>
          <w:u w:val="none"/>
        </w:rPr>
        <w:t>SFC</w:t>
      </w:r>
      <w:r>
        <w:rPr>
          <w:rFonts w:ascii="宋体" w:hAnsi="宋体" w:eastAsia="宋体" w:cs="宋体"/>
          <w:i w:val="0"/>
          <w:strike w:val="0"/>
          <w:color w:val="auto"/>
          <w:sz w:val="21"/>
          <w:highlight w:val="none"/>
          <w:u w:val="none"/>
        </w:rPr>
        <w:t>输入</w:t>
      </w:r>
      <w:r>
        <w:rPr>
          <w:rFonts w:ascii="Calibri" w:hAnsi="Calibri" w:eastAsia="Calibri" w:cs="Calibri"/>
          <w:i w:val="0"/>
          <w:strike w:val="0"/>
          <w:color w:val="auto"/>
          <w:sz w:val="21"/>
          <w:highlight w:val="none"/>
          <w:u w:val="none"/>
        </w:rPr>
        <w:t>/</w:t>
      </w:r>
      <w:r>
        <w:rPr>
          <w:rFonts w:ascii="宋体" w:hAnsi="宋体" w:eastAsia="宋体" w:cs="宋体"/>
          <w:i w:val="0"/>
          <w:strike w:val="0"/>
          <w:color w:val="auto"/>
          <w:sz w:val="21"/>
          <w:highlight w:val="none"/>
          <w:u w:val="none"/>
        </w:rPr>
        <w:t>输出电抗器至</w:t>
      </w:r>
      <w:r>
        <w:rPr>
          <w:rFonts w:ascii="Calibri" w:hAnsi="Calibri" w:eastAsia="Calibri" w:cs="Calibri"/>
          <w:i w:val="0"/>
          <w:strike w:val="0"/>
          <w:color w:val="auto"/>
          <w:sz w:val="21"/>
          <w:highlight w:val="none"/>
          <w:u w:val="none"/>
        </w:rPr>
        <w:t>18kV</w:t>
      </w:r>
      <w:r>
        <w:rPr>
          <w:rFonts w:ascii="宋体" w:hAnsi="宋体" w:eastAsia="宋体" w:cs="宋体"/>
          <w:i w:val="0"/>
          <w:strike w:val="0"/>
          <w:color w:val="auto"/>
          <w:sz w:val="21"/>
          <w:highlight w:val="none"/>
          <w:u w:val="none"/>
        </w:rPr>
        <w:t>开关柜之间。</w:t>
      </w:r>
      <w:r>
        <w:rPr>
          <w:rFonts w:hint="eastAsia"/>
          <w:color w:val="auto"/>
          <w:highlight w:val="none"/>
        </w:rPr>
        <w:t>全浇注母线品牌及投标要求见商务部分。</w:t>
      </w:r>
    </w:p>
    <w:p>
      <w:pPr>
        <w:pStyle w:val="67"/>
        <w:rPr>
          <w:rFonts w:hint="eastAsia"/>
          <w:color w:val="auto"/>
          <w:highlight w:val="none"/>
        </w:rPr>
      </w:pPr>
      <w:r>
        <w:rPr>
          <w:color w:val="auto"/>
          <w:highlight w:val="none"/>
        </w:rPr>
        <w:t xml:space="preserve">9.2.5.1  </w:t>
      </w:r>
      <w:r>
        <w:rPr>
          <w:rFonts w:hint="eastAsia"/>
          <w:color w:val="auto"/>
          <w:highlight w:val="none"/>
          <w:lang w:val="en-US"/>
        </w:rPr>
        <w:t>额定参数</w:t>
      </w:r>
    </w:p>
    <w:p>
      <w:pPr>
        <w:pStyle w:val="76"/>
        <w:ind w:firstLine="480" w:firstLineChars="200"/>
        <w:rPr>
          <w:color w:val="auto"/>
          <w:highlight w:val="none"/>
        </w:rPr>
      </w:pPr>
      <w:r>
        <w:rPr>
          <w:rFonts w:hint="eastAsia"/>
          <w:color w:val="auto"/>
          <w:highlight w:val="none"/>
        </w:rPr>
        <w:t>三相全浇注母线产品应符合：GB/T</w:t>
      </w:r>
      <w:r>
        <w:rPr>
          <w:color w:val="auto"/>
          <w:highlight w:val="none"/>
        </w:rPr>
        <w:t xml:space="preserve"> </w:t>
      </w:r>
      <w:r>
        <w:rPr>
          <w:rFonts w:hint="eastAsia"/>
          <w:color w:val="auto"/>
          <w:highlight w:val="none"/>
        </w:rPr>
        <w:t>5231《加工铜及铜合金化学成分和产品形状》、GB3190《铝及铝合金加工产品的化学成分》、JB1580《铝制焊接容器技术条件》中的相关规定。</w:t>
      </w:r>
    </w:p>
    <w:p>
      <w:pPr>
        <w:pStyle w:val="76"/>
        <w:rPr>
          <w:color w:val="auto"/>
          <w:highlight w:val="none"/>
        </w:rPr>
      </w:pPr>
      <w:r>
        <w:rPr>
          <w:color w:val="auto"/>
          <w:highlight w:val="none"/>
        </w:rPr>
        <w:t xml:space="preserve">(1)  </w:t>
      </w:r>
      <w:r>
        <w:rPr>
          <w:rFonts w:hint="eastAsia"/>
          <w:color w:val="auto"/>
          <w:highlight w:val="none"/>
        </w:rPr>
        <w:t>母线的布置：</w:t>
      </w:r>
      <w:r>
        <w:rPr>
          <w:rFonts w:ascii="宋体" w:hAnsi="宋体" w:cs="宋体"/>
          <w:color w:val="auto"/>
          <w:highlight w:val="none"/>
        </w:rPr>
        <w:t>全浇注母线由主变洞各电抗器室分别引至SFC室中压开关柜，并分别由中压开关柜引至SFC输入变压器。设备供货厂家应负责对母线安装路径进行现场的二次测量，并根据现场连接的设备接口尺寸进行弯头和端头加工。设备厂应提交浇注母线详细的支撑点布置图和基础埋件图。</w:t>
      </w:r>
    </w:p>
    <w:p>
      <w:pPr>
        <w:pStyle w:val="76"/>
        <w:rPr>
          <w:color w:val="auto"/>
          <w:highlight w:val="none"/>
        </w:rPr>
      </w:pPr>
      <w:r>
        <w:rPr>
          <w:color w:val="auto"/>
          <w:highlight w:val="none"/>
        </w:rPr>
        <w:t xml:space="preserve">(2)  </w:t>
      </w:r>
      <w:r>
        <w:rPr>
          <w:rFonts w:hint="eastAsia"/>
          <w:color w:val="auto"/>
          <w:highlight w:val="none"/>
        </w:rPr>
        <w:t>型式：自冷式中压三相一体全浇注母线</w:t>
      </w:r>
    </w:p>
    <w:p>
      <w:pPr>
        <w:pStyle w:val="76"/>
        <w:rPr>
          <w:color w:val="auto"/>
          <w:highlight w:val="none"/>
        </w:rPr>
      </w:pPr>
      <w:r>
        <w:rPr>
          <w:rFonts w:hint="eastAsia"/>
          <w:color w:val="auto"/>
          <w:highlight w:val="none"/>
        </w:rPr>
        <w:t xml:space="preserve">(3)  额定参数：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64"/>
        <w:gridCol w:w="4728"/>
        <w:gridCol w:w="2086"/>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序号</w:t>
            </w:r>
          </w:p>
        </w:tc>
        <w:tc>
          <w:tcPr>
            <w:tcW w:w="4728"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项</w:t>
            </w:r>
            <w:r>
              <w:rPr>
                <w:rFonts w:ascii="Times New Roman" w:hAnsi="Times New Roman" w:cs="Times New Roman"/>
                <w:color w:val="auto"/>
                <w:kern w:val="0"/>
                <w:szCs w:val="21"/>
                <w:highlight w:val="none"/>
              </w:rPr>
              <w:t xml:space="preserve">                  </w:t>
            </w:r>
            <w:r>
              <w:rPr>
                <w:rFonts w:hint="eastAsia" w:ascii="Times New Roman" w:hAnsi="Times New Roman" w:cs="Times New Roman"/>
                <w:color w:val="auto"/>
                <w:kern w:val="0"/>
                <w:szCs w:val="21"/>
                <w:highlight w:val="none"/>
              </w:rPr>
              <w:t>目</w:t>
            </w:r>
          </w:p>
        </w:tc>
        <w:tc>
          <w:tcPr>
            <w:tcW w:w="2086" w:type="dxa"/>
            <w:vAlign w:val="center"/>
          </w:tcPr>
          <w:p>
            <w:pPr>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参</w:t>
            </w:r>
            <w:r>
              <w:rPr>
                <w:rFonts w:ascii="Times New Roman" w:hAnsi="Times New Roman" w:cs="Times New Roman"/>
                <w:color w:val="auto"/>
                <w:kern w:val="0"/>
                <w:szCs w:val="21"/>
                <w:highlight w:val="none"/>
              </w:rPr>
              <w:t xml:space="preserve">        </w:t>
            </w:r>
            <w:r>
              <w:rPr>
                <w:rFonts w:hint="eastAsia" w:ascii="Times New Roman" w:hAnsi="Times New Roman" w:cs="Times New Roman"/>
                <w:color w:val="auto"/>
                <w:kern w:val="0"/>
                <w:szCs w:val="21"/>
                <w:highlight w:val="none"/>
              </w:rPr>
              <w:t>数</w:t>
            </w:r>
          </w:p>
        </w:tc>
        <w:tc>
          <w:tcPr>
            <w:tcW w:w="912"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一</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基本技术要求</w:t>
            </w:r>
          </w:p>
        </w:tc>
        <w:tc>
          <w:tcPr>
            <w:tcW w:w="2086" w:type="dxa"/>
          </w:tcPr>
          <w:p>
            <w:pPr>
              <w:spacing w:line="0" w:lineRule="atLeast"/>
              <w:ind w:firstLine="510"/>
              <w:rPr>
                <w:rFonts w:ascii="Times New Roman" w:hAnsi="Times New Roman" w:cs="Times New Roman"/>
                <w:color w:val="auto"/>
                <w:kern w:val="0"/>
                <w:szCs w:val="21"/>
                <w:highlight w:val="none"/>
              </w:rPr>
            </w:pP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形式和型号</w:t>
            </w:r>
          </w:p>
        </w:tc>
        <w:tc>
          <w:tcPr>
            <w:tcW w:w="2086" w:type="dxa"/>
          </w:tcPr>
          <w:p>
            <w:pPr>
              <w:spacing w:line="0" w:lineRule="atLeast"/>
              <w:ind w:firstLine="510"/>
              <w:rPr>
                <w:rFonts w:ascii="Times New Roman" w:hAnsi="Times New Roman" w:cs="Times New Roman"/>
                <w:color w:val="auto"/>
                <w:kern w:val="0"/>
                <w:szCs w:val="21"/>
                <w:highlight w:val="none"/>
              </w:rPr>
            </w:pP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额定电压：</w:t>
            </w:r>
            <w:r>
              <w:rPr>
                <w:rFonts w:ascii="Times New Roman" w:hAnsi="Times New Roman" w:cs="Times New Roman"/>
                <w:color w:val="auto"/>
                <w:kern w:val="0"/>
                <w:szCs w:val="21"/>
                <w:highlight w:val="none"/>
              </w:rPr>
              <w:t xml:space="preserve">           (kV)</w:t>
            </w:r>
          </w:p>
        </w:tc>
        <w:tc>
          <w:tcPr>
            <w:tcW w:w="2086" w:type="dxa"/>
          </w:tcPr>
          <w:p>
            <w:pPr>
              <w:spacing w:line="0" w:lineRule="atLeast"/>
              <w:rPr>
                <w:rFonts w:ascii="Times New Roman" w:hAnsi="Times New Roman" w:cs="Times New Roman"/>
                <w:color w:val="auto"/>
                <w:kern w:val="0"/>
                <w:szCs w:val="21"/>
                <w:highlight w:val="none"/>
                <w:shd w:val="clear" w:color="auto" w:fill="auto"/>
              </w:rPr>
            </w:pPr>
            <w:r>
              <w:rPr>
                <w:rFonts w:ascii="Times New Roman" w:hAnsi="Times New Roman" w:cs="Times New Roman"/>
                <w:color w:val="auto"/>
                <w:kern w:val="0"/>
                <w:szCs w:val="21"/>
                <w:highlight w:val="none"/>
                <w:shd w:val="clear" w:color="auto" w:fill="auto"/>
              </w:rPr>
              <w:t>24</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额定工作电压：</w:t>
            </w:r>
            <w:r>
              <w:rPr>
                <w:rFonts w:ascii="Times New Roman" w:hAnsi="Times New Roman" w:cs="Times New Roman"/>
                <w:color w:val="auto"/>
                <w:kern w:val="0"/>
                <w:szCs w:val="21"/>
                <w:highlight w:val="none"/>
              </w:rPr>
              <w:t xml:space="preserve">       (kV)</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18</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额定电流  </w:t>
            </w:r>
            <w:r>
              <w:rPr>
                <w:rFonts w:ascii="Times New Roman" w:hAnsi="Times New Roman" w:cs="Times New Roman"/>
                <w:color w:val="auto"/>
                <w:kern w:val="0"/>
                <w:szCs w:val="21"/>
                <w:highlight w:val="none"/>
              </w:rPr>
              <w:t xml:space="preserve">(A)           </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2000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额定频率：</w:t>
            </w:r>
            <w:r>
              <w:rPr>
                <w:rFonts w:ascii="Times New Roman" w:hAnsi="Times New Roman" w:cs="Times New Roman"/>
                <w:color w:val="auto"/>
                <w:kern w:val="0"/>
                <w:szCs w:val="21"/>
                <w:highlight w:val="none"/>
              </w:rPr>
              <w:t xml:space="preserve">           (Hz)</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额定短时工频耐受电压：(kV)</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7</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额定雷电冲击耐受电压：(kV)</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125</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8</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额定峰值耐受电流：</w:t>
            </w:r>
            <w:r>
              <w:rPr>
                <w:rFonts w:ascii="Times New Roman" w:hAnsi="Times New Roman" w:cs="Times New Roman"/>
                <w:color w:val="auto"/>
                <w:kern w:val="0"/>
                <w:szCs w:val="21"/>
                <w:highlight w:val="none"/>
              </w:rPr>
              <w:t xml:space="preserve">   (kA)</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260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9</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额定短时耐受电流：</w:t>
            </w:r>
            <w:r>
              <w:rPr>
                <w:rFonts w:ascii="Times New Roman" w:hAnsi="Times New Roman" w:cs="Times New Roman"/>
                <w:color w:val="auto"/>
                <w:kern w:val="0"/>
                <w:szCs w:val="21"/>
                <w:highlight w:val="none"/>
              </w:rPr>
              <w:t xml:space="preserve">   (kA)</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50kA/4 s</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10</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局部放电：</w:t>
            </w:r>
            <w:r>
              <w:rPr>
                <w:rFonts w:ascii="Times New Roman" w:hAnsi="Times New Roman" w:cs="Times New Roman"/>
                <w:color w:val="auto"/>
                <w:kern w:val="0"/>
                <w:szCs w:val="21"/>
                <w:highlight w:val="none"/>
              </w:rPr>
              <w:t xml:space="preserve">           (PC)</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≤20PC</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r>
              <w:rPr>
                <w:rFonts w:hint="eastAsia" w:ascii="Times New Roman" w:hAnsi="Times New Roman" w:cs="Times New Roman"/>
                <w:color w:val="auto"/>
                <w:kern w:val="0"/>
                <w:szCs w:val="21"/>
                <w:highlight w:val="none"/>
              </w:rPr>
              <w:t>1</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绝缘层外部电压 </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≤12</w:t>
            </w:r>
            <w:r>
              <w:rPr>
                <w:rFonts w:ascii="Times New Roman" w:hAnsi="Times New Roman" w:cs="Times New Roman"/>
                <w:color w:val="auto"/>
                <w:kern w:val="0"/>
                <w:szCs w:val="21"/>
                <w:highlight w:val="none"/>
              </w:rPr>
              <w:t xml:space="preserve"> V</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12</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泄漏比距：(mm/kV)</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25mm/kV</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二</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浇注母线允许温度和允许温升</w:t>
            </w:r>
          </w:p>
        </w:tc>
        <w:tc>
          <w:tcPr>
            <w:tcW w:w="2086" w:type="dxa"/>
          </w:tcPr>
          <w:p>
            <w:pPr>
              <w:spacing w:line="0" w:lineRule="atLeast"/>
              <w:ind w:firstLine="510"/>
              <w:rPr>
                <w:rFonts w:ascii="Times New Roman" w:hAnsi="Times New Roman" w:cs="Times New Roman"/>
                <w:color w:val="auto"/>
                <w:kern w:val="0"/>
                <w:szCs w:val="21"/>
                <w:highlight w:val="none"/>
              </w:rPr>
            </w:pP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导体允许温度：(℃</w:t>
            </w:r>
            <w:r>
              <w:rPr>
                <w:rFonts w:ascii="Times New Roman" w:hAnsi="Times New Roman" w:cs="Times New Roman"/>
                <w:color w:val="auto"/>
                <w:kern w:val="0"/>
                <w:szCs w:val="21"/>
                <w:highlight w:val="none"/>
              </w:rPr>
              <w:t>)</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90</w:t>
            </w:r>
            <w:r>
              <w:rPr>
                <w:rFonts w:hint="eastAsia" w:ascii="Times New Roman" w:hAnsi="Times New Roman" w:cs="Times New Roman"/>
                <w:color w:val="auto"/>
                <w:kern w:val="0"/>
                <w:szCs w:val="21"/>
                <w:highlight w:val="none"/>
              </w:rPr>
              <w:t>℃ (环境温度40℃</w:t>
            </w:r>
            <w:r>
              <w:rPr>
                <w:rFonts w:ascii="Times New Roman" w:hAnsi="Times New Roman" w:cs="Times New Roman"/>
                <w:color w:val="auto"/>
                <w:kern w:val="0"/>
                <w:szCs w:val="21"/>
                <w:highlight w:val="none"/>
              </w:rPr>
              <w:t>)</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导体允许温升：(K)</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螺栓紧固连接的镀银接触面允许温度：(℃</w:t>
            </w:r>
            <w:r>
              <w:rPr>
                <w:rFonts w:ascii="Times New Roman" w:hAnsi="Times New Roman" w:cs="Times New Roman"/>
                <w:color w:val="auto"/>
                <w:kern w:val="0"/>
                <w:szCs w:val="21"/>
                <w:highlight w:val="none"/>
              </w:rPr>
              <w:t>)</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90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螺栓紧固连接的镀银接触面允许温升：(K)</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绝缘层外部允许温度：(℃</w:t>
            </w:r>
            <w:r>
              <w:rPr>
                <w:rFonts w:ascii="Times New Roman" w:hAnsi="Times New Roman" w:cs="Times New Roman"/>
                <w:color w:val="auto"/>
                <w:kern w:val="0"/>
                <w:szCs w:val="21"/>
                <w:highlight w:val="none"/>
              </w:rPr>
              <w:t>)</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82</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绝缘层外部允许温升：(K)</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42</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三</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全浇注母线材料及外形尺寸(mm)</w:t>
            </w:r>
          </w:p>
        </w:tc>
        <w:tc>
          <w:tcPr>
            <w:tcW w:w="2086" w:type="dxa"/>
          </w:tcPr>
          <w:p>
            <w:pPr>
              <w:spacing w:line="0" w:lineRule="atLeast"/>
              <w:rPr>
                <w:rFonts w:ascii="Times New Roman" w:hAnsi="Times New Roman" w:cs="Times New Roman"/>
                <w:color w:val="auto"/>
                <w:kern w:val="0"/>
                <w:szCs w:val="21"/>
                <w:highlight w:val="none"/>
              </w:rPr>
            </w:pP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相</w:t>
            </w:r>
            <w:r>
              <w:rPr>
                <w:rFonts w:ascii="Times New Roman" w:hAnsi="Times New Roman" w:cs="Times New Roman"/>
                <w:color w:val="auto"/>
                <w:kern w:val="0"/>
                <w:szCs w:val="21"/>
                <w:highlight w:val="none"/>
              </w:rPr>
              <w:t xml:space="preserve">    </w:t>
            </w:r>
            <w:r>
              <w:rPr>
                <w:rFonts w:hint="eastAsia" w:ascii="Times New Roman" w:hAnsi="Times New Roman" w:cs="Times New Roman"/>
                <w:color w:val="auto"/>
                <w:kern w:val="0"/>
                <w:szCs w:val="21"/>
                <w:highlight w:val="none"/>
              </w:rPr>
              <w:t>数</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restart"/>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全浇注母线内导体相间距离：</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≥120mm</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continue"/>
            <w:vAlign w:val="center"/>
          </w:tcPr>
          <w:p>
            <w:pPr>
              <w:spacing w:line="0" w:lineRule="atLeast"/>
              <w:ind w:firstLine="510"/>
              <w:rPr>
                <w:rFonts w:ascii="Times New Roman" w:hAnsi="Times New Roman" w:cs="Times New Roman"/>
                <w:color w:val="auto"/>
                <w:kern w:val="0"/>
                <w:szCs w:val="21"/>
                <w:highlight w:val="none"/>
              </w:rPr>
            </w:pP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母线引出线相间空气距离：</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≥250mm</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continue"/>
            <w:vAlign w:val="center"/>
          </w:tcPr>
          <w:p>
            <w:pPr>
              <w:spacing w:line="0" w:lineRule="atLeast"/>
              <w:ind w:firstLine="510"/>
              <w:rPr>
                <w:rFonts w:ascii="Times New Roman" w:hAnsi="Times New Roman" w:cs="Times New Roman"/>
                <w:color w:val="auto"/>
                <w:kern w:val="0"/>
                <w:szCs w:val="21"/>
                <w:highlight w:val="none"/>
              </w:rPr>
            </w:pP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母线引出线相间爬电距离：</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≥300mm</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导体排列方式</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垂直</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相间绝缘隔板形式</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全模浇注隔离</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导体绝缘层(或相间绝缘隔板)绝缘等级：</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B</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restart"/>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w:t>
            </w: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浇注母线绝缘电阻： </w:t>
            </w:r>
          </w:p>
        </w:tc>
        <w:tc>
          <w:tcPr>
            <w:tcW w:w="2086" w:type="dxa"/>
          </w:tcPr>
          <w:p>
            <w:pPr>
              <w:spacing w:line="0" w:lineRule="atLeast"/>
              <w:ind w:firstLine="510"/>
              <w:rPr>
                <w:rFonts w:ascii="Times New Roman" w:hAnsi="Times New Roman" w:cs="Times New Roman"/>
                <w:color w:val="auto"/>
                <w:kern w:val="0"/>
                <w:szCs w:val="21"/>
                <w:highlight w:val="none"/>
              </w:rPr>
            </w:pP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continue"/>
            <w:vAlign w:val="center"/>
          </w:tcPr>
          <w:p>
            <w:pPr>
              <w:spacing w:line="0" w:lineRule="atLeast"/>
              <w:ind w:firstLine="510"/>
              <w:rPr>
                <w:rFonts w:ascii="Times New Roman" w:hAnsi="Times New Roman" w:cs="Times New Roman"/>
                <w:color w:val="auto"/>
                <w:kern w:val="0"/>
                <w:szCs w:val="21"/>
                <w:highlight w:val="none"/>
              </w:rPr>
            </w:pPr>
          </w:p>
        </w:tc>
        <w:tc>
          <w:tcPr>
            <w:tcW w:w="4728" w:type="dxa"/>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(1)组件</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不低于10000</w:t>
            </w:r>
            <w:r>
              <w:rPr>
                <w:rFonts w:ascii="Times New Roman" w:hAnsi="Times New Roman" w:cs="Times New Roman"/>
                <w:color w:val="auto"/>
                <w:kern w:val="0"/>
                <w:szCs w:val="21"/>
                <w:highlight w:val="none"/>
              </w:rPr>
              <w:t xml:space="preserve"> MΩ</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Merge w:val="continue"/>
            <w:vAlign w:val="center"/>
          </w:tcPr>
          <w:p>
            <w:pPr>
              <w:spacing w:line="0" w:lineRule="atLeast"/>
              <w:ind w:firstLine="510"/>
              <w:rPr>
                <w:rFonts w:ascii="Times New Roman" w:hAnsi="Times New Roman" w:cs="Times New Roman"/>
                <w:color w:val="auto"/>
                <w:kern w:val="0"/>
                <w:szCs w:val="21"/>
                <w:highlight w:val="none"/>
              </w:rPr>
            </w:pPr>
          </w:p>
        </w:tc>
        <w:tc>
          <w:tcPr>
            <w:tcW w:w="4728" w:type="dxa"/>
          </w:tcPr>
          <w:p>
            <w:pPr>
              <w:spacing w:line="0" w:lineRule="atLeast"/>
              <w:ind w:firstLine="51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(2)整段安装完工后相对相、相对地绝缘电阻：         </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不低于500</w:t>
            </w:r>
            <w:r>
              <w:rPr>
                <w:rFonts w:ascii="Times New Roman" w:hAnsi="Times New Roman" w:cs="Times New Roman"/>
                <w:color w:val="auto"/>
                <w:kern w:val="0"/>
                <w:szCs w:val="21"/>
                <w:highlight w:val="none"/>
              </w:rPr>
              <w:t xml:space="preserve"> MΩ</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7</w:t>
            </w:r>
          </w:p>
        </w:tc>
        <w:tc>
          <w:tcPr>
            <w:tcW w:w="4728" w:type="dxa"/>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内部铜排及接合处温升限制：(环境温度40℃</w:t>
            </w:r>
            <w:r>
              <w:rPr>
                <w:rFonts w:ascii="Times New Roman" w:hAnsi="Times New Roman" w:cs="Times New Roman"/>
                <w:color w:val="auto"/>
                <w:kern w:val="0"/>
                <w:szCs w:val="21"/>
                <w:highlight w:val="none"/>
              </w:rPr>
              <w:t xml:space="preserve"> ) (K)</w:t>
            </w:r>
          </w:p>
        </w:tc>
        <w:tc>
          <w:tcPr>
            <w:tcW w:w="2086" w:type="dxa"/>
          </w:tcPr>
          <w:p>
            <w:pPr>
              <w:spacing w:line="0" w:lineRule="atLeast"/>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≤50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8</w:t>
            </w:r>
          </w:p>
        </w:tc>
        <w:tc>
          <w:tcPr>
            <w:tcW w:w="4728" w:type="dxa"/>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挠性</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1/300</w:t>
            </w:r>
          </w:p>
        </w:tc>
        <w:tc>
          <w:tcPr>
            <w:tcW w:w="912" w:type="dxa"/>
          </w:tcPr>
          <w:p>
            <w:pPr>
              <w:spacing w:line="0" w:lineRule="atLeast"/>
              <w:ind w:firstLine="510"/>
              <w:rPr>
                <w:rFonts w:ascii="Times New Roman" w:hAnsi="Times New Roman" w:cs="Times New Roman"/>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664" w:type="dxa"/>
            <w:vAlign w:val="center"/>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9</w:t>
            </w:r>
          </w:p>
        </w:tc>
        <w:tc>
          <w:tcPr>
            <w:tcW w:w="4728" w:type="dxa"/>
          </w:tcPr>
          <w:p>
            <w:pPr>
              <w:autoSpaceDE w:val="0"/>
              <w:autoSpaceDN w:val="0"/>
              <w:adjustRightInd w:val="0"/>
              <w:spacing w:line="0" w:lineRule="atLeast"/>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xml:space="preserve">防护等级： </w:t>
            </w:r>
          </w:p>
        </w:tc>
        <w:tc>
          <w:tcPr>
            <w:tcW w:w="2086" w:type="dxa"/>
          </w:tcPr>
          <w:p>
            <w:pPr>
              <w:spacing w:line="0" w:lineRule="atLeas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IP67</w:t>
            </w:r>
          </w:p>
        </w:tc>
        <w:tc>
          <w:tcPr>
            <w:tcW w:w="912" w:type="dxa"/>
          </w:tcPr>
          <w:p>
            <w:pPr>
              <w:spacing w:line="0" w:lineRule="atLeast"/>
              <w:ind w:firstLine="510"/>
              <w:rPr>
                <w:rFonts w:ascii="Times New Roman" w:hAnsi="Times New Roman" w:cs="Times New Roman"/>
                <w:color w:val="auto"/>
                <w:kern w:val="0"/>
                <w:szCs w:val="21"/>
                <w:highlight w:val="none"/>
              </w:rPr>
            </w:pPr>
          </w:p>
        </w:tc>
      </w:tr>
    </w:tbl>
    <w:p>
      <w:pPr>
        <w:pStyle w:val="76"/>
        <w:rPr>
          <w:color w:val="auto"/>
          <w:highlight w:val="none"/>
        </w:rPr>
      </w:pPr>
      <w:r>
        <w:rPr>
          <w:color w:val="auto"/>
          <w:highlight w:val="none"/>
        </w:rPr>
        <w:t xml:space="preserve">(4)  </w:t>
      </w:r>
      <w:r>
        <w:rPr>
          <w:rFonts w:hint="eastAsia"/>
          <w:color w:val="auto"/>
          <w:highlight w:val="none"/>
        </w:rPr>
        <w:t>全浇注母线用螺栓紧固导体的接触面应用相同的金属构成。</w:t>
      </w:r>
    </w:p>
    <w:p>
      <w:pPr>
        <w:pStyle w:val="76"/>
        <w:rPr>
          <w:color w:val="auto"/>
          <w:highlight w:val="none"/>
        </w:rPr>
      </w:pPr>
      <w:r>
        <w:rPr>
          <w:color w:val="auto"/>
          <w:highlight w:val="none"/>
        </w:rPr>
        <w:t xml:space="preserve">(5)  </w:t>
      </w:r>
      <w:r>
        <w:rPr>
          <w:rFonts w:hint="eastAsia"/>
          <w:color w:val="auto"/>
          <w:highlight w:val="none"/>
        </w:rPr>
        <w:t>承包人采购的全浇注母线及其支撑吊架等全套设备应满足动、热电流稳定值分别为25kA、63kA条件下短路电流的要求。</w:t>
      </w:r>
    </w:p>
    <w:p>
      <w:pPr>
        <w:pStyle w:val="67"/>
        <w:rPr>
          <w:rFonts w:hint="eastAsia"/>
          <w:color w:val="auto"/>
          <w:highlight w:val="none"/>
        </w:rPr>
      </w:pPr>
      <w:r>
        <w:rPr>
          <w:color w:val="auto"/>
          <w:highlight w:val="none"/>
        </w:rPr>
        <w:t>9.2.5.2  技术要求</w:t>
      </w:r>
    </w:p>
    <w:p>
      <w:pPr>
        <w:pStyle w:val="76"/>
        <w:rPr>
          <w:color w:val="auto"/>
          <w:highlight w:val="none"/>
        </w:rPr>
      </w:pPr>
      <w:r>
        <w:rPr>
          <w:color w:val="auto"/>
          <w:highlight w:val="none"/>
        </w:rPr>
        <w:t xml:space="preserve">(1)  </w:t>
      </w:r>
      <w:r>
        <w:rPr>
          <w:rFonts w:hint="eastAsia"/>
          <w:color w:val="auto"/>
          <w:highlight w:val="none"/>
        </w:rPr>
        <w:t>全浇注母线的绝缘要求</w:t>
      </w:r>
    </w:p>
    <w:p>
      <w:pPr>
        <w:pStyle w:val="76"/>
        <w:rPr>
          <w:color w:val="auto"/>
          <w:highlight w:val="none"/>
        </w:rPr>
      </w:pPr>
      <w:r>
        <w:rPr>
          <w:rFonts w:hint="eastAsia"/>
          <w:color w:val="auto"/>
          <w:highlight w:val="none"/>
        </w:rPr>
        <w:t xml:space="preserve">1)  正常运行时的感应电压不高于12V </w:t>
      </w:r>
    </w:p>
    <w:p>
      <w:pPr>
        <w:pStyle w:val="76"/>
        <w:rPr>
          <w:color w:val="auto"/>
          <w:highlight w:val="none"/>
        </w:rPr>
      </w:pPr>
      <w:r>
        <w:rPr>
          <w:color w:val="auto"/>
          <w:highlight w:val="none"/>
        </w:rPr>
        <w:t xml:space="preserve">2)  </w:t>
      </w:r>
      <w:r>
        <w:rPr>
          <w:rFonts w:hint="eastAsia"/>
          <w:color w:val="auto"/>
          <w:highlight w:val="none"/>
        </w:rPr>
        <w:t>自然冷却的全浇注母线，能在户外全天候运行，应防止灰尘、潮气及雨水侵入全浇注母线内部，导体绝缘的防护等级为IP67。</w:t>
      </w:r>
    </w:p>
    <w:p>
      <w:pPr>
        <w:pStyle w:val="76"/>
        <w:rPr>
          <w:color w:val="auto"/>
          <w:highlight w:val="none"/>
        </w:rPr>
      </w:pPr>
      <w:r>
        <w:rPr>
          <w:color w:val="auto"/>
          <w:highlight w:val="none"/>
        </w:rPr>
        <w:t xml:space="preserve">3)  </w:t>
      </w:r>
      <w:r>
        <w:rPr>
          <w:rFonts w:hint="eastAsia"/>
          <w:color w:val="auto"/>
          <w:highlight w:val="none"/>
        </w:rPr>
        <w:t>全浇注母线、母线引出线和在现场浇注接头的绝缘外壳表面应光滑平整，无裂缝。</w:t>
      </w:r>
    </w:p>
    <w:p>
      <w:pPr>
        <w:pStyle w:val="76"/>
        <w:rPr>
          <w:color w:val="auto"/>
          <w:highlight w:val="none"/>
        </w:rPr>
      </w:pPr>
      <w:bookmarkStart w:id="238" w:name="_Toc1633089"/>
      <w:r>
        <w:rPr>
          <w:color w:val="auto"/>
          <w:highlight w:val="none"/>
        </w:rPr>
        <w:t xml:space="preserve">(2)  </w:t>
      </w:r>
      <w:r>
        <w:rPr>
          <w:rFonts w:hint="eastAsia"/>
          <w:color w:val="auto"/>
          <w:highlight w:val="none"/>
        </w:rPr>
        <w:t>结构</w:t>
      </w:r>
      <w:bookmarkEnd w:id="238"/>
    </w:p>
    <w:p>
      <w:pPr>
        <w:pStyle w:val="76"/>
        <w:rPr>
          <w:color w:val="auto"/>
          <w:highlight w:val="none"/>
        </w:rPr>
      </w:pPr>
      <w:r>
        <w:rPr>
          <w:color w:val="auto"/>
          <w:highlight w:val="none"/>
        </w:rPr>
        <w:t xml:space="preserve">1)  </w:t>
      </w:r>
      <w:r>
        <w:rPr>
          <w:rFonts w:hint="eastAsia"/>
          <w:color w:val="auto"/>
          <w:highlight w:val="none"/>
        </w:rPr>
        <w:t>整段全浇注母线回路为全连式，要求各段间有良好的电气连接，结构及混凝土中的钢筋温升不应该超过标准。</w:t>
      </w:r>
    </w:p>
    <w:p>
      <w:pPr>
        <w:pStyle w:val="76"/>
        <w:rPr>
          <w:color w:val="auto"/>
          <w:highlight w:val="none"/>
        </w:rPr>
      </w:pPr>
      <w:r>
        <w:rPr>
          <w:color w:val="auto"/>
          <w:highlight w:val="none"/>
        </w:rPr>
        <w:t xml:space="preserve">2)  </w:t>
      </w:r>
      <w:r>
        <w:rPr>
          <w:rFonts w:hint="eastAsia"/>
          <w:color w:val="auto"/>
          <w:highlight w:val="none"/>
        </w:rPr>
        <w:t>全浇注母线的结构，应能布置在楼板或支架上，也能悬挂在梁或其他构筑物上，支、吊点位置处应设置固定措施。由承包人成套供货的外壳支持、悬挂部件，应做防腐热浸锌处理。支吊架基础由发包人负责，承包人提出基础设计要求。</w:t>
      </w:r>
    </w:p>
    <w:p>
      <w:pPr>
        <w:pStyle w:val="76"/>
        <w:rPr>
          <w:color w:val="auto"/>
          <w:highlight w:val="none"/>
        </w:rPr>
      </w:pPr>
      <w:r>
        <w:rPr>
          <w:color w:val="auto"/>
          <w:highlight w:val="none"/>
        </w:rPr>
        <w:t xml:space="preserve">3)  </w:t>
      </w:r>
      <w:r>
        <w:rPr>
          <w:rFonts w:hint="eastAsia"/>
          <w:color w:val="auto"/>
          <w:highlight w:val="none"/>
        </w:rPr>
        <w:t>全浇注母线的支、吊架跨距应设计合理，承包人应保证支持跨距应避开共振区，保证设备安全可靠运行。</w:t>
      </w:r>
    </w:p>
    <w:p>
      <w:pPr>
        <w:pStyle w:val="76"/>
        <w:rPr>
          <w:color w:val="auto"/>
          <w:highlight w:val="none"/>
        </w:rPr>
      </w:pPr>
      <w:r>
        <w:rPr>
          <w:color w:val="auto"/>
          <w:highlight w:val="none"/>
        </w:rPr>
        <w:t xml:space="preserve">4)  </w:t>
      </w:r>
      <w:r>
        <w:rPr>
          <w:rFonts w:hint="eastAsia"/>
          <w:color w:val="auto"/>
          <w:highlight w:val="none"/>
        </w:rPr>
        <w:t>外壳支持构件应具有适量可调整功能，母线及支撑部件的设计和制造应允许在钢和砖石结构的建筑偏差范围内进行调整。</w:t>
      </w:r>
    </w:p>
    <w:p>
      <w:pPr>
        <w:pStyle w:val="76"/>
        <w:rPr>
          <w:color w:val="auto"/>
          <w:highlight w:val="none"/>
        </w:rPr>
      </w:pPr>
      <w:r>
        <w:rPr>
          <w:color w:val="auto"/>
          <w:highlight w:val="none"/>
        </w:rPr>
        <w:t xml:space="preserve">5)  </w:t>
      </w:r>
      <w:r>
        <w:rPr>
          <w:rFonts w:hint="eastAsia"/>
          <w:color w:val="auto"/>
          <w:highlight w:val="none"/>
        </w:rPr>
        <w:t>全浇注母线在轴向和辐向，应能满足支架或基础在40mm以内的不同沉降和位移。</w:t>
      </w:r>
    </w:p>
    <w:p>
      <w:pPr>
        <w:pStyle w:val="76"/>
        <w:rPr>
          <w:color w:val="auto"/>
          <w:highlight w:val="none"/>
        </w:rPr>
      </w:pPr>
      <w:r>
        <w:rPr>
          <w:color w:val="auto"/>
          <w:highlight w:val="none"/>
        </w:rPr>
        <w:t xml:space="preserve">6)  </w:t>
      </w:r>
      <w:r>
        <w:rPr>
          <w:rFonts w:hint="eastAsia"/>
          <w:color w:val="auto"/>
          <w:highlight w:val="none"/>
        </w:rPr>
        <w:t>全浇注母线应制成不同长度的标准直线段、90度转弯段和各种不同长度的配合段。全浇注母线的设计和预制应尽最大限度减少现场安装工作量及难度。</w:t>
      </w:r>
    </w:p>
    <w:p>
      <w:pPr>
        <w:pStyle w:val="76"/>
        <w:rPr>
          <w:color w:val="auto"/>
          <w:highlight w:val="none"/>
        </w:rPr>
      </w:pPr>
      <w:r>
        <w:rPr>
          <w:color w:val="auto"/>
          <w:highlight w:val="none"/>
        </w:rPr>
        <w:t xml:space="preserve">7)  </w:t>
      </w:r>
      <w:r>
        <w:rPr>
          <w:rFonts w:hint="eastAsia"/>
          <w:color w:val="auto"/>
          <w:highlight w:val="none"/>
        </w:rPr>
        <w:t>全浇注母线的引出线在与电抗器应设计成检修人员在该处可方便进行拆接、维护、试验的结构。</w:t>
      </w:r>
    </w:p>
    <w:p>
      <w:pPr>
        <w:pStyle w:val="76"/>
        <w:rPr>
          <w:color w:val="auto"/>
          <w:highlight w:val="none"/>
        </w:rPr>
      </w:pPr>
      <w:r>
        <w:rPr>
          <w:color w:val="auto"/>
          <w:highlight w:val="none"/>
        </w:rPr>
        <w:t xml:space="preserve">8)  </w:t>
      </w:r>
      <w:r>
        <w:rPr>
          <w:rFonts w:hint="eastAsia"/>
          <w:color w:val="auto"/>
          <w:highlight w:val="none"/>
        </w:rPr>
        <w:t>全浇注母线导体直线段误差不超过本身长度的0.1%。</w:t>
      </w:r>
    </w:p>
    <w:p>
      <w:pPr>
        <w:pStyle w:val="76"/>
        <w:rPr>
          <w:color w:val="auto"/>
          <w:highlight w:val="none"/>
        </w:rPr>
      </w:pPr>
      <w:r>
        <w:rPr>
          <w:color w:val="auto"/>
          <w:highlight w:val="none"/>
        </w:rPr>
        <w:t xml:space="preserve">9)  </w:t>
      </w:r>
      <w:r>
        <w:rPr>
          <w:rFonts w:hint="eastAsia"/>
          <w:color w:val="auto"/>
          <w:highlight w:val="none"/>
        </w:rPr>
        <w:t>设备和设备支吊架应能承受其额定范围内的地震荷载，即整个母线安装后的任何一部分，均能安全地耐受由地震引起的动态力(产品应按全动态法进行计算和试验)，并能保持其结构的整体性。选用材料的允许工作应力应大于地震荷载及其它所有荷载联合作用下的应力。</w:t>
      </w:r>
    </w:p>
    <w:p>
      <w:pPr>
        <w:pStyle w:val="76"/>
        <w:rPr>
          <w:color w:val="auto"/>
          <w:highlight w:val="none"/>
        </w:rPr>
      </w:pPr>
      <w:r>
        <w:rPr>
          <w:color w:val="auto"/>
          <w:highlight w:val="none"/>
        </w:rPr>
        <w:t xml:space="preserve">10)  </w:t>
      </w:r>
      <w:r>
        <w:rPr>
          <w:rFonts w:hint="eastAsia"/>
          <w:color w:val="auto"/>
          <w:highlight w:val="none"/>
        </w:rPr>
        <w:t>全浇注母线绝缘材料为不可燃烧无机矿物质材料。</w:t>
      </w:r>
    </w:p>
    <w:p>
      <w:pPr>
        <w:pStyle w:val="76"/>
        <w:rPr>
          <w:color w:val="auto"/>
          <w:highlight w:val="none"/>
        </w:rPr>
      </w:pPr>
      <w:bookmarkStart w:id="239" w:name="_Toc1633090"/>
      <w:r>
        <w:rPr>
          <w:color w:val="auto"/>
          <w:highlight w:val="none"/>
        </w:rPr>
        <w:t xml:space="preserve">(3)  </w:t>
      </w:r>
      <w:r>
        <w:rPr>
          <w:rFonts w:hint="eastAsia"/>
          <w:color w:val="auto"/>
          <w:highlight w:val="none"/>
        </w:rPr>
        <w:t>连接</w:t>
      </w:r>
      <w:bookmarkEnd w:id="239"/>
    </w:p>
    <w:p>
      <w:pPr>
        <w:pStyle w:val="76"/>
        <w:rPr>
          <w:color w:val="auto"/>
          <w:highlight w:val="none"/>
        </w:rPr>
      </w:pPr>
      <w:r>
        <w:rPr>
          <w:color w:val="auto"/>
          <w:highlight w:val="none"/>
        </w:rPr>
        <w:t xml:space="preserve">1)  </w:t>
      </w:r>
      <w:r>
        <w:rPr>
          <w:rFonts w:hint="eastAsia"/>
          <w:color w:val="auto"/>
          <w:highlight w:val="none"/>
        </w:rPr>
        <w:t>全浇注母线段间导体连接的紧固件，</w:t>
      </w:r>
      <w:r>
        <w:rPr>
          <w:color w:val="auto"/>
          <w:highlight w:val="none"/>
        </w:rPr>
        <w:t xml:space="preserve"> </w:t>
      </w:r>
      <w:r>
        <w:rPr>
          <w:rFonts w:hint="eastAsia"/>
          <w:color w:val="auto"/>
          <w:highlight w:val="none"/>
        </w:rPr>
        <w:t>宜采用非铁磁性材料，以免产生感应电流导致过热，接头螺栓螺母连接件应能防止松动，螺接面电流密度不大于0.1A/mm</w:t>
      </w:r>
      <w:r>
        <w:rPr>
          <w:color w:val="auto"/>
          <w:highlight w:val="none"/>
          <w:vertAlign w:val="superscript"/>
        </w:rPr>
        <w:t>2</w:t>
      </w:r>
      <w:r>
        <w:rPr>
          <w:rFonts w:hint="eastAsia"/>
          <w:color w:val="auto"/>
          <w:highlight w:val="none"/>
        </w:rPr>
        <w:t>。</w:t>
      </w:r>
    </w:p>
    <w:p>
      <w:pPr>
        <w:pStyle w:val="76"/>
        <w:rPr>
          <w:color w:val="auto"/>
          <w:highlight w:val="none"/>
        </w:rPr>
      </w:pPr>
      <w:r>
        <w:rPr>
          <w:color w:val="auto"/>
          <w:highlight w:val="none"/>
        </w:rPr>
        <w:t xml:space="preserve">2)  </w:t>
      </w:r>
      <w:r>
        <w:rPr>
          <w:rFonts w:hint="eastAsia"/>
          <w:color w:val="auto"/>
          <w:highlight w:val="none"/>
        </w:rPr>
        <w:t>所有挠性连接件的载流量，应不小于所连母线的载流量。挠性连接体的对地距离以及在可拆挠性连接体拆下后，导体两端之间的距离均不应小于220mm。</w:t>
      </w:r>
    </w:p>
    <w:p>
      <w:pPr>
        <w:pStyle w:val="76"/>
        <w:rPr>
          <w:color w:val="auto"/>
          <w:highlight w:val="none"/>
        </w:rPr>
      </w:pPr>
      <w:r>
        <w:rPr>
          <w:rFonts w:hint="eastAsia"/>
          <w:color w:val="auto"/>
          <w:highlight w:val="none"/>
        </w:rPr>
        <w:t xml:space="preserve">3)  全浇注母线引出线接头与电抗器出线端子的连接装置应便于拆卸，以便对电抗器进行检修和试验。全浇注母线引出线接头与变压器出线端子间的连接，应采用镀锡铜编织带(随母线供货)。母线导体与铜编织带接触面应镀银。 </w:t>
      </w:r>
    </w:p>
    <w:p>
      <w:pPr>
        <w:pStyle w:val="76"/>
        <w:rPr>
          <w:color w:val="auto"/>
          <w:highlight w:val="none"/>
        </w:rPr>
      </w:pPr>
      <w:r>
        <w:rPr>
          <w:color w:val="auto"/>
          <w:highlight w:val="none"/>
        </w:rPr>
        <w:t xml:space="preserve">4)  </w:t>
      </w:r>
      <w:r>
        <w:rPr>
          <w:rFonts w:hint="eastAsia"/>
          <w:color w:val="auto"/>
          <w:highlight w:val="none"/>
        </w:rPr>
        <w:t>全浇注母线引出线接头与相应的工作电源进线柜内母排连接装置应便于拆卸，以便对设备进行检修和试验。全浇注母线引出线接头与工作电源进线柜内母排间的连接，应采用镀锡铜编织带(随母线供货)。母线导体与铜编织带接触面应镀银。</w:t>
      </w:r>
    </w:p>
    <w:p>
      <w:pPr>
        <w:pStyle w:val="76"/>
        <w:rPr>
          <w:color w:val="auto"/>
          <w:highlight w:val="none"/>
        </w:rPr>
      </w:pPr>
      <w:r>
        <w:rPr>
          <w:color w:val="auto"/>
          <w:highlight w:val="none"/>
        </w:rPr>
        <w:t xml:space="preserve">5)  </w:t>
      </w:r>
      <w:r>
        <w:rPr>
          <w:rFonts w:hint="eastAsia"/>
          <w:color w:val="auto"/>
          <w:highlight w:val="none"/>
        </w:rPr>
        <w:t>全浇注母线与变压器低压侧出线套管的引出线接头相间距离应与变压器低压侧出线端子相间距离一致。全浇注母线与工作电源进线柜内母排连接，引出线接头相间距离应与进线柜内母排相间距离一致。若不能按发包人要求安装并保证安全距离，由承包人负责解决。</w:t>
      </w:r>
    </w:p>
    <w:p>
      <w:pPr>
        <w:pStyle w:val="76"/>
        <w:rPr>
          <w:color w:val="auto"/>
          <w:highlight w:val="none"/>
        </w:rPr>
      </w:pPr>
      <w:r>
        <w:rPr>
          <w:color w:val="auto"/>
          <w:highlight w:val="none"/>
        </w:rPr>
        <w:t xml:space="preserve">6)  </w:t>
      </w:r>
      <w:r>
        <w:rPr>
          <w:rFonts w:hint="eastAsia"/>
          <w:color w:val="auto"/>
          <w:highlight w:val="none"/>
        </w:rPr>
        <w:t>全浇注母线的外壳与设备的外壳应相互绝缘。其连接金属部件、金属箱体等均应采用非磁性材料，或采用其他措施以免产生感应电流过热。</w:t>
      </w:r>
    </w:p>
    <w:p>
      <w:pPr>
        <w:pStyle w:val="76"/>
        <w:rPr>
          <w:color w:val="auto"/>
          <w:highlight w:val="none"/>
        </w:rPr>
      </w:pPr>
      <w:r>
        <w:rPr>
          <w:color w:val="auto"/>
          <w:highlight w:val="none"/>
        </w:rPr>
        <w:t xml:space="preserve">7)  </w:t>
      </w:r>
      <w:r>
        <w:rPr>
          <w:rFonts w:hint="eastAsia"/>
          <w:color w:val="auto"/>
          <w:highlight w:val="none"/>
        </w:rPr>
        <w:t>全浇注母线与变压器或进线柜的连接端，应装有良好的密封隔离箱体，防止变压器低压侧接线箱或进线柜内进水受潮或积灰，箱体应采用δ≥6mm铝合金或非磁性材料制造。</w:t>
      </w:r>
    </w:p>
    <w:p>
      <w:pPr>
        <w:pStyle w:val="76"/>
        <w:rPr>
          <w:color w:val="auto"/>
          <w:highlight w:val="none"/>
        </w:rPr>
      </w:pPr>
      <w:r>
        <w:rPr>
          <w:color w:val="auto"/>
          <w:highlight w:val="none"/>
        </w:rPr>
        <w:t xml:space="preserve">8)  </w:t>
      </w:r>
      <w:r>
        <w:rPr>
          <w:rFonts w:hint="eastAsia"/>
          <w:color w:val="auto"/>
          <w:highlight w:val="none"/>
        </w:rPr>
        <w:t>在全浇注母线引出线接头和外壳的适当位置要标志黄、绿、红相序标记和接地标记。</w:t>
      </w:r>
    </w:p>
    <w:p>
      <w:pPr>
        <w:pStyle w:val="76"/>
        <w:rPr>
          <w:color w:val="auto"/>
          <w:highlight w:val="none"/>
        </w:rPr>
      </w:pPr>
      <w:r>
        <w:rPr>
          <w:color w:val="auto"/>
          <w:highlight w:val="none"/>
        </w:rPr>
        <w:t xml:space="preserve">9)  </w:t>
      </w:r>
      <w:r>
        <w:rPr>
          <w:rFonts w:hint="eastAsia"/>
          <w:color w:val="auto"/>
          <w:highlight w:val="none"/>
        </w:rPr>
        <w:t>承包人根据母线布置方式需要，按全浇注母线安装工艺要求设置若干伸缩补偿装置。</w:t>
      </w:r>
    </w:p>
    <w:p>
      <w:pPr>
        <w:pStyle w:val="76"/>
        <w:rPr>
          <w:color w:val="auto"/>
          <w:highlight w:val="none"/>
        </w:rPr>
      </w:pPr>
      <w:bookmarkStart w:id="240" w:name="_Toc1633091"/>
      <w:r>
        <w:rPr>
          <w:color w:val="auto"/>
          <w:highlight w:val="none"/>
        </w:rPr>
        <w:t xml:space="preserve">(4)  </w:t>
      </w:r>
      <w:r>
        <w:rPr>
          <w:rFonts w:hint="eastAsia"/>
          <w:color w:val="auto"/>
          <w:highlight w:val="none"/>
        </w:rPr>
        <w:t>温升</w:t>
      </w:r>
      <w:bookmarkEnd w:id="240"/>
    </w:p>
    <w:p>
      <w:pPr>
        <w:pStyle w:val="76"/>
        <w:rPr>
          <w:color w:val="auto"/>
          <w:highlight w:val="none"/>
        </w:rPr>
      </w:pPr>
      <w:r>
        <w:rPr>
          <w:rFonts w:hint="eastAsia"/>
          <w:color w:val="auto"/>
          <w:highlight w:val="none"/>
        </w:rPr>
        <w:t>全浇注式母线温升限制为：平均周温35</w:t>
      </w:r>
      <w:r>
        <w:rPr>
          <w:rFonts w:hint="eastAsia" w:ascii="宋体" w:hAnsi="宋体" w:cs="宋体"/>
          <w:color w:val="auto"/>
          <w:highlight w:val="none"/>
        </w:rPr>
        <w:t>℃</w:t>
      </w:r>
      <w:r>
        <w:rPr>
          <w:rFonts w:hint="eastAsia"/>
          <w:color w:val="auto"/>
          <w:highlight w:val="none"/>
        </w:rPr>
        <w:t>，最高温不超过40</w:t>
      </w:r>
      <w:r>
        <w:rPr>
          <w:rFonts w:hint="eastAsia" w:ascii="宋体" w:hAnsi="宋体" w:cs="宋体"/>
          <w:color w:val="auto"/>
          <w:highlight w:val="none"/>
        </w:rPr>
        <w:t>℃</w:t>
      </w:r>
      <w:r>
        <w:rPr>
          <w:rFonts w:hint="eastAsia"/>
          <w:color w:val="auto"/>
          <w:highlight w:val="none"/>
        </w:rPr>
        <w:t>，导体温升不超过</w:t>
      </w:r>
      <w:r>
        <w:rPr>
          <w:color w:val="auto"/>
          <w:highlight w:val="none"/>
        </w:rPr>
        <w:t xml:space="preserve">  </w:t>
      </w:r>
      <w:r>
        <w:rPr>
          <w:rFonts w:hint="eastAsia"/>
          <w:color w:val="auto"/>
          <w:highlight w:val="none"/>
        </w:rPr>
        <w:t>50K。</w:t>
      </w:r>
    </w:p>
    <w:p>
      <w:pPr>
        <w:pStyle w:val="76"/>
        <w:rPr>
          <w:color w:val="auto"/>
          <w:highlight w:val="none"/>
        </w:rPr>
      </w:pPr>
      <w:r>
        <w:rPr>
          <w:color w:val="auto"/>
          <w:highlight w:val="none"/>
        </w:rPr>
        <w:t xml:space="preserve">(5)  </w:t>
      </w:r>
      <w:r>
        <w:rPr>
          <w:rFonts w:hint="eastAsia"/>
          <w:color w:val="auto"/>
          <w:highlight w:val="none"/>
        </w:rPr>
        <w:t>试验</w:t>
      </w:r>
    </w:p>
    <w:p>
      <w:pPr>
        <w:pStyle w:val="76"/>
        <w:rPr>
          <w:color w:val="auto"/>
          <w:highlight w:val="none"/>
        </w:rPr>
      </w:pPr>
      <w:r>
        <w:rPr>
          <w:color w:val="auto"/>
          <w:highlight w:val="none"/>
        </w:rPr>
        <w:t xml:space="preserve">1)  </w:t>
      </w:r>
      <w:r>
        <w:rPr>
          <w:rFonts w:hint="eastAsia"/>
          <w:color w:val="auto"/>
          <w:highlight w:val="none"/>
        </w:rPr>
        <w:t>耐压试验(现场)</w:t>
      </w:r>
    </w:p>
    <w:p>
      <w:pPr>
        <w:pStyle w:val="76"/>
        <w:rPr>
          <w:color w:val="auto"/>
          <w:highlight w:val="none"/>
        </w:rPr>
      </w:pPr>
      <w:r>
        <w:rPr>
          <w:color w:val="auto"/>
          <w:highlight w:val="none"/>
        </w:rPr>
        <w:t xml:space="preserve">2)  </w:t>
      </w:r>
      <w:r>
        <w:rPr>
          <w:rFonts w:hint="eastAsia"/>
          <w:color w:val="auto"/>
          <w:highlight w:val="none"/>
        </w:rPr>
        <w:t>温升试验</w:t>
      </w:r>
    </w:p>
    <w:p>
      <w:pPr>
        <w:pStyle w:val="76"/>
        <w:rPr>
          <w:color w:val="auto"/>
          <w:highlight w:val="none"/>
        </w:rPr>
      </w:pPr>
      <w:r>
        <w:rPr>
          <w:color w:val="auto"/>
          <w:highlight w:val="none"/>
        </w:rPr>
        <w:t xml:space="preserve">3)  </w:t>
      </w:r>
      <w:r>
        <w:rPr>
          <w:rFonts w:hint="eastAsia"/>
          <w:color w:val="auto"/>
          <w:highlight w:val="none"/>
        </w:rPr>
        <w:t>出厂试验</w:t>
      </w:r>
    </w:p>
    <w:p>
      <w:pPr>
        <w:pStyle w:val="76"/>
        <w:rPr>
          <w:color w:val="auto"/>
          <w:highlight w:val="none"/>
        </w:rPr>
      </w:pPr>
      <w:r>
        <w:rPr>
          <w:color w:val="auto"/>
          <w:highlight w:val="none"/>
        </w:rPr>
        <w:t xml:space="preserve">4)  </w:t>
      </w:r>
      <w:r>
        <w:rPr>
          <w:rFonts w:hint="eastAsia"/>
          <w:color w:val="auto"/>
          <w:highlight w:val="none"/>
        </w:rPr>
        <w:t>产品试验</w:t>
      </w:r>
    </w:p>
    <w:p>
      <w:pPr>
        <w:pStyle w:val="76"/>
        <w:rPr>
          <w:color w:val="auto"/>
          <w:highlight w:val="none"/>
        </w:rPr>
      </w:pPr>
      <w:r>
        <w:rPr>
          <w:color w:val="auto"/>
          <w:highlight w:val="none"/>
        </w:rPr>
        <w:t xml:space="preserve">5)  </w:t>
      </w:r>
      <w:r>
        <w:rPr>
          <w:rFonts w:hint="eastAsia"/>
          <w:color w:val="auto"/>
          <w:highlight w:val="none"/>
        </w:rPr>
        <w:t>现场试验</w:t>
      </w:r>
    </w:p>
    <w:p>
      <w:pPr>
        <w:pStyle w:val="76"/>
        <w:rPr>
          <w:color w:val="auto"/>
          <w:highlight w:val="none"/>
        </w:rPr>
      </w:pPr>
      <w:r>
        <w:rPr>
          <w:rFonts w:hint="eastAsia"/>
          <w:color w:val="auto"/>
          <w:highlight w:val="none"/>
        </w:rPr>
        <w:t>工频耐压试验，绝缘试验应按ANSI标准进行。除非试验电压因现场试验设备电压而受限制，介质试验将在现场由需方将母线连接起来进行。为确定其完整性和安装正确，发包人的现场代表应监督安装并见证试验。</w:t>
      </w:r>
    </w:p>
    <w:p>
      <w:pPr>
        <w:pStyle w:val="76"/>
        <w:rPr>
          <w:color w:val="auto"/>
          <w:highlight w:val="none"/>
        </w:rPr>
      </w:pPr>
      <w:bookmarkStart w:id="241" w:name="_Toc1633092"/>
      <w:r>
        <w:rPr>
          <w:color w:val="auto"/>
          <w:highlight w:val="none"/>
        </w:rPr>
        <w:t xml:space="preserve">6)  </w:t>
      </w:r>
      <w:r>
        <w:rPr>
          <w:rFonts w:hint="eastAsia"/>
          <w:color w:val="auto"/>
          <w:highlight w:val="none"/>
        </w:rPr>
        <w:t>试验报告</w:t>
      </w:r>
      <w:bookmarkEnd w:id="241"/>
    </w:p>
    <w:p>
      <w:pPr>
        <w:pStyle w:val="76"/>
        <w:rPr>
          <w:color w:val="auto"/>
          <w:highlight w:val="none"/>
        </w:rPr>
      </w:pPr>
      <w:r>
        <w:rPr>
          <w:rFonts w:hint="eastAsia"/>
          <w:color w:val="auto"/>
          <w:highlight w:val="none"/>
        </w:rPr>
        <w:t>当承包人有与所设计的设备相似的结构和试验，承包人应通知需方，并提交已有设备的设计试验报告。承包人应提供所有最终试验报告副本，包括协议书要求的所有试验报告结果和数据，以及应用的协议和标准，供发包人审阅。需方对试验报告的审阅，不应减轻投标人对其所供设备与协议书要求一致的责任。</w:t>
      </w:r>
    </w:p>
    <w:p>
      <w:pPr>
        <w:pStyle w:val="132"/>
        <w:rPr>
          <w:color w:val="auto"/>
          <w:highlight w:val="none"/>
        </w:rPr>
      </w:pPr>
      <w:bookmarkStart w:id="242" w:name="_Toc387821656"/>
      <w:bookmarkStart w:id="243" w:name="_Toc22548"/>
      <w:r>
        <w:rPr>
          <w:color w:val="auto"/>
          <w:highlight w:val="none"/>
        </w:rPr>
        <w:t>9.2.6</w:t>
      </w:r>
      <w:r>
        <w:rPr>
          <w:rFonts w:hint="eastAsia"/>
          <w:color w:val="auto"/>
          <w:highlight w:val="none"/>
        </w:rPr>
        <w:t xml:space="preserve"> </w:t>
      </w:r>
      <w:r>
        <w:rPr>
          <w:color w:val="auto"/>
          <w:highlight w:val="none"/>
        </w:rPr>
        <w:t xml:space="preserve"> </w:t>
      </w:r>
      <w:r>
        <w:rPr>
          <w:rFonts w:hint="eastAsia"/>
          <w:color w:val="auto"/>
          <w:highlight w:val="none"/>
        </w:rPr>
        <w:t>厂用电设备</w:t>
      </w:r>
      <w:bookmarkEnd w:id="242"/>
      <w:r>
        <w:rPr>
          <w:rFonts w:hint="eastAsia"/>
          <w:color w:val="auto"/>
          <w:szCs w:val="20"/>
          <w:highlight w:val="none"/>
        </w:rPr>
        <w:t>技术特性</w:t>
      </w:r>
      <w:bookmarkEnd w:id="243"/>
    </w:p>
    <w:p>
      <w:pPr>
        <w:pStyle w:val="76"/>
        <w:rPr>
          <w:color w:val="auto"/>
          <w:highlight w:val="none"/>
        </w:rPr>
      </w:pPr>
      <w:r>
        <w:rPr>
          <w:rFonts w:hint="eastAsia"/>
          <w:color w:val="auto"/>
          <w:highlight w:val="none"/>
        </w:rPr>
        <w:t>厂用电设备包括在主副厂房、主变洞等地下洞室群、上下库、业主营地的10kV及0.4kV厂用电气设备安装。以下厂用电设备均由发包人供货。</w:t>
      </w:r>
    </w:p>
    <w:p>
      <w:pPr>
        <w:pStyle w:val="76"/>
        <w:rPr>
          <w:color w:val="auto"/>
          <w:highlight w:val="none"/>
        </w:rPr>
      </w:pPr>
      <w:r>
        <w:rPr>
          <w:rFonts w:hint="eastAsia"/>
          <w:color w:val="auto"/>
          <w:highlight w:val="none"/>
        </w:rPr>
        <w:t>各种设备技术特性如下：</w:t>
      </w:r>
    </w:p>
    <w:p>
      <w:pPr>
        <w:pStyle w:val="67"/>
        <w:rPr>
          <w:rFonts w:hint="eastAsia"/>
          <w:color w:val="auto"/>
          <w:highlight w:val="none"/>
        </w:rPr>
      </w:pPr>
      <w:r>
        <w:rPr>
          <w:color w:val="auto"/>
          <w:highlight w:val="none"/>
        </w:rPr>
        <w:t xml:space="preserve">9.2.6.1  厂用10kV变压器(初定) </w:t>
      </w:r>
    </w:p>
    <w:p>
      <w:pPr>
        <w:pStyle w:val="76"/>
        <w:rPr>
          <w:color w:val="auto"/>
          <w:highlight w:val="none"/>
        </w:rPr>
      </w:pPr>
      <w:r>
        <w:rPr>
          <w:color w:val="auto"/>
          <w:highlight w:val="none"/>
        </w:rPr>
        <w:t xml:space="preserve">(1) </w:t>
      </w:r>
      <w:r>
        <w:rPr>
          <w:rFonts w:hint="eastAsia"/>
          <w:color w:val="auto"/>
          <w:highlight w:val="none"/>
        </w:rPr>
        <w:t>型式：户内、三相、自冷、金属外壳保护、干式。</w:t>
      </w:r>
    </w:p>
    <w:p>
      <w:pPr>
        <w:pStyle w:val="76"/>
        <w:rPr>
          <w:color w:val="auto"/>
          <w:highlight w:val="none"/>
        </w:rPr>
      </w:pPr>
      <w:r>
        <w:rPr>
          <w:color w:val="auto"/>
          <w:highlight w:val="none"/>
        </w:rPr>
        <w:t xml:space="preserve">(2) </w:t>
      </w:r>
      <w:r>
        <w:rPr>
          <w:rFonts w:hint="eastAsia"/>
          <w:color w:val="auto"/>
          <w:highlight w:val="none"/>
        </w:rPr>
        <w:t>数量、参数及安装位置：</w:t>
      </w:r>
    </w:p>
    <w:p>
      <w:pPr>
        <w:spacing w:before="156" w:beforeLines="50" w:line="460" w:lineRule="exact"/>
        <w:jc w:val="center"/>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表</w:t>
      </w:r>
      <w:r>
        <w:rPr>
          <w:rFonts w:ascii="Times New Roman" w:hAnsi="Times New Roman" w:eastAsia="黑体" w:cs="Times New Roman"/>
          <w:color w:val="auto"/>
          <w:sz w:val="24"/>
          <w:szCs w:val="24"/>
          <w:highlight w:val="none"/>
        </w:rPr>
        <w:t xml:space="preserve">9-6  </w:t>
      </w:r>
      <w:r>
        <w:rPr>
          <w:rFonts w:hint="eastAsia" w:ascii="Times New Roman" w:hAnsi="Times New Roman" w:eastAsia="黑体" w:cs="Times New Roman"/>
          <w:color w:val="auto"/>
          <w:sz w:val="24"/>
          <w:szCs w:val="24"/>
          <w:highlight w:val="none"/>
        </w:rPr>
        <w:t>变压器主要参数表</w:t>
      </w:r>
    </w:p>
    <w:tbl>
      <w:tblPr>
        <w:tblStyle w:val="36"/>
        <w:tblW w:w="0" w:type="auto"/>
        <w:jc w:val="center"/>
        <w:tblLayout w:type="fixed"/>
        <w:tblCellMar>
          <w:top w:w="0" w:type="dxa"/>
          <w:left w:w="108" w:type="dxa"/>
          <w:bottom w:w="0" w:type="dxa"/>
          <w:right w:w="108" w:type="dxa"/>
        </w:tblCellMar>
      </w:tblPr>
      <w:tblGrid>
        <w:gridCol w:w="711"/>
        <w:gridCol w:w="4760"/>
        <w:gridCol w:w="1223"/>
        <w:gridCol w:w="1223"/>
      </w:tblGrid>
      <w:tr>
        <w:tblPrEx>
          <w:tblCellMar>
            <w:top w:w="0" w:type="dxa"/>
            <w:left w:w="108" w:type="dxa"/>
            <w:bottom w:w="0" w:type="dxa"/>
            <w:right w:w="108" w:type="dxa"/>
          </w:tblCellMar>
        </w:tblPrEx>
        <w:trPr>
          <w:trHeight w:val="63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序号</w:t>
            </w:r>
          </w:p>
        </w:tc>
        <w:tc>
          <w:tcPr>
            <w:tcW w:w="476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位置及容量</w:t>
            </w:r>
          </w:p>
        </w:tc>
        <w:tc>
          <w:tcPr>
            <w:tcW w:w="1223"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单位</w:t>
            </w:r>
          </w:p>
        </w:tc>
        <w:tc>
          <w:tcPr>
            <w:tcW w:w="1223"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数量</w:t>
            </w:r>
          </w:p>
        </w:tc>
      </w:tr>
      <w:tr>
        <w:tblPrEx>
          <w:tblCellMar>
            <w:top w:w="0" w:type="dxa"/>
            <w:left w:w="108" w:type="dxa"/>
            <w:bottom w:w="0" w:type="dxa"/>
            <w:right w:w="108" w:type="dxa"/>
          </w:tblCellMar>
        </w:tblPrEx>
        <w:trPr>
          <w:trHeight w:val="32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厂用变</w:t>
            </w:r>
            <w:r>
              <w:rPr>
                <w:rFonts w:ascii="Arial" w:hAnsi="Arial" w:cs="Arial"/>
                <w:color w:val="auto"/>
                <w:kern w:val="0"/>
                <w:sz w:val="22"/>
                <w:highlight w:val="none"/>
                <w:lang w:bidi="ar"/>
              </w:rPr>
              <w:t>SC(B)14-2500kVA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4</w:t>
            </w:r>
          </w:p>
        </w:tc>
      </w:tr>
      <w:tr>
        <w:tblPrEx>
          <w:tblCellMar>
            <w:top w:w="0" w:type="dxa"/>
            <w:left w:w="108" w:type="dxa"/>
            <w:bottom w:w="0" w:type="dxa"/>
            <w:right w:w="108" w:type="dxa"/>
          </w:tblCellMar>
        </w:tblPrEx>
        <w:trPr>
          <w:trHeight w:val="32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2</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检修照明变</w:t>
            </w:r>
            <w:r>
              <w:rPr>
                <w:rFonts w:ascii="Arial" w:hAnsi="Arial" w:cs="Arial"/>
                <w:color w:val="auto"/>
                <w:kern w:val="0"/>
                <w:sz w:val="22"/>
                <w:highlight w:val="none"/>
                <w:lang w:bidi="ar"/>
              </w:rPr>
              <w:t>SC(B)14-1000kVA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1</w:t>
            </w:r>
          </w:p>
        </w:tc>
      </w:tr>
      <w:tr>
        <w:tblPrEx>
          <w:tblCellMar>
            <w:top w:w="0" w:type="dxa"/>
            <w:left w:w="108" w:type="dxa"/>
            <w:bottom w:w="0" w:type="dxa"/>
            <w:right w:w="108" w:type="dxa"/>
          </w:tblCellMar>
        </w:tblPrEx>
        <w:trPr>
          <w:trHeight w:val="32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3</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照明变</w:t>
            </w:r>
            <w:r>
              <w:rPr>
                <w:rFonts w:ascii="Arial" w:hAnsi="Arial" w:cs="Arial"/>
                <w:color w:val="auto"/>
                <w:kern w:val="0"/>
                <w:sz w:val="22"/>
                <w:highlight w:val="none"/>
                <w:lang w:bidi="ar"/>
              </w:rPr>
              <w:t>SC(B)14-1000kVA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1</w:t>
            </w:r>
          </w:p>
        </w:tc>
      </w:tr>
      <w:tr>
        <w:tblPrEx>
          <w:tblCellMar>
            <w:top w:w="0" w:type="dxa"/>
            <w:left w:w="108" w:type="dxa"/>
            <w:bottom w:w="0" w:type="dxa"/>
            <w:right w:w="108" w:type="dxa"/>
          </w:tblCellMar>
        </w:tblPrEx>
        <w:trPr>
          <w:trHeight w:val="32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4</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开关站变</w:t>
            </w:r>
            <w:r>
              <w:rPr>
                <w:rFonts w:ascii="Arial" w:hAnsi="Arial" w:cs="Arial"/>
                <w:color w:val="auto"/>
                <w:kern w:val="0"/>
                <w:sz w:val="22"/>
                <w:highlight w:val="none"/>
                <w:lang w:bidi="ar"/>
              </w:rPr>
              <w:t>SC(B)14-500kVA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2</w:t>
            </w:r>
          </w:p>
        </w:tc>
      </w:tr>
      <w:tr>
        <w:tblPrEx>
          <w:tblCellMar>
            <w:top w:w="0" w:type="dxa"/>
            <w:left w:w="108" w:type="dxa"/>
            <w:bottom w:w="0" w:type="dxa"/>
            <w:right w:w="108" w:type="dxa"/>
          </w:tblCellMar>
        </w:tblPrEx>
        <w:trPr>
          <w:trHeight w:val="32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ascii="宋体" w:hAnsi="宋体" w:cs="宋体"/>
                <w:color w:val="auto"/>
                <w:kern w:val="0"/>
                <w:sz w:val="22"/>
                <w:highlight w:val="none"/>
                <w:lang w:bidi="ar"/>
              </w:rPr>
              <w:t>5</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下库进出水口变</w:t>
            </w:r>
            <w:r>
              <w:rPr>
                <w:rFonts w:ascii="Arial" w:hAnsi="Arial" w:cs="Arial"/>
                <w:color w:val="auto"/>
                <w:kern w:val="0"/>
                <w:sz w:val="22"/>
                <w:highlight w:val="none"/>
                <w:lang w:bidi="ar"/>
              </w:rPr>
              <w:t>SC(B)14-500kVA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2</w:t>
            </w:r>
          </w:p>
        </w:tc>
      </w:tr>
      <w:tr>
        <w:tblPrEx>
          <w:tblCellMar>
            <w:top w:w="0" w:type="dxa"/>
            <w:left w:w="108" w:type="dxa"/>
            <w:bottom w:w="0" w:type="dxa"/>
            <w:right w:w="108" w:type="dxa"/>
          </w:tblCellMar>
        </w:tblPrEx>
        <w:trPr>
          <w:trHeight w:val="39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sz w:val="22"/>
                <w:highlight w:val="none"/>
              </w:rPr>
            </w:pPr>
            <w:r>
              <w:rPr>
                <w:rFonts w:ascii="宋体" w:hAnsi="宋体" w:cs="宋体"/>
                <w:color w:val="auto"/>
                <w:kern w:val="0"/>
                <w:sz w:val="22"/>
                <w:highlight w:val="none"/>
                <w:lang w:bidi="ar"/>
              </w:rPr>
              <w:t>6</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Arial" w:hAnsi="Arial" w:cs="Arial"/>
                <w:color w:val="auto"/>
                <w:sz w:val="22"/>
                <w:highlight w:val="none"/>
              </w:rPr>
            </w:pPr>
            <w:r>
              <w:rPr>
                <w:rFonts w:hint="eastAsia" w:ascii="宋体" w:hAnsi="宋体" w:cs="宋体"/>
                <w:color w:val="auto"/>
                <w:kern w:val="0"/>
                <w:sz w:val="22"/>
                <w:highlight w:val="none"/>
                <w:lang w:bidi="ar"/>
              </w:rPr>
              <w:t>上库进出水口变</w:t>
            </w:r>
            <w:r>
              <w:rPr>
                <w:rFonts w:ascii="Arial" w:hAnsi="Arial" w:cs="Arial"/>
                <w:color w:val="auto"/>
                <w:kern w:val="0"/>
                <w:sz w:val="22"/>
                <w:highlight w:val="none"/>
                <w:lang w:bidi="ar"/>
              </w:rPr>
              <w:t>SC(B)14-500kVA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hint="eastAsia"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w:hAnsi="Arial" w:cs="Arial"/>
                <w:color w:val="auto"/>
                <w:sz w:val="18"/>
                <w:szCs w:val="18"/>
                <w:highlight w:val="none"/>
              </w:rPr>
            </w:pPr>
            <w:r>
              <w:rPr>
                <w:rFonts w:ascii="Arial" w:hAnsi="Arial" w:cs="Arial"/>
                <w:color w:val="auto"/>
                <w:kern w:val="0"/>
                <w:sz w:val="18"/>
                <w:szCs w:val="18"/>
                <w:highlight w:val="none"/>
                <w:lang w:bidi="ar"/>
              </w:rPr>
              <w:t>2</w:t>
            </w:r>
          </w:p>
        </w:tc>
      </w:tr>
      <w:tr>
        <w:tblPrEx>
          <w:tblCellMar>
            <w:top w:w="0" w:type="dxa"/>
            <w:left w:w="108" w:type="dxa"/>
            <w:bottom w:w="0" w:type="dxa"/>
            <w:right w:w="108" w:type="dxa"/>
          </w:tblCellMar>
        </w:tblPrEx>
        <w:trPr>
          <w:trHeight w:val="33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kern w:val="0"/>
                <w:sz w:val="22"/>
                <w:highlight w:val="none"/>
                <w:lang w:bidi="ar"/>
              </w:rPr>
            </w:pPr>
            <w:r>
              <w:rPr>
                <w:rFonts w:ascii="宋体" w:hAnsi="宋体" w:cs="宋体"/>
                <w:color w:val="auto"/>
                <w:kern w:val="0"/>
                <w:sz w:val="22"/>
                <w:highlight w:val="none"/>
                <w:lang w:bidi="ar"/>
              </w:rPr>
              <w:t>7</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default" w:ascii="Arial" w:hAnsi="Arial" w:cs="Arial"/>
                <w:color w:val="auto"/>
                <w:kern w:val="0"/>
                <w:sz w:val="22"/>
                <w:highlight w:val="none"/>
                <w:lang w:bidi="ar"/>
              </w:rPr>
            </w:pPr>
            <w:r>
              <w:rPr>
                <w:rFonts w:hint="default" w:ascii="Arial" w:hAnsi="Arial" w:cs="Arial"/>
                <w:color w:val="auto"/>
                <w:kern w:val="0"/>
                <w:sz w:val="22"/>
                <w:highlight w:val="none"/>
                <w:lang w:bidi="ar"/>
              </w:rPr>
              <w:t>业主营地变</w:t>
            </w:r>
            <w:r>
              <w:rPr>
                <w:rFonts w:ascii="Arial" w:hAnsi="Arial" w:cs="Arial"/>
                <w:color w:val="auto"/>
                <w:kern w:val="0"/>
                <w:sz w:val="22"/>
                <w:highlight w:val="none"/>
                <w:lang w:bidi="ar"/>
              </w:rPr>
              <w:t>SC(B)14-1000kVA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color w:val="auto"/>
                <w:kern w:val="0"/>
                <w:sz w:val="18"/>
                <w:szCs w:val="18"/>
                <w:highlight w:val="none"/>
                <w:lang w:bidi="ar"/>
              </w:rPr>
            </w:pPr>
            <w:r>
              <w:rPr>
                <w:rFonts w:hint="default" w:ascii="宋体" w:hAnsi="宋体" w:cs="宋体"/>
                <w:color w:val="auto"/>
                <w:kern w:val="0"/>
                <w:sz w:val="18"/>
                <w:szCs w:val="18"/>
                <w:highlight w:val="none"/>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18"/>
                <w:szCs w:val="18"/>
                <w:highlight w:val="none"/>
                <w:lang w:bidi="ar"/>
              </w:rPr>
            </w:pPr>
            <w:r>
              <w:rPr>
                <w:rFonts w:hint="eastAsia" w:ascii="宋体" w:hAnsi="宋体" w:cs="宋体"/>
                <w:color w:val="auto"/>
                <w:kern w:val="0"/>
                <w:sz w:val="18"/>
                <w:szCs w:val="18"/>
                <w:highlight w:val="none"/>
                <w:lang w:bidi="ar"/>
              </w:rPr>
              <w:t>4</w:t>
            </w:r>
          </w:p>
        </w:tc>
      </w:tr>
      <w:tr>
        <w:tblPrEx>
          <w:tblCellMar>
            <w:top w:w="0" w:type="dxa"/>
            <w:left w:w="108" w:type="dxa"/>
            <w:bottom w:w="0" w:type="dxa"/>
            <w:right w:w="108" w:type="dxa"/>
          </w:tblCellMar>
        </w:tblPrEx>
        <w:trPr>
          <w:trHeight w:val="331"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hint="eastAsia" w:ascii="宋体" w:hAnsi="宋体" w:cs="宋体"/>
                <w:color w:val="auto"/>
                <w:kern w:val="0"/>
                <w:sz w:val="22"/>
                <w:highlight w:val="none"/>
                <w:lang w:bidi="ar"/>
              </w:rPr>
            </w:pPr>
            <w:r>
              <w:rPr>
                <w:rFonts w:hint="eastAsia" w:ascii="宋体" w:hAnsi="宋体" w:cs="宋体"/>
                <w:color w:val="auto"/>
                <w:kern w:val="0"/>
                <w:sz w:val="22"/>
                <w:highlight w:val="none"/>
                <w:lang w:bidi="ar"/>
              </w:rPr>
              <w:t>8</w:t>
            </w:r>
          </w:p>
        </w:tc>
        <w:tc>
          <w:tcPr>
            <w:tcW w:w="476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default" w:ascii="Arial" w:hAnsi="Arial" w:cs="Arial"/>
                <w:color w:val="auto"/>
                <w:kern w:val="0"/>
                <w:sz w:val="22"/>
                <w:highlight w:val="none"/>
                <w:shd w:val="clear" w:color="auto" w:fill="auto"/>
                <w:lang w:bidi="ar"/>
              </w:rPr>
            </w:pPr>
            <w:r>
              <w:rPr>
                <w:rFonts w:ascii="Arial" w:hAnsi="Arial" w:cs="Arial"/>
                <w:color w:val="auto"/>
                <w:kern w:val="0"/>
                <w:sz w:val="22"/>
                <w:highlight w:val="none"/>
                <w:shd w:val="clear" w:color="auto" w:fill="auto"/>
                <w:lang w:bidi="ar"/>
              </w:rPr>
              <w:t>仓库变SC(B)14-1000kVA</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color w:val="auto"/>
                <w:kern w:val="0"/>
                <w:sz w:val="18"/>
                <w:szCs w:val="18"/>
                <w:highlight w:val="none"/>
                <w:shd w:val="clear" w:color="auto" w:fill="auto"/>
                <w:lang w:bidi="ar"/>
              </w:rPr>
            </w:pPr>
            <w:r>
              <w:rPr>
                <w:rFonts w:hint="default" w:ascii="宋体" w:hAnsi="宋体" w:cs="宋体"/>
                <w:color w:val="auto"/>
                <w:kern w:val="0"/>
                <w:sz w:val="18"/>
                <w:szCs w:val="18"/>
                <w:highlight w:val="none"/>
                <w:shd w:val="clear" w:color="auto" w:fill="auto"/>
                <w:lang w:bidi="ar"/>
              </w:rPr>
              <w:t>台</w:t>
            </w:r>
          </w:p>
        </w:tc>
        <w:tc>
          <w:tcPr>
            <w:tcW w:w="12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18"/>
                <w:szCs w:val="18"/>
                <w:highlight w:val="none"/>
                <w:shd w:val="clear" w:color="auto" w:fill="auto"/>
                <w:lang w:bidi="ar"/>
              </w:rPr>
            </w:pPr>
            <w:r>
              <w:rPr>
                <w:rFonts w:hint="eastAsia" w:ascii="宋体" w:hAnsi="宋体" w:cs="宋体"/>
                <w:color w:val="auto"/>
                <w:kern w:val="0"/>
                <w:sz w:val="18"/>
                <w:szCs w:val="18"/>
                <w:highlight w:val="none"/>
                <w:shd w:val="clear" w:color="auto" w:fill="auto"/>
                <w:lang w:bidi="ar"/>
              </w:rPr>
              <w:t>1</w:t>
            </w:r>
          </w:p>
        </w:tc>
      </w:tr>
    </w:tbl>
    <w:p>
      <w:pPr>
        <w:spacing w:line="36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注：1、变压器容量及相关参数为初定，待设备招标后最终确定。</w:t>
      </w:r>
    </w:p>
    <w:p>
      <w:pPr>
        <w:pStyle w:val="67"/>
        <w:rPr>
          <w:rFonts w:hint="eastAsia"/>
          <w:color w:val="auto"/>
          <w:highlight w:val="none"/>
        </w:rPr>
      </w:pPr>
      <w:r>
        <w:rPr>
          <w:color w:val="auto"/>
          <w:highlight w:val="none"/>
        </w:rPr>
        <w:t>9.2.6.2  10kV高压开关柜</w:t>
      </w:r>
    </w:p>
    <w:p>
      <w:pPr>
        <w:pStyle w:val="76"/>
        <w:rPr>
          <w:color w:val="auto"/>
          <w:highlight w:val="none"/>
        </w:rPr>
      </w:pPr>
      <w:r>
        <w:rPr>
          <w:rFonts w:hint="eastAsia"/>
          <w:color w:val="auto"/>
          <w:highlight w:val="none"/>
        </w:rPr>
        <w:t>型式：铠装中置式金属封闭开关柜</w:t>
      </w:r>
    </w:p>
    <w:p>
      <w:pPr>
        <w:pStyle w:val="76"/>
        <w:rPr>
          <w:color w:val="auto"/>
          <w:highlight w:val="none"/>
        </w:rPr>
      </w:pPr>
      <w:r>
        <w:rPr>
          <w:rFonts w:hint="eastAsia"/>
          <w:color w:val="auto"/>
          <w:highlight w:val="none"/>
        </w:rPr>
        <w:t>额定电压：12kV</w:t>
      </w:r>
    </w:p>
    <w:p>
      <w:pPr>
        <w:pStyle w:val="76"/>
        <w:rPr>
          <w:rFonts w:hint="eastAsia"/>
          <w:color w:val="auto"/>
          <w:highlight w:val="none"/>
        </w:rPr>
      </w:pPr>
      <w:r>
        <w:rPr>
          <w:rFonts w:hint="eastAsia"/>
          <w:color w:val="auto"/>
          <w:highlight w:val="none"/>
        </w:rPr>
        <w:t>数量：</w:t>
      </w:r>
      <w:r>
        <w:rPr>
          <w:rFonts w:hint="eastAsia"/>
          <w:color w:val="auto"/>
          <w:highlight w:val="none"/>
          <w:shd w:val="clear" w:color="auto" w:fill="auto"/>
        </w:rPr>
        <w:t>约60面</w:t>
      </w:r>
    </w:p>
    <w:p>
      <w:pPr>
        <w:pStyle w:val="76"/>
        <w:rPr>
          <w:color w:val="auto"/>
          <w:highlight w:val="none"/>
        </w:rPr>
      </w:pPr>
      <w:r>
        <w:rPr>
          <w:rFonts w:hint="eastAsia"/>
          <w:color w:val="auto"/>
          <w:highlight w:val="none"/>
        </w:rPr>
        <w:t>安装位置：地下副厂房、上下库、开关站及业主营地配电室。</w:t>
      </w:r>
    </w:p>
    <w:p>
      <w:pPr>
        <w:pStyle w:val="67"/>
        <w:rPr>
          <w:rFonts w:hint="eastAsia"/>
          <w:color w:val="auto"/>
          <w:highlight w:val="none"/>
        </w:rPr>
      </w:pPr>
      <w:r>
        <w:rPr>
          <w:color w:val="auto"/>
          <w:highlight w:val="none"/>
        </w:rPr>
        <w:t>9.2.6.3  0.4kV低压配电盘</w:t>
      </w:r>
    </w:p>
    <w:p>
      <w:pPr>
        <w:pStyle w:val="76"/>
        <w:rPr>
          <w:color w:val="auto"/>
          <w:highlight w:val="none"/>
        </w:rPr>
      </w:pPr>
      <w:r>
        <w:rPr>
          <w:rFonts w:hint="eastAsia"/>
          <w:color w:val="auto"/>
          <w:highlight w:val="none"/>
        </w:rPr>
        <w:t>型号：MNS或类同</w:t>
      </w:r>
    </w:p>
    <w:p>
      <w:pPr>
        <w:pStyle w:val="76"/>
        <w:rPr>
          <w:color w:val="auto"/>
          <w:highlight w:val="none"/>
        </w:rPr>
      </w:pPr>
      <w:r>
        <w:rPr>
          <w:rFonts w:hint="eastAsia"/>
          <w:color w:val="auto"/>
          <w:highlight w:val="none"/>
        </w:rPr>
        <w:t>额定电压：400V</w:t>
      </w:r>
    </w:p>
    <w:p>
      <w:pPr>
        <w:pStyle w:val="76"/>
        <w:rPr>
          <w:rFonts w:hint="eastAsia"/>
          <w:color w:val="auto"/>
          <w:highlight w:val="none"/>
        </w:rPr>
      </w:pPr>
      <w:r>
        <w:rPr>
          <w:rFonts w:hint="eastAsia"/>
          <w:color w:val="auto"/>
          <w:highlight w:val="none"/>
        </w:rPr>
        <w:t>数量</w:t>
      </w:r>
      <w:r>
        <w:rPr>
          <w:rFonts w:hint="eastAsia"/>
          <w:color w:val="auto"/>
          <w:highlight w:val="none"/>
          <w:shd w:val="clear" w:color="auto" w:fill="auto"/>
        </w:rPr>
        <w:t>：约176面</w:t>
      </w:r>
    </w:p>
    <w:p>
      <w:pPr>
        <w:pStyle w:val="76"/>
        <w:rPr>
          <w:color w:val="auto"/>
          <w:highlight w:val="none"/>
        </w:rPr>
      </w:pPr>
      <w:r>
        <w:rPr>
          <w:rFonts w:hint="eastAsia"/>
          <w:color w:val="auto"/>
          <w:highlight w:val="none"/>
        </w:rPr>
        <w:t>安装位置：主厂房、副厂房、主变洞、尾闸室、上水库、下水库、开关站及业主营地等处。</w:t>
      </w:r>
    </w:p>
    <w:p>
      <w:pPr>
        <w:pStyle w:val="67"/>
        <w:rPr>
          <w:rFonts w:hint="eastAsia"/>
          <w:color w:val="auto"/>
          <w:highlight w:val="none"/>
        </w:rPr>
      </w:pPr>
      <w:r>
        <w:rPr>
          <w:color w:val="auto"/>
          <w:highlight w:val="none"/>
        </w:rPr>
        <w:t xml:space="preserve">9.2.6.4 </w:t>
      </w:r>
      <w:r>
        <w:rPr>
          <w:rFonts w:hint="eastAsia"/>
          <w:color w:val="auto"/>
          <w:highlight w:val="none"/>
        </w:rPr>
        <w:t>柴油发电机组（配合制造厂完成）</w:t>
      </w:r>
    </w:p>
    <w:p>
      <w:pPr>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 xml:space="preserve">(1) </w:t>
      </w:r>
      <w:r>
        <w:rPr>
          <w:rFonts w:ascii="Times New Roman" w:hAnsi="宋体" w:cs="Times New Roman"/>
          <w:color w:val="auto"/>
          <w:kern w:val="0"/>
          <w:sz w:val="24"/>
          <w:szCs w:val="24"/>
          <w:highlight w:val="none"/>
        </w:rPr>
        <w:t>10kV</w:t>
      </w:r>
      <w:r>
        <w:rPr>
          <w:rFonts w:hint="eastAsia" w:ascii="Times New Roman" w:hAnsi="宋体" w:cs="Times New Roman"/>
          <w:color w:val="auto"/>
          <w:kern w:val="0"/>
          <w:sz w:val="24"/>
          <w:szCs w:val="24"/>
          <w:highlight w:val="none"/>
        </w:rPr>
        <w:t>柴油发电机组</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额定电压：</w:t>
      </w:r>
      <w:r>
        <w:rPr>
          <w:rFonts w:ascii="Times New Roman" w:hAnsi="Times New Roman" w:cs="Times New Roman"/>
          <w:color w:val="auto"/>
          <w:kern w:val="0"/>
          <w:sz w:val="24"/>
          <w:szCs w:val="24"/>
          <w:highlight w:val="none"/>
        </w:rPr>
        <w:t>10kV</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额定容量：</w:t>
      </w:r>
      <w:r>
        <w:rPr>
          <w:rFonts w:ascii="Times New Roman" w:hAnsi="Times New Roman" w:cs="Times New Roman"/>
          <w:color w:val="auto"/>
          <w:kern w:val="0"/>
          <w:sz w:val="24"/>
          <w:szCs w:val="24"/>
          <w:highlight w:val="none"/>
        </w:rPr>
        <w:t>1000kW</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数量：</w:t>
      </w:r>
      <w:r>
        <w:rPr>
          <w:rFonts w:ascii="Times New Roman" w:hAnsi="Times New Roman" w:cs="Times New Roman"/>
          <w:color w:val="auto"/>
          <w:kern w:val="0"/>
          <w:sz w:val="24"/>
          <w:szCs w:val="24"/>
          <w:highlight w:val="none"/>
        </w:rPr>
        <w:t>1</w:t>
      </w:r>
      <w:r>
        <w:rPr>
          <w:rFonts w:hint="eastAsia" w:ascii="Times New Roman" w:hAnsi="宋体" w:cs="Times New Roman"/>
          <w:color w:val="auto"/>
          <w:kern w:val="0"/>
          <w:sz w:val="24"/>
          <w:szCs w:val="24"/>
          <w:highlight w:val="none"/>
        </w:rPr>
        <w:t>套</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安装位置：开关站</w:t>
      </w:r>
      <w:r>
        <w:rPr>
          <w:rFonts w:ascii="Times New Roman" w:hAnsi="Times New Roman" w:cs="Times New Roman"/>
          <w:color w:val="auto"/>
          <w:kern w:val="0"/>
          <w:sz w:val="24"/>
          <w:szCs w:val="24"/>
          <w:highlight w:val="none"/>
        </w:rPr>
        <w:t>(</w:t>
      </w:r>
      <w:r>
        <w:rPr>
          <w:rFonts w:hint="eastAsia" w:ascii="Times New Roman" w:hAnsi="宋体" w:cs="Times New Roman"/>
          <w:color w:val="auto"/>
          <w:kern w:val="0"/>
          <w:sz w:val="24"/>
          <w:szCs w:val="24"/>
          <w:highlight w:val="none"/>
        </w:rPr>
        <w:t>初定</w:t>
      </w:r>
      <w:r>
        <w:rPr>
          <w:rFonts w:ascii="Times New Roman" w:hAnsi="Times New Roman" w:cs="Times New Roman"/>
          <w:color w:val="auto"/>
          <w:kern w:val="0"/>
          <w:sz w:val="24"/>
          <w:szCs w:val="24"/>
          <w:highlight w:val="none"/>
        </w:rPr>
        <w:t>)</w:t>
      </w:r>
    </w:p>
    <w:p>
      <w:pPr>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2) 0.4kV</w:t>
      </w:r>
      <w:r>
        <w:rPr>
          <w:rFonts w:hint="eastAsia" w:ascii="Times New Roman" w:hAnsi="宋体" w:cs="Times New Roman"/>
          <w:color w:val="auto"/>
          <w:kern w:val="0"/>
          <w:sz w:val="24"/>
          <w:szCs w:val="24"/>
          <w:highlight w:val="none"/>
        </w:rPr>
        <w:t>柴油发电机组</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额定电压：</w:t>
      </w:r>
      <w:r>
        <w:rPr>
          <w:rFonts w:ascii="Times New Roman" w:hAnsi="Times New Roman" w:cs="Times New Roman"/>
          <w:color w:val="auto"/>
          <w:kern w:val="0"/>
          <w:sz w:val="24"/>
          <w:szCs w:val="24"/>
          <w:highlight w:val="none"/>
        </w:rPr>
        <w:t>0.4kV</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额定容量：</w:t>
      </w:r>
      <w:r>
        <w:rPr>
          <w:rFonts w:ascii="Times New Roman" w:hAnsi="Times New Roman" w:cs="Times New Roman"/>
          <w:color w:val="auto"/>
          <w:kern w:val="0"/>
          <w:sz w:val="24"/>
          <w:szCs w:val="24"/>
          <w:highlight w:val="none"/>
        </w:rPr>
        <w:t>5</w:t>
      </w:r>
      <w:r>
        <w:rPr>
          <w:rFonts w:hint="eastAsia" w:ascii="Times New Roman" w:hAnsi="Times New Roman" w:cs="Times New Roman"/>
          <w:color w:val="auto"/>
          <w:kern w:val="0"/>
          <w:sz w:val="24"/>
          <w:szCs w:val="24"/>
          <w:highlight w:val="none"/>
        </w:rPr>
        <w:t>00kW</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数量：</w:t>
      </w:r>
      <w:r>
        <w:rPr>
          <w:rFonts w:ascii="Times New Roman" w:hAnsi="Times New Roman" w:cs="Times New Roman"/>
          <w:color w:val="auto"/>
          <w:kern w:val="0"/>
          <w:sz w:val="24"/>
          <w:szCs w:val="24"/>
          <w:highlight w:val="none"/>
        </w:rPr>
        <w:t>1</w:t>
      </w:r>
      <w:r>
        <w:rPr>
          <w:rFonts w:ascii="Times New Roman" w:hAnsi="宋体" w:cs="Times New Roman"/>
          <w:color w:val="auto"/>
          <w:kern w:val="0"/>
          <w:sz w:val="24"/>
          <w:szCs w:val="24"/>
          <w:highlight w:val="none"/>
        </w:rPr>
        <w:t>套</w:t>
      </w:r>
    </w:p>
    <w:p>
      <w:pPr>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安装位置：</w:t>
      </w:r>
      <w:r>
        <w:rPr>
          <w:rFonts w:hint="eastAsia" w:ascii="Times New Roman" w:hAnsi="宋体" w:cs="Times New Roman"/>
          <w:color w:val="auto"/>
          <w:kern w:val="0"/>
          <w:sz w:val="24"/>
          <w:szCs w:val="24"/>
          <w:highlight w:val="none"/>
        </w:rPr>
        <w:t>上水库大坝</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初定</w:t>
      </w:r>
      <w:r>
        <w:rPr>
          <w:rFonts w:ascii="Times New Roman" w:hAnsi="Times New Roman" w:cs="Times New Roman"/>
          <w:color w:val="auto"/>
          <w:kern w:val="0"/>
          <w:sz w:val="24"/>
          <w:szCs w:val="24"/>
          <w:highlight w:val="none"/>
        </w:rPr>
        <w:t>)</w:t>
      </w:r>
    </w:p>
    <w:p>
      <w:pPr>
        <w:pStyle w:val="35"/>
        <w:rPr>
          <w:color w:val="auto"/>
          <w:highlight w:val="none"/>
        </w:rPr>
      </w:pPr>
    </w:p>
    <w:p>
      <w:pPr>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3</w:t>
      </w:r>
      <w:r>
        <w:rPr>
          <w:rFonts w:hint="eastAsia" w:ascii="Times New Roman" w:hAnsi="宋体" w:cs="Times New Roman"/>
          <w:color w:val="auto"/>
          <w:kern w:val="0"/>
          <w:sz w:val="24"/>
          <w:szCs w:val="24"/>
          <w:highlight w:val="none"/>
        </w:rPr>
        <w:t xml:space="preserve">) </w:t>
      </w:r>
      <w:r>
        <w:rPr>
          <w:rFonts w:ascii="Times New Roman" w:hAnsi="宋体" w:cs="Times New Roman"/>
          <w:color w:val="auto"/>
          <w:kern w:val="0"/>
          <w:sz w:val="24"/>
          <w:szCs w:val="24"/>
          <w:highlight w:val="none"/>
        </w:rPr>
        <w:t>0.4kV</w:t>
      </w:r>
      <w:r>
        <w:rPr>
          <w:rFonts w:hint="eastAsia" w:ascii="Times New Roman" w:hAnsi="宋体" w:cs="Times New Roman"/>
          <w:color w:val="auto"/>
          <w:kern w:val="0"/>
          <w:sz w:val="24"/>
          <w:szCs w:val="24"/>
          <w:highlight w:val="none"/>
        </w:rPr>
        <w:t>柴油发电机组</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额定电压：</w:t>
      </w:r>
      <w:r>
        <w:rPr>
          <w:rFonts w:ascii="Times New Roman" w:hAnsi="Times New Roman" w:cs="Times New Roman"/>
          <w:color w:val="auto"/>
          <w:kern w:val="0"/>
          <w:sz w:val="24"/>
          <w:szCs w:val="24"/>
          <w:highlight w:val="none"/>
        </w:rPr>
        <w:t>0.4kV</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额定容量：</w:t>
      </w:r>
      <w:r>
        <w:rPr>
          <w:rFonts w:ascii="Times New Roman" w:hAnsi="Times New Roman" w:cs="Times New Roman"/>
          <w:color w:val="auto"/>
          <w:kern w:val="0"/>
          <w:sz w:val="24"/>
          <w:szCs w:val="24"/>
          <w:highlight w:val="none"/>
        </w:rPr>
        <w:t>200kW</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数量：</w:t>
      </w:r>
      <w:r>
        <w:rPr>
          <w:rFonts w:ascii="Times New Roman" w:hAnsi="Times New Roman" w:cs="Times New Roman"/>
          <w:color w:val="auto"/>
          <w:kern w:val="0"/>
          <w:sz w:val="24"/>
          <w:szCs w:val="24"/>
          <w:highlight w:val="none"/>
        </w:rPr>
        <w:t>1</w:t>
      </w:r>
      <w:r>
        <w:rPr>
          <w:rFonts w:hint="eastAsia" w:ascii="Times New Roman" w:hAnsi="宋体" w:cs="Times New Roman"/>
          <w:color w:val="auto"/>
          <w:kern w:val="0"/>
          <w:sz w:val="24"/>
          <w:szCs w:val="24"/>
          <w:highlight w:val="none"/>
        </w:rPr>
        <w:t>套</w:t>
      </w:r>
    </w:p>
    <w:p>
      <w:pPr>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安装位置：下水库大坝</w:t>
      </w:r>
      <w:r>
        <w:rPr>
          <w:rFonts w:ascii="Times New Roman" w:hAnsi="Times New Roman" w:cs="Times New Roman"/>
          <w:color w:val="auto"/>
          <w:kern w:val="0"/>
          <w:sz w:val="24"/>
          <w:szCs w:val="24"/>
          <w:highlight w:val="none"/>
        </w:rPr>
        <w:t>(</w:t>
      </w:r>
      <w:r>
        <w:rPr>
          <w:rFonts w:hint="eastAsia" w:ascii="Times New Roman" w:hAnsi="宋体" w:cs="Times New Roman"/>
          <w:color w:val="auto"/>
          <w:kern w:val="0"/>
          <w:sz w:val="24"/>
          <w:szCs w:val="24"/>
          <w:highlight w:val="none"/>
        </w:rPr>
        <w:t>初定</w:t>
      </w:r>
      <w:r>
        <w:rPr>
          <w:rFonts w:ascii="Times New Roman" w:hAnsi="Times New Roman" w:cs="Times New Roman"/>
          <w:color w:val="auto"/>
          <w:kern w:val="0"/>
          <w:sz w:val="24"/>
          <w:szCs w:val="24"/>
          <w:highlight w:val="none"/>
        </w:rPr>
        <w:t>)</w:t>
      </w:r>
    </w:p>
    <w:p>
      <w:pPr>
        <w:pStyle w:val="132"/>
        <w:rPr>
          <w:color w:val="auto"/>
          <w:highlight w:val="none"/>
        </w:rPr>
      </w:pPr>
      <w:bookmarkStart w:id="244" w:name="_Toc387821657"/>
      <w:bookmarkStart w:id="245" w:name="_Toc14732"/>
      <w:r>
        <w:rPr>
          <w:color w:val="auto"/>
          <w:highlight w:val="none"/>
        </w:rPr>
        <w:t>9.2.</w:t>
      </w:r>
      <w:r>
        <w:rPr>
          <w:color w:val="auto"/>
          <w:highlight w:val="none"/>
          <w:lang w:val="en-US"/>
        </w:rPr>
        <w:t>8</w:t>
      </w:r>
      <w:r>
        <w:rPr>
          <w:rFonts w:hint="eastAsia"/>
          <w:color w:val="auto"/>
          <w:highlight w:val="none"/>
        </w:rPr>
        <w:t xml:space="preserve">  其他厂用电设备</w:t>
      </w:r>
      <w:bookmarkEnd w:id="244"/>
      <w:r>
        <w:rPr>
          <w:rFonts w:hint="eastAsia"/>
          <w:color w:val="auto"/>
          <w:szCs w:val="20"/>
          <w:highlight w:val="none"/>
        </w:rPr>
        <w:t>技术特性</w:t>
      </w:r>
      <w:bookmarkEnd w:id="245"/>
    </w:p>
    <w:p>
      <w:pPr>
        <w:pStyle w:val="76"/>
        <w:rPr>
          <w:color w:val="auto"/>
          <w:highlight w:val="none"/>
        </w:rPr>
      </w:pPr>
      <w:r>
        <w:rPr>
          <w:rFonts w:hint="eastAsia"/>
          <w:color w:val="auto"/>
          <w:highlight w:val="none"/>
        </w:rPr>
        <w:t>其他厂用电设备包括0.4kV低压母线槽、动力及检修箱等。这些设备均由本标承包人采购及安装。</w:t>
      </w:r>
    </w:p>
    <w:p>
      <w:pPr>
        <w:pStyle w:val="67"/>
        <w:rPr>
          <w:rFonts w:hint="eastAsia"/>
          <w:color w:val="auto"/>
          <w:highlight w:val="none"/>
        </w:rPr>
      </w:pPr>
      <w:r>
        <w:rPr>
          <w:color w:val="auto"/>
          <w:highlight w:val="none"/>
        </w:rPr>
        <w:t>9.2.</w:t>
      </w:r>
      <w:r>
        <w:rPr>
          <w:color w:val="auto"/>
          <w:highlight w:val="none"/>
          <w:lang w:val="en-US"/>
        </w:rPr>
        <w:t>8</w:t>
      </w:r>
      <w:r>
        <w:rPr>
          <w:color w:val="auto"/>
          <w:highlight w:val="none"/>
        </w:rPr>
        <w:t>.1  0.4kV低压母线槽</w:t>
      </w:r>
    </w:p>
    <w:p>
      <w:pPr>
        <w:pStyle w:val="76"/>
        <w:rPr>
          <w:color w:val="auto"/>
          <w:highlight w:val="none"/>
        </w:rPr>
      </w:pPr>
      <w:r>
        <w:rPr>
          <w:rFonts w:hint="eastAsia"/>
          <w:color w:val="auto"/>
          <w:highlight w:val="none"/>
        </w:rPr>
        <w:t>低压母线槽品牌及投标要求见“本标承包人提供的材料与设备要求”。0.4kV低压母线槽主要为4台2500kVA，10/0.4kV厂用变压器与低压进线柜的连接以及主配电盘出线柜与空压机配电盘进线柜之间的连接。</w:t>
      </w:r>
    </w:p>
    <w:p>
      <w:pPr>
        <w:spacing w:line="360" w:lineRule="auto"/>
        <w:ind w:firstLine="480" w:firstLineChars="200"/>
        <w:rPr>
          <w:color w:val="auto"/>
          <w:highlight w:val="none"/>
        </w:rPr>
      </w:pPr>
      <w:r>
        <w:rPr>
          <w:rFonts w:ascii="宋体" w:hAnsi="宋体" w:cs="宋体"/>
          <w:color w:val="auto"/>
          <w:sz w:val="24"/>
          <w:highlight w:val="none"/>
        </w:rPr>
        <w:t>(1)密集型母线槽连接</w:t>
      </w:r>
    </w:p>
    <w:p>
      <w:pPr>
        <w:spacing w:line="360" w:lineRule="auto"/>
        <w:ind w:firstLine="480" w:firstLineChars="200"/>
        <w:rPr>
          <w:color w:val="auto"/>
          <w:highlight w:val="none"/>
        </w:rPr>
      </w:pPr>
      <w:r>
        <w:rPr>
          <w:rFonts w:ascii="宋体" w:hAnsi="宋体" w:cs="宋体"/>
          <w:color w:val="auto"/>
          <w:sz w:val="24"/>
          <w:highlight w:val="none"/>
        </w:rPr>
        <w:t>1)与低压配电柜连接</w:t>
      </w:r>
    </w:p>
    <w:p>
      <w:pPr>
        <w:spacing w:line="360" w:lineRule="auto"/>
        <w:ind w:firstLine="480" w:firstLineChars="200"/>
        <w:rPr>
          <w:color w:val="auto"/>
          <w:highlight w:val="none"/>
        </w:rPr>
      </w:pPr>
      <w:r>
        <w:rPr>
          <w:rFonts w:ascii="宋体" w:hAnsi="宋体" w:cs="宋体"/>
          <w:color w:val="auto"/>
          <w:sz w:val="24"/>
          <w:highlight w:val="none"/>
        </w:rPr>
        <w:t>低压配电柜结构应允许密集型母线从柜顶(空压机配电盘进线柜)或柜底部(厂用主配电柜)进入柜体，并同时满足密集型母线法兰外形尺寸的要求，具体的连接尺寸由本标和配电柜厂协商解决。</w:t>
      </w:r>
    </w:p>
    <w:p>
      <w:pPr>
        <w:spacing w:line="360" w:lineRule="auto"/>
        <w:ind w:firstLine="480" w:firstLineChars="200"/>
        <w:rPr>
          <w:color w:val="auto"/>
          <w:highlight w:val="none"/>
        </w:rPr>
      </w:pPr>
      <w:r>
        <w:rPr>
          <w:rFonts w:ascii="宋体" w:hAnsi="宋体" w:cs="宋体"/>
          <w:color w:val="auto"/>
          <w:sz w:val="24"/>
          <w:highlight w:val="none"/>
        </w:rPr>
        <w:t>2)与变压器的连接</w:t>
      </w:r>
    </w:p>
    <w:p>
      <w:pPr>
        <w:spacing w:line="360" w:lineRule="auto"/>
        <w:ind w:firstLine="480" w:firstLineChars="200"/>
        <w:rPr>
          <w:rFonts w:hint="eastAsia" w:ascii="宋体" w:hAnsi="宋体" w:cs="宋体"/>
          <w:color w:val="auto"/>
          <w:sz w:val="24"/>
          <w:highlight w:val="none"/>
        </w:rPr>
      </w:pPr>
      <w:r>
        <w:rPr>
          <w:rFonts w:ascii="宋体" w:hAnsi="宋体" w:cs="宋体"/>
          <w:color w:val="auto"/>
          <w:sz w:val="24"/>
          <w:highlight w:val="none"/>
        </w:rPr>
        <w:t>变压器0.4kV低压侧的接线端子采用铜母排出线，经干变顶部出线。铜母排要求露出变压器外壳顶部200mm，与密集母线连接的软连接采用多层压制焊铜连接,由变压器厂提供。本标负责与变压器导体的连接，并提供外护罩及与变压器外壳的连接。</w:t>
      </w:r>
    </w:p>
    <w:p>
      <w:pPr>
        <w:spacing w:line="360" w:lineRule="auto"/>
        <w:ind w:firstLine="480" w:firstLineChars="200"/>
        <w:rPr>
          <w:color w:val="auto"/>
          <w:highlight w:val="none"/>
        </w:rPr>
      </w:pPr>
      <w:r>
        <w:rPr>
          <w:rFonts w:ascii="宋体" w:hAnsi="宋体" w:cs="宋体"/>
          <w:color w:val="auto"/>
          <w:sz w:val="24"/>
          <w:highlight w:val="none"/>
        </w:rPr>
        <w:drawing>
          <wp:inline distT="0" distB="0" distL="0" distR="0">
            <wp:extent cx="5580380" cy="2289810"/>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16"/>
                    <a:stretch>
                      <a:fillRect/>
                    </a:stretch>
                  </pic:blipFill>
                  <pic:spPr>
                    <a:xfrm>
                      <a:off x="0" y="0"/>
                      <a:ext cx="5580380" cy="2289903"/>
                    </a:xfrm>
                    <a:prstGeom prst="rect">
                      <a:avLst/>
                    </a:prstGeom>
                  </pic:spPr>
                </pic:pic>
              </a:graphicData>
            </a:graphic>
          </wp:inline>
        </w:drawing>
      </w:r>
    </w:p>
    <w:p>
      <w:pPr>
        <w:pStyle w:val="76"/>
        <w:rPr>
          <w:color w:val="auto"/>
          <w:highlight w:val="none"/>
        </w:rPr>
      </w:pPr>
      <w:r>
        <w:rPr>
          <w:color w:val="auto"/>
          <w:highlight w:val="none"/>
        </w:rPr>
        <w:t>（2）0.4kV</w:t>
      </w:r>
      <w:r>
        <w:rPr>
          <w:rFonts w:hAnsi="宋体"/>
          <w:color w:val="auto"/>
          <w:highlight w:val="none"/>
        </w:rPr>
        <w:t>低压母线槽采购及安装技术要求：</w:t>
      </w:r>
    </w:p>
    <w:p>
      <w:pPr>
        <w:pStyle w:val="76"/>
        <w:rPr>
          <w:color w:val="auto"/>
          <w:highlight w:val="none"/>
        </w:rPr>
      </w:pPr>
      <w:r>
        <w:rPr>
          <w:color w:val="auto"/>
          <w:highlight w:val="none"/>
        </w:rPr>
        <w:t xml:space="preserve">1) </w:t>
      </w:r>
      <w:r>
        <w:rPr>
          <w:rFonts w:hAnsi="宋体"/>
          <w:color w:val="auto"/>
          <w:highlight w:val="none"/>
        </w:rPr>
        <w:t>低压配电柜顶端出线至密集型槽母线须采用铜排进行过渡连接，由槽母线供货商负责提供原材料及现场指导安装。安装时保持现场连接最短，进行低压柜的始端母线配置连接法兰，与设备密切配合，从而保证柜体防护等级。</w:t>
      </w:r>
    </w:p>
    <w:p>
      <w:pPr>
        <w:pStyle w:val="76"/>
        <w:rPr>
          <w:color w:val="auto"/>
          <w:highlight w:val="none"/>
        </w:rPr>
      </w:pPr>
      <w:r>
        <w:rPr>
          <w:color w:val="auto"/>
          <w:highlight w:val="none"/>
        </w:rPr>
        <w:t xml:space="preserve">2) </w:t>
      </w:r>
      <w:r>
        <w:rPr>
          <w:rFonts w:hAnsi="宋体"/>
          <w:color w:val="auto"/>
          <w:highlight w:val="none"/>
        </w:rPr>
        <w:t>与变压器低压侧连接应采用专用的</w:t>
      </w:r>
      <w:r>
        <w:rPr>
          <w:color w:val="auto"/>
          <w:highlight w:val="none"/>
        </w:rPr>
        <w:t>AS</w:t>
      </w:r>
      <w:r>
        <w:rPr>
          <w:rFonts w:hAnsi="宋体"/>
          <w:color w:val="auto"/>
          <w:highlight w:val="none"/>
        </w:rPr>
        <w:t>连接单元。避免因变压器运行的震动而产生的紧固件松动。</w:t>
      </w:r>
    </w:p>
    <w:p>
      <w:pPr>
        <w:pStyle w:val="76"/>
        <w:rPr>
          <w:color w:val="auto"/>
          <w:highlight w:val="none"/>
        </w:rPr>
      </w:pPr>
      <w:r>
        <w:rPr>
          <w:color w:val="auto"/>
          <w:highlight w:val="none"/>
        </w:rPr>
        <w:t xml:space="preserve">3) </w:t>
      </w:r>
      <w:r>
        <w:rPr>
          <w:rFonts w:hAnsi="宋体"/>
          <w:color w:val="auto"/>
          <w:highlight w:val="none"/>
        </w:rPr>
        <w:t>密集型槽母线须符合</w:t>
      </w:r>
      <w:r>
        <w:rPr>
          <w:color w:val="auto"/>
          <w:highlight w:val="none"/>
        </w:rPr>
        <w:t>GB7251</w:t>
      </w:r>
      <w:r>
        <w:rPr>
          <w:rFonts w:hAnsi="宋体"/>
          <w:color w:val="auto"/>
          <w:highlight w:val="none"/>
        </w:rPr>
        <w:t>和</w:t>
      </w:r>
      <w:r>
        <w:rPr>
          <w:color w:val="auto"/>
          <w:highlight w:val="none"/>
        </w:rPr>
        <w:t>IEC60439</w:t>
      </w:r>
      <w:r>
        <w:rPr>
          <w:rFonts w:hAnsi="宋体"/>
          <w:color w:val="auto"/>
          <w:highlight w:val="none"/>
        </w:rPr>
        <w:t>等技术标准要求。铜排含铜量</w:t>
      </w:r>
      <w:r>
        <w:rPr>
          <w:rFonts w:hint="eastAsia"/>
          <w:color w:val="auto"/>
          <w:highlight w:val="none"/>
        </w:rPr>
        <w:t>≥99.9%</w:t>
      </w:r>
      <w:r>
        <w:rPr>
          <w:rFonts w:hAnsi="宋体"/>
          <w:color w:val="auto"/>
          <w:highlight w:val="none"/>
        </w:rPr>
        <w:t>，电阻率</w:t>
      </w:r>
      <w:r>
        <w:rPr>
          <w:rFonts w:hint="eastAsia"/>
          <w:color w:val="auto"/>
          <w:highlight w:val="none"/>
        </w:rPr>
        <w:t>≤0.01777</w:t>
      </w:r>
      <w:r>
        <w:rPr>
          <w:rFonts w:hAnsi="宋体"/>
          <w:color w:val="auto"/>
          <w:highlight w:val="none"/>
        </w:rPr>
        <w:t>；采用美国杜邦</w:t>
      </w:r>
      <w:r>
        <w:rPr>
          <w:color w:val="auto"/>
          <w:highlight w:val="none"/>
        </w:rPr>
        <w:t>EM</w:t>
      </w:r>
      <w:r>
        <w:rPr>
          <w:rFonts w:hAnsi="宋体"/>
          <w:color w:val="auto"/>
          <w:highlight w:val="none"/>
        </w:rPr>
        <w:t>型绝缘材料，绝缘等级</w:t>
      </w:r>
      <w:r>
        <w:rPr>
          <w:color w:val="auto"/>
          <w:highlight w:val="none"/>
        </w:rPr>
        <w:t>B</w:t>
      </w:r>
      <w:r>
        <w:rPr>
          <w:rFonts w:hAnsi="宋体"/>
          <w:color w:val="auto"/>
          <w:highlight w:val="none"/>
        </w:rPr>
        <w:t>级，长期工作在</w:t>
      </w:r>
      <w:r>
        <w:rPr>
          <w:color w:val="auto"/>
          <w:highlight w:val="none"/>
        </w:rPr>
        <w:t>130</w:t>
      </w:r>
      <w:r>
        <w:rPr>
          <w:rFonts w:hAnsi="宋体"/>
          <w:color w:val="auto"/>
          <w:highlight w:val="none"/>
        </w:rPr>
        <w:t>℃环境是仍能保持良好的绝缘状态。母排表面多重缠绕绝缘材料，能承受</w:t>
      </w:r>
      <w:r>
        <w:rPr>
          <w:color w:val="auto"/>
          <w:highlight w:val="none"/>
        </w:rPr>
        <w:t>3750V</w:t>
      </w:r>
      <w:r>
        <w:rPr>
          <w:rFonts w:hAnsi="宋体"/>
          <w:color w:val="auto"/>
          <w:highlight w:val="none"/>
        </w:rPr>
        <w:t>的工频耐压历时</w:t>
      </w:r>
      <w:r>
        <w:rPr>
          <w:color w:val="auto"/>
          <w:highlight w:val="none"/>
        </w:rPr>
        <w:t>1mim</w:t>
      </w:r>
      <w:r>
        <w:rPr>
          <w:rFonts w:hAnsi="宋体"/>
          <w:color w:val="auto"/>
          <w:highlight w:val="none"/>
        </w:rPr>
        <w:t>无击穿和闪络现象。</w:t>
      </w:r>
    </w:p>
    <w:p>
      <w:pPr>
        <w:pStyle w:val="76"/>
        <w:rPr>
          <w:color w:val="auto"/>
          <w:highlight w:val="none"/>
        </w:rPr>
      </w:pPr>
      <w:r>
        <w:rPr>
          <w:color w:val="auto"/>
          <w:highlight w:val="none"/>
        </w:rPr>
        <w:t xml:space="preserve">4) </w:t>
      </w:r>
      <w:r>
        <w:rPr>
          <w:rFonts w:hAnsi="宋体"/>
          <w:color w:val="auto"/>
          <w:highlight w:val="none"/>
        </w:rPr>
        <w:t>母线结构可实现大跨距水平安装。采用铝镁合金型材外壳，厚度达到</w:t>
      </w:r>
      <w:r>
        <w:rPr>
          <w:color w:val="auto"/>
          <w:highlight w:val="none"/>
        </w:rPr>
        <w:t>4mm</w:t>
      </w:r>
      <w:r>
        <w:rPr>
          <w:rFonts w:hAnsi="宋体"/>
          <w:color w:val="auto"/>
          <w:highlight w:val="none"/>
        </w:rPr>
        <w:t>以上。散热片设计应能有效降低母线温升。</w:t>
      </w:r>
    </w:p>
    <w:p>
      <w:pPr>
        <w:pStyle w:val="76"/>
        <w:rPr>
          <w:color w:val="auto"/>
          <w:highlight w:val="none"/>
        </w:rPr>
      </w:pPr>
      <w:r>
        <w:rPr>
          <w:color w:val="auto"/>
          <w:highlight w:val="none"/>
        </w:rPr>
        <w:t xml:space="preserve">5) </w:t>
      </w:r>
      <w:r>
        <w:rPr>
          <w:rFonts w:hAnsi="宋体"/>
          <w:color w:val="auto"/>
          <w:highlight w:val="none"/>
        </w:rPr>
        <w:t>密集型槽母线应能在额定电流及</w:t>
      </w:r>
      <w:r>
        <w:rPr>
          <w:color w:val="auto"/>
          <w:highlight w:val="none"/>
        </w:rPr>
        <w:t>110%</w:t>
      </w:r>
      <w:r>
        <w:rPr>
          <w:rFonts w:hAnsi="宋体"/>
          <w:color w:val="auto"/>
          <w:highlight w:val="none"/>
        </w:rPr>
        <w:t>的额定电压下长期安全工作。槽母线应采用整体接地技术。采用导电性能良好的非磁性材料铝合金外壳作保护地线。</w:t>
      </w:r>
    </w:p>
    <w:p>
      <w:pPr>
        <w:pStyle w:val="67"/>
        <w:rPr>
          <w:rFonts w:hint="eastAsia"/>
          <w:color w:val="auto"/>
          <w:highlight w:val="none"/>
        </w:rPr>
      </w:pPr>
      <w:r>
        <w:rPr>
          <w:color w:val="auto"/>
          <w:highlight w:val="none"/>
        </w:rPr>
        <w:t>9.2.</w:t>
      </w:r>
      <w:r>
        <w:rPr>
          <w:color w:val="auto"/>
          <w:highlight w:val="none"/>
          <w:lang w:val="en-US"/>
        </w:rPr>
        <w:t>8</w:t>
      </w:r>
      <w:r>
        <w:rPr>
          <w:color w:val="auto"/>
          <w:highlight w:val="none"/>
        </w:rPr>
        <w:t>.2  低压动力箱、检修电源箱</w:t>
      </w:r>
    </w:p>
    <w:p>
      <w:pPr>
        <w:pStyle w:val="76"/>
        <w:rPr>
          <w:color w:val="auto"/>
          <w:highlight w:val="none"/>
        </w:rPr>
      </w:pPr>
      <w:r>
        <w:rPr>
          <w:rFonts w:hint="eastAsia"/>
          <w:color w:val="auto"/>
          <w:highlight w:val="none"/>
        </w:rPr>
        <w:t>厂用电系统低压动力箱、检修电源箱由本标承包人采购并安装。低压动力箱、检修电源箱品牌及投标要求见重要工程材料档次要求。箱体及元件应符合以下技术要求：</w:t>
      </w:r>
    </w:p>
    <w:p>
      <w:pPr>
        <w:pStyle w:val="76"/>
        <w:rPr>
          <w:color w:val="auto"/>
          <w:highlight w:val="none"/>
        </w:rPr>
      </w:pPr>
      <w:r>
        <w:rPr>
          <w:color w:val="auto"/>
          <w:highlight w:val="none"/>
        </w:rPr>
        <w:t xml:space="preserve">(1) </w:t>
      </w:r>
      <w:r>
        <w:rPr>
          <w:rFonts w:hint="eastAsia"/>
          <w:color w:val="auto"/>
          <w:highlight w:val="none"/>
        </w:rPr>
        <w:t>箱体安装方式为明装。动力箱、防雷箱防护等级不低于IP31，检修电源箱、电缆分支箱整体防护等级不低于IP54。动力箱、电缆分支箱、防雷箱箱体材质为钢板，检修电源箱材质为不锈钢板。</w:t>
      </w:r>
    </w:p>
    <w:p>
      <w:pPr>
        <w:pStyle w:val="76"/>
        <w:rPr>
          <w:color w:val="auto"/>
          <w:highlight w:val="none"/>
        </w:rPr>
      </w:pPr>
      <w:r>
        <w:rPr>
          <w:color w:val="auto"/>
          <w:highlight w:val="none"/>
        </w:rPr>
        <w:t xml:space="preserve">(2) </w:t>
      </w:r>
      <w:r>
        <w:rPr>
          <w:rFonts w:hint="eastAsia"/>
          <w:color w:val="auto"/>
          <w:highlight w:val="none"/>
        </w:rPr>
        <w:t>箱内元器件应选用下列或同等档次品牌：断路器、漏电开关选用ABB品牌，工业插座选用MENNEKES品牌；防雷模块、接线端子选用菲尼克斯品牌。</w:t>
      </w:r>
    </w:p>
    <w:p>
      <w:pPr>
        <w:pStyle w:val="76"/>
        <w:rPr>
          <w:color w:val="auto"/>
          <w:highlight w:val="none"/>
        </w:rPr>
      </w:pPr>
      <w:r>
        <w:rPr>
          <w:color w:val="auto"/>
          <w:highlight w:val="none"/>
        </w:rPr>
        <w:t xml:space="preserve">(3) </w:t>
      </w:r>
      <w:r>
        <w:rPr>
          <w:rFonts w:hint="eastAsia"/>
          <w:color w:val="auto"/>
          <w:highlight w:val="none"/>
        </w:rPr>
        <w:t>63A以上的大电流插座应具有软接触工艺，且单个插座的防护等级不低于IP67。</w:t>
      </w:r>
    </w:p>
    <w:p>
      <w:pPr>
        <w:pStyle w:val="76"/>
        <w:rPr>
          <w:color w:val="auto"/>
          <w:highlight w:val="none"/>
        </w:rPr>
      </w:pPr>
      <w:r>
        <w:rPr>
          <w:color w:val="auto"/>
          <w:highlight w:val="none"/>
        </w:rPr>
        <w:t xml:space="preserve">(4) </w:t>
      </w:r>
      <w:r>
        <w:rPr>
          <w:rFonts w:hint="eastAsia"/>
          <w:color w:val="auto"/>
          <w:highlight w:val="none"/>
        </w:rPr>
        <w:t>动力和检修电源箱应通过国家相关部门检测，并具备国家电气设备强制3C证书。并能提供同类大型抽水蓄能电站的业绩。</w:t>
      </w:r>
    </w:p>
    <w:p>
      <w:pPr>
        <w:pStyle w:val="76"/>
        <w:rPr>
          <w:color w:val="auto"/>
          <w:highlight w:val="none"/>
        </w:rPr>
      </w:pPr>
      <w:r>
        <w:rPr>
          <w:rFonts w:hint="eastAsia"/>
          <w:color w:val="auto"/>
          <w:highlight w:val="none"/>
        </w:rPr>
        <w:t>动力箱数量及安装位置：安装在厂房以及其他位置</w:t>
      </w:r>
    </w:p>
    <w:p>
      <w:pPr>
        <w:pStyle w:val="76"/>
        <w:rPr>
          <w:color w:val="auto"/>
          <w:highlight w:val="none"/>
        </w:rPr>
      </w:pPr>
      <w:r>
        <w:rPr>
          <w:rFonts w:hint="eastAsia"/>
          <w:color w:val="auto"/>
          <w:highlight w:val="none"/>
        </w:rPr>
        <w:t>检修电源箱数量及安装位置：安装在厂房以及其他位置</w:t>
      </w:r>
    </w:p>
    <w:p>
      <w:pPr>
        <w:pStyle w:val="62"/>
        <w:rPr>
          <w:color w:val="auto"/>
          <w:highlight w:val="none"/>
        </w:rPr>
      </w:pPr>
      <w:bookmarkStart w:id="246" w:name="_Toc488654973"/>
      <w:bookmarkStart w:id="247" w:name="_Toc411408942"/>
      <w:bookmarkStart w:id="248" w:name="_Toc387821317"/>
      <w:bookmarkStart w:id="249" w:name="_Toc524940467"/>
      <w:bookmarkStart w:id="250" w:name="_Toc1633115"/>
      <w:bookmarkStart w:id="251" w:name="_Toc388519883"/>
      <w:bookmarkStart w:id="252" w:name="_Toc114042618"/>
      <w:bookmarkStart w:id="253" w:name="_Toc522716082"/>
      <w:bookmarkStart w:id="254" w:name="_Toc25276"/>
      <w:bookmarkStart w:id="255" w:name="_Toc127395728"/>
      <w:bookmarkStart w:id="256" w:name="_Toc20429"/>
      <w:bookmarkStart w:id="257" w:name="_Toc387820981"/>
      <w:bookmarkStart w:id="258" w:name="_Toc387821665"/>
      <w:r>
        <w:rPr>
          <w:color w:val="auto"/>
          <w:highlight w:val="none"/>
        </w:rPr>
        <w:t xml:space="preserve">9.3  </w:t>
      </w:r>
      <w:r>
        <w:rPr>
          <w:rFonts w:hint="eastAsia"/>
          <w:color w:val="auto"/>
          <w:highlight w:val="none"/>
        </w:rPr>
        <w:t>制造商提供的专用工器具</w:t>
      </w:r>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5854"/>
        <w:gridCol w:w="709"/>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spacing w:line="240" w:lineRule="exact"/>
              <w:jc w:val="center"/>
              <w:rPr>
                <w:rFonts w:ascii="Times" w:hAnsi="Times" w:cs="Times New Roman"/>
                <w:color w:val="auto"/>
                <w:kern w:val="0"/>
                <w:szCs w:val="21"/>
                <w:highlight w:val="none"/>
              </w:rPr>
            </w:pPr>
            <w:r>
              <w:rPr>
                <w:rFonts w:hint="eastAsia" w:ascii="Times" w:hAnsi="Times" w:cs="Times New Roman"/>
                <w:color w:val="auto"/>
                <w:kern w:val="0"/>
                <w:szCs w:val="21"/>
                <w:highlight w:val="none"/>
              </w:rPr>
              <w:t>序号</w:t>
            </w:r>
          </w:p>
        </w:tc>
        <w:tc>
          <w:tcPr>
            <w:tcW w:w="5854" w:type="dxa"/>
            <w:vAlign w:val="center"/>
          </w:tcPr>
          <w:p>
            <w:pPr>
              <w:spacing w:line="240" w:lineRule="exact"/>
              <w:jc w:val="center"/>
              <w:rPr>
                <w:rFonts w:ascii="Times" w:hAnsi="Times" w:cs="Times New Roman"/>
                <w:color w:val="auto"/>
                <w:kern w:val="0"/>
                <w:szCs w:val="21"/>
                <w:highlight w:val="none"/>
              </w:rPr>
            </w:pPr>
            <w:r>
              <w:rPr>
                <w:rFonts w:hint="eastAsia" w:ascii="Times" w:hAnsi="Times" w:cs="Times New Roman"/>
                <w:color w:val="auto"/>
                <w:kern w:val="0"/>
                <w:szCs w:val="21"/>
                <w:highlight w:val="none"/>
              </w:rPr>
              <w:t>名</w:t>
            </w:r>
            <w:r>
              <w:rPr>
                <w:rFonts w:ascii="Times" w:hAnsi="Times" w:cs="Times New Roman"/>
                <w:color w:val="auto"/>
                <w:kern w:val="0"/>
                <w:szCs w:val="21"/>
                <w:highlight w:val="none"/>
              </w:rPr>
              <w:t xml:space="preserve">        </w:t>
            </w:r>
            <w:r>
              <w:rPr>
                <w:rFonts w:hint="eastAsia" w:ascii="Times" w:hAnsi="Times" w:cs="Times New Roman"/>
                <w:color w:val="auto"/>
                <w:kern w:val="0"/>
                <w:szCs w:val="21"/>
                <w:highlight w:val="none"/>
              </w:rPr>
              <w:t>称</w:t>
            </w:r>
          </w:p>
        </w:tc>
        <w:tc>
          <w:tcPr>
            <w:tcW w:w="709" w:type="dxa"/>
            <w:vAlign w:val="center"/>
          </w:tcPr>
          <w:p>
            <w:pPr>
              <w:spacing w:line="240" w:lineRule="exact"/>
              <w:jc w:val="center"/>
              <w:rPr>
                <w:rFonts w:ascii="Times" w:hAnsi="Times" w:cs="Times New Roman"/>
                <w:color w:val="auto"/>
                <w:kern w:val="0"/>
                <w:szCs w:val="21"/>
                <w:highlight w:val="none"/>
              </w:rPr>
            </w:pPr>
            <w:r>
              <w:rPr>
                <w:rFonts w:hint="eastAsia" w:ascii="Times" w:hAnsi="Times" w:cs="Times New Roman"/>
                <w:color w:val="auto"/>
                <w:kern w:val="0"/>
                <w:szCs w:val="21"/>
                <w:highlight w:val="none"/>
              </w:rPr>
              <w:t>单位</w:t>
            </w:r>
          </w:p>
        </w:tc>
        <w:tc>
          <w:tcPr>
            <w:tcW w:w="851" w:type="dxa"/>
            <w:vAlign w:val="center"/>
          </w:tcPr>
          <w:p>
            <w:pPr>
              <w:spacing w:line="240" w:lineRule="exact"/>
              <w:jc w:val="center"/>
              <w:rPr>
                <w:rFonts w:ascii="Times" w:hAnsi="Times" w:cs="Times New Roman"/>
                <w:color w:val="auto"/>
                <w:kern w:val="0"/>
                <w:szCs w:val="21"/>
                <w:highlight w:val="none"/>
              </w:rPr>
            </w:pPr>
            <w:r>
              <w:rPr>
                <w:rFonts w:hint="eastAsia" w:ascii="Times" w:hAnsi="Times"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b/>
                <w:bCs/>
                <w:color w:val="auto"/>
                <w:kern w:val="0"/>
                <w:sz w:val="22"/>
                <w:highlight w:val="none"/>
              </w:rPr>
            </w:pPr>
            <w:r>
              <w:rPr>
                <w:rFonts w:ascii="Times New Roman" w:hAnsi="Times New Roman" w:cs="Times New Roman"/>
                <w:b/>
                <w:bCs/>
                <w:color w:val="auto"/>
                <w:kern w:val="0"/>
                <w:sz w:val="22"/>
                <w:highlight w:val="none"/>
              </w:rPr>
              <w:t>1</w:t>
            </w:r>
          </w:p>
        </w:tc>
        <w:tc>
          <w:tcPr>
            <w:tcW w:w="5854" w:type="dxa"/>
            <w:vAlign w:val="center"/>
          </w:tcPr>
          <w:p>
            <w:pPr>
              <w:widowControl/>
              <w:rPr>
                <w:rFonts w:hint="eastAsia" w:ascii="宋体" w:hAnsi="宋体" w:cs="宋体"/>
                <w:b/>
                <w:bCs/>
                <w:color w:val="auto"/>
                <w:kern w:val="0"/>
                <w:sz w:val="22"/>
                <w:highlight w:val="none"/>
              </w:rPr>
            </w:pPr>
            <w:r>
              <w:rPr>
                <w:rFonts w:hint="eastAsia" w:ascii="宋体" w:hAnsi="宋体" w:cs="宋体"/>
                <w:b/>
                <w:bCs/>
                <w:color w:val="auto"/>
                <w:kern w:val="0"/>
                <w:sz w:val="22"/>
                <w:highlight w:val="none"/>
              </w:rPr>
              <w:t>离相封闭母线及配套设备专用工具</w:t>
            </w:r>
          </w:p>
        </w:tc>
        <w:tc>
          <w:tcPr>
            <w:tcW w:w="709"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c>
          <w:tcPr>
            <w:tcW w:w="851"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1.1</w:t>
            </w:r>
          </w:p>
        </w:tc>
        <w:tc>
          <w:tcPr>
            <w:tcW w:w="5854" w:type="dxa"/>
            <w:vAlign w:val="center"/>
          </w:tcPr>
          <w:p>
            <w:pPr>
              <w:widowControl/>
              <w:jc w:val="left"/>
              <w:rPr>
                <w:rFonts w:hint="eastAsia" w:ascii="宋体" w:hAnsi="宋体" w:cs="宋体"/>
                <w:color w:val="auto"/>
                <w:kern w:val="0"/>
                <w:sz w:val="22"/>
                <w:highlight w:val="none"/>
              </w:rPr>
            </w:pPr>
            <w:r>
              <w:rPr>
                <w:rFonts w:hint="eastAsia" w:ascii="宋体" w:hAnsi="宋体" w:cs="宋体"/>
                <w:color w:val="auto"/>
                <w:kern w:val="0"/>
                <w:sz w:val="22"/>
                <w:highlight w:val="none"/>
              </w:rPr>
              <w:t>离相封闭母线及配套设备安装专用工具</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1.2</w:t>
            </w:r>
          </w:p>
        </w:tc>
        <w:tc>
          <w:tcPr>
            <w:tcW w:w="5854" w:type="dxa"/>
            <w:vAlign w:val="bottom"/>
          </w:tcPr>
          <w:p>
            <w:pPr>
              <w:widowControl/>
              <w:jc w:val="left"/>
              <w:rPr>
                <w:rFonts w:hint="eastAsia" w:ascii="宋体" w:hAnsi="宋体" w:cs="宋体"/>
                <w:color w:val="auto"/>
                <w:kern w:val="0"/>
                <w:sz w:val="22"/>
                <w:highlight w:val="none"/>
              </w:rPr>
            </w:pPr>
            <w:r>
              <w:rPr>
                <w:rFonts w:hint="eastAsia" w:ascii="宋体" w:hAnsi="宋体" w:cs="宋体"/>
                <w:color w:val="auto"/>
                <w:kern w:val="0"/>
                <w:sz w:val="22"/>
                <w:highlight w:val="none"/>
              </w:rPr>
              <w:t>铝母线焊接设备</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台</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1.3</w:t>
            </w:r>
          </w:p>
        </w:tc>
        <w:tc>
          <w:tcPr>
            <w:tcW w:w="5854" w:type="dxa"/>
            <w:vAlign w:val="bottom"/>
          </w:tcPr>
          <w:p>
            <w:pPr>
              <w:widowControl/>
              <w:jc w:val="left"/>
              <w:rPr>
                <w:rFonts w:hint="eastAsia" w:ascii="宋体" w:hAnsi="宋体" w:cs="宋体"/>
                <w:color w:val="auto"/>
                <w:kern w:val="0"/>
                <w:sz w:val="22"/>
                <w:highlight w:val="none"/>
              </w:rPr>
            </w:pPr>
            <w:r>
              <w:rPr>
                <w:rFonts w:hint="eastAsia" w:ascii="宋体" w:hAnsi="宋体" w:cs="宋体"/>
                <w:color w:val="auto"/>
                <w:kern w:val="0"/>
                <w:sz w:val="22"/>
                <w:highlight w:val="none"/>
              </w:rPr>
              <w:t>短路试验装置</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b/>
                <w:bCs/>
                <w:color w:val="auto"/>
                <w:kern w:val="0"/>
                <w:sz w:val="22"/>
                <w:highlight w:val="none"/>
              </w:rPr>
            </w:pPr>
            <w:r>
              <w:rPr>
                <w:rFonts w:ascii="Times New Roman" w:hAnsi="Times New Roman" w:cs="Times New Roman"/>
                <w:b/>
                <w:bCs/>
                <w:color w:val="auto"/>
                <w:kern w:val="0"/>
                <w:sz w:val="22"/>
                <w:highlight w:val="none"/>
              </w:rPr>
              <w:t>2</w:t>
            </w:r>
          </w:p>
        </w:tc>
        <w:tc>
          <w:tcPr>
            <w:tcW w:w="5854" w:type="dxa"/>
            <w:vAlign w:val="center"/>
          </w:tcPr>
          <w:p>
            <w:pPr>
              <w:widowControl/>
              <w:rPr>
                <w:rFonts w:hint="eastAsia" w:ascii="宋体" w:hAnsi="宋体" w:cs="宋体"/>
                <w:b/>
                <w:bCs/>
                <w:color w:val="auto"/>
                <w:kern w:val="0"/>
                <w:sz w:val="22"/>
                <w:highlight w:val="none"/>
              </w:rPr>
            </w:pPr>
            <w:r>
              <w:rPr>
                <w:rFonts w:hint="eastAsia" w:ascii="宋体" w:hAnsi="宋体" w:cs="宋体"/>
                <w:b/>
                <w:bCs/>
                <w:color w:val="auto"/>
                <w:kern w:val="0"/>
                <w:sz w:val="22"/>
                <w:highlight w:val="none"/>
              </w:rPr>
              <w:t>发电机电压其它设备专用工具</w:t>
            </w:r>
          </w:p>
        </w:tc>
        <w:tc>
          <w:tcPr>
            <w:tcW w:w="709"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c>
          <w:tcPr>
            <w:tcW w:w="851"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bottom"/>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2.1</w:t>
            </w:r>
          </w:p>
        </w:tc>
        <w:tc>
          <w:tcPr>
            <w:tcW w:w="5854" w:type="dxa"/>
            <w:vAlign w:val="bottom"/>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18kV</w:t>
            </w:r>
            <w:r>
              <w:rPr>
                <w:rFonts w:hint="eastAsia" w:ascii="宋体" w:hAnsi="宋体" w:cs="Times New Roman"/>
                <w:color w:val="auto"/>
                <w:kern w:val="0"/>
                <w:sz w:val="22"/>
                <w:highlight w:val="none"/>
              </w:rPr>
              <w:t>开关专用检修小推车</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台</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bottom"/>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2.2</w:t>
            </w:r>
          </w:p>
        </w:tc>
        <w:tc>
          <w:tcPr>
            <w:tcW w:w="5854" w:type="dxa"/>
            <w:vAlign w:val="bottom"/>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18kV</w:t>
            </w:r>
            <w:r>
              <w:rPr>
                <w:rFonts w:hint="eastAsia" w:ascii="宋体" w:hAnsi="宋体" w:cs="Times New Roman"/>
                <w:color w:val="auto"/>
                <w:kern w:val="0"/>
                <w:sz w:val="22"/>
                <w:highlight w:val="none"/>
              </w:rPr>
              <w:t>开关维修专用工具</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b/>
                <w:bCs/>
                <w:color w:val="auto"/>
                <w:kern w:val="0"/>
                <w:sz w:val="22"/>
                <w:highlight w:val="none"/>
              </w:rPr>
            </w:pPr>
            <w:r>
              <w:rPr>
                <w:rFonts w:ascii="Times New Roman" w:hAnsi="Times New Roman" w:cs="Times New Roman"/>
                <w:b/>
                <w:bCs/>
                <w:color w:val="auto"/>
                <w:kern w:val="0"/>
                <w:sz w:val="22"/>
                <w:highlight w:val="none"/>
              </w:rPr>
              <w:t>3</w:t>
            </w:r>
          </w:p>
        </w:tc>
        <w:tc>
          <w:tcPr>
            <w:tcW w:w="5854" w:type="dxa"/>
            <w:vAlign w:val="center"/>
          </w:tcPr>
          <w:p>
            <w:pPr>
              <w:widowControl/>
              <w:rPr>
                <w:rFonts w:hint="eastAsia" w:ascii="宋体" w:hAnsi="宋体" w:cs="宋体"/>
                <w:b/>
                <w:bCs/>
                <w:color w:val="auto"/>
                <w:kern w:val="0"/>
                <w:sz w:val="22"/>
                <w:highlight w:val="none"/>
              </w:rPr>
            </w:pPr>
            <w:r>
              <w:rPr>
                <w:rFonts w:hint="eastAsia" w:ascii="宋体" w:hAnsi="宋体" w:cs="宋体"/>
                <w:b/>
                <w:bCs/>
                <w:color w:val="auto"/>
                <w:kern w:val="0"/>
                <w:sz w:val="22"/>
                <w:highlight w:val="none"/>
              </w:rPr>
              <w:t>厂用电设备专用工具</w:t>
            </w:r>
          </w:p>
        </w:tc>
        <w:tc>
          <w:tcPr>
            <w:tcW w:w="709"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c>
          <w:tcPr>
            <w:tcW w:w="851" w:type="dxa"/>
            <w:vAlign w:val="center"/>
          </w:tcPr>
          <w:p>
            <w:pPr>
              <w:widowControl/>
              <w:jc w:val="center"/>
              <w:rPr>
                <w:rFonts w:ascii="Times New Roman" w:hAnsi="Times New Roman" w:cs="Times New Roman"/>
                <w:color w:val="auto"/>
                <w:kern w:val="0"/>
                <w:sz w:val="22"/>
                <w:highlight w:val="none"/>
              </w:rPr>
            </w:pPr>
            <w:r>
              <w:rPr>
                <w:rFonts w:hint="eastAsia" w:ascii="Times New Roman" w:hAnsi="Times New Roman" w:cs="Times New Roman"/>
                <w:color w:val="auto"/>
                <w:kern w:val="0"/>
                <w:sz w:val="22"/>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3.1</w:t>
            </w:r>
          </w:p>
        </w:tc>
        <w:tc>
          <w:tcPr>
            <w:tcW w:w="5854" w:type="dxa"/>
            <w:vAlign w:val="center"/>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10kV</w:t>
            </w:r>
            <w:r>
              <w:rPr>
                <w:rFonts w:hint="eastAsia" w:ascii="宋体" w:hAnsi="宋体" w:cs="Times New Roman"/>
                <w:color w:val="auto"/>
                <w:kern w:val="0"/>
                <w:sz w:val="22"/>
                <w:highlight w:val="none"/>
              </w:rPr>
              <w:t>开关专用检修小推车</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3.2</w:t>
            </w:r>
          </w:p>
        </w:tc>
        <w:tc>
          <w:tcPr>
            <w:tcW w:w="5854" w:type="dxa"/>
            <w:vAlign w:val="center"/>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10kV</w:t>
            </w:r>
            <w:r>
              <w:rPr>
                <w:rFonts w:hint="eastAsia" w:ascii="宋体" w:hAnsi="宋体" w:cs="Times New Roman"/>
                <w:color w:val="auto"/>
                <w:kern w:val="0"/>
                <w:sz w:val="22"/>
                <w:highlight w:val="none"/>
              </w:rPr>
              <w:t>进线开关</w:t>
            </w:r>
            <w:r>
              <w:rPr>
                <w:rFonts w:ascii="Times New Roman" w:hAnsi="Times New Roman" w:cs="Times New Roman"/>
                <w:color w:val="auto"/>
                <w:kern w:val="0"/>
                <w:sz w:val="22"/>
                <w:highlight w:val="none"/>
              </w:rPr>
              <w:t>PT</w:t>
            </w:r>
            <w:r>
              <w:rPr>
                <w:rFonts w:hint="eastAsia" w:ascii="宋体" w:hAnsi="宋体" w:cs="Times New Roman"/>
                <w:color w:val="auto"/>
                <w:kern w:val="0"/>
                <w:sz w:val="22"/>
                <w:highlight w:val="none"/>
              </w:rPr>
              <w:t>检修小车（如有）</w:t>
            </w:r>
            <w:r>
              <w:rPr>
                <w:rFonts w:ascii="Times New Roman" w:hAnsi="Times New Roman" w:cs="Times New Roman"/>
                <w:color w:val="auto"/>
                <w:kern w:val="0"/>
                <w:sz w:val="22"/>
                <w:highlight w:val="none"/>
              </w:rPr>
              <w:t xml:space="preserve"> </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台</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3.3</w:t>
            </w:r>
          </w:p>
        </w:tc>
        <w:tc>
          <w:tcPr>
            <w:tcW w:w="5854" w:type="dxa"/>
            <w:vAlign w:val="center"/>
          </w:tcPr>
          <w:p>
            <w:pPr>
              <w:widowControl/>
              <w:jc w:val="left"/>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10kV</w:t>
            </w:r>
            <w:r>
              <w:rPr>
                <w:rFonts w:hint="eastAsia" w:ascii="宋体" w:hAnsi="宋体" w:cs="Times New Roman"/>
                <w:color w:val="auto"/>
                <w:kern w:val="0"/>
                <w:sz w:val="22"/>
                <w:highlight w:val="none"/>
              </w:rPr>
              <w:t>开关维修专用工具</w:t>
            </w:r>
            <w:r>
              <w:rPr>
                <w:rFonts w:ascii="Times New Roman" w:hAnsi="Times New Roman" w:cs="Times New Roman"/>
                <w:color w:val="auto"/>
                <w:kern w:val="0"/>
                <w:sz w:val="22"/>
                <w:highlight w:val="none"/>
              </w:rPr>
              <w:t xml:space="preserve"> </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3.4</w:t>
            </w:r>
          </w:p>
        </w:tc>
        <w:tc>
          <w:tcPr>
            <w:tcW w:w="5854" w:type="dxa"/>
            <w:vAlign w:val="center"/>
          </w:tcPr>
          <w:p>
            <w:pPr>
              <w:widowControl/>
              <w:jc w:val="left"/>
              <w:rPr>
                <w:rFonts w:hint="eastAsia" w:ascii="宋体" w:hAnsi="宋体" w:cs="宋体"/>
                <w:color w:val="auto"/>
                <w:kern w:val="0"/>
                <w:sz w:val="22"/>
                <w:highlight w:val="none"/>
              </w:rPr>
            </w:pPr>
            <w:r>
              <w:rPr>
                <w:rFonts w:hint="eastAsia" w:ascii="宋体" w:hAnsi="宋体" w:cs="宋体"/>
                <w:color w:val="auto"/>
                <w:kern w:val="0"/>
                <w:sz w:val="22"/>
                <w:highlight w:val="none"/>
              </w:rPr>
              <w:t>厂用电断路器特性分析仪</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27"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3.5</w:t>
            </w:r>
          </w:p>
        </w:tc>
        <w:tc>
          <w:tcPr>
            <w:tcW w:w="5854" w:type="dxa"/>
            <w:vAlign w:val="center"/>
          </w:tcPr>
          <w:p>
            <w:pPr>
              <w:widowControl/>
              <w:jc w:val="left"/>
              <w:rPr>
                <w:rFonts w:hint="eastAsia" w:ascii="宋体" w:hAnsi="宋体" w:cs="宋体"/>
                <w:color w:val="auto"/>
                <w:kern w:val="0"/>
                <w:sz w:val="22"/>
                <w:highlight w:val="none"/>
              </w:rPr>
            </w:pPr>
            <w:r>
              <w:rPr>
                <w:rFonts w:hint="eastAsia" w:ascii="宋体" w:hAnsi="宋体" w:cs="宋体"/>
                <w:color w:val="auto"/>
                <w:kern w:val="0"/>
                <w:sz w:val="22"/>
                <w:highlight w:val="none"/>
              </w:rPr>
              <w:t>绝缘测量分析仪</w:t>
            </w:r>
          </w:p>
        </w:tc>
        <w:tc>
          <w:tcPr>
            <w:tcW w:w="709" w:type="dxa"/>
            <w:vAlign w:val="center"/>
          </w:tcPr>
          <w:p>
            <w:pPr>
              <w:widowControl/>
              <w:jc w:val="center"/>
              <w:rPr>
                <w:rFonts w:hint="eastAsia" w:ascii="宋体" w:hAnsi="宋体" w:cs="宋体"/>
                <w:color w:val="auto"/>
                <w:kern w:val="0"/>
                <w:sz w:val="22"/>
                <w:highlight w:val="none"/>
              </w:rPr>
            </w:pPr>
            <w:r>
              <w:rPr>
                <w:rFonts w:hint="eastAsia" w:ascii="宋体" w:hAnsi="宋体" w:cs="宋体"/>
                <w:color w:val="auto"/>
                <w:kern w:val="0"/>
                <w:sz w:val="22"/>
                <w:highlight w:val="none"/>
              </w:rPr>
              <w:t>套</w:t>
            </w:r>
          </w:p>
        </w:tc>
        <w:tc>
          <w:tcPr>
            <w:tcW w:w="851" w:type="dxa"/>
            <w:vAlign w:val="center"/>
          </w:tcPr>
          <w:p>
            <w:pPr>
              <w:widowControl/>
              <w:jc w:val="center"/>
              <w:rPr>
                <w:rFonts w:ascii="Times New Roman" w:hAnsi="Times New Roman" w:cs="Times New Roman"/>
                <w:color w:val="auto"/>
                <w:kern w:val="0"/>
                <w:sz w:val="22"/>
                <w:highlight w:val="none"/>
              </w:rPr>
            </w:pPr>
            <w:r>
              <w:rPr>
                <w:rFonts w:ascii="Times New Roman" w:hAnsi="Times New Roman" w:cs="Times New Roman"/>
                <w:color w:val="auto"/>
                <w:kern w:val="0"/>
                <w:sz w:val="22"/>
                <w:highlight w:val="none"/>
              </w:rPr>
              <w:t>1</w:t>
            </w:r>
          </w:p>
        </w:tc>
      </w:tr>
    </w:tbl>
    <w:p>
      <w:pPr>
        <w:pStyle w:val="76"/>
        <w:rPr>
          <w:color w:val="auto"/>
          <w:highlight w:val="none"/>
        </w:rPr>
      </w:pPr>
    </w:p>
    <w:p>
      <w:pPr>
        <w:rPr>
          <w:color w:val="auto"/>
          <w:highlight w:val="none"/>
        </w:rPr>
      </w:pPr>
    </w:p>
    <w:p>
      <w:pPr>
        <w:rPr>
          <w:rFonts w:hint="eastAsia"/>
          <w:color w:val="auto"/>
          <w:highlight w:val="none"/>
        </w:rPr>
      </w:pPr>
      <w:bookmarkStart w:id="259" w:name="_Toc27902"/>
      <w:bookmarkStart w:id="260" w:name="_Toc127395729"/>
      <w:bookmarkStart w:id="261" w:name="_Toc114042619"/>
      <w:bookmarkStart w:id="262" w:name="_Toc19975"/>
      <w:r>
        <w:rPr>
          <w:rFonts w:hint="eastAsia"/>
          <w:color w:val="auto"/>
          <w:highlight w:val="none"/>
        </w:rPr>
        <w:br w:type="page"/>
      </w:r>
    </w:p>
    <w:p>
      <w:pPr>
        <w:pStyle w:val="50"/>
        <w:rPr>
          <w:color w:val="auto"/>
          <w:highlight w:val="none"/>
        </w:rPr>
      </w:pPr>
      <w:r>
        <w:rPr>
          <w:rFonts w:hint="eastAsia"/>
          <w:color w:val="auto"/>
          <w:highlight w:val="none"/>
        </w:rPr>
        <w:t>第10章</w:t>
      </w:r>
      <w:r>
        <w:rPr>
          <w:color w:val="auto"/>
          <w:highlight w:val="none"/>
        </w:rPr>
        <w:t xml:space="preserve">  </w:t>
      </w:r>
      <w:r>
        <w:rPr>
          <w:rFonts w:hint="eastAsia"/>
          <w:color w:val="auto"/>
          <w:highlight w:val="none"/>
        </w:rPr>
        <w:t>计算机监控系统</w:t>
      </w:r>
      <w:bookmarkEnd w:id="259"/>
      <w:bookmarkEnd w:id="260"/>
      <w:bookmarkEnd w:id="261"/>
      <w:bookmarkEnd w:id="262"/>
    </w:p>
    <w:p>
      <w:pPr>
        <w:pStyle w:val="62"/>
        <w:rPr>
          <w:color w:val="auto"/>
          <w:highlight w:val="none"/>
        </w:rPr>
      </w:pPr>
      <w:bookmarkStart w:id="263" w:name="_Toc5340"/>
      <w:bookmarkStart w:id="264" w:name="_Toc114038230"/>
      <w:bookmarkStart w:id="265" w:name="_Toc21940"/>
      <w:bookmarkStart w:id="266" w:name="_Toc116928262"/>
      <w:bookmarkStart w:id="267" w:name="_Toc20121"/>
      <w:bookmarkStart w:id="268" w:name="_Toc127299786"/>
      <w:bookmarkStart w:id="269" w:name="_Toc114038844"/>
      <w:r>
        <w:rPr>
          <w:color w:val="auto"/>
          <w:highlight w:val="none"/>
        </w:rPr>
        <w:t xml:space="preserve">10.1  </w:t>
      </w:r>
      <w:r>
        <w:rPr>
          <w:rFonts w:hint="eastAsia"/>
          <w:color w:val="auto"/>
          <w:highlight w:val="none"/>
        </w:rPr>
        <w:t>概述</w:t>
      </w:r>
      <w:bookmarkEnd w:id="263"/>
      <w:bookmarkEnd w:id="264"/>
      <w:bookmarkEnd w:id="265"/>
      <w:bookmarkEnd w:id="266"/>
      <w:bookmarkEnd w:id="267"/>
      <w:bookmarkEnd w:id="268"/>
      <w:bookmarkEnd w:id="269"/>
    </w:p>
    <w:p>
      <w:pPr>
        <w:rPr>
          <w:color w:val="auto"/>
          <w:highlight w:val="none"/>
        </w:rPr>
      </w:pPr>
      <w:r>
        <w:rPr>
          <w:rFonts w:hint="eastAsia"/>
          <w:color w:val="auto"/>
          <w:highlight w:val="none"/>
        </w:rPr>
        <w:t>无</w:t>
      </w:r>
    </w:p>
    <w:p>
      <w:pPr>
        <w:pStyle w:val="62"/>
        <w:rPr>
          <w:color w:val="auto"/>
          <w:highlight w:val="none"/>
        </w:rPr>
      </w:pPr>
      <w:bookmarkStart w:id="270" w:name="_Toc127395730"/>
      <w:bookmarkStart w:id="271" w:name="_Toc31310"/>
      <w:bookmarkStart w:id="272" w:name="_Toc17728"/>
      <w:bookmarkStart w:id="273" w:name="_Toc114042620"/>
      <w:r>
        <w:rPr>
          <w:color w:val="auto"/>
          <w:highlight w:val="none"/>
        </w:rPr>
        <w:t xml:space="preserve">10.2 </w:t>
      </w:r>
      <w:r>
        <w:rPr>
          <w:rFonts w:hint="eastAsia"/>
          <w:color w:val="auto"/>
          <w:highlight w:val="none"/>
        </w:rPr>
        <w:t>计算机监控系统简要技术说明</w:t>
      </w:r>
      <w:bookmarkEnd w:id="270"/>
      <w:bookmarkEnd w:id="271"/>
      <w:bookmarkEnd w:id="272"/>
      <w:bookmarkEnd w:id="273"/>
    </w:p>
    <w:p>
      <w:pPr>
        <w:pStyle w:val="76"/>
        <w:jc w:val="both"/>
        <w:rPr>
          <w:color w:val="auto"/>
          <w:highlight w:val="none"/>
        </w:rPr>
      </w:pPr>
      <w:r>
        <w:rPr>
          <w:rFonts w:hint="eastAsia"/>
          <w:color w:val="auto"/>
          <w:highlight w:val="none"/>
        </w:rPr>
        <w:t>抽水蓄能电站计算机监控系统(简称CSCS)负责电站的运行实时监控，系统应采用开放式分层分布结构。在物理纵向网络结构上，监控系统设备配置分为三层：调度和公司集控层、电站站控层和现地控制层，调度和公司集控层设备不属本招标文件的供货范围；在物理横向安全结构上，监控设备及网络划分为控制区(安全I区)、非控制区(安全II区)、管理信息大区(安全III区)。本电站监控系统全面采用计算机控制，应符合ISO/IEC</w:t>
      </w:r>
      <w:r>
        <w:rPr>
          <w:color w:val="auto"/>
          <w:highlight w:val="none"/>
        </w:rPr>
        <w:t xml:space="preserve"> 7498-IEEE/ANSI </w:t>
      </w:r>
      <w:r>
        <w:rPr>
          <w:rFonts w:hint="eastAsia"/>
          <w:color w:val="auto"/>
          <w:highlight w:val="none"/>
        </w:rPr>
        <w:t>802国际开放系统标准，监控系统的结构配置和功能应满足电站发电、抽水等不同生产过程要求和建筑物地理分布的特点要求，同时也应满足不同层次的控制和管理要求，按“无人值班”基本原则进行设计和建设。本电站监控系统负责实现与调度层接口，建成后与南网总调、南网备调、广西中调、广西备调、桂林地调、桂林备调和南网储能公司集控中心监控系统通信，传送信息和接收调度集控指令。电站计算机监控系统采用工业以太网和现场总线通信标准统一组网，实现全站各类自动化系统无缝连接的开放式结构。电站监控系统的基本结构配置见附图。</w:t>
      </w:r>
    </w:p>
    <w:p>
      <w:pPr>
        <w:spacing w:line="48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本电站监控系统全面采用了计算机设备控制，取消了常规控制，只在机组LCU设有扩展继电器及采用小型PLC(事故后备PLC)</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构成的紧急停机、安全闭锁和事故动作的逻辑回路。</w:t>
      </w:r>
    </w:p>
    <w:p>
      <w:pPr>
        <w:pStyle w:val="76"/>
        <w:jc w:val="both"/>
        <w:rPr>
          <w:color w:val="auto"/>
          <w:highlight w:val="none"/>
        </w:rPr>
      </w:pPr>
      <w:r>
        <w:rPr>
          <w:rFonts w:hint="eastAsia"/>
          <w:color w:val="auto"/>
          <w:highlight w:val="none"/>
        </w:rPr>
        <w:t>电站设置一套电能量采集系统，用于采集各区域电能量信息。</w:t>
      </w:r>
    </w:p>
    <w:p>
      <w:pPr>
        <w:pStyle w:val="132"/>
        <w:rPr>
          <w:color w:val="auto"/>
          <w:highlight w:val="none"/>
        </w:rPr>
      </w:pPr>
      <w:bookmarkStart w:id="274" w:name="_Toc20664"/>
      <w:r>
        <w:rPr>
          <w:color w:val="auto"/>
          <w:highlight w:val="none"/>
        </w:rPr>
        <w:t xml:space="preserve">10.2.1  </w:t>
      </w:r>
      <w:r>
        <w:rPr>
          <w:rFonts w:hint="eastAsia"/>
          <w:color w:val="auto"/>
          <w:highlight w:val="none"/>
        </w:rPr>
        <w:t>电站监控系统的控制方式</w:t>
      </w:r>
      <w:bookmarkEnd w:id="274"/>
    </w:p>
    <w:p>
      <w:pPr>
        <w:pStyle w:val="76"/>
        <w:rPr>
          <w:color w:val="auto"/>
          <w:highlight w:val="none"/>
        </w:rPr>
      </w:pPr>
      <w:r>
        <w:rPr>
          <w:color w:val="auto"/>
          <w:highlight w:val="none"/>
        </w:rPr>
        <w:t xml:space="preserve">(1) </w:t>
      </w:r>
      <w:r>
        <w:rPr>
          <w:rFonts w:hint="eastAsia"/>
          <w:color w:val="auto"/>
          <w:highlight w:val="none"/>
        </w:rPr>
        <w:t>远方控制方式</w:t>
      </w:r>
    </w:p>
    <w:p>
      <w:pPr>
        <w:pStyle w:val="76"/>
        <w:rPr>
          <w:color w:val="auto"/>
          <w:highlight w:val="none"/>
        </w:rPr>
      </w:pPr>
      <w:r>
        <w:rPr>
          <w:rFonts w:hint="eastAsia"/>
          <w:color w:val="auto"/>
          <w:highlight w:val="none"/>
        </w:rPr>
        <w:t>电站机组、开关站220kV线路、间隔由南网总调、南网备调、广西中调、广西备调、桂林地调、桂林备调和南网储能公司集控中心控制。</w:t>
      </w:r>
    </w:p>
    <w:p>
      <w:pPr>
        <w:pStyle w:val="76"/>
        <w:rPr>
          <w:color w:val="auto"/>
          <w:highlight w:val="none"/>
        </w:rPr>
      </w:pPr>
      <w:r>
        <w:rPr>
          <w:color w:val="auto"/>
          <w:highlight w:val="none"/>
        </w:rPr>
        <w:t xml:space="preserve">(2) </w:t>
      </w:r>
      <w:r>
        <w:rPr>
          <w:rFonts w:hint="eastAsia"/>
          <w:color w:val="auto"/>
          <w:highlight w:val="none"/>
        </w:rPr>
        <w:t>电站自动控制方式</w:t>
      </w:r>
    </w:p>
    <w:p>
      <w:pPr>
        <w:pStyle w:val="76"/>
        <w:rPr>
          <w:color w:val="auto"/>
          <w:highlight w:val="none"/>
        </w:rPr>
      </w:pPr>
      <w:r>
        <w:rPr>
          <w:rFonts w:hint="eastAsia"/>
          <w:color w:val="auto"/>
          <w:highlight w:val="none"/>
        </w:rPr>
        <w:t>监控系统按预先给定曲线或整定值，对全站实现优化控制。</w:t>
      </w:r>
    </w:p>
    <w:p>
      <w:pPr>
        <w:pStyle w:val="76"/>
        <w:rPr>
          <w:color w:val="auto"/>
          <w:highlight w:val="none"/>
        </w:rPr>
      </w:pPr>
      <w:r>
        <w:rPr>
          <w:color w:val="auto"/>
          <w:highlight w:val="none"/>
        </w:rPr>
        <w:t xml:space="preserve">(3) </w:t>
      </w:r>
      <w:r>
        <w:rPr>
          <w:rFonts w:hint="eastAsia"/>
          <w:color w:val="auto"/>
          <w:highlight w:val="none"/>
        </w:rPr>
        <w:t>中控层操作员手动远方操作控制方式</w:t>
      </w:r>
    </w:p>
    <w:p>
      <w:pPr>
        <w:pStyle w:val="76"/>
        <w:rPr>
          <w:color w:val="auto"/>
          <w:highlight w:val="none"/>
        </w:rPr>
      </w:pPr>
      <w:r>
        <w:rPr>
          <w:color w:val="auto"/>
          <w:highlight w:val="none"/>
        </w:rPr>
        <w:t xml:space="preserve">(4) </w:t>
      </w:r>
      <w:r>
        <w:rPr>
          <w:rFonts w:hint="eastAsia"/>
          <w:color w:val="auto"/>
          <w:highlight w:val="none"/>
        </w:rPr>
        <w:t>现地LCU控制方式</w:t>
      </w:r>
    </w:p>
    <w:p>
      <w:pPr>
        <w:pStyle w:val="76"/>
        <w:rPr>
          <w:color w:val="auto"/>
          <w:highlight w:val="none"/>
        </w:rPr>
      </w:pPr>
      <w:r>
        <w:rPr>
          <w:color w:val="auto"/>
          <w:highlight w:val="none"/>
        </w:rPr>
        <w:t xml:space="preserve">(5) </w:t>
      </w:r>
      <w:r>
        <w:rPr>
          <w:rFonts w:hint="eastAsia"/>
          <w:color w:val="auto"/>
          <w:highlight w:val="none"/>
        </w:rPr>
        <w:t>设备就地控制方式</w:t>
      </w:r>
    </w:p>
    <w:p>
      <w:pPr>
        <w:pStyle w:val="76"/>
        <w:rPr>
          <w:color w:val="auto"/>
          <w:highlight w:val="none"/>
        </w:rPr>
      </w:pPr>
      <w:bookmarkStart w:id="275" w:name="_Toc8067"/>
      <w:r>
        <w:rPr>
          <w:color w:val="auto"/>
          <w:highlight w:val="none"/>
        </w:rPr>
        <w:t xml:space="preserve">10.2.2  </w:t>
      </w:r>
      <w:r>
        <w:rPr>
          <w:rFonts w:hint="eastAsia"/>
          <w:color w:val="auto"/>
          <w:highlight w:val="none"/>
        </w:rPr>
        <w:t>电站计算机监控系统主要功能</w:t>
      </w:r>
      <w:bookmarkEnd w:id="275"/>
      <w:r>
        <w:rPr>
          <w:color w:val="auto"/>
          <w:highlight w:val="none"/>
        </w:rPr>
        <w:t>(</w:t>
      </w:r>
      <w:r>
        <w:rPr>
          <w:rFonts w:hint="eastAsia"/>
          <w:color w:val="auto"/>
          <w:highlight w:val="none"/>
        </w:rPr>
        <w:t>1</w:t>
      </w:r>
      <w:r>
        <w:rPr>
          <w:color w:val="auto"/>
          <w:highlight w:val="none"/>
        </w:rPr>
        <w:t xml:space="preserve">) </w:t>
      </w:r>
      <w:r>
        <w:rPr>
          <w:rFonts w:hint="eastAsia"/>
          <w:color w:val="auto"/>
          <w:highlight w:val="none"/>
        </w:rPr>
        <w:t>站控层</w:t>
      </w:r>
    </w:p>
    <w:p>
      <w:pPr>
        <w:pStyle w:val="76"/>
        <w:rPr>
          <w:color w:val="auto"/>
          <w:highlight w:val="none"/>
        </w:rPr>
      </w:pPr>
      <w:r>
        <w:rPr>
          <w:color w:val="auto"/>
          <w:highlight w:val="none"/>
        </w:rPr>
        <w:t xml:space="preserve">1) </w:t>
      </w:r>
      <w:r>
        <w:rPr>
          <w:rFonts w:hint="eastAsia"/>
          <w:color w:val="auto"/>
          <w:highlight w:val="none"/>
        </w:rPr>
        <w:t>数据采集和处理</w:t>
      </w:r>
    </w:p>
    <w:p>
      <w:pPr>
        <w:pStyle w:val="76"/>
        <w:rPr>
          <w:color w:val="auto"/>
          <w:highlight w:val="none"/>
        </w:rPr>
      </w:pPr>
      <w:r>
        <w:rPr>
          <w:color w:val="auto"/>
          <w:highlight w:val="none"/>
        </w:rPr>
        <w:t xml:space="preserve">2) </w:t>
      </w:r>
      <w:r>
        <w:rPr>
          <w:rFonts w:hint="eastAsia"/>
          <w:color w:val="auto"/>
          <w:highlight w:val="none"/>
        </w:rPr>
        <w:t>安全运行监视及趋势分析</w:t>
      </w:r>
    </w:p>
    <w:p>
      <w:pPr>
        <w:pStyle w:val="76"/>
        <w:rPr>
          <w:color w:val="auto"/>
          <w:highlight w:val="none"/>
        </w:rPr>
      </w:pPr>
      <w:r>
        <w:rPr>
          <w:rFonts w:hint="eastAsia"/>
          <w:color w:val="auto"/>
          <w:highlight w:val="none"/>
        </w:rPr>
        <w:t xml:space="preserve">3) 实时控制和调整(包括AGC、AVC、抽水联合控制和低频控制) </w:t>
      </w:r>
    </w:p>
    <w:p>
      <w:pPr>
        <w:pStyle w:val="76"/>
        <w:rPr>
          <w:color w:val="auto"/>
          <w:highlight w:val="none"/>
        </w:rPr>
      </w:pPr>
      <w:r>
        <w:rPr>
          <w:color w:val="auto"/>
          <w:highlight w:val="none"/>
        </w:rPr>
        <w:t xml:space="preserve">4) </w:t>
      </w:r>
      <w:r>
        <w:rPr>
          <w:rFonts w:hint="eastAsia"/>
          <w:color w:val="auto"/>
          <w:highlight w:val="none"/>
        </w:rPr>
        <w:t>事件顺序记录，事故追忆及相关量记录</w:t>
      </w:r>
    </w:p>
    <w:p>
      <w:pPr>
        <w:pStyle w:val="76"/>
        <w:rPr>
          <w:color w:val="auto"/>
          <w:highlight w:val="none"/>
        </w:rPr>
      </w:pPr>
      <w:r>
        <w:rPr>
          <w:color w:val="auto"/>
          <w:highlight w:val="none"/>
        </w:rPr>
        <w:t xml:space="preserve">5) </w:t>
      </w:r>
      <w:r>
        <w:rPr>
          <w:rFonts w:hint="eastAsia"/>
          <w:color w:val="auto"/>
          <w:highlight w:val="none"/>
        </w:rPr>
        <w:t>人机联系</w:t>
      </w:r>
    </w:p>
    <w:p>
      <w:pPr>
        <w:pStyle w:val="76"/>
        <w:rPr>
          <w:color w:val="auto"/>
          <w:highlight w:val="none"/>
        </w:rPr>
      </w:pPr>
      <w:r>
        <w:rPr>
          <w:color w:val="auto"/>
          <w:highlight w:val="none"/>
        </w:rPr>
        <w:t xml:space="preserve">6) </w:t>
      </w:r>
      <w:r>
        <w:rPr>
          <w:rFonts w:hint="eastAsia"/>
          <w:color w:val="auto"/>
          <w:highlight w:val="none"/>
        </w:rPr>
        <w:t>报表打印</w:t>
      </w:r>
    </w:p>
    <w:p>
      <w:pPr>
        <w:pStyle w:val="76"/>
        <w:rPr>
          <w:color w:val="auto"/>
          <w:highlight w:val="none"/>
        </w:rPr>
      </w:pPr>
      <w:r>
        <w:rPr>
          <w:color w:val="auto"/>
          <w:highlight w:val="none"/>
        </w:rPr>
        <w:t xml:space="preserve">7) </w:t>
      </w:r>
      <w:r>
        <w:rPr>
          <w:rFonts w:hint="eastAsia"/>
          <w:color w:val="auto"/>
          <w:highlight w:val="none"/>
        </w:rPr>
        <w:t>数据通信</w:t>
      </w:r>
    </w:p>
    <w:p>
      <w:pPr>
        <w:pStyle w:val="76"/>
        <w:rPr>
          <w:color w:val="auto"/>
          <w:highlight w:val="none"/>
        </w:rPr>
      </w:pPr>
      <w:r>
        <w:rPr>
          <w:color w:val="auto"/>
          <w:highlight w:val="none"/>
        </w:rPr>
        <w:t xml:space="preserve">8) </w:t>
      </w:r>
      <w:r>
        <w:rPr>
          <w:rFonts w:hint="eastAsia"/>
          <w:color w:val="auto"/>
          <w:highlight w:val="none"/>
        </w:rPr>
        <w:t>监控系统自诊断及故障处理指导</w:t>
      </w:r>
    </w:p>
    <w:p>
      <w:pPr>
        <w:pStyle w:val="76"/>
        <w:rPr>
          <w:color w:val="auto"/>
          <w:highlight w:val="none"/>
        </w:rPr>
      </w:pPr>
      <w:r>
        <w:rPr>
          <w:color w:val="auto"/>
          <w:highlight w:val="none"/>
        </w:rPr>
        <w:t xml:space="preserve">9) </w:t>
      </w:r>
      <w:r>
        <w:rPr>
          <w:rFonts w:hint="eastAsia"/>
          <w:color w:val="auto"/>
          <w:highlight w:val="none"/>
        </w:rPr>
        <w:t>软件二次开发</w:t>
      </w:r>
    </w:p>
    <w:p>
      <w:pPr>
        <w:pStyle w:val="76"/>
        <w:rPr>
          <w:color w:val="auto"/>
          <w:highlight w:val="none"/>
        </w:rPr>
      </w:pPr>
      <w:r>
        <w:rPr>
          <w:color w:val="auto"/>
          <w:highlight w:val="none"/>
        </w:rPr>
        <w:t>(</w:t>
      </w:r>
      <w:r>
        <w:rPr>
          <w:rFonts w:hint="eastAsia"/>
          <w:color w:val="auto"/>
          <w:highlight w:val="none"/>
        </w:rPr>
        <w:t>2</w:t>
      </w:r>
      <w:r>
        <w:rPr>
          <w:color w:val="auto"/>
          <w:highlight w:val="none"/>
        </w:rPr>
        <w:t xml:space="preserve">) </w:t>
      </w:r>
      <w:r>
        <w:rPr>
          <w:rFonts w:hint="eastAsia"/>
          <w:color w:val="auto"/>
          <w:highlight w:val="none"/>
        </w:rPr>
        <w:t>现地控制层</w:t>
      </w:r>
    </w:p>
    <w:p>
      <w:pPr>
        <w:pStyle w:val="76"/>
        <w:rPr>
          <w:color w:val="auto"/>
          <w:highlight w:val="none"/>
        </w:rPr>
      </w:pPr>
      <w:r>
        <w:rPr>
          <w:color w:val="auto"/>
          <w:highlight w:val="none"/>
        </w:rPr>
        <w:t xml:space="preserve">l) </w:t>
      </w:r>
      <w:r>
        <w:rPr>
          <w:rFonts w:hint="eastAsia"/>
          <w:color w:val="auto"/>
          <w:highlight w:val="none"/>
        </w:rPr>
        <w:t>数据采集和处理</w:t>
      </w:r>
    </w:p>
    <w:p>
      <w:pPr>
        <w:pStyle w:val="76"/>
        <w:rPr>
          <w:color w:val="auto"/>
          <w:highlight w:val="none"/>
        </w:rPr>
      </w:pPr>
      <w:r>
        <w:rPr>
          <w:color w:val="auto"/>
          <w:highlight w:val="none"/>
        </w:rPr>
        <w:t xml:space="preserve">2) </w:t>
      </w:r>
      <w:r>
        <w:rPr>
          <w:rFonts w:hint="eastAsia"/>
          <w:color w:val="auto"/>
          <w:highlight w:val="none"/>
        </w:rPr>
        <w:t>安全运行监视</w:t>
      </w:r>
    </w:p>
    <w:p>
      <w:pPr>
        <w:pStyle w:val="76"/>
        <w:rPr>
          <w:color w:val="auto"/>
          <w:highlight w:val="none"/>
        </w:rPr>
      </w:pPr>
      <w:r>
        <w:rPr>
          <w:color w:val="auto"/>
          <w:highlight w:val="none"/>
        </w:rPr>
        <w:t xml:space="preserve">3) </w:t>
      </w:r>
      <w:r>
        <w:rPr>
          <w:rFonts w:hint="eastAsia"/>
          <w:color w:val="auto"/>
          <w:highlight w:val="none"/>
        </w:rPr>
        <w:t>实时控制与调整</w:t>
      </w:r>
    </w:p>
    <w:p>
      <w:pPr>
        <w:pStyle w:val="76"/>
        <w:rPr>
          <w:color w:val="auto"/>
          <w:highlight w:val="none"/>
        </w:rPr>
      </w:pPr>
      <w:r>
        <w:rPr>
          <w:color w:val="auto"/>
          <w:highlight w:val="none"/>
        </w:rPr>
        <w:t xml:space="preserve">4) </w:t>
      </w:r>
      <w:r>
        <w:rPr>
          <w:rFonts w:hint="eastAsia"/>
          <w:color w:val="auto"/>
          <w:highlight w:val="none"/>
        </w:rPr>
        <w:t>事件检测和发送</w:t>
      </w:r>
    </w:p>
    <w:p>
      <w:pPr>
        <w:pStyle w:val="76"/>
        <w:rPr>
          <w:color w:val="auto"/>
          <w:highlight w:val="none"/>
        </w:rPr>
      </w:pPr>
      <w:r>
        <w:rPr>
          <w:color w:val="auto"/>
          <w:highlight w:val="none"/>
        </w:rPr>
        <w:t xml:space="preserve">5) </w:t>
      </w:r>
      <w:r>
        <w:rPr>
          <w:rFonts w:hint="eastAsia"/>
          <w:color w:val="auto"/>
          <w:highlight w:val="none"/>
        </w:rPr>
        <w:t>自诊断</w:t>
      </w:r>
    </w:p>
    <w:p>
      <w:pPr>
        <w:pStyle w:val="76"/>
        <w:rPr>
          <w:color w:val="auto"/>
          <w:highlight w:val="none"/>
        </w:rPr>
      </w:pPr>
      <w:r>
        <w:rPr>
          <w:color w:val="auto"/>
          <w:highlight w:val="none"/>
        </w:rPr>
        <w:t xml:space="preserve">6) </w:t>
      </w:r>
      <w:r>
        <w:rPr>
          <w:rFonts w:hint="eastAsia"/>
          <w:color w:val="auto"/>
          <w:highlight w:val="none"/>
        </w:rPr>
        <w:t>数据通信</w:t>
      </w:r>
    </w:p>
    <w:p>
      <w:pPr>
        <w:pStyle w:val="132"/>
        <w:rPr>
          <w:color w:val="auto"/>
          <w:highlight w:val="none"/>
        </w:rPr>
      </w:pPr>
      <w:bookmarkStart w:id="276" w:name="_Toc8444"/>
      <w:r>
        <w:rPr>
          <w:color w:val="auto"/>
          <w:highlight w:val="none"/>
        </w:rPr>
        <w:t xml:space="preserve">10.2.3  </w:t>
      </w:r>
      <w:r>
        <w:rPr>
          <w:rFonts w:hint="eastAsia"/>
          <w:color w:val="auto"/>
          <w:highlight w:val="none"/>
        </w:rPr>
        <w:t>主要监控对象</w:t>
      </w:r>
      <w:bookmarkEnd w:id="276"/>
    </w:p>
    <w:p>
      <w:pPr>
        <w:pStyle w:val="76"/>
        <w:rPr>
          <w:color w:val="auto"/>
          <w:highlight w:val="none"/>
        </w:rPr>
      </w:pPr>
      <w:r>
        <w:rPr>
          <w:color w:val="auto"/>
          <w:highlight w:val="none"/>
        </w:rPr>
        <w:t xml:space="preserve">(1) </w:t>
      </w:r>
      <w:r>
        <w:rPr>
          <w:rFonts w:hint="eastAsia"/>
          <w:color w:val="auto"/>
          <w:highlight w:val="none"/>
        </w:rPr>
        <w:t>4台水泵水轮机组及其附属、辅助设备</w:t>
      </w:r>
    </w:p>
    <w:p>
      <w:pPr>
        <w:pStyle w:val="76"/>
        <w:rPr>
          <w:color w:val="auto"/>
          <w:highlight w:val="none"/>
        </w:rPr>
      </w:pPr>
      <w:r>
        <w:rPr>
          <w:color w:val="auto"/>
          <w:highlight w:val="none"/>
        </w:rPr>
        <w:t xml:space="preserve">(2) </w:t>
      </w:r>
      <w:r>
        <w:rPr>
          <w:rFonts w:hint="eastAsia"/>
          <w:color w:val="auto"/>
          <w:highlight w:val="none"/>
        </w:rPr>
        <w:t>4台发电电动机组及其附属、辅助设备</w:t>
      </w:r>
    </w:p>
    <w:p>
      <w:pPr>
        <w:pStyle w:val="76"/>
        <w:rPr>
          <w:color w:val="auto"/>
          <w:highlight w:val="none"/>
        </w:rPr>
      </w:pPr>
      <w:r>
        <w:rPr>
          <w:color w:val="auto"/>
          <w:highlight w:val="none"/>
        </w:rPr>
        <w:t xml:space="preserve">(3) </w:t>
      </w:r>
      <w:r>
        <w:rPr>
          <w:rFonts w:hint="eastAsia"/>
          <w:color w:val="auto"/>
          <w:highlight w:val="none"/>
        </w:rPr>
        <w:t>4台主变压器及其附属、辅助设备</w:t>
      </w:r>
    </w:p>
    <w:p>
      <w:pPr>
        <w:pStyle w:val="76"/>
        <w:rPr>
          <w:color w:val="auto"/>
          <w:highlight w:val="none"/>
        </w:rPr>
      </w:pPr>
      <w:r>
        <w:rPr>
          <w:color w:val="auto"/>
          <w:highlight w:val="none"/>
        </w:rPr>
        <w:t xml:space="preserve">(4) </w:t>
      </w:r>
      <w:r>
        <w:rPr>
          <w:rFonts w:hint="eastAsia"/>
          <w:color w:val="auto"/>
          <w:highlight w:val="none"/>
        </w:rPr>
        <w:t>4台机组进水阀及其附属设备</w:t>
      </w:r>
    </w:p>
    <w:p>
      <w:pPr>
        <w:pStyle w:val="76"/>
        <w:rPr>
          <w:color w:val="auto"/>
          <w:highlight w:val="none"/>
        </w:rPr>
      </w:pPr>
      <w:r>
        <w:rPr>
          <w:color w:val="auto"/>
          <w:highlight w:val="none"/>
        </w:rPr>
        <w:t xml:space="preserve">(5) </w:t>
      </w:r>
      <w:r>
        <w:rPr>
          <w:rFonts w:hint="eastAsia"/>
          <w:color w:val="auto"/>
          <w:highlight w:val="none"/>
        </w:rPr>
        <w:t>4台尾水闸门及其启闭机设备</w:t>
      </w:r>
    </w:p>
    <w:p>
      <w:pPr>
        <w:pStyle w:val="76"/>
        <w:rPr>
          <w:color w:val="auto"/>
          <w:highlight w:val="none"/>
        </w:rPr>
      </w:pPr>
      <w:r>
        <w:rPr>
          <w:rFonts w:hint="eastAsia"/>
          <w:color w:val="auto"/>
          <w:highlight w:val="none"/>
        </w:rPr>
        <w:t xml:space="preserve">(6) 2套静止式变频起动装置(SFC) </w:t>
      </w:r>
    </w:p>
    <w:p>
      <w:pPr>
        <w:pStyle w:val="76"/>
        <w:rPr>
          <w:color w:val="auto"/>
          <w:highlight w:val="none"/>
        </w:rPr>
      </w:pPr>
      <w:r>
        <w:rPr>
          <w:color w:val="auto"/>
          <w:highlight w:val="none"/>
        </w:rPr>
        <w:t xml:space="preserve">(7) </w:t>
      </w:r>
      <w:r>
        <w:rPr>
          <w:rFonts w:hint="eastAsia"/>
          <w:color w:val="auto"/>
          <w:highlight w:val="none"/>
        </w:rPr>
        <w:t>220</w:t>
      </w:r>
      <w:r>
        <w:rPr>
          <w:color w:val="auto"/>
          <w:highlight w:val="none"/>
        </w:rPr>
        <w:t xml:space="preserve">kV </w:t>
      </w:r>
      <w:r>
        <w:rPr>
          <w:rFonts w:hint="eastAsia"/>
          <w:color w:val="auto"/>
          <w:highlight w:val="none"/>
        </w:rPr>
        <w:t>GIS设备</w:t>
      </w:r>
    </w:p>
    <w:p>
      <w:pPr>
        <w:pStyle w:val="76"/>
        <w:rPr>
          <w:color w:val="auto"/>
          <w:highlight w:val="none"/>
        </w:rPr>
      </w:pPr>
      <w:r>
        <w:rPr>
          <w:color w:val="auto"/>
          <w:highlight w:val="none"/>
        </w:rPr>
        <w:t xml:space="preserve">(8) </w:t>
      </w:r>
      <w:r>
        <w:rPr>
          <w:rFonts w:hint="eastAsia"/>
          <w:color w:val="auto"/>
          <w:highlight w:val="none"/>
        </w:rPr>
        <w:t>220kV高压电缆</w:t>
      </w:r>
    </w:p>
    <w:p>
      <w:pPr>
        <w:pStyle w:val="76"/>
        <w:rPr>
          <w:color w:val="auto"/>
          <w:highlight w:val="none"/>
        </w:rPr>
      </w:pPr>
      <w:r>
        <w:rPr>
          <w:color w:val="auto"/>
          <w:highlight w:val="none"/>
        </w:rPr>
        <w:t xml:space="preserve">(9) </w:t>
      </w:r>
      <w:r>
        <w:rPr>
          <w:rFonts w:hint="eastAsia"/>
          <w:color w:val="auto"/>
          <w:highlight w:val="none"/>
        </w:rPr>
        <w:t>18kV发电机电压设备</w:t>
      </w:r>
    </w:p>
    <w:p>
      <w:pPr>
        <w:pStyle w:val="76"/>
        <w:rPr>
          <w:color w:val="auto"/>
          <w:highlight w:val="none"/>
        </w:rPr>
      </w:pPr>
      <w:r>
        <w:rPr>
          <w:color w:val="auto"/>
          <w:highlight w:val="none"/>
        </w:rPr>
        <w:t xml:space="preserve">(10) </w:t>
      </w:r>
      <w:r>
        <w:rPr>
          <w:rFonts w:hint="eastAsia"/>
          <w:color w:val="auto"/>
          <w:highlight w:val="none"/>
        </w:rPr>
        <w:t>厂用电10kV、0.4kV配电系统以及站内紧急自备电源及配电系统</w:t>
      </w:r>
    </w:p>
    <w:p>
      <w:pPr>
        <w:pStyle w:val="76"/>
        <w:rPr>
          <w:color w:val="auto"/>
          <w:highlight w:val="none"/>
        </w:rPr>
      </w:pPr>
      <w:r>
        <w:rPr>
          <w:color w:val="auto"/>
          <w:highlight w:val="none"/>
        </w:rPr>
        <w:t xml:space="preserve">(11) </w:t>
      </w:r>
      <w:r>
        <w:rPr>
          <w:rFonts w:hint="eastAsia"/>
          <w:color w:val="auto"/>
          <w:highlight w:val="none"/>
        </w:rPr>
        <w:t>上、下库进出水口闸门及启闭机设备</w:t>
      </w:r>
    </w:p>
    <w:p>
      <w:pPr>
        <w:pStyle w:val="76"/>
        <w:rPr>
          <w:color w:val="auto"/>
          <w:highlight w:val="none"/>
        </w:rPr>
      </w:pPr>
      <w:r>
        <w:rPr>
          <w:color w:val="auto"/>
          <w:highlight w:val="none"/>
        </w:rPr>
        <w:t xml:space="preserve">(12) </w:t>
      </w:r>
      <w:r>
        <w:rPr>
          <w:rFonts w:hint="eastAsia"/>
          <w:color w:val="auto"/>
          <w:highlight w:val="none"/>
        </w:rPr>
        <w:t>上、下库水位和水温测量系统</w:t>
      </w:r>
    </w:p>
    <w:p>
      <w:pPr>
        <w:pStyle w:val="76"/>
        <w:rPr>
          <w:color w:val="auto"/>
          <w:highlight w:val="none"/>
        </w:rPr>
      </w:pPr>
      <w:r>
        <w:rPr>
          <w:color w:val="auto"/>
          <w:highlight w:val="none"/>
        </w:rPr>
        <w:t>(13)</w:t>
      </w:r>
      <w:r>
        <w:rPr>
          <w:rFonts w:hint="eastAsia"/>
          <w:color w:val="auto"/>
          <w:highlight w:val="none"/>
        </w:rPr>
        <w:t xml:space="preserve"> 尾水调压井水位测量系统</w:t>
      </w:r>
    </w:p>
    <w:p>
      <w:pPr>
        <w:pStyle w:val="76"/>
        <w:rPr>
          <w:color w:val="auto"/>
          <w:highlight w:val="none"/>
        </w:rPr>
      </w:pPr>
      <w:r>
        <w:rPr>
          <w:color w:val="auto"/>
          <w:highlight w:val="none"/>
        </w:rPr>
        <w:t xml:space="preserve">(14) </w:t>
      </w:r>
      <w:r>
        <w:rPr>
          <w:rFonts w:hint="eastAsia"/>
          <w:color w:val="auto"/>
          <w:highlight w:val="none"/>
        </w:rPr>
        <w:t>上、下游闸门平压用水位测量系统</w:t>
      </w:r>
    </w:p>
    <w:p>
      <w:pPr>
        <w:pStyle w:val="76"/>
        <w:rPr>
          <w:color w:val="auto"/>
          <w:highlight w:val="none"/>
        </w:rPr>
      </w:pPr>
      <w:r>
        <w:rPr>
          <w:color w:val="auto"/>
          <w:highlight w:val="none"/>
        </w:rPr>
        <w:t xml:space="preserve">(15) </w:t>
      </w:r>
      <w:r>
        <w:rPr>
          <w:rFonts w:hint="eastAsia"/>
          <w:color w:val="auto"/>
          <w:highlight w:val="none"/>
        </w:rPr>
        <w:t>中压气系统</w:t>
      </w:r>
    </w:p>
    <w:p>
      <w:pPr>
        <w:pStyle w:val="76"/>
        <w:rPr>
          <w:color w:val="auto"/>
          <w:highlight w:val="none"/>
        </w:rPr>
      </w:pPr>
      <w:r>
        <w:rPr>
          <w:color w:val="auto"/>
          <w:highlight w:val="none"/>
        </w:rPr>
        <w:t xml:space="preserve">(16) </w:t>
      </w:r>
      <w:r>
        <w:rPr>
          <w:rFonts w:hint="eastAsia"/>
          <w:color w:val="auto"/>
          <w:highlight w:val="none"/>
        </w:rPr>
        <w:t>供排水系统</w:t>
      </w:r>
    </w:p>
    <w:p>
      <w:pPr>
        <w:pStyle w:val="76"/>
        <w:rPr>
          <w:color w:val="auto"/>
          <w:highlight w:val="none"/>
        </w:rPr>
      </w:pPr>
      <w:r>
        <w:rPr>
          <w:color w:val="auto"/>
          <w:highlight w:val="none"/>
        </w:rPr>
        <w:t xml:space="preserve">(17) </w:t>
      </w:r>
      <w:r>
        <w:rPr>
          <w:rFonts w:hint="eastAsia"/>
          <w:color w:val="auto"/>
          <w:highlight w:val="none"/>
        </w:rPr>
        <w:t>厂内水力测量系统</w:t>
      </w:r>
    </w:p>
    <w:p>
      <w:pPr>
        <w:pStyle w:val="76"/>
        <w:rPr>
          <w:color w:val="auto"/>
          <w:highlight w:val="none"/>
        </w:rPr>
      </w:pPr>
      <w:r>
        <w:rPr>
          <w:color w:val="auto"/>
          <w:highlight w:val="none"/>
        </w:rPr>
        <w:t xml:space="preserve">(18) </w:t>
      </w:r>
      <w:r>
        <w:rPr>
          <w:rFonts w:hint="eastAsia"/>
          <w:color w:val="auto"/>
          <w:highlight w:val="none"/>
        </w:rPr>
        <w:t>220V直流电源系统</w:t>
      </w:r>
    </w:p>
    <w:p>
      <w:pPr>
        <w:pStyle w:val="76"/>
        <w:rPr>
          <w:color w:val="auto"/>
          <w:highlight w:val="none"/>
        </w:rPr>
      </w:pPr>
      <w:r>
        <w:rPr>
          <w:color w:val="auto"/>
          <w:highlight w:val="none"/>
        </w:rPr>
        <w:t>(19) 220V UPS</w:t>
      </w:r>
      <w:r>
        <w:rPr>
          <w:rFonts w:hint="eastAsia"/>
          <w:color w:val="auto"/>
          <w:highlight w:val="none"/>
        </w:rPr>
        <w:t>电源系统</w:t>
      </w:r>
    </w:p>
    <w:p>
      <w:pPr>
        <w:pStyle w:val="76"/>
        <w:rPr>
          <w:color w:val="auto"/>
          <w:highlight w:val="none"/>
        </w:rPr>
      </w:pPr>
      <w:r>
        <w:rPr>
          <w:color w:val="auto"/>
          <w:highlight w:val="none"/>
        </w:rPr>
        <w:t xml:space="preserve">(20) </w:t>
      </w:r>
      <w:r>
        <w:rPr>
          <w:rFonts w:hint="eastAsia"/>
          <w:color w:val="auto"/>
          <w:highlight w:val="none"/>
        </w:rPr>
        <w:t>全厂消防系统</w:t>
      </w:r>
    </w:p>
    <w:p>
      <w:pPr>
        <w:pStyle w:val="76"/>
        <w:rPr>
          <w:color w:val="auto"/>
          <w:highlight w:val="none"/>
        </w:rPr>
      </w:pPr>
      <w:r>
        <w:rPr>
          <w:color w:val="auto"/>
          <w:highlight w:val="none"/>
        </w:rPr>
        <w:t xml:space="preserve">(21) </w:t>
      </w:r>
      <w:r>
        <w:rPr>
          <w:rFonts w:hint="eastAsia"/>
          <w:color w:val="auto"/>
          <w:highlight w:val="none"/>
        </w:rPr>
        <w:t>全厂通风空调系统</w:t>
      </w:r>
    </w:p>
    <w:p>
      <w:pPr>
        <w:pStyle w:val="76"/>
        <w:rPr>
          <w:color w:val="auto"/>
          <w:highlight w:val="none"/>
        </w:rPr>
      </w:pPr>
      <w:r>
        <w:rPr>
          <w:color w:val="auto"/>
          <w:highlight w:val="none"/>
        </w:rPr>
        <w:t xml:space="preserve">(22) </w:t>
      </w:r>
      <w:r>
        <w:rPr>
          <w:rFonts w:hint="eastAsia"/>
          <w:color w:val="auto"/>
          <w:highlight w:val="none"/>
        </w:rPr>
        <w:t>工业电视系统</w:t>
      </w:r>
    </w:p>
    <w:p>
      <w:pPr>
        <w:pStyle w:val="132"/>
        <w:rPr>
          <w:color w:val="auto"/>
          <w:highlight w:val="none"/>
        </w:rPr>
      </w:pPr>
      <w:bookmarkStart w:id="277" w:name="_Toc387821678"/>
      <w:bookmarkStart w:id="278" w:name="_Toc26427"/>
      <w:r>
        <w:rPr>
          <w:color w:val="auto"/>
          <w:highlight w:val="none"/>
        </w:rPr>
        <w:t xml:space="preserve">10.2.4  </w:t>
      </w:r>
      <w:r>
        <w:rPr>
          <w:rFonts w:hint="eastAsia"/>
          <w:color w:val="auto"/>
          <w:highlight w:val="none"/>
        </w:rPr>
        <w:t>计算机监控系统主要设备配置</w:t>
      </w:r>
      <w:bookmarkEnd w:id="277"/>
      <w:bookmarkEnd w:id="278"/>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5474"/>
        <w:gridCol w:w="992"/>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编号</w:t>
            </w:r>
          </w:p>
        </w:tc>
        <w:tc>
          <w:tcPr>
            <w:tcW w:w="5474"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设备名称</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单位</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站控层监控设备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安全Ⅰ区监控设备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实时数据库服务器（Ⅰ区）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历史数据库服务器（Ⅰ区）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strike w:val="0"/>
                <w:color w:val="auto"/>
                <w:szCs w:val="21"/>
                <w:highlight w:val="none"/>
                <w:shd w:val="clear" w:color="auto" w:fill="auto"/>
              </w:rPr>
            </w:pPr>
            <w:r>
              <w:rPr>
                <w:rFonts w:ascii="Times New Roman" w:hAnsi="Times New Roman" w:cs="Times New Roman"/>
                <w:strike w:val="0"/>
                <w:color w:val="auto"/>
                <w:szCs w:val="21"/>
                <w:highlight w:val="none"/>
                <w:shd w:val="clear" w:color="auto" w:fill="auto"/>
              </w:rPr>
              <w:t>1.1.3</w:t>
            </w:r>
          </w:p>
        </w:tc>
        <w:tc>
          <w:tcPr>
            <w:tcW w:w="5474" w:type="dxa"/>
            <w:vAlign w:val="center"/>
          </w:tcPr>
          <w:p>
            <w:pPr>
              <w:autoSpaceDE w:val="0"/>
              <w:autoSpaceDN w:val="0"/>
              <w:adjustRightInd w:val="0"/>
              <w:spacing w:line="240" w:lineRule="exact"/>
              <w:ind w:left="86" w:leftChars="41"/>
              <w:rPr>
                <w:rFonts w:ascii="Times New Roman" w:hAnsi="Times New Roman" w:cs="Times New Roman"/>
                <w:strike w:val="0"/>
                <w:color w:val="auto"/>
                <w:szCs w:val="21"/>
                <w:highlight w:val="none"/>
                <w:shd w:val="clear" w:color="auto" w:fill="auto"/>
              </w:rPr>
            </w:pPr>
            <w:r>
              <w:rPr>
                <w:rFonts w:hint="eastAsia" w:ascii="Times New Roman" w:hAnsi="Times New Roman" w:cs="Times New Roman"/>
                <w:strike w:val="0"/>
                <w:color w:val="auto"/>
                <w:szCs w:val="21"/>
                <w:highlight w:val="none"/>
                <w:shd w:val="clear" w:color="auto" w:fill="auto"/>
              </w:rPr>
              <w:t>操作员工作站（Ⅰ区）</w:t>
            </w:r>
          </w:p>
        </w:tc>
        <w:tc>
          <w:tcPr>
            <w:tcW w:w="992" w:type="dxa"/>
            <w:vAlign w:val="center"/>
          </w:tcPr>
          <w:p>
            <w:pPr>
              <w:autoSpaceDE w:val="0"/>
              <w:autoSpaceDN w:val="0"/>
              <w:adjustRightInd w:val="0"/>
              <w:spacing w:line="240" w:lineRule="exact"/>
              <w:jc w:val="center"/>
              <w:rPr>
                <w:rFonts w:ascii="Times New Roman" w:hAnsi="Times New Roman" w:cs="Times New Roman"/>
                <w:strike w:val="0"/>
                <w:color w:val="auto"/>
                <w:szCs w:val="21"/>
                <w:highlight w:val="none"/>
                <w:shd w:val="clear" w:color="auto" w:fill="auto"/>
              </w:rPr>
            </w:pPr>
            <w:r>
              <w:rPr>
                <w:rFonts w:hint="eastAsia" w:ascii="Times New Roman" w:hAnsi="Times New Roman" w:cs="Times New Roman"/>
                <w:strike w:val="0"/>
                <w:color w:val="auto"/>
                <w:szCs w:val="21"/>
                <w:highlight w:val="none"/>
                <w:shd w:val="clear" w:color="auto" w:fill="auto"/>
              </w:rPr>
              <w:t>套</w:t>
            </w:r>
          </w:p>
        </w:tc>
        <w:tc>
          <w:tcPr>
            <w:tcW w:w="1276" w:type="dxa"/>
            <w:vAlign w:val="center"/>
          </w:tcPr>
          <w:p>
            <w:pPr>
              <w:autoSpaceDE w:val="0"/>
              <w:autoSpaceDN w:val="0"/>
              <w:adjustRightInd w:val="0"/>
              <w:spacing w:line="240" w:lineRule="exact"/>
              <w:jc w:val="center"/>
              <w:rPr>
                <w:rFonts w:ascii="Times New Roman" w:hAnsi="Times New Roman" w:cs="Times New Roman"/>
                <w:strike w:val="0"/>
                <w:color w:val="auto"/>
                <w:szCs w:val="21"/>
                <w:highlight w:val="none"/>
                <w:shd w:val="clear" w:color="auto" w:fill="auto"/>
              </w:rPr>
            </w:pPr>
            <w:r>
              <w:rPr>
                <w:rFonts w:hint="eastAsia" w:ascii="Times New Roman" w:hAnsi="Times New Roman" w:cs="Times New Roman"/>
                <w:strike w:val="0"/>
                <w:color w:val="auto"/>
                <w:szCs w:val="21"/>
                <w:highlight w:val="none"/>
                <w:shd w:val="clear" w:color="auto" w:fill="auto"/>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1.1.4</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工程师工作站（Ⅰ区）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1.1.5</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远动通信工作站（Ⅰ区）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1.1.6</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厂内通信工作站（Ⅰ区）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1.1.7</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发电计划曲线工作站（Ⅰ区）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1.1.8</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语音报警工作站（Ⅰ区）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1.1.9</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网络柜及网络附件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安全Ⅱ区监控设备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1.2.1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数据服务器（Ⅱ区）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1.2.2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网络柜及网络附件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3</w:t>
            </w:r>
          </w:p>
        </w:tc>
        <w:tc>
          <w:tcPr>
            <w:tcW w:w="5474" w:type="dxa"/>
            <w:vAlign w:val="center"/>
          </w:tcPr>
          <w:p>
            <w:pPr>
              <w:autoSpaceDE w:val="0"/>
              <w:autoSpaceDN w:val="0"/>
              <w:adjustRightInd w:val="0"/>
              <w:spacing w:line="240" w:lineRule="exact"/>
              <w:rPr>
                <w:rFonts w:ascii="Times New Roman" w:hAnsi="Times New Roman" w:cs="Times New Roman"/>
                <w:color w:val="auto"/>
                <w:szCs w:val="21"/>
                <w:highlight w:val="none"/>
              </w:rPr>
            </w:pPr>
            <w:r>
              <w:rPr>
                <w:rFonts w:hint="eastAsia" w:ascii="宋体" w:hAnsi="宋体" w:cs="宋体"/>
                <w:color w:val="auto"/>
                <w:kern w:val="0"/>
                <w:szCs w:val="21"/>
                <w:highlight w:val="none"/>
                <w:lang w:bidi="ar"/>
              </w:rPr>
              <w:t>主干网核心交换机设备（Ⅰ区）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szCs w:val="21"/>
                <w:highlight w:val="none"/>
              </w:rPr>
            </w:pPr>
            <w:r>
              <w:rPr>
                <w:color w:val="auto"/>
                <w:kern w:val="0"/>
                <w:szCs w:val="21"/>
                <w:highlight w:val="none"/>
                <w:lang w:bidi="ar"/>
              </w:rPr>
              <w:t>1.</w:t>
            </w:r>
            <w:r>
              <w:rPr>
                <w:rFonts w:hint="eastAsia"/>
                <w:color w:val="auto"/>
                <w:kern w:val="0"/>
                <w:szCs w:val="21"/>
                <w:highlight w:val="none"/>
                <w:lang w:bidi="ar"/>
              </w:rPr>
              <w:t>3</w:t>
            </w:r>
            <w:r>
              <w:rPr>
                <w:color w:val="auto"/>
                <w:kern w:val="0"/>
                <w:szCs w:val="21"/>
                <w:highlight w:val="none"/>
                <w:lang w:bidi="ar"/>
              </w:rPr>
              <w:t>.1</w:t>
            </w:r>
          </w:p>
        </w:tc>
        <w:tc>
          <w:tcPr>
            <w:tcW w:w="5474" w:type="dxa"/>
            <w:vAlign w:val="center"/>
          </w:tcPr>
          <w:p>
            <w:pPr>
              <w:widowControl/>
              <w:spacing w:line="360" w:lineRule="auto"/>
              <w:jc w:val="left"/>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千兆核心交换机</w:t>
            </w:r>
          </w:p>
        </w:tc>
        <w:tc>
          <w:tcPr>
            <w:tcW w:w="992" w:type="dxa"/>
            <w:vAlign w:val="center"/>
          </w:tcPr>
          <w:p>
            <w:pPr>
              <w:widowControl/>
              <w:spacing w:line="360" w:lineRule="auto"/>
              <w:jc w:val="center"/>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台</w:t>
            </w:r>
          </w:p>
        </w:tc>
        <w:tc>
          <w:tcPr>
            <w:tcW w:w="1276" w:type="dxa"/>
            <w:vAlign w:val="center"/>
          </w:tcPr>
          <w:p>
            <w:pPr>
              <w:widowControl/>
              <w:spacing w:line="360" w:lineRule="auto"/>
              <w:jc w:val="center"/>
              <w:textAlignment w:val="center"/>
              <w:rPr>
                <w:rFonts w:hint="eastAsia" w:ascii="宋体" w:hAnsi="宋体"/>
                <w:color w:val="auto"/>
                <w:szCs w:val="21"/>
                <w:highlight w:val="none"/>
              </w:rPr>
            </w:pPr>
            <w:r>
              <w:rPr>
                <w:color w:val="auto"/>
                <w:kern w:val="0"/>
                <w:sz w:val="24"/>
                <w:highlight w:val="none"/>
                <w:lang w:bidi="ar"/>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szCs w:val="21"/>
                <w:highlight w:val="none"/>
              </w:rPr>
            </w:pPr>
            <w:r>
              <w:rPr>
                <w:color w:val="auto"/>
                <w:szCs w:val="21"/>
                <w:highlight w:val="none"/>
              </w:rPr>
              <w:t>1.</w:t>
            </w:r>
            <w:r>
              <w:rPr>
                <w:rFonts w:hint="eastAsia"/>
                <w:color w:val="auto"/>
                <w:szCs w:val="21"/>
                <w:highlight w:val="none"/>
              </w:rPr>
              <w:t>3</w:t>
            </w:r>
            <w:r>
              <w:rPr>
                <w:color w:val="auto"/>
                <w:szCs w:val="21"/>
                <w:highlight w:val="none"/>
              </w:rPr>
              <w:t>.2</w:t>
            </w:r>
          </w:p>
        </w:tc>
        <w:tc>
          <w:tcPr>
            <w:tcW w:w="5474" w:type="dxa"/>
            <w:vAlign w:val="center"/>
          </w:tcPr>
          <w:p>
            <w:pPr>
              <w:widowControl/>
              <w:spacing w:line="360" w:lineRule="auto"/>
              <w:jc w:val="left"/>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光接口尾纤等附件</w:t>
            </w:r>
          </w:p>
        </w:tc>
        <w:tc>
          <w:tcPr>
            <w:tcW w:w="992" w:type="dxa"/>
            <w:vAlign w:val="center"/>
          </w:tcPr>
          <w:p>
            <w:pPr>
              <w:widowControl/>
              <w:spacing w:line="360" w:lineRule="auto"/>
              <w:jc w:val="center"/>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套</w:t>
            </w:r>
          </w:p>
        </w:tc>
        <w:tc>
          <w:tcPr>
            <w:tcW w:w="1276" w:type="dxa"/>
            <w:vAlign w:val="center"/>
          </w:tcPr>
          <w:p>
            <w:pPr>
              <w:widowControl/>
              <w:spacing w:line="360" w:lineRule="auto"/>
              <w:jc w:val="center"/>
              <w:textAlignment w:val="center"/>
              <w:rPr>
                <w:rFonts w:hint="eastAsia" w:ascii="宋体" w:hAnsi="宋体"/>
                <w:color w:val="auto"/>
                <w:szCs w:val="21"/>
                <w:highlight w:val="none"/>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szCs w:val="21"/>
                <w:highlight w:val="none"/>
              </w:rPr>
            </w:pPr>
            <w:r>
              <w:rPr>
                <w:color w:val="auto"/>
                <w:kern w:val="0"/>
                <w:szCs w:val="21"/>
                <w:highlight w:val="none"/>
                <w:lang w:bidi="ar"/>
              </w:rPr>
              <w:t>1.</w:t>
            </w:r>
            <w:r>
              <w:rPr>
                <w:rFonts w:hint="eastAsia"/>
                <w:color w:val="auto"/>
                <w:kern w:val="0"/>
                <w:szCs w:val="21"/>
                <w:highlight w:val="none"/>
                <w:lang w:bidi="ar"/>
              </w:rPr>
              <w:t>3</w:t>
            </w:r>
            <w:r>
              <w:rPr>
                <w:color w:val="auto"/>
                <w:kern w:val="0"/>
                <w:szCs w:val="21"/>
                <w:highlight w:val="none"/>
                <w:lang w:bidi="ar"/>
              </w:rPr>
              <w:t>.3</w:t>
            </w:r>
          </w:p>
        </w:tc>
        <w:tc>
          <w:tcPr>
            <w:tcW w:w="5474" w:type="dxa"/>
            <w:vAlign w:val="center"/>
          </w:tcPr>
          <w:p>
            <w:pPr>
              <w:widowControl/>
              <w:spacing w:line="360" w:lineRule="auto"/>
              <w:jc w:val="left"/>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网络柜及网络附件</w:t>
            </w:r>
          </w:p>
        </w:tc>
        <w:tc>
          <w:tcPr>
            <w:tcW w:w="992" w:type="dxa"/>
            <w:vAlign w:val="center"/>
          </w:tcPr>
          <w:p>
            <w:pPr>
              <w:widowControl/>
              <w:spacing w:line="360" w:lineRule="auto"/>
              <w:jc w:val="center"/>
              <w:textAlignment w:val="center"/>
              <w:rPr>
                <w:rFonts w:hint="eastAsia" w:ascii="宋体" w:hAnsi="宋体"/>
                <w:color w:val="auto"/>
                <w:szCs w:val="21"/>
                <w:highlight w:val="none"/>
              </w:rPr>
            </w:pPr>
            <w:r>
              <w:rPr>
                <w:rFonts w:hint="eastAsia" w:ascii="宋体" w:hAnsi="宋体" w:cs="宋体"/>
                <w:color w:val="auto"/>
                <w:kern w:val="0"/>
                <w:szCs w:val="21"/>
                <w:highlight w:val="none"/>
                <w:lang w:bidi="ar"/>
              </w:rPr>
              <w:t>项</w:t>
            </w:r>
          </w:p>
        </w:tc>
        <w:tc>
          <w:tcPr>
            <w:tcW w:w="1276" w:type="dxa"/>
            <w:vAlign w:val="center"/>
          </w:tcPr>
          <w:p>
            <w:pPr>
              <w:widowControl/>
              <w:spacing w:line="360" w:lineRule="auto"/>
              <w:jc w:val="center"/>
              <w:textAlignment w:val="center"/>
              <w:rPr>
                <w:rFonts w:hint="eastAsia" w:ascii="宋体" w:hAnsi="宋体"/>
                <w:color w:val="auto"/>
                <w:szCs w:val="21"/>
                <w:highlight w:val="none"/>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4</w:t>
            </w:r>
          </w:p>
        </w:tc>
        <w:tc>
          <w:tcPr>
            <w:tcW w:w="5474" w:type="dxa"/>
            <w:vAlign w:val="center"/>
          </w:tcPr>
          <w:p>
            <w:pPr>
              <w:autoSpaceDE w:val="0"/>
              <w:autoSpaceDN w:val="0"/>
              <w:adjustRightInd w:val="0"/>
              <w:spacing w:line="240" w:lineRule="exact"/>
              <w:rPr>
                <w:rFonts w:ascii="Times New Roman" w:hAnsi="Times New Roman" w:cs="Times New Roman"/>
                <w:color w:val="auto"/>
                <w:szCs w:val="21"/>
                <w:highlight w:val="none"/>
              </w:rPr>
            </w:pPr>
            <w:r>
              <w:rPr>
                <w:rFonts w:hint="eastAsia" w:ascii="宋体" w:hAnsi="宋体" w:cs="宋体"/>
                <w:color w:val="auto"/>
                <w:kern w:val="0"/>
                <w:szCs w:val="21"/>
                <w:highlight w:val="none"/>
                <w:lang w:bidi="ar"/>
              </w:rPr>
              <w:t>主干网核心交换机设备（Ⅱ区）</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4</w:t>
            </w:r>
            <w:r>
              <w:rPr>
                <w:color w:val="auto"/>
                <w:kern w:val="0"/>
                <w:szCs w:val="21"/>
                <w:highlight w:val="none"/>
                <w:lang w:bidi="ar"/>
              </w:rPr>
              <w:t>.1</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千兆核心交换机</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1276" w:type="dxa"/>
            <w:vAlign w:val="center"/>
          </w:tcPr>
          <w:p>
            <w:pPr>
              <w:widowControl/>
              <w:spacing w:line="360" w:lineRule="auto"/>
              <w:jc w:val="center"/>
              <w:textAlignment w:val="center"/>
              <w:rPr>
                <w:color w:val="auto"/>
                <w:kern w:val="0"/>
                <w:sz w:val="24"/>
                <w:highlight w:val="none"/>
                <w:lang w:bidi="ar"/>
              </w:rPr>
            </w:pPr>
            <w:r>
              <w:rPr>
                <w:rFonts w:hint="eastAsia"/>
                <w:color w:val="auto"/>
                <w:kern w:val="0"/>
                <w:sz w:val="24"/>
                <w:highlight w:val="none"/>
                <w:lang w:bidi="ar"/>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4</w:t>
            </w:r>
            <w:r>
              <w:rPr>
                <w:color w:val="auto"/>
                <w:kern w:val="0"/>
                <w:szCs w:val="21"/>
                <w:highlight w:val="none"/>
                <w:lang w:bidi="ar"/>
              </w:rPr>
              <w:t>.2</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光接口尾纤等附件</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1276" w:type="dxa"/>
            <w:vAlign w:val="center"/>
          </w:tcPr>
          <w:p>
            <w:pPr>
              <w:widowControl/>
              <w:spacing w:line="360" w:lineRule="auto"/>
              <w:jc w:val="center"/>
              <w:textAlignment w:val="center"/>
              <w:rPr>
                <w:color w:val="auto"/>
                <w:kern w:val="0"/>
                <w:sz w:val="24"/>
                <w:highlight w:val="none"/>
                <w:lang w:bidi="ar"/>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4</w:t>
            </w:r>
            <w:r>
              <w:rPr>
                <w:color w:val="auto"/>
                <w:kern w:val="0"/>
                <w:szCs w:val="21"/>
                <w:highlight w:val="none"/>
                <w:lang w:bidi="ar"/>
              </w:rPr>
              <w:t>.3</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智能网关</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1276" w:type="dxa"/>
            <w:vAlign w:val="center"/>
          </w:tcPr>
          <w:p>
            <w:pPr>
              <w:widowControl/>
              <w:spacing w:line="360" w:lineRule="auto"/>
              <w:jc w:val="center"/>
              <w:textAlignment w:val="center"/>
              <w:rPr>
                <w:color w:val="auto"/>
                <w:kern w:val="0"/>
                <w:sz w:val="24"/>
                <w:highlight w:val="none"/>
                <w:lang w:bidi="ar"/>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4</w:t>
            </w:r>
            <w:r>
              <w:rPr>
                <w:color w:val="auto"/>
                <w:kern w:val="0"/>
                <w:szCs w:val="21"/>
                <w:highlight w:val="none"/>
                <w:lang w:bidi="ar"/>
              </w:rPr>
              <w:t>.4</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网络柜及网络附件</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项</w:t>
            </w:r>
          </w:p>
        </w:tc>
        <w:tc>
          <w:tcPr>
            <w:tcW w:w="1276" w:type="dxa"/>
            <w:vAlign w:val="center"/>
          </w:tcPr>
          <w:p>
            <w:pPr>
              <w:widowControl/>
              <w:spacing w:line="360" w:lineRule="auto"/>
              <w:jc w:val="center"/>
              <w:textAlignment w:val="center"/>
              <w:rPr>
                <w:color w:val="auto"/>
                <w:kern w:val="0"/>
                <w:sz w:val="24"/>
                <w:highlight w:val="none"/>
                <w:lang w:bidi="ar"/>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5</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主干网核心交换机设备（Ⅲ区）</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p>
        </w:tc>
        <w:tc>
          <w:tcPr>
            <w:tcW w:w="1276" w:type="dxa"/>
            <w:vAlign w:val="center"/>
          </w:tcPr>
          <w:p>
            <w:pPr>
              <w:widowControl/>
              <w:spacing w:line="360" w:lineRule="auto"/>
              <w:jc w:val="center"/>
              <w:textAlignment w:val="center"/>
              <w:rPr>
                <w:color w:val="auto"/>
                <w:kern w:val="0"/>
                <w:sz w:val="24"/>
                <w:highlight w:val="none"/>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5</w:t>
            </w:r>
            <w:r>
              <w:rPr>
                <w:color w:val="auto"/>
                <w:kern w:val="0"/>
                <w:szCs w:val="21"/>
                <w:highlight w:val="none"/>
                <w:lang w:bidi="ar"/>
              </w:rPr>
              <w:t>.1</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万兆核心交换机</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1276" w:type="dxa"/>
            <w:vAlign w:val="center"/>
          </w:tcPr>
          <w:p>
            <w:pPr>
              <w:widowControl/>
              <w:spacing w:line="360" w:lineRule="auto"/>
              <w:jc w:val="center"/>
              <w:textAlignment w:val="center"/>
              <w:rPr>
                <w:color w:val="auto"/>
                <w:kern w:val="0"/>
                <w:sz w:val="24"/>
                <w:highlight w:val="none"/>
                <w:lang w:bidi="ar"/>
              </w:rPr>
            </w:pPr>
            <w:r>
              <w:rPr>
                <w:rFonts w:hint="eastAsia"/>
                <w:color w:val="auto"/>
                <w:kern w:val="0"/>
                <w:sz w:val="24"/>
                <w:highlight w:val="none"/>
                <w:lang w:bidi="ar"/>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5</w:t>
            </w:r>
            <w:r>
              <w:rPr>
                <w:color w:val="auto"/>
                <w:kern w:val="0"/>
                <w:szCs w:val="21"/>
                <w:highlight w:val="none"/>
                <w:lang w:bidi="ar"/>
              </w:rPr>
              <w:t>.2</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光接口尾纤等附件</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1276" w:type="dxa"/>
            <w:vAlign w:val="center"/>
          </w:tcPr>
          <w:p>
            <w:pPr>
              <w:widowControl/>
              <w:spacing w:line="360" w:lineRule="auto"/>
              <w:jc w:val="center"/>
              <w:textAlignment w:val="center"/>
              <w:rPr>
                <w:color w:val="auto"/>
                <w:kern w:val="0"/>
                <w:sz w:val="24"/>
                <w:highlight w:val="none"/>
                <w:lang w:bidi="ar"/>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1070" w:type="dxa"/>
            <w:vAlign w:val="center"/>
          </w:tcPr>
          <w:p>
            <w:pPr>
              <w:widowControl/>
              <w:spacing w:line="360" w:lineRule="auto"/>
              <w:jc w:val="center"/>
              <w:textAlignment w:val="center"/>
              <w:rPr>
                <w:color w:val="auto"/>
                <w:kern w:val="0"/>
                <w:szCs w:val="21"/>
                <w:highlight w:val="none"/>
                <w:lang w:bidi="ar"/>
              </w:rPr>
            </w:pPr>
            <w:r>
              <w:rPr>
                <w:color w:val="auto"/>
                <w:kern w:val="0"/>
                <w:szCs w:val="21"/>
                <w:highlight w:val="none"/>
                <w:lang w:bidi="ar"/>
              </w:rPr>
              <w:t>1.</w:t>
            </w:r>
            <w:r>
              <w:rPr>
                <w:rFonts w:hint="eastAsia"/>
                <w:color w:val="auto"/>
                <w:kern w:val="0"/>
                <w:szCs w:val="21"/>
                <w:highlight w:val="none"/>
                <w:lang w:bidi="ar"/>
              </w:rPr>
              <w:t>5</w:t>
            </w:r>
            <w:r>
              <w:rPr>
                <w:color w:val="auto"/>
                <w:kern w:val="0"/>
                <w:szCs w:val="21"/>
                <w:highlight w:val="none"/>
                <w:lang w:bidi="ar"/>
              </w:rPr>
              <w:t>.3</w:t>
            </w:r>
          </w:p>
        </w:tc>
        <w:tc>
          <w:tcPr>
            <w:tcW w:w="5474" w:type="dxa"/>
            <w:vAlign w:val="center"/>
          </w:tcPr>
          <w:p>
            <w:pPr>
              <w:widowControl/>
              <w:spacing w:line="360" w:lineRule="auto"/>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网络柜及网络附件</w:t>
            </w:r>
          </w:p>
        </w:tc>
        <w:tc>
          <w:tcPr>
            <w:tcW w:w="992" w:type="dxa"/>
            <w:vAlign w:val="center"/>
          </w:tcPr>
          <w:p>
            <w:pPr>
              <w:widowControl/>
              <w:spacing w:line="360" w:lineRule="auto"/>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项</w:t>
            </w:r>
          </w:p>
        </w:tc>
        <w:tc>
          <w:tcPr>
            <w:tcW w:w="1276" w:type="dxa"/>
            <w:vAlign w:val="center"/>
          </w:tcPr>
          <w:p>
            <w:pPr>
              <w:widowControl/>
              <w:spacing w:line="360" w:lineRule="auto"/>
              <w:jc w:val="center"/>
              <w:textAlignment w:val="center"/>
              <w:rPr>
                <w:color w:val="auto"/>
                <w:kern w:val="0"/>
                <w:sz w:val="24"/>
                <w:highlight w:val="none"/>
                <w:lang w:bidi="ar"/>
              </w:rPr>
            </w:pPr>
            <w:r>
              <w:rPr>
                <w:color w:val="auto"/>
                <w:kern w:val="0"/>
                <w:sz w:val="24"/>
                <w:highlight w:val="none"/>
                <w:lang w:bidi="ar"/>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6</w:t>
            </w:r>
          </w:p>
        </w:tc>
        <w:tc>
          <w:tcPr>
            <w:tcW w:w="5474" w:type="dxa"/>
            <w:vAlign w:val="center"/>
          </w:tcPr>
          <w:p>
            <w:pPr>
              <w:autoSpaceDE w:val="0"/>
              <w:autoSpaceDN w:val="0"/>
              <w:adjustRightInd w:val="0"/>
              <w:spacing w:line="24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卫星时钟同步对时设备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7</w:t>
            </w:r>
          </w:p>
        </w:tc>
        <w:tc>
          <w:tcPr>
            <w:tcW w:w="5474" w:type="dxa"/>
            <w:vAlign w:val="center"/>
          </w:tcPr>
          <w:p>
            <w:pPr>
              <w:autoSpaceDE w:val="0"/>
              <w:autoSpaceDN w:val="0"/>
              <w:adjustRightInd w:val="0"/>
              <w:spacing w:line="240" w:lineRule="exact"/>
              <w:rPr>
                <w:rFonts w:ascii="Times New Roman" w:hAnsi="Times New Roman" w:cs="Times New Roman"/>
                <w:color w:val="auto"/>
                <w:szCs w:val="21"/>
                <w:highlight w:val="none"/>
                <w:shd w:val="clear" w:color="auto" w:fill="FFFF00"/>
              </w:rPr>
            </w:pPr>
            <w:r>
              <w:rPr>
                <w:rFonts w:hint="eastAsia" w:ascii="Times New Roman" w:hAnsi="Times New Roman" w:cs="Times New Roman"/>
                <w:color w:val="auto"/>
                <w:szCs w:val="21"/>
                <w:highlight w:val="none"/>
              </w:rPr>
              <w:t>屏幕显示系统</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8</w:t>
            </w:r>
          </w:p>
        </w:tc>
        <w:tc>
          <w:tcPr>
            <w:tcW w:w="5474" w:type="dxa"/>
            <w:vAlign w:val="center"/>
          </w:tcPr>
          <w:p>
            <w:pPr>
              <w:autoSpaceDE w:val="0"/>
              <w:autoSpaceDN w:val="0"/>
              <w:adjustRightInd w:val="0"/>
              <w:spacing w:line="24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控制台及座椅</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r>
              <w:rPr>
                <w:rFonts w:hint="eastAsia" w:ascii="Times New Roman" w:hAnsi="Times New Roman" w:cs="Times New Roman"/>
                <w:color w:val="auto"/>
                <w:szCs w:val="21"/>
                <w:highlight w:val="none"/>
              </w:rPr>
              <w:t>9</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网络连接线</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r>
              <w:rPr>
                <w:rFonts w:hint="eastAsia" w:ascii="Times New Roman" w:hAnsi="Times New Roman" w:cs="Times New Roman"/>
                <w:color w:val="auto"/>
                <w:szCs w:val="21"/>
                <w:highlight w:val="none"/>
              </w:rPr>
              <w:t>0</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其它附属设备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r>
              <w:rPr>
                <w:rFonts w:hint="eastAsia" w:ascii="Times New Roman" w:hAnsi="Times New Roman" w:cs="Times New Roman"/>
                <w:color w:val="auto"/>
                <w:szCs w:val="21"/>
                <w:highlight w:val="none"/>
              </w:rPr>
              <w:t>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监控核心软件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r>
              <w:rPr>
                <w:rFonts w:hint="eastAsia" w:ascii="Times New Roman" w:hAnsi="Times New Roman" w:cs="Times New Roman"/>
                <w:color w:val="auto"/>
                <w:szCs w:val="21"/>
                <w:highlight w:val="none"/>
              </w:rPr>
              <w:t>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组态应用软件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r>
              <w:rPr>
                <w:rFonts w:hint="eastAsia" w:ascii="Times New Roman" w:hAnsi="Times New Roman" w:cs="Times New Roman"/>
                <w:color w:val="auto"/>
                <w:szCs w:val="21"/>
                <w:highlight w:val="none"/>
              </w:rPr>
              <w:t>3</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数据库管理软件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厂用电计量系统</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安全防护设备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现地控制单元设备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机组LCU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机组公用LCU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4.3</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全厂公用LCU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4.4</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开关站LCU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5</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上库LCU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6</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下库LCU</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4.7</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水力机械辅助设备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4.7</w:t>
            </w:r>
            <w:r>
              <w:rPr>
                <w:rFonts w:hint="eastAsia" w:ascii="Times New Roman" w:hAnsi="Times New Roman" w:cs="Times New Roman"/>
                <w:color w:val="auto"/>
                <w:szCs w:val="21"/>
                <w:highlight w:val="none"/>
              </w:rPr>
              <w:t>.1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中压气系统PLC控制设备</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7.2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尾水调压井水位采集箱</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8</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中控室紧急控制操作箱</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9</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PLC编程软件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r>
              <w:rPr>
                <w:rFonts w:hint="eastAsia" w:ascii="Times New Roman" w:hAnsi="Times New Roman" w:cs="Times New Roman"/>
                <w:color w:val="auto"/>
                <w:szCs w:val="21"/>
                <w:highlight w:val="none"/>
              </w:rPr>
              <w:t>0</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防水淹厂房系统</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r>
              <w:rPr>
                <w:rFonts w:hint="eastAsia" w:ascii="Times New Roman" w:hAnsi="Times New Roman" w:cs="Times New Roman"/>
                <w:color w:val="auto"/>
                <w:szCs w:val="21"/>
                <w:highlight w:val="none"/>
              </w:rPr>
              <w:t>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独立光纤硬布线紧急操作装置</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r>
              <w:rPr>
                <w:rFonts w:hint="eastAsia" w:ascii="Times New Roman" w:hAnsi="Times New Roman" w:cs="Times New Roman"/>
                <w:color w:val="auto"/>
                <w:szCs w:val="21"/>
                <w:highlight w:val="none"/>
              </w:rPr>
              <w:t>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人机接口、通信等其他软件</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r>
              <w:rPr>
                <w:rFonts w:hint="eastAsia" w:ascii="Times New Roman" w:hAnsi="Times New Roman" w:cs="Times New Roman"/>
                <w:color w:val="auto"/>
                <w:szCs w:val="21"/>
                <w:highlight w:val="none"/>
              </w:rPr>
              <w:t>3</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电缆</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4.1</w:t>
            </w:r>
            <w:r>
              <w:rPr>
                <w:rFonts w:hint="eastAsia" w:ascii="Times New Roman" w:hAnsi="Times New Roman" w:cs="Times New Roman"/>
                <w:color w:val="auto"/>
                <w:szCs w:val="21"/>
                <w:highlight w:val="none"/>
              </w:rPr>
              <w:t>4</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光缆</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光纤配线柜</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color w:val="auto"/>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highlight w:val="none"/>
              </w:rPr>
              <w:t>5.</w:t>
            </w:r>
            <w:r>
              <w:rPr>
                <w:rFonts w:hint="eastAsia" w:ascii="Times New Roman" w:hAnsi="Times New Roman" w:cs="Times New Roman"/>
                <w:color w:val="auto"/>
                <w:highlight w:val="none"/>
              </w:rPr>
              <w:t>1</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color w:val="auto"/>
                <w:highlight w:val="none"/>
              </w:rPr>
              <w:t>地下厂房光纤配线柜</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color w:val="auto"/>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highlight w:val="none"/>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070"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highlight w:val="none"/>
              </w:rPr>
              <w:t>5.</w:t>
            </w:r>
            <w:r>
              <w:rPr>
                <w:rFonts w:hint="eastAsia" w:ascii="Times New Roman" w:hAnsi="Times New Roman" w:cs="Times New Roman"/>
                <w:color w:val="auto"/>
                <w:highlight w:val="none"/>
              </w:rPr>
              <w:t>2</w:t>
            </w:r>
          </w:p>
        </w:tc>
        <w:tc>
          <w:tcPr>
            <w:tcW w:w="5474" w:type="dxa"/>
            <w:vAlign w:val="center"/>
          </w:tcPr>
          <w:p>
            <w:pPr>
              <w:autoSpaceDE w:val="0"/>
              <w:autoSpaceDN w:val="0"/>
              <w:adjustRightInd w:val="0"/>
              <w:spacing w:line="240" w:lineRule="exact"/>
              <w:ind w:left="86" w:leftChars="41"/>
              <w:rPr>
                <w:rFonts w:ascii="Times New Roman" w:hAnsi="Times New Roman" w:cs="Times New Roman"/>
                <w:color w:val="auto"/>
                <w:szCs w:val="21"/>
                <w:highlight w:val="none"/>
              </w:rPr>
            </w:pPr>
            <w:r>
              <w:rPr>
                <w:rFonts w:hint="eastAsia"/>
                <w:color w:val="auto"/>
                <w:highlight w:val="none"/>
              </w:rPr>
              <w:t>开关站光纤配线柜</w:t>
            </w:r>
          </w:p>
        </w:tc>
        <w:tc>
          <w:tcPr>
            <w:tcW w:w="992"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hint="eastAsia"/>
                <w:color w:val="auto"/>
                <w:highlight w:val="none"/>
              </w:rPr>
              <w:t>套</w:t>
            </w:r>
          </w:p>
        </w:tc>
        <w:tc>
          <w:tcPr>
            <w:tcW w:w="1276" w:type="dxa"/>
            <w:vAlign w:val="center"/>
          </w:tcPr>
          <w:p>
            <w:pPr>
              <w:autoSpaceDE w:val="0"/>
              <w:autoSpaceDN w:val="0"/>
              <w:adjustRightInd w:val="0"/>
              <w:spacing w:line="240" w:lineRule="exact"/>
              <w:jc w:val="center"/>
              <w:rPr>
                <w:rFonts w:ascii="Times New Roman" w:hAnsi="Times New Roman" w:cs="Times New Roman"/>
                <w:color w:val="auto"/>
                <w:szCs w:val="21"/>
                <w:highlight w:val="none"/>
              </w:rPr>
            </w:pPr>
            <w:r>
              <w:rPr>
                <w:rFonts w:ascii="Times New Roman" w:hAnsi="Times New Roman" w:cs="Times New Roman"/>
                <w:color w:val="auto"/>
                <w:highlight w:val="none"/>
              </w:rPr>
              <w:t>1</w:t>
            </w:r>
          </w:p>
        </w:tc>
      </w:tr>
    </w:tbl>
    <w:p>
      <w:pPr>
        <w:pStyle w:val="76"/>
        <w:rPr>
          <w:color w:val="auto"/>
          <w:highlight w:val="none"/>
        </w:rPr>
      </w:pPr>
      <w:r>
        <w:rPr>
          <w:rFonts w:hint="eastAsia"/>
          <w:color w:val="auto"/>
          <w:highlight w:val="none"/>
        </w:rPr>
        <w:t>注：开关站</w:t>
      </w:r>
      <w:r>
        <w:rPr>
          <w:color w:val="auto"/>
          <w:szCs w:val="21"/>
          <w:highlight w:val="none"/>
        </w:rPr>
        <w:t>LCU</w:t>
      </w:r>
      <w:r>
        <w:rPr>
          <w:rFonts w:hint="eastAsia"/>
          <w:color w:val="auto"/>
          <w:szCs w:val="21"/>
          <w:highlight w:val="none"/>
        </w:rPr>
        <w:t>屏由高压标负责安装。</w:t>
      </w:r>
    </w:p>
    <w:p>
      <w:pPr>
        <w:pStyle w:val="132"/>
        <w:rPr>
          <w:color w:val="auto"/>
          <w:highlight w:val="none"/>
        </w:rPr>
      </w:pPr>
      <w:bookmarkStart w:id="279" w:name="_Toc14319"/>
      <w:r>
        <w:rPr>
          <w:color w:val="auto"/>
          <w:highlight w:val="none"/>
        </w:rPr>
        <w:t xml:space="preserve">10.2.5 </w:t>
      </w:r>
      <w:r>
        <w:rPr>
          <w:rFonts w:hint="eastAsia"/>
          <w:color w:val="auto"/>
          <w:highlight w:val="none"/>
        </w:rPr>
        <w:t xml:space="preserve"> 系统结构配置</w:t>
      </w:r>
      <w:bookmarkEnd w:id="279"/>
    </w:p>
    <w:p>
      <w:pPr>
        <w:pStyle w:val="76"/>
        <w:jc w:val="both"/>
        <w:rPr>
          <w:color w:val="auto"/>
          <w:highlight w:val="none"/>
        </w:rPr>
      </w:pPr>
      <w:r>
        <w:rPr>
          <w:rFonts w:hint="eastAsia"/>
          <w:color w:val="auto"/>
          <w:highlight w:val="none"/>
        </w:rPr>
        <w:t>监控系统网络按照分层分布的结构进行组网。Ⅰ区站控层网络和Ⅱ区站控层网络应采用双环网冗余网络结构，I区与Ⅱ区网络采用防火墙隔离。Ⅲ区站控层设备网络采用单星网结构方案，与安全Ⅰ、Ⅱ区采用物理装置隔离。</w:t>
      </w:r>
    </w:p>
    <w:p>
      <w:pPr>
        <w:pStyle w:val="76"/>
        <w:jc w:val="both"/>
        <w:rPr>
          <w:color w:val="auto"/>
          <w:highlight w:val="none"/>
        </w:rPr>
      </w:pPr>
      <w:r>
        <w:rPr>
          <w:rFonts w:hint="eastAsia"/>
          <w:color w:val="auto"/>
          <w:highlight w:val="none"/>
        </w:rPr>
        <w:t>站控层安全Ⅰ区网络：</w:t>
      </w:r>
    </w:p>
    <w:p>
      <w:pPr>
        <w:pStyle w:val="76"/>
        <w:jc w:val="both"/>
        <w:rPr>
          <w:color w:val="auto"/>
          <w:highlight w:val="none"/>
        </w:rPr>
      </w:pPr>
      <w:r>
        <w:rPr>
          <w:rFonts w:hint="eastAsia"/>
          <w:color w:val="auto"/>
          <w:highlight w:val="none"/>
        </w:rPr>
        <w:t>在地下厂房配置四套核心以太网交换机。站控层安全Ⅰ区网络拟采用双环形、冗余1000Mbps光纤以太网。站控层Ⅰ区设备(各服务器、工作站等)通过双以太网接口设备与地下厂房2套核心以太网交换机相连。</w:t>
      </w:r>
    </w:p>
    <w:p>
      <w:pPr>
        <w:pStyle w:val="76"/>
        <w:jc w:val="both"/>
        <w:rPr>
          <w:color w:val="auto"/>
          <w:highlight w:val="none"/>
        </w:rPr>
      </w:pPr>
      <w:r>
        <w:rPr>
          <w:rFonts w:hint="eastAsia"/>
          <w:color w:val="auto"/>
          <w:highlight w:val="none"/>
        </w:rPr>
        <w:t>地下厂房现地控制层各LCU和下库现地LCU通过双以太网接口接入各自的2套小型以太网交换机，再接入到地下厂房另外2套核心以太网交换机。开关站LCU和上库现地LCU通过双以太网接口接入各自的2套小型以太网交换机，再接入到开关站的2套核心以太网交换机，再接入到开关站2套核心以太网交换机上述各站点冗余交换机共同组成双环冗余的以太网网络。</w:t>
      </w:r>
    </w:p>
    <w:p>
      <w:pPr>
        <w:pStyle w:val="76"/>
        <w:jc w:val="both"/>
        <w:rPr>
          <w:color w:val="auto"/>
          <w:highlight w:val="none"/>
        </w:rPr>
      </w:pPr>
      <w:r>
        <w:rPr>
          <w:rFonts w:hint="eastAsia"/>
          <w:color w:val="auto"/>
          <w:highlight w:val="none"/>
        </w:rPr>
        <w:t>网络连接介质采用光纤，通信协议采用TCP/IP；网络交换机采用1000Mbps以太网网络交换机，交换机之间采用1000Mbps通信接口连接，交换机与现地层设备(各LCU)、与电站站控层设备(各服务器、工作站等)之间均采用六类网络，满足千兆传输的数据带宽要求。</w:t>
      </w:r>
    </w:p>
    <w:p>
      <w:pPr>
        <w:pStyle w:val="76"/>
        <w:jc w:val="both"/>
        <w:rPr>
          <w:color w:val="auto"/>
          <w:highlight w:val="none"/>
        </w:rPr>
      </w:pPr>
      <w:r>
        <w:rPr>
          <w:rFonts w:hint="eastAsia"/>
          <w:color w:val="auto"/>
          <w:highlight w:val="none"/>
        </w:rPr>
        <w:t>站控层安全Ⅱ区网络：</w:t>
      </w:r>
    </w:p>
    <w:p>
      <w:pPr>
        <w:pStyle w:val="76"/>
        <w:jc w:val="both"/>
        <w:rPr>
          <w:color w:val="auto"/>
          <w:highlight w:val="none"/>
        </w:rPr>
      </w:pPr>
      <w:r>
        <w:rPr>
          <w:rFonts w:hint="eastAsia"/>
          <w:color w:val="auto"/>
          <w:highlight w:val="none"/>
        </w:rPr>
        <w:t>在开关站和地下厂房各设置两套站控层安全Ⅱ区核心以太网交换机。站控层安全Ⅱ区网络拟采用双环形、冗余1000Mbps光纤以太网。站控层Ⅱ区设备(各服务器、工作站等)通过双以太网接口设备与开关站、地下厂房2套核心以太网交换机相连。</w:t>
      </w:r>
    </w:p>
    <w:p>
      <w:pPr>
        <w:pStyle w:val="76"/>
        <w:jc w:val="both"/>
        <w:rPr>
          <w:color w:val="auto"/>
          <w:highlight w:val="none"/>
        </w:rPr>
      </w:pPr>
      <w:r>
        <w:rPr>
          <w:rFonts w:hint="eastAsia"/>
          <w:color w:val="auto"/>
          <w:highlight w:val="none"/>
        </w:rPr>
        <w:t>地下厂房各在线监测系统、电能计量系统、故障录波系统等通过双以太网接口接入地下厂房安全Ⅱ区核心以太网交换机。</w:t>
      </w:r>
    </w:p>
    <w:p>
      <w:pPr>
        <w:pStyle w:val="76"/>
        <w:jc w:val="both"/>
        <w:rPr>
          <w:color w:val="auto"/>
          <w:highlight w:val="none"/>
        </w:rPr>
      </w:pPr>
      <w:r>
        <w:rPr>
          <w:rFonts w:hint="eastAsia"/>
          <w:color w:val="auto"/>
          <w:highlight w:val="none"/>
        </w:rPr>
        <w:t>站控层安全Ⅲ区网络：</w:t>
      </w:r>
    </w:p>
    <w:p>
      <w:pPr>
        <w:pStyle w:val="76"/>
        <w:jc w:val="both"/>
        <w:rPr>
          <w:color w:val="auto"/>
          <w:highlight w:val="none"/>
        </w:rPr>
      </w:pPr>
      <w:r>
        <w:rPr>
          <w:rFonts w:hint="eastAsia"/>
          <w:color w:val="auto"/>
          <w:highlight w:val="none"/>
        </w:rPr>
        <w:t>在地下厂房设置一套站控层安全Ⅲ区核心以太网交换机。站控层安全Ⅲ区网络拟采用单星形、冗余10000Mbps光纤以太网。站控层Ⅲ区设备(各服务器、工作站等)通过单以太网接口设备与地下厂房安全Ⅲ区核心以太网交换机相连；</w:t>
      </w:r>
    </w:p>
    <w:p>
      <w:pPr>
        <w:pStyle w:val="76"/>
        <w:jc w:val="both"/>
        <w:rPr>
          <w:color w:val="auto"/>
          <w:highlight w:val="none"/>
        </w:rPr>
      </w:pPr>
      <w:r>
        <w:rPr>
          <w:rFonts w:hint="eastAsia"/>
          <w:color w:val="auto"/>
          <w:highlight w:val="none"/>
        </w:rPr>
        <w:t>地下厂房工业电视系统、动环监测系统、巡检机器人系统等通过单以太网接口接入地下厂房安全Ⅲ区以太网核心交换机。</w:t>
      </w:r>
    </w:p>
    <w:p>
      <w:pPr>
        <w:pStyle w:val="132"/>
        <w:rPr>
          <w:color w:val="auto"/>
          <w:highlight w:val="none"/>
        </w:rPr>
      </w:pPr>
      <w:r>
        <w:rPr>
          <w:color w:val="auto"/>
          <w:highlight w:val="none"/>
        </w:rPr>
        <w:t>10.2.</w:t>
      </w:r>
      <w:r>
        <w:rPr>
          <w:rFonts w:hint="eastAsia"/>
          <w:color w:val="auto"/>
          <w:highlight w:val="none"/>
        </w:rPr>
        <w:t>6</w:t>
      </w:r>
      <w:r>
        <w:rPr>
          <w:color w:val="auto"/>
          <w:highlight w:val="none"/>
        </w:rPr>
        <w:t xml:space="preserve"> </w:t>
      </w:r>
      <w:r>
        <w:rPr>
          <w:rFonts w:hint="eastAsia"/>
          <w:color w:val="auto"/>
          <w:highlight w:val="none"/>
        </w:rPr>
        <w:t xml:space="preserve"> 系统主要技术特性</w:t>
      </w:r>
    </w:p>
    <w:p>
      <w:pPr>
        <w:keepNext/>
        <w:keepLines/>
        <w:spacing w:line="460" w:lineRule="exact"/>
        <w:outlineLvl w:val="3"/>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10.2.6.1网络通信设备</w:t>
      </w:r>
    </w:p>
    <w:p>
      <w:pPr>
        <w:pStyle w:val="76"/>
        <w:jc w:val="both"/>
        <w:rPr>
          <w:color w:val="auto"/>
          <w:highlight w:val="none"/>
        </w:rPr>
      </w:pPr>
      <w:r>
        <w:rPr>
          <w:rFonts w:hint="eastAsia"/>
          <w:color w:val="auto"/>
          <w:highlight w:val="none"/>
        </w:rPr>
        <w:t>（1）电站内局域网通信采用工业级以太网交换机。</w:t>
      </w:r>
    </w:p>
    <w:p>
      <w:pPr>
        <w:pStyle w:val="76"/>
        <w:jc w:val="both"/>
        <w:rPr>
          <w:color w:val="auto"/>
          <w:highlight w:val="none"/>
        </w:rPr>
      </w:pPr>
      <w:r>
        <w:rPr>
          <w:rFonts w:hint="eastAsia"/>
          <w:color w:val="auto"/>
          <w:highlight w:val="none"/>
        </w:rPr>
        <w:t>（2）电站与南网总调、南网备调、广西中调、广西备调、桂林地调、桂林备调和南网储能公司集控中心监控系统实现数据网通信，远动信息的传输采用电力调度数据网络通信方式。</w:t>
      </w:r>
    </w:p>
    <w:p>
      <w:pPr>
        <w:pStyle w:val="76"/>
        <w:jc w:val="both"/>
        <w:rPr>
          <w:color w:val="auto"/>
          <w:highlight w:val="none"/>
        </w:rPr>
      </w:pPr>
      <w:r>
        <w:rPr>
          <w:rFonts w:hint="eastAsia"/>
          <w:color w:val="auto"/>
          <w:highlight w:val="none"/>
        </w:rPr>
        <w:t>（3）监控系统与闸门控制系统、机组附属和辅助设备控制系统、全厂工业电视系统、门禁系统、通信电源系统、全厂消防及火灾报警控制系统、全厂通风空调监控系统等设备进行数据通信，并通过厂内通信工作站与电厂管理信息系统等进行数据通信。</w:t>
      </w:r>
    </w:p>
    <w:p>
      <w:pPr>
        <w:keepNext/>
        <w:keepLines/>
        <w:spacing w:line="460" w:lineRule="exact"/>
        <w:outlineLvl w:val="3"/>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10.2.6.2独立光纤硬布线紧急操作系统</w:t>
      </w:r>
    </w:p>
    <w:p>
      <w:pPr>
        <w:pStyle w:val="76"/>
        <w:jc w:val="both"/>
        <w:rPr>
          <w:color w:val="auto"/>
          <w:highlight w:val="none"/>
        </w:rPr>
      </w:pPr>
      <w:r>
        <w:rPr>
          <w:rFonts w:hint="eastAsia"/>
          <w:color w:val="auto"/>
          <w:highlight w:val="none"/>
        </w:rPr>
        <w:t>在电站中控室设1套机组、尾闸及上库事故闸门、水淹厂房紧急控制操作箱，该操作箱配置带保护罩的紧急按钮及光纤通信接口装置。在电厂发电机层机组公用LCU屏柜上设置一套水淹厂房紧急操作按钮，配置带保护罩的紧急按钮及光纤通信接口装置。中控室紧急控制操作箱与水淹厂房紧急操作按钮、上库闸门控制柜之间形成独立于原有主光纤通道的紧急控制用光纤环网。</w:t>
      </w:r>
    </w:p>
    <w:p>
      <w:pPr>
        <w:pStyle w:val="76"/>
        <w:jc w:val="both"/>
        <w:rPr>
          <w:color w:val="auto"/>
          <w:highlight w:val="none"/>
        </w:rPr>
      </w:pPr>
      <w:r>
        <w:rPr>
          <w:rFonts w:hint="eastAsia"/>
          <w:color w:val="auto"/>
          <w:highlight w:val="none"/>
        </w:rPr>
        <w:t>当电站出现危险情况需要在中控室紧急关闭运行机组和相应球阀时，按下机组紧急停机按钮，通过光纤通信接口装置输出紧急停机信号至相应机组紧急关闭回路，实现对机组的紧急停机和紧急关闭球阀。</w:t>
      </w:r>
    </w:p>
    <w:p>
      <w:pPr>
        <w:pStyle w:val="76"/>
        <w:jc w:val="both"/>
        <w:rPr>
          <w:color w:val="auto"/>
          <w:highlight w:val="none"/>
        </w:rPr>
      </w:pPr>
      <w:r>
        <w:rPr>
          <w:rFonts w:hint="eastAsia"/>
          <w:color w:val="auto"/>
          <w:highlight w:val="none"/>
        </w:rPr>
        <w:t>当电站出现危险情况需要在中控室紧急关闭尾水闸门时，按下紧急关尾水闸门按钮，通过光纤通信接口装置输出紧急关闸门信号至尾水闸门控制柜，不经过PLC实现对尾水闸门紧急关闭功能，同时输出紧急停机信号至每台机组紧急关闭回路实现对机组的紧急停机和紧急关闭球阀功能。</w:t>
      </w:r>
    </w:p>
    <w:p>
      <w:pPr>
        <w:pStyle w:val="76"/>
        <w:jc w:val="both"/>
        <w:rPr>
          <w:color w:val="auto"/>
          <w:highlight w:val="none"/>
        </w:rPr>
      </w:pPr>
      <w:r>
        <w:rPr>
          <w:rFonts w:hint="eastAsia"/>
          <w:color w:val="auto"/>
          <w:highlight w:val="none"/>
        </w:rPr>
        <w:t>当电站出现危险情况需要在中控室紧急关闭上库进出口闸门时，按下紧急关上库进出口闸门按钮，通过光纤通信接口装置输出紧急关闸门信号至上库闸门控制柜，不经过PLC实现对上库进出口闸门紧急关闭功能。</w:t>
      </w:r>
    </w:p>
    <w:p>
      <w:pPr>
        <w:pStyle w:val="76"/>
        <w:jc w:val="both"/>
        <w:rPr>
          <w:color w:val="auto"/>
          <w:highlight w:val="none"/>
        </w:rPr>
      </w:pPr>
      <w:r>
        <w:rPr>
          <w:rFonts w:hint="eastAsia"/>
          <w:color w:val="auto"/>
          <w:highlight w:val="none"/>
        </w:rPr>
        <w:t>当电站出现危险情况时，可在发电机层机组公用LCU屏柜上启动水淹厂房按钮，通过独立于监控系统的硬布线直接作用于机组停机、尾水闸门关闭，并配置光纤通信接口装置，光纤通信接口装置应通过独立光缆至上库闸门控制柜，以关闭上库事故闸门。水淹厂房按钮直接启动独立的厂房报警系统，厂房报警系统由其他标建设，但投标方应提供接口。</w:t>
      </w:r>
    </w:p>
    <w:p>
      <w:pPr>
        <w:pStyle w:val="76"/>
        <w:jc w:val="both"/>
        <w:rPr>
          <w:color w:val="auto"/>
          <w:highlight w:val="none"/>
        </w:rPr>
      </w:pPr>
      <w:r>
        <w:rPr>
          <w:rFonts w:hint="eastAsia"/>
          <w:color w:val="auto"/>
          <w:highlight w:val="none"/>
        </w:rPr>
        <w:t>紧急控制操作箱内配置2套光端机，一套用于接收手动按钮发出的机组跳闸、紧急落尾闸和水淹厂房动作等信号，然后通过光纤通信发送给机组公用LCU柜内的光端机。一套用于接收手动按钮发出的紧急落上库闸闸和水淹厂房动作等信号，然后通过光纤通信发送给上库LCU柜内的光端机。</w:t>
      </w:r>
    </w:p>
    <w:p>
      <w:pPr>
        <w:pStyle w:val="76"/>
        <w:jc w:val="both"/>
        <w:rPr>
          <w:color w:val="auto"/>
          <w:highlight w:val="none"/>
        </w:rPr>
      </w:pPr>
      <w:r>
        <w:rPr>
          <w:rFonts w:hint="eastAsia"/>
          <w:color w:val="auto"/>
          <w:highlight w:val="none"/>
        </w:rPr>
        <w:t>以上紧急按钮控制逻辑为初步方案，具体方案在设计联络会时确定。</w:t>
      </w:r>
    </w:p>
    <w:p>
      <w:pPr>
        <w:keepNext/>
        <w:keepLines/>
        <w:spacing w:line="460" w:lineRule="exact"/>
        <w:outlineLvl w:val="3"/>
        <w:rPr>
          <w:rFonts w:hint="eastAsia" w:hAnsi="宋体"/>
          <w:color w:val="auto"/>
          <w:highlight w:val="none"/>
        </w:rPr>
      </w:pPr>
      <w:r>
        <w:rPr>
          <w:rFonts w:ascii="Times New Roman" w:hAnsi="宋体" w:cs="Times New Roman"/>
          <w:color w:val="auto"/>
          <w:kern w:val="0"/>
          <w:sz w:val="24"/>
          <w:szCs w:val="24"/>
          <w:highlight w:val="none"/>
        </w:rPr>
        <w:t>10.2.6.3</w:t>
      </w:r>
      <w:r>
        <w:rPr>
          <w:rFonts w:hint="eastAsia" w:ascii="Times New Roman" w:hAnsi="宋体" w:cs="Times New Roman"/>
          <w:color w:val="auto"/>
          <w:kern w:val="0"/>
          <w:sz w:val="24"/>
          <w:szCs w:val="24"/>
          <w:highlight w:val="none"/>
        </w:rPr>
        <w:t>防水淹厂房系统</w:t>
      </w:r>
    </w:p>
    <w:p>
      <w:pPr>
        <w:pStyle w:val="76"/>
        <w:rPr>
          <w:color w:val="auto"/>
          <w:highlight w:val="none"/>
        </w:rPr>
      </w:pPr>
      <w:r>
        <w:rPr>
          <w:rFonts w:hint="eastAsia"/>
          <w:color w:val="auto"/>
          <w:highlight w:val="none"/>
        </w:rPr>
        <w:t>（1）.控制对象及设备布置</w:t>
      </w:r>
    </w:p>
    <w:p>
      <w:pPr>
        <w:pStyle w:val="76"/>
        <w:rPr>
          <w:color w:val="auto"/>
          <w:highlight w:val="none"/>
        </w:rPr>
      </w:pPr>
      <w:r>
        <w:rPr>
          <w:rFonts w:hint="eastAsia"/>
          <w:color w:val="auto"/>
          <w:highlight w:val="none"/>
        </w:rPr>
        <w:t>水力量测系统提供3套水淹厂房报警装置安装于主厂房集水廊道，装置报警信号以I/O硬接线方式接入机组公用LCU。每套水淹厂房报警装置至少包括2对触点输出，其中一对触电用来接入PLC，另外一组跳闸信号送至继电器搭建水淹厂房硬布线跳闸回路。</w:t>
      </w:r>
    </w:p>
    <w:p>
      <w:pPr>
        <w:pStyle w:val="76"/>
        <w:rPr>
          <w:color w:val="auto"/>
          <w:highlight w:val="none"/>
        </w:rPr>
      </w:pPr>
      <w:r>
        <w:rPr>
          <w:rFonts w:hint="eastAsia"/>
          <w:color w:val="auto"/>
          <w:highlight w:val="none"/>
        </w:rPr>
        <w:t>（2）.控制设备技术要求</w:t>
      </w:r>
    </w:p>
    <w:p>
      <w:pPr>
        <w:pStyle w:val="76"/>
        <w:rPr>
          <w:color w:val="auto"/>
          <w:highlight w:val="none"/>
        </w:rPr>
      </w:pPr>
      <w:r>
        <w:rPr>
          <w:rFonts w:hint="eastAsia"/>
          <w:color w:val="auto"/>
          <w:highlight w:val="none"/>
        </w:rPr>
        <w:t>在机组公用LCU盘柜面板上设置水淹厂房手动按钮，按钮应设置防误碰机构，按钮按下后需采用钥匙复归。当按下水淹厂房手动按钮后，一方面通过扩展继电器动作所有机组跳闸并落尾闸(同时由机组公用LCU通信给机组LCU跳闸并落尾闸)，一方面通过光端机送信号至上库落上库闸门。</w:t>
      </w:r>
    </w:p>
    <w:p>
      <w:pPr>
        <w:pStyle w:val="76"/>
        <w:jc w:val="both"/>
        <w:rPr>
          <w:color w:val="auto"/>
          <w:highlight w:val="none"/>
        </w:rPr>
      </w:pPr>
      <w:r>
        <w:rPr>
          <w:rFonts w:hint="eastAsia"/>
          <w:color w:val="auto"/>
          <w:highlight w:val="none"/>
        </w:rPr>
        <w:t>硬布线回路中任意2套组合同时动作，触发水淹厂房动作信号，通过硬布线落所有机组尾闸，并通过硬布线触发所有机组QSD跳闸及落尾闸。机组公用LCU PLC程序中任意2路水淹厂房信号动作，触发水淹厂房动作信号，通过硬布线落所有机组尾闸，并通过硬布线和通信方式触发全部机组QSD停机及落尾闸；当有任意一个水淹厂房位置传感器动作时，应送报警至监控系统。</w:t>
      </w:r>
    </w:p>
    <w:p>
      <w:pPr>
        <w:pStyle w:val="76"/>
        <w:jc w:val="both"/>
        <w:rPr>
          <w:color w:val="auto"/>
          <w:highlight w:val="none"/>
        </w:rPr>
      </w:pPr>
      <w:r>
        <w:rPr>
          <w:rFonts w:hint="eastAsia"/>
          <w:color w:val="auto"/>
          <w:highlight w:val="none"/>
        </w:rPr>
        <w:t>当满足以下任意一个条件时，应触发机组停机、关闭尾水闸门和上库闸门。</w:t>
      </w:r>
    </w:p>
    <w:p>
      <w:pPr>
        <w:pStyle w:val="76"/>
        <w:jc w:val="both"/>
        <w:rPr>
          <w:color w:val="auto"/>
          <w:highlight w:val="none"/>
        </w:rPr>
      </w:pPr>
      <w:r>
        <w:rPr>
          <w:rFonts w:hint="eastAsia"/>
          <w:color w:val="auto"/>
          <w:highlight w:val="none"/>
        </w:rPr>
        <w:t>1）机组公用LCU水淹厂房按钮动作；</w:t>
      </w:r>
    </w:p>
    <w:p>
      <w:pPr>
        <w:pStyle w:val="76"/>
        <w:jc w:val="both"/>
        <w:rPr>
          <w:color w:val="auto"/>
          <w:highlight w:val="none"/>
        </w:rPr>
      </w:pPr>
      <w:r>
        <w:rPr>
          <w:rFonts w:hint="eastAsia"/>
          <w:color w:val="auto"/>
          <w:highlight w:val="none"/>
        </w:rPr>
        <w:t>2）中控室紧停箱水淹厂房按钮动作；</w:t>
      </w:r>
    </w:p>
    <w:p>
      <w:pPr>
        <w:pStyle w:val="132"/>
        <w:rPr>
          <w:rFonts w:hint="eastAsia"/>
          <w:color w:val="auto"/>
          <w:highlight w:val="none"/>
        </w:rPr>
      </w:pPr>
      <w:r>
        <w:rPr>
          <w:rFonts w:hint="eastAsia"/>
          <w:color w:val="auto"/>
          <w:highlight w:val="none"/>
        </w:rPr>
        <w:t>3）水淹厂房传感器3选2动作。</w:t>
      </w:r>
      <w:bookmarkStart w:id="280" w:name="_Toc4396"/>
    </w:p>
    <w:p>
      <w:pPr>
        <w:pStyle w:val="132"/>
        <w:rPr>
          <w:color w:val="auto"/>
          <w:highlight w:val="none"/>
        </w:rPr>
      </w:pPr>
      <w:r>
        <w:rPr>
          <w:color w:val="auto"/>
          <w:highlight w:val="none"/>
        </w:rPr>
        <w:t>10.2.</w:t>
      </w:r>
      <w:r>
        <w:rPr>
          <w:rFonts w:hint="eastAsia"/>
          <w:color w:val="auto"/>
          <w:highlight w:val="none"/>
        </w:rPr>
        <w:t>7  服务器技术特性</w:t>
      </w:r>
      <w:bookmarkEnd w:id="280"/>
    </w:p>
    <w:p>
      <w:pPr>
        <w:pStyle w:val="76"/>
        <w:jc w:val="both"/>
        <w:rPr>
          <w:color w:val="auto"/>
          <w:highlight w:val="none"/>
        </w:rPr>
      </w:pPr>
      <w:r>
        <w:rPr>
          <w:rFonts w:hint="eastAsia"/>
          <w:color w:val="auto"/>
          <w:highlight w:val="none"/>
        </w:rPr>
        <w:t>服务器均采用机架式双机冗余配置。正常情况一台工作，一台热备用，工作计算机故障，则由备用计算机接替，自动完成双机无扰动切换。</w:t>
      </w:r>
    </w:p>
    <w:p>
      <w:pPr>
        <w:pStyle w:val="132"/>
        <w:rPr>
          <w:color w:val="auto"/>
          <w:highlight w:val="none"/>
          <w:lang w:val="en-US"/>
        </w:rPr>
      </w:pPr>
      <w:bookmarkStart w:id="281" w:name="_Toc16981"/>
      <w:r>
        <w:rPr>
          <w:color w:val="auto"/>
          <w:highlight w:val="none"/>
          <w:lang w:val="en-US"/>
        </w:rPr>
        <w:t>10.2.</w:t>
      </w:r>
      <w:r>
        <w:rPr>
          <w:rFonts w:hint="eastAsia"/>
          <w:color w:val="auto"/>
          <w:highlight w:val="none"/>
          <w:lang w:val="en-US"/>
        </w:rPr>
        <w:t>8  大屏幕显示系统及附件</w:t>
      </w:r>
      <w:r>
        <w:rPr>
          <w:rFonts w:hint="eastAsia"/>
          <w:color w:val="auto"/>
          <w:highlight w:val="none"/>
        </w:rPr>
        <w:t>技术特性</w:t>
      </w:r>
      <w:bookmarkEnd w:id="281"/>
    </w:p>
    <w:p>
      <w:pPr>
        <w:pStyle w:val="76"/>
        <w:jc w:val="center"/>
        <w:rPr>
          <w:strike w:val="0"/>
          <w:color w:val="auto"/>
          <w:highlight w:val="none"/>
        </w:rPr>
      </w:pPr>
      <w:r>
        <w:rPr>
          <w:rFonts w:hint="eastAsia"/>
          <w:strike w:val="0"/>
          <w:color w:val="auto"/>
          <w:highlight w:val="none"/>
        </w:rPr>
        <w:t>大屏各部分尺寸规格如下表：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1567"/>
        <w:gridCol w:w="5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spacing w:line="276" w:lineRule="auto"/>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名称</w:t>
            </w:r>
          </w:p>
        </w:tc>
        <w:tc>
          <w:tcPr>
            <w:tcW w:w="1567" w:type="dxa"/>
            <w:vAlign w:val="center"/>
          </w:tcPr>
          <w:p>
            <w:pPr>
              <w:spacing w:line="276" w:lineRule="auto"/>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规格</w:t>
            </w:r>
          </w:p>
        </w:tc>
        <w:tc>
          <w:tcPr>
            <w:tcW w:w="5518" w:type="dxa"/>
            <w:vAlign w:val="center"/>
          </w:tcPr>
          <w:p>
            <w:pPr>
              <w:spacing w:line="276" w:lineRule="auto"/>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211" w:type="dxa"/>
            <w:vAlign w:val="center"/>
          </w:tcPr>
          <w:p>
            <w:pP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总尺寸</w:t>
            </w:r>
          </w:p>
        </w:tc>
        <w:tc>
          <w:tcPr>
            <w:tcW w:w="1567" w:type="dxa"/>
            <w:vAlign w:val="center"/>
          </w:tcPr>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长：</w:t>
            </w:r>
            <w:r>
              <w:rPr>
                <w:rFonts w:ascii="Times New Roman" w:hAnsi="Times New Roman" w:cs="Times New Roman"/>
                <w:strike w:val="0"/>
                <w:color w:val="auto"/>
                <w:spacing w:val="6"/>
                <w:sz w:val="22"/>
                <w:szCs w:val="21"/>
                <w:highlight w:val="none"/>
              </w:rPr>
              <w:t>9.6</w:t>
            </w:r>
            <w:r>
              <w:rPr>
                <w:rFonts w:hint="eastAsia" w:ascii="Times New Roman" w:hAnsi="Times New Roman" w:cs="Times New Roman"/>
                <w:strike w:val="0"/>
                <w:color w:val="auto"/>
                <w:spacing w:val="6"/>
                <w:sz w:val="22"/>
                <w:szCs w:val="21"/>
                <w:highlight w:val="none"/>
              </w:rPr>
              <w:t>米</w:t>
            </w:r>
          </w:p>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高：</w:t>
            </w:r>
            <w:r>
              <w:rPr>
                <w:rFonts w:ascii="Times New Roman" w:hAnsi="Times New Roman" w:cs="Times New Roman"/>
                <w:strike w:val="0"/>
                <w:color w:val="auto"/>
                <w:spacing w:val="6"/>
                <w:sz w:val="22"/>
                <w:szCs w:val="21"/>
                <w:highlight w:val="none"/>
              </w:rPr>
              <w:t>3.8</w:t>
            </w:r>
            <w:r>
              <w:rPr>
                <w:rFonts w:hint="eastAsia" w:ascii="Times New Roman" w:hAnsi="Times New Roman" w:cs="Times New Roman"/>
                <w:strike w:val="0"/>
                <w:color w:val="auto"/>
                <w:spacing w:val="6"/>
                <w:sz w:val="22"/>
                <w:szCs w:val="21"/>
                <w:highlight w:val="none"/>
              </w:rPr>
              <w:t>米</w:t>
            </w:r>
          </w:p>
        </w:tc>
        <w:tc>
          <w:tcPr>
            <w:tcW w:w="5518" w:type="dxa"/>
            <w:vAlign w:val="center"/>
          </w:tcPr>
          <w:p>
            <w:pPr>
              <w:jc w:val="left"/>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其中</w:t>
            </w:r>
            <w:r>
              <w:rPr>
                <w:rFonts w:ascii="Times New Roman" w:hAnsi="Times New Roman" w:cs="Times New Roman"/>
                <w:strike w:val="0"/>
                <w:color w:val="auto"/>
                <w:spacing w:val="6"/>
                <w:sz w:val="22"/>
                <w:szCs w:val="21"/>
                <w:highlight w:val="none"/>
              </w:rPr>
              <w:t>LED</w:t>
            </w:r>
            <w:r>
              <w:rPr>
                <w:rFonts w:hint="eastAsia" w:ascii="Times New Roman" w:hAnsi="Times New Roman" w:cs="Times New Roman"/>
                <w:strike w:val="0"/>
                <w:color w:val="auto"/>
                <w:spacing w:val="6"/>
                <w:sz w:val="22"/>
                <w:szCs w:val="21"/>
                <w:highlight w:val="none"/>
              </w:rPr>
              <w:t>大屏尺寸为长</w:t>
            </w:r>
            <w:r>
              <w:rPr>
                <w:rFonts w:ascii="Times New Roman" w:hAnsi="Times New Roman" w:cs="Times New Roman"/>
                <w:strike w:val="0"/>
                <w:color w:val="auto"/>
                <w:spacing w:val="6"/>
                <w:sz w:val="22"/>
                <w:szCs w:val="21"/>
                <w:highlight w:val="none"/>
              </w:rPr>
              <w:t>9.6</w:t>
            </w:r>
            <w:r>
              <w:rPr>
                <w:rFonts w:hint="eastAsia" w:ascii="Times New Roman" w:hAnsi="Times New Roman" w:cs="Times New Roman"/>
                <w:strike w:val="0"/>
                <w:color w:val="auto"/>
                <w:spacing w:val="6"/>
                <w:sz w:val="22"/>
                <w:szCs w:val="21"/>
                <w:highlight w:val="none"/>
              </w:rPr>
              <w:t>米，宽</w:t>
            </w:r>
            <w:r>
              <w:rPr>
                <w:rFonts w:ascii="Times New Roman" w:hAnsi="Times New Roman" w:cs="Times New Roman"/>
                <w:strike w:val="0"/>
                <w:color w:val="auto"/>
                <w:spacing w:val="6"/>
                <w:sz w:val="22"/>
                <w:szCs w:val="21"/>
                <w:highlight w:val="none"/>
              </w:rPr>
              <w:t>3</w:t>
            </w:r>
            <w:r>
              <w:rPr>
                <w:rFonts w:hint="eastAsia" w:ascii="Times New Roman" w:hAnsi="Times New Roman" w:cs="Times New Roman"/>
                <w:strike w:val="0"/>
                <w:color w:val="auto"/>
                <w:spacing w:val="6"/>
                <w:sz w:val="22"/>
                <w:szCs w:val="21"/>
                <w:highlight w:val="none"/>
              </w:rPr>
              <w:t>米，大屏支撑底座长</w:t>
            </w:r>
            <w:r>
              <w:rPr>
                <w:rFonts w:ascii="Times New Roman" w:hAnsi="Times New Roman" w:cs="Times New Roman"/>
                <w:strike w:val="0"/>
                <w:color w:val="auto"/>
                <w:spacing w:val="6"/>
                <w:sz w:val="22"/>
                <w:szCs w:val="21"/>
                <w:highlight w:val="none"/>
              </w:rPr>
              <w:t>9.6</w:t>
            </w:r>
            <w:r>
              <w:rPr>
                <w:rFonts w:hint="eastAsia" w:ascii="Times New Roman" w:hAnsi="Times New Roman" w:cs="Times New Roman"/>
                <w:strike w:val="0"/>
                <w:color w:val="auto"/>
                <w:spacing w:val="6"/>
                <w:sz w:val="22"/>
                <w:szCs w:val="21"/>
                <w:highlight w:val="none"/>
              </w:rPr>
              <w:t>米，高</w:t>
            </w:r>
            <w:r>
              <w:rPr>
                <w:rFonts w:ascii="Times New Roman" w:hAnsi="Times New Roman" w:cs="Times New Roman"/>
                <w:strike w:val="0"/>
                <w:color w:val="auto"/>
                <w:spacing w:val="6"/>
                <w:sz w:val="22"/>
                <w:szCs w:val="21"/>
                <w:highlight w:val="none"/>
              </w:rPr>
              <w:t>0.8</w:t>
            </w:r>
            <w:r>
              <w:rPr>
                <w:rFonts w:hint="eastAsia" w:ascii="Times New Roman" w:hAnsi="Times New Roman" w:cs="Times New Roman"/>
                <w:strike w:val="0"/>
                <w:color w:val="auto"/>
                <w:spacing w:val="6"/>
                <w:sz w:val="22"/>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211" w:type="dxa"/>
            <w:vAlign w:val="center"/>
          </w:tcPr>
          <w:p>
            <w:pPr>
              <w:rPr>
                <w:rFonts w:ascii="Times New Roman" w:hAnsi="Times New Roman" w:cs="Times New Roman"/>
                <w:strike w:val="0"/>
                <w:color w:val="auto"/>
                <w:spacing w:val="6"/>
                <w:sz w:val="22"/>
                <w:szCs w:val="21"/>
                <w:highlight w:val="none"/>
              </w:rPr>
            </w:pPr>
            <w:r>
              <w:rPr>
                <w:rFonts w:ascii="Times New Roman" w:hAnsi="Times New Roman" w:cs="Times New Roman"/>
                <w:strike w:val="0"/>
                <w:color w:val="auto"/>
                <w:spacing w:val="6"/>
                <w:sz w:val="22"/>
                <w:szCs w:val="21"/>
                <w:highlight w:val="none"/>
              </w:rPr>
              <w:t>LED</w:t>
            </w:r>
            <w:r>
              <w:rPr>
                <w:rFonts w:hint="eastAsia" w:ascii="Times New Roman" w:hAnsi="Times New Roman" w:cs="Times New Roman"/>
                <w:strike w:val="0"/>
                <w:color w:val="auto"/>
                <w:spacing w:val="6"/>
                <w:sz w:val="22"/>
                <w:szCs w:val="21"/>
                <w:highlight w:val="none"/>
              </w:rPr>
              <w:t>大屏（包括四周包边）</w:t>
            </w:r>
          </w:p>
        </w:tc>
        <w:tc>
          <w:tcPr>
            <w:tcW w:w="1567" w:type="dxa"/>
            <w:vAlign w:val="center"/>
          </w:tcPr>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长：</w:t>
            </w:r>
            <w:r>
              <w:rPr>
                <w:rFonts w:ascii="Times New Roman" w:hAnsi="Times New Roman" w:cs="Times New Roman"/>
                <w:strike w:val="0"/>
                <w:color w:val="auto"/>
                <w:spacing w:val="6"/>
                <w:sz w:val="22"/>
                <w:szCs w:val="21"/>
                <w:highlight w:val="none"/>
              </w:rPr>
              <w:t>9.6</w:t>
            </w:r>
            <w:r>
              <w:rPr>
                <w:rFonts w:hint="eastAsia" w:ascii="Times New Roman" w:hAnsi="Times New Roman" w:cs="Times New Roman"/>
                <w:strike w:val="0"/>
                <w:color w:val="auto"/>
                <w:spacing w:val="6"/>
                <w:sz w:val="22"/>
                <w:szCs w:val="21"/>
                <w:highlight w:val="none"/>
              </w:rPr>
              <w:t>米</w:t>
            </w:r>
          </w:p>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高：</w:t>
            </w:r>
            <w:r>
              <w:rPr>
                <w:rFonts w:ascii="Times New Roman" w:hAnsi="Times New Roman" w:cs="Times New Roman"/>
                <w:strike w:val="0"/>
                <w:color w:val="auto"/>
                <w:spacing w:val="6"/>
                <w:sz w:val="22"/>
                <w:szCs w:val="21"/>
                <w:highlight w:val="none"/>
              </w:rPr>
              <w:t>3.0</w:t>
            </w:r>
            <w:r>
              <w:rPr>
                <w:rFonts w:hint="eastAsia" w:ascii="Times New Roman" w:hAnsi="Times New Roman" w:cs="Times New Roman"/>
                <w:strike w:val="0"/>
                <w:color w:val="auto"/>
                <w:spacing w:val="6"/>
                <w:sz w:val="22"/>
                <w:szCs w:val="21"/>
                <w:highlight w:val="none"/>
              </w:rPr>
              <w:t>米</w:t>
            </w:r>
          </w:p>
        </w:tc>
        <w:tc>
          <w:tcPr>
            <w:tcW w:w="5518" w:type="dxa"/>
            <w:vAlign w:val="center"/>
          </w:tcPr>
          <w:p>
            <w:pPr>
              <w:jc w:val="left"/>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采用</w:t>
            </w:r>
            <w:r>
              <w:rPr>
                <w:rFonts w:ascii="Times New Roman" w:hAnsi="Times New Roman" w:cs="Times New Roman"/>
                <w:strike w:val="0"/>
                <w:color w:val="auto"/>
                <w:spacing w:val="6"/>
                <w:sz w:val="22"/>
                <w:szCs w:val="21"/>
                <w:highlight w:val="none"/>
              </w:rPr>
              <w:t>LED COB</w:t>
            </w:r>
            <w:r>
              <w:rPr>
                <w:rFonts w:hint="eastAsia" w:ascii="Times New Roman" w:hAnsi="Times New Roman" w:cs="Times New Roman"/>
                <w:strike w:val="0"/>
                <w:color w:val="auto"/>
                <w:spacing w:val="6"/>
                <w:sz w:val="22"/>
                <w:szCs w:val="21"/>
                <w:highlight w:val="none"/>
              </w:rPr>
              <w:t>阵列显示单元，点间距</w:t>
            </w:r>
            <w:r>
              <w:rPr>
                <w:rFonts w:ascii="Times New Roman" w:hAnsi="Times New Roman" w:cs="Times New Roman"/>
                <w:strike w:val="0"/>
                <w:color w:val="auto"/>
                <w:spacing w:val="6"/>
                <w:sz w:val="22"/>
                <w:szCs w:val="21"/>
                <w:highlight w:val="none"/>
              </w:rPr>
              <w:t xml:space="preserve">P 1.2  </w:t>
            </w:r>
            <w:r>
              <w:rPr>
                <w:rFonts w:hint="eastAsia" w:ascii="Times New Roman" w:hAnsi="Times New Roman" w:cs="Times New Roman"/>
                <w:strike w:val="0"/>
                <w:color w:val="auto"/>
                <w:spacing w:val="6"/>
                <w:sz w:val="22"/>
                <w:szCs w:val="21"/>
                <w:highlight w:val="none"/>
              </w:rPr>
              <w:t>物理显示分辨率约</w:t>
            </w:r>
            <w:r>
              <w:rPr>
                <w:rFonts w:ascii="Times New Roman" w:hAnsi="Times New Roman" w:cs="Times New Roman"/>
                <w:strike w:val="0"/>
                <w:color w:val="auto"/>
                <w:spacing w:val="6"/>
                <w:sz w:val="22"/>
                <w:szCs w:val="21"/>
                <w:highlight w:val="none"/>
              </w:rPr>
              <w:t>(7680×2430)</w:t>
            </w:r>
            <w:r>
              <w:rPr>
                <w:rFonts w:hint="eastAsia" w:ascii="Times New Roman" w:hAnsi="Times New Roman" w:cs="Times New Roman"/>
                <w:strike w:val="0"/>
                <w:color w:val="auto"/>
                <w:spacing w:val="6"/>
                <w:sz w:val="22"/>
                <w:szCs w:val="21"/>
                <w:highlight w:val="none"/>
              </w:rPr>
              <w:t>，</w:t>
            </w:r>
            <w:r>
              <w:rPr>
                <w:rFonts w:ascii="Times New Roman" w:hAnsi="Times New Roman" w:cs="Times New Roman"/>
                <w:strike w:val="0"/>
                <w:color w:val="auto"/>
                <w:spacing w:val="6"/>
                <w:sz w:val="22"/>
                <w:szCs w:val="21"/>
                <w:highlight w:val="none"/>
              </w:rPr>
              <w:t>LED</w:t>
            </w:r>
            <w:r>
              <w:rPr>
                <w:rFonts w:hint="eastAsia" w:ascii="Times New Roman" w:hAnsi="Times New Roman" w:cs="Times New Roman"/>
                <w:strike w:val="0"/>
                <w:color w:val="auto"/>
                <w:spacing w:val="6"/>
                <w:sz w:val="22"/>
                <w:szCs w:val="21"/>
                <w:highlight w:val="none"/>
              </w:rPr>
              <w:t>四周进行包边处理（包边采用</w:t>
            </w:r>
            <w:r>
              <w:rPr>
                <w:rFonts w:ascii="Times New Roman" w:hAnsi="Times New Roman" w:cs="Times New Roman"/>
                <w:strike w:val="0"/>
                <w:color w:val="auto"/>
                <w:spacing w:val="6"/>
                <w:sz w:val="22"/>
                <w:szCs w:val="21"/>
                <w:highlight w:val="none"/>
              </w:rPr>
              <w:t>5cm</w:t>
            </w:r>
            <w:r>
              <w:rPr>
                <w:rFonts w:hint="eastAsia" w:ascii="Times New Roman" w:hAnsi="Times New Roman" w:cs="Times New Roman"/>
                <w:strike w:val="0"/>
                <w:color w:val="auto"/>
                <w:spacing w:val="6"/>
                <w:sz w:val="22"/>
                <w:szCs w:val="21"/>
                <w:highlight w:val="none"/>
              </w:rPr>
              <w:t>不锈钢材料）。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底座</w:t>
            </w:r>
          </w:p>
        </w:tc>
        <w:tc>
          <w:tcPr>
            <w:tcW w:w="1567" w:type="dxa"/>
            <w:vAlign w:val="center"/>
          </w:tcPr>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长：</w:t>
            </w:r>
            <w:r>
              <w:rPr>
                <w:rFonts w:ascii="Times New Roman" w:hAnsi="Times New Roman" w:cs="Times New Roman"/>
                <w:strike w:val="0"/>
                <w:color w:val="auto"/>
                <w:spacing w:val="6"/>
                <w:sz w:val="22"/>
                <w:szCs w:val="21"/>
                <w:highlight w:val="none"/>
              </w:rPr>
              <w:t>9.6</w:t>
            </w:r>
            <w:r>
              <w:rPr>
                <w:rFonts w:hint="eastAsia" w:ascii="Times New Roman" w:hAnsi="Times New Roman" w:cs="Times New Roman"/>
                <w:strike w:val="0"/>
                <w:color w:val="auto"/>
                <w:spacing w:val="6"/>
                <w:sz w:val="22"/>
                <w:szCs w:val="21"/>
                <w:highlight w:val="none"/>
              </w:rPr>
              <w:t>米</w:t>
            </w:r>
          </w:p>
          <w:p>
            <w:pPr>
              <w:jc w:val="center"/>
              <w:rPr>
                <w:rFonts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高：</w:t>
            </w:r>
            <w:r>
              <w:rPr>
                <w:rFonts w:ascii="Times New Roman" w:hAnsi="Times New Roman" w:cs="Times New Roman"/>
                <w:strike w:val="0"/>
                <w:color w:val="auto"/>
                <w:spacing w:val="6"/>
                <w:sz w:val="22"/>
                <w:szCs w:val="21"/>
                <w:highlight w:val="none"/>
              </w:rPr>
              <w:t>0.8</w:t>
            </w:r>
            <w:r>
              <w:rPr>
                <w:rFonts w:hint="eastAsia" w:ascii="Times New Roman" w:hAnsi="Times New Roman" w:cs="Times New Roman"/>
                <w:strike w:val="0"/>
                <w:color w:val="auto"/>
                <w:spacing w:val="6"/>
                <w:sz w:val="22"/>
                <w:szCs w:val="21"/>
                <w:highlight w:val="none"/>
              </w:rPr>
              <w:t>米</w:t>
            </w:r>
          </w:p>
        </w:tc>
        <w:tc>
          <w:tcPr>
            <w:tcW w:w="5518" w:type="dxa"/>
            <w:vAlign w:val="center"/>
          </w:tcPr>
          <w:p>
            <w:pPr>
              <w:rPr>
                <w:rFonts w:hint="eastAsia" w:ascii="Times New Roman" w:hAnsi="Times New Roman" w:cs="Times New Roman"/>
                <w:strike w:val="0"/>
                <w:color w:val="auto"/>
                <w:spacing w:val="6"/>
                <w:sz w:val="22"/>
                <w:szCs w:val="21"/>
                <w:highlight w:val="none"/>
              </w:rPr>
            </w:pPr>
            <w:r>
              <w:rPr>
                <w:rFonts w:hint="eastAsia" w:ascii="Times New Roman" w:hAnsi="Times New Roman" w:cs="Times New Roman"/>
                <w:strike w:val="0"/>
                <w:color w:val="auto"/>
                <w:spacing w:val="6"/>
                <w:sz w:val="22"/>
                <w:szCs w:val="21"/>
                <w:highlight w:val="none"/>
              </w:rPr>
              <w:t>包括底座及底座的面板。</w:t>
            </w:r>
          </w:p>
          <w:p>
            <w:pPr>
              <w:rPr>
                <w:rFonts w:ascii="Times New Roman" w:hAnsi="Times New Roman" w:cs="Times New Roman"/>
                <w:strike w:val="0"/>
                <w:color w:val="auto"/>
                <w:spacing w:val="6"/>
                <w:sz w:val="22"/>
                <w:szCs w:val="21"/>
                <w:highlight w:val="none"/>
              </w:rPr>
            </w:pPr>
          </w:p>
        </w:tc>
      </w:tr>
    </w:tbl>
    <w:p>
      <w:pPr>
        <w:pStyle w:val="76"/>
        <w:jc w:val="both"/>
        <w:rPr>
          <w:color w:val="auto"/>
          <w:highlight w:val="none"/>
        </w:rPr>
      </w:pPr>
      <w:r>
        <w:rPr>
          <w:rFonts w:hint="eastAsia"/>
          <w:color w:val="auto"/>
          <w:highlight w:val="none"/>
          <w:shd w:val="clear" w:color="auto" w:fill="auto"/>
        </w:rPr>
        <w:t>布置在地下副厂房，主要用于显示全站电气主接线、主要运行参数、和输水系统概貌及水力测量参数等，并且有多种连接口，可显示监控及其它信息系统的信息，以及工业电视系统视频信号</w:t>
      </w:r>
      <w:r>
        <w:rPr>
          <w:b w:val="0"/>
          <w:i w:val="0"/>
          <w:strike w:val="0"/>
          <w:color w:val="auto"/>
          <w:spacing w:val="0"/>
          <w:highlight w:val="none"/>
          <w:u w:val="none"/>
          <w:shd w:val="clear" w:color="auto" w:fill="auto"/>
        </w:rPr>
        <w:t>。</w:t>
      </w:r>
    </w:p>
    <w:p>
      <w:pPr>
        <w:pStyle w:val="132"/>
        <w:rPr>
          <w:color w:val="auto"/>
          <w:highlight w:val="none"/>
        </w:rPr>
      </w:pPr>
      <w:r>
        <w:rPr>
          <w:color w:val="auto"/>
          <w:highlight w:val="none"/>
        </w:rPr>
        <w:t>10.2.</w:t>
      </w:r>
      <w:r>
        <w:rPr>
          <w:rFonts w:hint="eastAsia"/>
          <w:color w:val="auto"/>
          <w:highlight w:val="none"/>
          <w:lang w:val="en-US"/>
        </w:rPr>
        <w:t>9</w:t>
      </w:r>
      <w:r>
        <w:rPr>
          <w:rFonts w:hint="eastAsia"/>
          <w:color w:val="auto"/>
          <w:highlight w:val="none"/>
        </w:rPr>
        <w:t xml:space="preserve">  卫星时钟同步装置技术特性</w:t>
      </w:r>
    </w:p>
    <w:p>
      <w:pPr>
        <w:pStyle w:val="76"/>
        <w:jc w:val="both"/>
        <w:rPr>
          <w:color w:val="auto"/>
          <w:highlight w:val="none"/>
        </w:rPr>
      </w:pPr>
      <w:r>
        <w:rPr>
          <w:rFonts w:hint="eastAsia"/>
          <w:color w:val="auto"/>
          <w:highlight w:val="none"/>
        </w:rPr>
        <w:t>设置一套高精度的卫星同步时钟系统，时钟系统以每天计时(时、分、秒)，时钟误差为二十四小时不超过±0.001s。</w:t>
      </w:r>
    </w:p>
    <w:p>
      <w:pPr>
        <w:pStyle w:val="132"/>
        <w:rPr>
          <w:color w:val="auto"/>
          <w:highlight w:val="none"/>
        </w:rPr>
      </w:pPr>
      <w:bookmarkStart w:id="282" w:name="_Toc8412"/>
      <w:r>
        <w:rPr>
          <w:color w:val="auto"/>
          <w:highlight w:val="none"/>
        </w:rPr>
        <w:t>10.2.</w:t>
      </w:r>
      <w:r>
        <w:rPr>
          <w:rFonts w:hint="eastAsia"/>
          <w:color w:val="auto"/>
          <w:highlight w:val="none"/>
        </w:rPr>
        <w:t>10  现地控制层设备技术特性</w:t>
      </w:r>
      <w:bookmarkEnd w:id="282"/>
    </w:p>
    <w:p>
      <w:pPr>
        <w:spacing w:line="460" w:lineRule="exact"/>
        <w:ind w:firstLine="480" w:firstLineChars="200"/>
        <w:rPr>
          <w:color w:val="auto"/>
          <w:highlight w:val="none"/>
        </w:rPr>
      </w:pPr>
      <w:r>
        <w:rPr>
          <w:rFonts w:ascii="Times New Roman" w:hAnsi="Times New Roman" w:cs="Times New Roman"/>
          <w:color w:val="auto"/>
          <w:kern w:val="0"/>
          <w:sz w:val="24"/>
          <w:szCs w:val="24"/>
          <w:highlight w:val="none"/>
        </w:rPr>
        <w:t>LCU</w:t>
      </w:r>
      <w:r>
        <w:rPr>
          <w:rFonts w:hint="eastAsia" w:ascii="Times New Roman" w:hAnsi="Times New Roman" w:cs="Times New Roman"/>
          <w:color w:val="auto"/>
          <w:kern w:val="0"/>
          <w:sz w:val="24"/>
          <w:szCs w:val="24"/>
          <w:highlight w:val="none"/>
        </w:rPr>
        <w:t>应采用</w:t>
      </w:r>
      <w:r>
        <w:rPr>
          <w:rFonts w:ascii="Times New Roman" w:hAnsi="Times New Roman" w:cs="Times New Roman"/>
          <w:color w:val="auto"/>
          <w:kern w:val="0"/>
          <w:sz w:val="24"/>
          <w:szCs w:val="24"/>
          <w:highlight w:val="none"/>
        </w:rPr>
        <w:t>PLC</w:t>
      </w:r>
      <w:r>
        <w:rPr>
          <w:rFonts w:hint="eastAsia" w:ascii="Times New Roman" w:hAnsi="Times New Roman" w:cs="Times New Roman"/>
          <w:color w:val="auto"/>
          <w:kern w:val="0"/>
          <w:sz w:val="24"/>
          <w:szCs w:val="24"/>
          <w:highlight w:val="none"/>
        </w:rPr>
        <w:t>作为核心控制器，包括有顺控、</w:t>
      </w:r>
      <w:r>
        <w:rPr>
          <w:rFonts w:ascii="Times New Roman" w:hAnsi="Times New Roman" w:cs="Times New Roman"/>
          <w:color w:val="auto"/>
          <w:kern w:val="0"/>
          <w:sz w:val="24"/>
          <w:szCs w:val="24"/>
          <w:highlight w:val="none"/>
        </w:rPr>
        <w:t xml:space="preserve"> </w:t>
      </w:r>
      <w:r>
        <w:rPr>
          <w:rFonts w:hint="eastAsia" w:ascii="Times New Roman" w:hAnsi="Times New Roman" w:cs="Times New Roman"/>
          <w:color w:val="auto"/>
          <w:kern w:val="0"/>
          <w:sz w:val="24"/>
          <w:szCs w:val="24"/>
          <w:highlight w:val="none"/>
        </w:rPr>
        <w:t>调节、过程输入</w:t>
      </w:r>
      <w:r>
        <w:rPr>
          <w:rFonts w:ascii="Times New Roman" w:hAnsi="Times New Roman" w:cs="Times New Roman"/>
          <w:color w:val="auto"/>
          <w:kern w:val="0"/>
          <w:sz w:val="24"/>
          <w:szCs w:val="24"/>
          <w:highlight w:val="none"/>
        </w:rPr>
        <w:t>/</w:t>
      </w:r>
      <w:r>
        <w:rPr>
          <w:rFonts w:hint="eastAsia" w:ascii="Times New Roman" w:hAnsi="Times New Roman" w:cs="Times New Roman"/>
          <w:color w:val="auto"/>
          <w:kern w:val="0"/>
          <w:sz w:val="24"/>
          <w:szCs w:val="24"/>
          <w:highlight w:val="none"/>
        </w:rPr>
        <w:t>输出、数据处理、相应画面显示和外部通信功能</w:t>
      </w:r>
      <w:r>
        <w:rPr>
          <w:rFonts w:ascii="Times New Roman" w:hAnsi="Times New Roman" w:cs="Times New Roman"/>
          <w:color w:val="auto"/>
          <w:kern w:val="0"/>
          <w:sz w:val="24"/>
          <w:szCs w:val="24"/>
          <w:highlight w:val="none"/>
        </w:rPr>
        <w:t>.</w:t>
      </w:r>
      <w:r>
        <w:rPr>
          <w:rFonts w:hint="eastAsia" w:ascii="Times New Roman" w:hAnsi="Times New Roman" w:cs="Times New Roman"/>
          <w:color w:val="auto"/>
          <w:kern w:val="0"/>
          <w:sz w:val="24"/>
          <w:szCs w:val="24"/>
          <w:highlight w:val="none"/>
        </w:rPr>
        <w:t>核心控制器采用冗余</w:t>
      </w:r>
      <w:r>
        <w:rPr>
          <w:rFonts w:ascii="Times New Roman" w:hAnsi="Times New Roman" w:cs="Times New Roman"/>
          <w:color w:val="auto"/>
          <w:kern w:val="0"/>
          <w:sz w:val="24"/>
          <w:szCs w:val="24"/>
          <w:highlight w:val="none"/>
        </w:rPr>
        <w:t>CPU</w:t>
      </w:r>
      <w:r>
        <w:rPr>
          <w:rFonts w:hint="eastAsia" w:ascii="Times New Roman" w:hAnsi="Times New Roman" w:cs="Times New Roman"/>
          <w:color w:val="auto"/>
          <w:kern w:val="0"/>
          <w:sz w:val="24"/>
          <w:szCs w:val="24"/>
          <w:highlight w:val="none"/>
        </w:rPr>
        <w:t>、冗余电源等的系统冗余方案。</w:t>
      </w:r>
      <w:r>
        <w:rPr>
          <w:rFonts w:ascii="Times New Roman" w:hAnsi="Times New Roman" w:cs="Times New Roman"/>
          <w:color w:val="auto"/>
          <w:kern w:val="0"/>
          <w:sz w:val="24"/>
          <w:szCs w:val="24"/>
          <w:highlight w:val="none"/>
        </w:rPr>
        <w:t>PLC</w:t>
      </w:r>
      <w:r>
        <w:rPr>
          <w:rFonts w:hint="eastAsia" w:ascii="Times New Roman" w:hAnsi="Times New Roman" w:cs="Times New Roman"/>
          <w:color w:val="auto"/>
          <w:kern w:val="0"/>
          <w:sz w:val="24"/>
          <w:szCs w:val="24"/>
          <w:highlight w:val="none"/>
        </w:rPr>
        <w:t>应具有高抗干扰，低功耗性能。</w:t>
      </w:r>
    </w:p>
    <w:p>
      <w:pPr>
        <w:pStyle w:val="62"/>
        <w:keepNext/>
        <w:keepLines/>
        <w:rPr>
          <w:color w:val="auto"/>
          <w:highlight w:val="none"/>
        </w:rPr>
      </w:pPr>
      <w:bookmarkStart w:id="283" w:name="_Toc6936"/>
      <w:bookmarkStart w:id="284" w:name="_Toc2325"/>
      <w:bookmarkStart w:id="285" w:name="_Toc127395732"/>
      <w:r>
        <w:rPr>
          <w:color w:val="auto"/>
          <w:highlight w:val="none"/>
        </w:rPr>
        <w:t>10.</w:t>
      </w:r>
      <w:r>
        <w:rPr>
          <w:rFonts w:hint="eastAsia"/>
          <w:color w:val="auto"/>
          <w:highlight w:val="none"/>
        </w:rPr>
        <w:t>3</w:t>
      </w:r>
      <w:r>
        <w:rPr>
          <w:color w:val="auto"/>
          <w:highlight w:val="none"/>
        </w:rPr>
        <w:t xml:space="preserve">  </w:t>
      </w:r>
      <w:r>
        <w:rPr>
          <w:rFonts w:hint="eastAsia"/>
          <w:color w:val="auto"/>
          <w:highlight w:val="none"/>
        </w:rPr>
        <w:t>制造商提供的专用工器具</w:t>
      </w:r>
      <w:bookmarkEnd w:id="283"/>
      <w:bookmarkEnd w:id="284"/>
      <w:bookmarkEnd w:id="285"/>
    </w:p>
    <w:p>
      <w:pPr>
        <w:pStyle w:val="76"/>
        <w:spacing w:line="480" w:lineRule="exact"/>
        <w:ind w:firstLine="480" w:firstLineChars="200"/>
        <w:jc w:val="both"/>
        <w:rPr>
          <w:color w:val="auto"/>
          <w:highlight w:val="none"/>
        </w:rPr>
      </w:pPr>
      <w:r>
        <w:rPr>
          <w:rFonts w:hint="eastAsia"/>
          <w:color w:val="auto"/>
          <w:highlight w:val="none"/>
        </w:rPr>
        <w:t>各类笔记本电脑式PLC编程器(包括全套软件)及其接口电缆</w:t>
      </w:r>
      <w:r>
        <w:rPr>
          <w:color w:val="auto"/>
          <w:highlight w:val="none"/>
        </w:rPr>
        <w:t xml:space="preserve">         </w:t>
      </w:r>
      <w:r>
        <w:rPr>
          <w:rFonts w:hint="eastAsia"/>
          <w:color w:val="auto"/>
          <w:highlight w:val="none"/>
        </w:rPr>
        <w:t>3套</w:t>
      </w:r>
    </w:p>
    <w:p>
      <w:pPr>
        <w:pStyle w:val="76"/>
        <w:spacing w:line="480" w:lineRule="exact"/>
        <w:ind w:firstLine="480" w:firstLineChars="200"/>
        <w:jc w:val="both"/>
        <w:rPr>
          <w:color w:val="auto"/>
          <w:highlight w:val="none"/>
        </w:rPr>
      </w:pPr>
      <w:r>
        <w:rPr>
          <w:rFonts w:hint="eastAsia"/>
          <w:color w:val="auto"/>
          <w:highlight w:val="none"/>
        </w:rPr>
        <w:t>专用安装拆卸工具及附件</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PT100模拟器</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PLC卡件测试模块</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多功能频率发生器</w:t>
      </w:r>
      <w:r>
        <w:rPr>
          <w:color w:val="auto"/>
          <w:highlight w:val="none"/>
        </w:rPr>
        <w:t xml:space="preserve">                                            </w:t>
      </w:r>
      <w:r>
        <w:rPr>
          <w:rFonts w:hint="eastAsia"/>
          <w:color w:val="auto"/>
          <w:highlight w:val="none"/>
        </w:rPr>
        <w:t>1套</w:t>
      </w:r>
    </w:p>
    <w:p>
      <w:pPr>
        <w:pStyle w:val="76"/>
        <w:ind w:firstLine="480" w:firstLineChars="200"/>
        <w:rPr>
          <w:color w:val="auto"/>
          <w:highlight w:val="none"/>
        </w:rPr>
      </w:pPr>
      <w:r>
        <w:rPr>
          <w:rFonts w:hint="eastAsia"/>
          <w:color w:val="auto"/>
          <w:highlight w:val="none"/>
        </w:rPr>
        <w:t xml:space="preserve">日常维修和调试辅助工具(包括测试支架、扩展插件、连接用光缆、调整用光缆、电缆、衰减器、电源线)                                </w:t>
      </w:r>
      <w:r>
        <w:rPr>
          <w:color w:val="auto"/>
          <w:highlight w:val="none"/>
        </w:rPr>
        <w:t xml:space="preserve">       </w:t>
      </w:r>
      <w:r>
        <w:rPr>
          <w:rFonts w:hint="eastAsia"/>
          <w:color w:val="auto"/>
          <w:highlight w:val="none"/>
        </w:rPr>
        <w:t>1套</w:t>
      </w: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286" w:name="_Toc127395733"/>
      <w:bookmarkStart w:id="287" w:name="_Toc21382"/>
      <w:bookmarkStart w:id="288" w:name="_Toc114042622"/>
      <w:bookmarkStart w:id="289" w:name="_Toc5815"/>
      <w:r>
        <w:rPr>
          <w:rFonts w:hint="eastAsia"/>
          <w:color w:val="auto"/>
          <w:highlight w:val="none"/>
        </w:rPr>
        <w:t>第11章</w:t>
      </w:r>
      <w:r>
        <w:rPr>
          <w:color w:val="auto"/>
          <w:highlight w:val="none"/>
        </w:rPr>
        <w:t xml:space="preserve">  </w:t>
      </w:r>
      <w:r>
        <w:rPr>
          <w:rFonts w:hint="eastAsia"/>
          <w:color w:val="auto"/>
          <w:highlight w:val="none"/>
        </w:rPr>
        <w:t>继电保护系统</w:t>
      </w:r>
      <w:bookmarkEnd w:id="286"/>
      <w:bookmarkEnd w:id="287"/>
      <w:bookmarkEnd w:id="288"/>
      <w:bookmarkEnd w:id="289"/>
    </w:p>
    <w:p>
      <w:pPr>
        <w:pStyle w:val="62"/>
        <w:rPr>
          <w:color w:val="auto"/>
          <w:highlight w:val="none"/>
        </w:rPr>
      </w:pPr>
      <w:bookmarkStart w:id="290" w:name="_Toc114042623"/>
      <w:bookmarkStart w:id="291" w:name="_Toc127395734"/>
      <w:bookmarkStart w:id="292" w:name="_Toc18194"/>
      <w:bookmarkStart w:id="293" w:name="_Toc13209"/>
      <w:r>
        <w:rPr>
          <w:color w:val="auto"/>
          <w:highlight w:val="none"/>
        </w:rPr>
        <w:t>11.</w:t>
      </w:r>
      <w:r>
        <w:rPr>
          <w:rFonts w:hint="eastAsia"/>
          <w:color w:val="auto"/>
          <w:highlight w:val="none"/>
        </w:rPr>
        <w:t>1</w:t>
      </w:r>
      <w:r>
        <w:rPr>
          <w:color w:val="auto"/>
          <w:highlight w:val="none"/>
        </w:rPr>
        <w:t xml:space="preserve"> </w:t>
      </w:r>
      <w:r>
        <w:rPr>
          <w:rFonts w:hint="eastAsia"/>
          <w:color w:val="auto"/>
          <w:highlight w:val="none"/>
        </w:rPr>
        <w:t>简要技术说明</w:t>
      </w:r>
      <w:bookmarkEnd w:id="290"/>
      <w:bookmarkEnd w:id="291"/>
      <w:bookmarkEnd w:id="292"/>
      <w:bookmarkEnd w:id="293"/>
      <w:r>
        <w:rPr>
          <w:color w:val="auto"/>
          <w:highlight w:val="none"/>
        </w:rPr>
        <w:t xml:space="preserve"> </w:t>
      </w:r>
    </w:p>
    <w:p>
      <w:pPr>
        <w:pStyle w:val="76"/>
        <w:jc w:val="both"/>
        <w:rPr>
          <w:color w:val="auto"/>
          <w:highlight w:val="none"/>
        </w:rPr>
      </w:pPr>
      <w:r>
        <w:rPr>
          <w:rFonts w:hint="eastAsia"/>
          <w:color w:val="auto"/>
          <w:highlight w:val="none"/>
        </w:rPr>
        <w:t>本标书范围的继电保护设备主要包括：</w:t>
      </w:r>
    </w:p>
    <w:p>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发电电动机保护屏4套：4台发电电动机保护。发电电动机主保护均为双重化配置。每台发电电动机各设有保护A屏、B屏，保护屏布置在主厂房发电电动机层机组旁。</w:t>
      </w:r>
    </w:p>
    <w:p>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主变励磁变保护屏4套：主变压器电气量保护均为双重化配置，主变保护包含励磁变保护功能，非电气量保护按照单套配置。每台主变压器各设有保护A屏、B屏和C屏，保护屏布置在主厂房发电电动机层机组旁。</w:t>
      </w:r>
    </w:p>
    <w:p>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220</w:t>
      </w:r>
      <w:r>
        <w:rPr>
          <w:rFonts w:ascii="Times New Roman" w:hAnsi="Times New Roman"/>
          <w:color w:val="auto"/>
          <w:sz w:val="24"/>
          <w:szCs w:val="24"/>
          <w:highlight w:val="none"/>
        </w:rPr>
        <w:t>kV</w:t>
      </w:r>
      <w:r>
        <w:rPr>
          <w:rFonts w:hint="eastAsia" w:ascii="Times New Roman" w:hAnsi="Times New Roman"/>
          <w:color w:val="auto"/>
          <w:sz w:val="24"/>
          <w:szCs w:val="24"/>
          <w:highlight w:val="none"/>
        </w:rPr>
        <w:t>高压电缆保护：设有2条220kV电缆的光纤差动保护，保护为双重化配置。220kV高压电缆系统保护设备布置在主变洞内以及地面开关站继电保护室内。</w:t>
      </w:r>
    </w:p>
    <w:p>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(4) </w:t>
      </w:r>
      <w:r>
        <w:rPr>
          <w:rFonts w:hint="eastAsia" w:ascii="Times New Roman" w:hAnsi="Times New Roman"/>
          <w:color w:val="auto"/>
          <w:sz w:val="24"/>
          <w:szCs w:val="24"/>
          <w:highlight w:val="none"/>
        </w:rPr>
        <w:t>机组故障录波装置：机组故障录波装置每个发变组单元为1面屏，共4面屏。布置在地下厂房发电机层机旁。</w:t>
      </w:r>
    </w:p>
    <w:p>
      <w:pPr>
        <w:spacing w:line="480" w:lineRule="exact"/>
        <w:ind w:firstLine="480" w:firstLineChars="200"/>
        <w:rPr>
          <w:rFonts w:ascii="Times New Roman" w:hAnsi="Times New Roman" w:cs="Times New Roman"/>
          <w:color w:val="auto"/>
          <w:sz w:val="24"/>
          <w:szCs w:val="24"/>
          <w:highlight w:val="none"/>
        </w:rPr>
      </w:pPr>
      <w:r>
        <w:rPr>
          <w:rFonts w:ascii="Times New Roman" w:hAnsi="Times New Roman"/>
          <w:color w:val="auto"/>
          <w:sz w:val="24"/>
          <w:szCs w:val="24"/>
          <w:highlight w:val="none"/>
        </w:rPr>
        <w:t xml:space="preserve">(5) </w:t>
      </w:r>
      <w:r>
        <w:rPr>
          <w:rFonts w:hint="eastAsia" w:ascii="Times New Roman" w:hAnsi="Times New Roman" w:cs="Times New Roman"/>
          <w:color w:val="auto"/>
          <w:sz w:val="24"/>
          <w:szCs w:val="24"/>
          <w:highlight w:val="none"/>
        </w:rPr>
        <w:t>电厂设置1套继电保护信息管理系统(包括电站继电保护管理机、网络柜及组网设备)，负责厂内的保护装置及故障信息的管理通信工作。</w:t>
      </w:r>
    </w:p>
    <w:p>
      <w:pPr>
        <w:spacing w:line="480" w:lineRule="exact"/>
        <w:ind w:firstLine="480" w:firstLineChars="20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 </w:t>
      </w:r>
      <w:r>
        <w:rPr>
          <w:rFonts w:hint="eastAsia" w:ascii="Times New Roman" w:hAnsi="Times New Roman" w:cs="Times New Roman"/>
          <w:color w:val="auto"/>
          <w:sz w:val="24"/>
          <w:szCs w:val="24"/>
          <w:highlight w:val="none"/>
        </w:rPr>
        <w:t>厂用电及</w:t>
      </w:r>
      <w:r>
        <w:rPr>
          <w:rFonts w:ascii="Times New Roman" w:hAnsi="Times New Roman" w:cs="Times New Roman"/>
          <w:color w:val="auto"/>
          <w:sz w:val="24"/>
          <w:szCs w:val="24"/>
          <w:highlight w:val="none"/>
        </w:rPr>
        <w:t>SFC</w:t>
      </w:r>
      <w:r>
        <w:rPr>
          <w:rFonts w:hint="eastAsia" w:ascii="Times New Roman" w:hAnsi="Times New Roman" w:cs="Times New Roman"/>
          <w:color w:val="auto"/>
          <w:sz w:val="24"/>
          <w:szCs w:val="24"/>
          <w:highlight w:val="none"/>
        </w:rPr>
        <w:t>系统保护：</w:t>
      </w:r>
      <w:r>
        <w:rPr>
          <w:rFonts w:ascii="Times New Roman" w:hAnsi="Times New Roman" w:cs="Times New Roman"/>
          <w:color w:val="auto"/>
          <w:sz w:val="24"/>
          <w:szCs w:val="24"/>
          <w:highlight w:val="none"/>
        </w:rPr>
        <w:t xml:space="preserve">18kV/10kV </w:t>
      </w:r>
      <w:r>
        <w:rPr>
          <w:rFonts w:hint="eastAsia" w:ascii="Times New Roman" w:hAnsi="Times New Roman" w:cs="Times New Roman"/>
          <w:color w:val="auto"/>
          <w:sz w:val="24"/>
          <w:szCs w:val="24"/>
          <w:highlight w:val="none"/>
        </w:rPr>
        <w:t>厂用变和</w:t>
      </w:r>
      <w:r>
        <w:rPr>
          <w:rFonts w:ascii="Times New Roman" w:hAnsi="Times New Roman" w:cs="Times New Roman"/>
          <w:color w:val="auto"/>
          <w:sz w:val="24"/>
          <w:szCs w:val="24"/>
          <w:highlight w:val="none"/>
        </w:rPr>
        <w:t>10kV/0.4kV</w:t>
      </w:r>
      <w:r>
        <w:rPr>
          <w:rFonts w:hint="eastAsia" w:ascii="Times New Roman" w:hAnsi="Times New Roman" w:cs="Times New Roman"/>
          <w:color w:val="auto"/>
          <w:sz w:val="24"/>
          <w:szCs w:val="24"/>
          <w:highlight w:val="none"/>
        </w:rPr>
        <w:t>厂用变保护装置、厂用电进线、出线和母联断路器保护装置均安装在相应的开关柜上，相关安装工程量包含在开关柜设备安装范围内。</w:t>
      </w:r>
    </w:p>
    <w:p>
      <w:pPr>
        <w:pStyle w:val="132"/>
        <w:rPr>
          <w:color w:val="auto"/>
          <w:highlight w:val="none"/>
        </w:rPr>
      </w:pPr>
      <w:bookmarkStart w:id="294" w:name="_Toc26058"/>
      <w:bookmarkStart w:id="295" w:name="_Toc127395735"/>
      <w:bookmarkStart w:id="296" w:name="_Toc114042624"/>
      <w:r>
        <w:rPr>
          <w:color w:val="auto"/>
          <w:highlight w:val="none"/>
        </w:rPr>
        <w:t>11.</w:t>
      </w:r>
      <w:r>
        <w:rPr>
          <w:rFonts w:hint="eastAsia"/>
          <w:color w:val="auto"/>
          <w:highlight w:val="none"/>
        </w:rPr>
        <w:t>1</w:t>
      </w:r>
      <w:r>
        <w:rPr>
          <w:color w:val="auto"/>
          <w:highlight w:val="none"/>
        </w:rPr>
        <w:t xml:space="preserve">.1 </w:t>
      </w:r>
      <w:r>
        <w:rPr>
          <w:rFonts w:hint="eastAsia"/>
          <w:color w:val="auto"/>
          <w:highlight w:val="none"/>
        </w:rPr>
        <w:t>保护装置主要技术参数及要求</w:t>
      </w:r>
      <w:bookmarkEnd w:id="294"/>
      <w:bookmarkEnd w:id="295"/>
      <w:bookmarkEnd w:id="296"/>
    </w:p>
    <w:p>
      <w:pPr>
        <w:pStyle w:val="76"/>
        <w:jc w:val="both"/>
        <w:rPr>
          <w:color w:val="auto"/>
          <w:highlight w:val="none"/>
        </w:rPr>
      </w:pPr>
      <w:r>
        <w:rPr>
          <w:color w:val="auto"/>
          <w:highlight w:val="none"/>
        </w:rPr>
        <w:t xml:space="preserve">(1) </w:t>
      </w:r>
      <w:r>
        <w:rPr>
          <w:rFonts w:hint="eastAsia"/>
          <w:color w:val="auto"/>
          <w:highlight w:val="none"/>
        </w:rPr>
        <w:t>额定参数</w:t>
      </w:r>
    </w:p>
    <w:p>
      <w:pPr>
        <w:pStyle w:val="76"/>
        <w:jc w:val="both"/>
        <w:rPr>
          <w:color w:val="auto"/>
          <w:highlight w:val="none"/>
        </w:rPr>
      </w:pPr>
      <w:r>
        <w:rPr>
          <w:rFonts w:hint="eastAsia"/>
          <w:color w:val="auto"/>
          <w:highlight w:val="none"/>
        </w:rPr>
        <w:t>交流电流：1A</w:t>
      </w:r>
    </w:p>
    <w:p>
      <w:pPr>
        <w:pStyle w:val="76"/>
        <w:jc w:val="both"/>
        <w:rPr>
          <w:color w:val="auto"/>
          <w:highlight w:val="none"/>
        </w:rPr>
      </w:pPr>
      <w:r>
        <w:rPr>
          <w:rFonts w:hint="eastAsia"/>
          <w:color w:val="auto"/>
          <w:highlight w:val="none"/>
        </w:rPr>
        <w:t>交流电压：100V、100/</w:t>
      </w:r>
      <w:r>
        <w:rPr>
          <w:color w:val="auto"/>
          <w:highlight w:val="none"/>
        </w:rPr>
        <w:fldChar w:fldCharType="begin"/>
      </w:r>
      <w:r>
        <w:rPr>
          <w:color w:val="auto"/>
          <w:highlight w:val="none"/>
        </w:rPr>
        <w:instrText xml:space="preserve"> EQ \R(3) </w:instrText>
      </w:r>
      <w:r>
        <w:rPr>
          <w:color w:val="auto"/>
          <w:highlight w:val="none"/>
        </w:rPr>
        <w:fldChar w:fldCharType="end"/>
      </w:r>
      <w:r>
        <w:rPr>
          <w:color w:val="auto"/>
          <w:highlight w:val="none"/>
        </w:rPr>
        <w:t>V</w:t>
      </w:r>
    </w:p>
    <w:p>
      <w:pPr>
        <w:pStyle w:val="76"/>
        <w:jc w:val="both"/>
        <w:rPr>
          <w:color w:val="auto"/>
          <w:highlight w:val="none"/>
        </w:rPr>
      </w:pPr>
      <w:r>
        <w:rPr>
          <w:rFonts w:hint="eastAsia"/>
          <w:color w:val="auto"/>
          <w:highlight w:val="none"/>
        </w:rPr>
        <w:t>频率：50Hz</w:t>
      </w:r>
    </w:p>
    <w:p>
      <w:pPr>
        <w:pStyle w:val="76"/>
        <w:jc w:val="both"/>
        <w:rPr>
          <w:color w:val="auto"/>
          <w:highlight w:val="none"/>
        </w:rPr>
      </w:pPr>
      <w:r>
        <w:rPr>
          <w:rFonts w:hint="eastAsia"/>
          <w:color w:val="auto"/>
          <w:highlight w:val="none"/>
        </w:rPr>
        <w:t>功率消耗：</w:t>
      </w:r>
    </w:p>
    <w:p>
      <w:pPr>
        <w:pStyle w:val="76"/>
        <w:jc w:val="both"/>
        <w:rPr>
          <w:color w:val="auto"/>
          <w:highlight w:val="none"/>
        </w:rPr>
      </w:pPr>
      <w:r>
        <w:rPr>
          <w:rFonts w:hint="eastAsia"/>
          <w:color w:val="auto"/>
          <w:highlight w:val="none"/>
        </w:rPr>
        <w:t>交流电流回路</w:t>
      </w:r>
      <w:r>
        <w:rPr>
          <w:color w:val="auto"/>
          <w:highlight w:val="none"/>
        </w:rPr>
        <w:t xml:space="preserve"> </w:t>
      </w:r>
      <w:r>
        <w:rPr>
          <w:rFonts w:hint="eastAsia"/>
          <w:color w:val="auto"/>
          <w:highlight w:val="none"/>
        </w:rPr>
        <w:t>当In=1A时，每相不大于0.5VA。</w:t>
      </w:r>
    </w:p>
    <w:p>
      <w:pPr>
        <w:pStyle w:val="76"/>
        <w:jc w:val="both"/>
        <w:rPr>
          <w:color w:val="auto"/>
          <w:highlight w:val="none"/>
        </w:rPr>
      </w:pPr>
      <w:r>
        <w:rPr>
          <w:rFonts w:hint="eastAsia"/>
          <w:color w:val="auto"/>
          <w:highlight w:val="none"/>
        </w:rPr>
        <w:t>交流电压回路</w:t>
      </w:r>
      <w:r>
        <w:rPr>
          <w:color w:val="auto"/>
          <w:highlight w:val="none"/>
        </w:rPr>
        <w:t xml:space="preserve"> </w:t>
      </w:r>
      <w:r>
        <w:rPr>
          <w:rFonts w:hint="eastAsia"/>
          <w:color w:val="auto"/>
          <w:highlight w:val="none"/>
        </w:rPr>
        <w:t>当额定电压时，每相不大于0.5VA。</w:t>
      </w:r>
    </w:p>
    <w:p>
      <w:pPr>
        <w:pStyle w:val="76"/>
        <w:jc w:val="both"/>
        <w:rPr>
          <w:color w:val="auto"/>
          <w:highlight w:val="none"/>
        </w:rPr>
      </w:pPr>
      <w:r>
        <w:rPr>
          <w:rFonts w:hint="eastAsia"/>
          <w:color w:val="auto"/>
          <w:highlight w:val="none"/>
        </w:rPr>
        <w:t>直流电源回路</w:t>
      </w:r>
      <w:r>
        <w:rPr>
          <w:color w:val="auto"/>
          <w:highlight w:val="none"/>
        </w:rPr>
        <w:tab/>
      </w:r>
      <w:r>
        <w:rPr>
          <w:rFonts w:hint="eastAsia"/>
          <w:color w:val="auto"/>
          <w:highlight w:val="none"/>
        </w:rPr>
        <w:t>当正常工作时，每个保护柜不大于80W。</w:t>
      </w:r>
    </w:p>
    <w:p>
      <w:pPr>
        <w:pStyle w:val="76"/>
        <w:jc w:val="both"/>
        <w:rPr>
          <w:color w:val="auto"/>
          <w:highlight w:val="none"/>
        </w:rPr>
      </w:pPr>
      <w:r>
        <w:rPr>
          <w:rFonts w:hint="eastAsia"/>
          <w:color w:val="auto"/>
          <w:highlight w:val="none"/>
        </w:rPr>
        <w:t>当保护全部动作时，每个保护柜不大于120W。</w:t>
      </w:r>
    </w:p>
    <w:p>
      <w:pPr>
        <w:pStyle w:val="76"/>
        <w:jc w:val="both"/>
        <w:rPr>
          <w:color w:val="auto"/>
          <w:highlight w:val="none"/>
        </w:rPr>
      </w:pPr>
      <w:r>
        <w:rPr>
          <w:rFonts w:hint="eastAsia"/>
          <w:color w:val="auto"/>
          <w:highlight w:val="none"/>
        </w:rPr>
        <w:t>过载能力：</w:t>
      </w:r>
    </w:p>
    <w:p>
      <w:pPr>
        <w:pStyle w:val="76"/>
        <w:jc w:val="both"/>
        <w:rPr>
          <w:color w:val="auto"/>
          <w:highlight w:val="none"/>
        </w:rPr>
      </w:pPr>
      <w:r>
        <w:rPr>
          <w:rFonts w:hint="eastAsia"/>
          <w:color w:val="auto"/>
          <w:highlight w:val="none"/>
        </w:rPr>
        <w:t>交流电流回路2倍额定电流</w:t>
      </w:r>
      <w:r>
        <w:rPr>
          <w:color w:val="auto"/>
          <w:highlight w:val="none"/>
        </w:rPr>
        <w:tab/>
      </w:r>
      <w:r>
        <w:rPr>
          <w:rFonts w:hint="eastAsia"/>
          <w:color w:val="auto"/>
          <w:highlight w:val="none"/>
        </w:rPr>
        <w:t>连续工作</w:t>
      </w:r>
    </w:p>
    <w:p>
      <w:pPr>
        <w:pStyle w:val="76"/>
        <w:jc w:val="both"/>
        <w:rPr>
          <w:color w:val="auto"/>
          <w:highlight w:val="none"/>
        </w:rPr>
      </w:pPr>
      <w:r>
        <w:rPr>
          <w:rFonts w:hint="eastAsia"/>
          <w:color w:val="auto"/>
          <w:highlight w:val="none"/>
        </w:rPr>
        <w:t>10倍额定电流</w:t>
      </w:r>
      <w:r>
        <w:rPr>
          <w:color w:val="auto"/>
          <w:highlight w:val="none"/>
        </w:rPr>
        <w:tab/>
      </w:r>
      <w:r>
        <w:rPr>
          <w:rFonts w:hint="eastAsia"/>
          <w:color w:val="auto"/>
          <w:highlight w:val="none"/>
        </w:rPr>
        <w:t>允许10s</w:t>
      </w:r>
    </w:p>
    <w:p>
      <w:pPr>
        <w:pStyle w:val="76"/>
        <w:jc w:val="both"/>
        <w:rPr>
          <w:color w:val="auto"/>
          <w:highlight w:val="none"/>
        </w:rPr>
      </w:pPr>
      <w:r>
        <w:rPr>
          <w:rFonts w:hint="eastAsia"/>
          <w:color w:val="auto"/>
          <w:highlight w:val="none"/>
        </w:rPr>
        <w:t>40倍额定电流</w:t>
      </w:r>
      <w:r>
        <w:rPr>
          <w:color w:val="auto"/>
          <w:highlight w:val="none"/>
        </w:rPr>
        <w:tab/>
      </w:r>
      <w:r>
        <w:rPr>
          <w:rFonts w:hint="eastAsia"/>
          <w:color w:val="auto"/>
          <w:highlight w:val="none"/>
        </w:rPr>
        <w:t>允许1s</w:t>
      </w:r>
    </w:p>
    <w:p>
      <w:pPr>
        <w:pStyle w:val="76"/>
        <w:jc w:val="both"/>
        <w:rPr>
          <w:color w:val="auto"/>
          <w:highlight w:val="none"/>
        </w:rPr>
      </w:pPr>
      <w:r>
        <w:rPr>
          <w:rFonts w:hint="eastAsia"/>
          <w:color w:val="auto"/>
          <w:highlight w:val="none"/>
        </w:rPr>
        <w:t>交流电压回路1.2倍额定电压</w:t>
      </w:r>
      <w:r>
        <w:rPr>
          <w:color w:val="auto"/>
          <w:highlight w:val="none"/>
        </w:rPr>
        <w:tab/>
      </w:r>
      <w:r>
        <w:rPr>
          <w:color w:val="auto"/>
          <w:highlight w:val="none"/>
        </w:rPr>
        <w:t xml:space="preserve">  </w:t>
      </w:r>
      <w:r>
        <w:rPr>
          <w:rFonts w:hint="eastAsia"/>
          <w:color w:val="auto"/>
          <w:highlight w:val="none"/>
        </w:rPr>
        <w:t>连续工作</w:t>
      </w:r>
    </w:p>
    <w:p>
      <w:pPr>
        <w:pStyle w:val="76"/>
        <w:jc w:val="both"/>
        <w:rPr>
          <w:color w:val="auto"/>
          <w:highlight w:val="none"/>
        </w:rPr>
      </w:pPr>
      <w:r>
        <w:rPr>
          <w:rFonts w:hint="eastAsia"/>
          <w:color w:val="auto"/>
          <w:highlight w:val="none"/>
        </w:rPr>
        <w:t>1.4倍额定电压</w:t>
      </w:r>
      <w:r>
        <w:rPr>
          <w:color w:val="auto"/>
          <w:highlight w:val="none"/>
        </w:rPr>
        <w:t xml:space="preserve">   </w:t>
      </w:r>
      <w:r>
        <w:rPr>
          <w:rFonts w:hint="eastAsia"/>
          <w:color w:val="auto"/>
          <w:highlight w:val="none"/>
        </w:rPr>
        <w:t>允许10s</w:t>
      </w:r>
    </w:p>
    <w:p>
      <w:pPr>
        <w:pStyle w:val="76"/>
        <w:jc w:val="both"/>
        <w:rPr>
          <w:color w:val="auto"/>
          <w:highlight w:val="none"/>
        </w:rPr>
      </w:pPr>
      <w:r>
        <w:rPr>
          <w:color w:val="auto"/>
          <w:highlight w:val="none"/>
        </w:rPr>
        <w:t xml:space="preserve">(2) </w:t>
      </w:r>
      <w:r>
        <w:rPr>
          <w:rFonts w:hint="eastAsia"/>
          <w:color w:val="auto"/>
          <w:highlight w:val="none"/>
        </w:rPr>
        <w:t>测量元件特性的准确度</w:t>
      </w:r>
    </w:p>
    <w:p>
      <w:pPr>
        <w:pStyle w:val="76"/>
        <w:jc w:val="both"/>
        <w:rPr>
          <w:color w:val="auto"/>
          <w:highlight w:val="none"/>
        </w:rPr>
      </w:pPr>
      <w:r>
        <w:rPr>
          <w:rFonts w:hint="eastAsia"/>
          <w:color w:val="auto"/>
          <w:highlight w:val="none"/>
        </w:rPr>
        <w:t>整定值误差：不超过±5%</w:t>
      </w:r>
    </w:p>
    <w:p>
      <w:pPr>
        <w:pStyle w:val="76"/>
        <w:jc w:val="both"/>
        <w:rPr>
          <w:color w:val="auto"/>
          <w:highlight w:val="none"/>
        </w:rPr>
      </w:pPr>
      <w:r>
        <w:rPr>
          <w:rFonts w:hint="eastAsia"/>
          <w:color w:val="auto"/>
          <w:highlight w:val="none"/>
        </w:rPr>
        <w:t>动作时间误差：不超过±5%</w:t>
      </w:r>
    </w:p>
    <w:p>
      <w:pPr>
        <w:pStyle w:val="76"/>
        <w:jc w:val="both"/>
        <w:rPr>
          <w:color w:val="auto"/>
          <w:highlight w:val="none"/>
        </w:rPr>
      </w:pPr>
      <w:r>
        <w:rPr>
          <w:rFonts w:hint="eastAsia"/>
          <w:color w:val="auto"/>
          <w:highlight w:val="none"/>
        </w:rPr>
        <w:t>温度变差：在工作环境温度范围不超过±2.5%</w:t>
      </w:r>
    </w:p>
    <w:p>
      <w:pPr>
        <w:pStyle w:val="76"/>
        <w:jc w:val="both"/>
        <w:rPr>
          <w:color w:val="auto"/>
          <w:highlight w:val="none"/>
        </w:rPr>
      </w:pPr>
      <w:r>
        <w:rPr>
          <w:color w:val="auto"/>
          <w:highlight w:val="none"/>
        </w:rPr>
        <w:t xml:space="preserve">(3) </w:t>
      </w:r>
      <w:r>
        <w:rPr>
          <w:rFonts w:hint="eastAsia"/>
          <w:color w:val="auto"/>
          <w:highlight w:val="none"/>
        </w:rPr>
        <w:t>接点容量</w:t>
      </w:r>
    </w:p>
    <w:p>
      <w:pPr>
        <w:pStyle w:val="76"/>
        <w:jc w:val="both"/>
        <w:rPr>
          <w:color w:val="auto"/>
          <w:highlight w:val="none"/>
        </w:rPr>
      </w:pPr>
      <w:r>
        <w:rPr>
          <w:rFonts w:hint="eastAsia"/>
          <w:color w:val="auto"/>
          <w:highlight w:val="none"/>
        </w:rPr>
        <w:t>跳合闸回路：</w:t>
      </w:r>
      <w:r>
        <w:rPr>
          <w:color w:val="auto"/>
          <w:highlight w:val="none"/>
        </w:rPr>
        <w:tab/>
      </w:r>
      <w:r>
        <w:rPr>
          <w:rFonts w:hint="eastAsia"/>
          <w:color w:val="auto"/>
          <w:highlight w:val="none"/>
        </w:rPr>
        <w:t>闭合容量不小于5A</w:t>
      </w:r>
      <w:r>
        <w:rPr>
          <w:color w:val="auto"/>
          <w:highlight w:val="none"/>
        </w:rPr>
        <w:t xml:space="preserve"> (DC220V) </w:t>
      </w:r>
      <w:r>
        <w:rPr>
          <w:rFonts w:hint="eastAsia"/>
          <w:color w:val="auto"/>
          <w:highlight w:val="none"/>
        </w:rPr>
        <w:t>，动作延时应不大于5ms。</w:t>
      </w:r>
    </w:p>
    <w:p>
      <w:pPr>
        <w:pStyle w:val="76"/>
        <w:jc w:val="both"/>
        <w:rPr>
          <w:color w:val="auto"/>
          <w:highlight w:val="none"/>
        </w:rPr>
      </w:pPr>
      <w:r>
        <w:rPr>
          <w:rFonts w:hint="eastAsia"/>
          <w:color w:val="auto"/>
          <w:highlight w:val="none"/>
        </w:rPr>
        <w:t>信号回路：</w:t>
      </w:r>
      <w:r>
        <w:rPr>
          <w:color w:val="auto"/>
          <w:highlight w:val="none"/>
        </w:rPr>
        <w:tab/>
      </w:r>
      <w:r>
        <w:rPr>
          <w:rFonts w:hint="eastAsia"/>
          <w:color w:val="auto"/>
          <w:highlight w:val="none"/>
        </w:rPr>
        <w:t>接通不小于1A，断开不小于50W</w:t>
      </w:r>
      <w:r>
        <w:rPr>
          <w:color w:val="auto"/>
          <w:highlight w:val="none"/>
        </w:rPr>
        <w:t xml:space="preserve"> </w:t>
      </w:r>
      <w:r>
        <w:rPr>
          <w:rFonts w:hint="eastAsia"/>
          <w:color w:val="auto"/>
          <w:highlight w:val="none"/>
        </w:rPr>
        <w:t>(DC220V，t=5</w:t>
      </w:r>
      <w:r>
        <w:rPr>
          <w:color w:val="auto"/>
          <w:highlight w:val="none"/>
        </w:rPr>
        <w:t xml:space="preserve"> </w:t>
      </w:r>
      <w:r>
        <w:rPr>
          <w:rFonts w:hint="eastAsia"/>
          <w:color w:val="auto"/>
          <w:highlight w:val="none"/>
        </w:rPr>
        <w:t>ms有感负载)</w:t>
      </w:r>
      <w:r>
        <w:rPr>
          <w:color w:val="auto"/>
          <w:highlight w:val="none"/>
        </w:rPr>
        <w:t xml:space="preserve"> </w:t>
      </w:r>
      <w:r>
        <w:rPr>
          <w:rFonts w:hint="eastAsia"/>
          <w:color w:val="auto"/>
          <w:highlight w:val="none"/>
        </w:rPr>
        <w:t>。</w:t>
      </w:r>
    </w:p>
    <w:p>
      <w:pPr>
        <w:pStyle w:val="76"/>
        <w:jc w:val="both"/>
        <w:rPr>
          <w:color w:val="auto"/>
          <w:highlight w:val="none"/>
        </w:rPr>
      </w:pPr>
      <w:r>
        <w:rPr>
          <w:color w:val="auto"/>
          <w:highlight w:val="none"/>
        </w:rPr>
        <w:t xml:space="preserve">(4) </w:t>
      </w:r>
      <w:r>
        <w:rPr>
          <w:rFonts w:hint="eastAsia"/>
          <w:color w:val="auto"/>
          <w:highlight w:val="none"/>
        </w:rPr>
        <w:t>保护装置不因下列情况而误动作</w:t>
      </w:r>
    </w:p>
    <w:p>
      <w:pPr>
        <w:pStyle w:val="76"/>
        <w:jc w:val="both"/>
        <w:rPr>
          <w:color w:val="auto"/>
          <w:highlight w:val="none"/>
        </w:rPr>
      </w:pPr>
      <w:r>
        <w:rPr>
          <w:color w:val="auto"/>
          <w:highlight w:val="none"/>
        </w:rPr>
        <w:t xml:space="preserve">1) </w:t>
      </w:r>
      <w:r>
        <w:rPr>
          <w:rFonts w:hint="eastAsia"/>
          <w:color w:val="auto"/>
          <w:highlight w:val="none"/>
        </w:rPr>
        <w:t>电压互感器二次回路短路、断线。</w:t>
      </w:r>
    </w:p>
    <w:p>
      <w:pPr>
        <w:pStyle w:val="76"/>
        <w:jc w:val="both"/>
        <w:rPr>
          <w:color w:val="auto"/>
          <w:highlight w:val="none"/>
        </w:rPr>
      </w:pPr>
      <w:r>
        <w:rPr>
          <w:color w:val="auto"/>
          <w:highlight w:val="none"/>
        </w:rPr>
        <w:t xml:space="preserve">2) </w:t>
      </w:r>
      <w:r>
        <w:rPr>
          <w:rFonts w:hint="eastAsia"/>
          <w:color w:val="auto"/>
          <w:highlight w:val="none"/>
        </w:rPr>
        <w:t>电流互感器二次回路断线。</w:t>
      </w:r>
    </w:p>
    <w:p>
      <w:pPr>
        <w:pStyle w:val="76"/>
        <w:jc w:val="both"/>
        <w:rPr>
          <w:color w:val="auto"/>
          <w:highlight w:val="none"/>
        </w:rPr>
      </w:pPr>
      <w:r>
        <w:rPr>
          <w:color w:val="auto"/>
          <w:highlight w:val="none"/>
        </w:rPr>
        <w:t xml:space="preserve">3) </w:t>
      </w:r>
      <w:r>
        <w:rPr>
          <w:rFonts w:hint="eastAsia"/>
          <w:color w:val="auto"/>
          <w:highlight w:val="none"/>
        </w:rPr>
        <w:t>电力系统振荡。</w:t>
      </w:r>
    </w:p>
    <w:p>
      <w:pPr>
        <w:pStyle w:val="76"/>
        <w:jc w:val="both"/>
        <w:rPr>
          <w:color w:val="auto"/>
          <w:highlight w:val="none"/>
        </w:rPr>
      </w:pPr>
      <w:r>
        <w:rPr>
          <w:color w:val="auto"/>
          <w:highlight w:val="none"/>
        </w:rPr>
        <w:t xml:space="preserve">4) </w:t>
      </w:r>
      <w:r>
        <w:rPr>
          <w:rFonts w:hint="eastAsia"/>
          <w:color w:val="auto"/>
          <w:highlight w:val="none"/>
        </w:rPr>
        <w:t>发电电动机发电和电动工况起动过程和停机过程，工况转换和电制动过程等。</w:t>
      </w:r>
    </w:p>
    <w:p>
      <w:pPr>
        <w:pStyle w:val="76"/>
        <w:jc w:val="both"/>
        <w:rPr>
          <w:color w:val="auto"/>
          <w:highlight w:val="none"/>
        </w:rPr>
      </w:pPr>
      <w:r>
        <w:rPr>
          <w:color w:val="auto"/>
          <w:highlight w:val="none"/>
        </w:rPr>
        <w:t xml:space="preserve">5) </w:t>
      </w:r>
      <w:r>
        <w:rPr>
          <w:rFonts w:hint="eastAsia"/>
          <w:color w:val="auto"/>
          <w:highlight w:val="none"/>
        </w:rPr>
        <w:t>电源投切操作。</w:t>
      </w:r>
    </w:p>
    <w:p>
      <w:pPr>
        <w:pStyle w:val="76"/>
        <w:jc w:val="both"/>
        <w:rPr>
          <w:color w:val="auto"/>
          <w:highlight w:val="none"/>
        </w:rPr>
      </w:pPr>
      <w:r>
        <w:rPr>
          <w:color w:val="auto"/>
          <w:highlight w:val="none"/>
        </w:rPr>
        <w:t xml:space="preserve">6) </w:t>
      </w:r>
      <w:r>
        <w:rPr>
          <w:rFonts w:hint="eastAsia"/>
          <w:color w:val="auto"/>
          <w:highlight w:val="none"/>
        </w:rPr>
        <w:t>直流回路一点接地。</w:t>
      </w:r>
    </w:p>
    <w:p>
      <w:pPr>
        <w:pStyle w:val="76"/>
        <w:jc w:val="both"/>
        <w:rPr>
          <w:color w:val="auto"/>
          <w:highlight w:val="none"/>
        </w:rPr>
      </w:pPr>
      <w:r>
        <w:rPr>
          <w:color w:val="auto"/>
          <w:highlight w:val="none"/>
        </w:rPr>
        <w:t xml:space="preserve">7) </w:t>
      </w:r>
      <w:r>
        <w:rPr>
          <w:rFonts w:hint="eastAsia"/>
          <w:color w:val="auto"/>
          <w:highlight w:val="none"/>
        </w:rPr>
        <w:t>保护装置任一元件故障。</w:t>
      </w:r>
    </w:p>
    <w:p>
      <w:pPr>
        <w:pStyle w:val="76"/>
        <w:jc w:val="both"/>
        <w:rPr>
          <w:color w:val="auto"/>
          <w:highlight w:val="none"/>
        </w:rPr>
      </w:pPr>
      <w:r>
        <w:rPr>
          <w:color w:val="auto"/>
          <w:highlight w:val="none"/>
        </w:rPr>
        <w:t xml:space="preserve">8) </w:t>
      </w:r>
      <w:r>
        <w:rPr>
          <w:rFonts w:hint="eastAsia"/>
          <w:color w:val="auto"/>
          <w:highlight w:val="none"/>
        </w:rPr>
        <w:t>大气过电压、系统谐波及电磁干扰。</w:t>
      </w:r>
    </w:p>
    <w:p>
      <w:pPr>
        <w:pStyle w:val="76"/>
        <w:jc w:val="both"/>
        <w:rPr>
          <w:color w:val="auto"/>
          <w:highlight w:val="none"/>
        </w:rPr>
      </w:pPr>
      <w:r>
        <w:rPr>
          <w:color w:val="auto"/>
          <w:highlight w:val="none"/>
        </w:rPr>
        <w:t xml:space="preserve">(5) </w:t>
      </w:r>
      <w:r>
        <w:rPr>
          <w:rFonts w:hint="eastAsia"/>
          <w:color w:val="auto"/>
          <w:highlight w:val="none"/>
        </w:rPr>
        <w:t>保护装置采用32位、DSP技术的数字处理器。</w:t>
      </w:r>
    </w:p>
    <w:p>
      <w:pPr>
        <w:pStyle w:val="76"/>
        <w:jc w:val="both"/>
        <w:rPr>
          <w:color w:val="auto"/>
          <w:highlight w:val="none"/>
        </w:rPr>
      </w:pPr>
      <w:r>
        <w:rPr>
          <w:color w:val="auto"/>
          <w:highlight w:val="none"/>
        </w:rPr>
        <w:t xml:space="preserve">(6) </w:t>
      </w:r>
      <w:r>
        <w:rPr>
          <w:rFonts w:hint="eastAsia"/>
          <w:color w:val="auto"/>
          <w:highlight w:val="none"/>
        </w:rPr>
        <w:t>保护装置故障录波的开关量分辨率为1ms，谐波分辨率不低于7次，总记录时间不少于10s。</w:t>
      </w:r>
    </w:p>
    <w:p>
      <w:pPr>
        <w:pStyle w:val="62"/>
        <w:rPr>
          <w:color w:val="auto"/>
          <w:highlight w:val="none"/>
        </w:rPr>
      </w:pPr>
      <w:bookmarkStart w:id="297" w:name="_Toc4514"/>
      <w:bookmarkStart w:id="298" w:name="_Toc28151"/>
      <w:r>
        <w:rPr>
          <w:color w:val="auto"/>
          <w:highlight w:val="none"/>
        </w:rPr>
        <w:t>11.</w:t>
      </w:r>
      <w:r>
        <w:rPr>
          <w:rFonts w:hint="eastAsia"/>
          <w:color w:val="auto"/>
          <w:highlight w:val="none"/>
        </w:rPr>
        <w:t>2</w:t>
      </w:r>
      <w:r>
        <w:rPr>
          <w:color w:val="auto"/>
          <w:highlight w:val="none"/>
        </w:rPr>
        <w:t xml:space="preserve">  </w:t>
      </w:r>
      <w:r>
        <w:rPr>
          <w:rFonts w:hint="eastAsia"/>
          <w:color w:val="auto"/>
          <w:highlight w:val="none"/>
        </w:rPr>
        <w:t>制造商提供的专用工器具</w:t>
      </w:r>
      <w:bookmarkEnd w:id="297"/>
      <w:bookmarkEnd w:id="298"/>
    </w:p>
    <w:p>
      <w:pPr>
        <w:pStyle w:val="76"/>
        <w:spacing w:line="480" w:lineRule="exact"/>
        <w:ind w:firstLine="480" w:firstLineChars="200"/>
        <w:jc w:val="both"/>
        <w:rPr>
          <w:color w:val="auto"/>
          <w:highlight w:val="none"/>
        </w:rPr>
      </w:pPr>
      <w:r>
        <w:rPr>
          <w:rFonts w:hint="eastAsia"/>
          <w:color w:val="auto"/>
          <w:highlight w:val="none"/>
        </w:rPr>
        <w:t>便携式保护继电器校验仪</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调试及维护的笔记本电脑，包括调试软件</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试验线和端子，调试用电缆，短接片</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调试用CT，变比10:1</w:t>
      </w:r>
      <w:r>
        <w:rPr>
          <w:color w:val="auto"/>
          <w:highlight w:val="none"/>
        </w:rPr>
        <w:t xml:space="preserve">                                       </w:t>
      </w:r>
      <w:r>
        <w:rPr>
          <w:rFonts w:hint="eastAsia"/>
          <w:color w:val="auto"/>
          <w:highlight w:val="none"/>
        </w:rPr>
        <w:t>1套</w:t>
      </w:r>
    </w:p>
    <w:p>
      <w:pPr>
        <w:pStyle w:val="50"/>
        <w:outlineLvl w:val="9"/>
        <w:rPr>
          <w:color w:val="auto"/>
          <w:highlight w:val="none"/>
        </w:rPr>
      </w:pP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bookmarkStart w:id="299" w:name="_Toc114042625"/>
      <w:bookmarkStart w:id="300" w:name="_Toc3426"/>
      <w:bookmarkStart w:id="301" w:name="_Toc127395736"/>
      <w:bookmarkStart w:id="302" w:name="_Toc1900"/>
      <w:r>
        <w:rPr>
          <w:rFonts w:hint="eastAsia"/>
          <w:color w:val="auto"/>
          <w:highlight w:val="none"/>
        </w:rPr>
        <w:t xml:space="preserve">第12章  </w:t>
      </w:r>
      <w:bookmarkEnd w:id="299"/>
      <w:r>
        <w:rPr>
          <w:rFonts w:hint="eastAsia"/>
          <w:color w:val="auto"/>
          <w:highlight w:val="none"/>
          <w:lang w:val="en-US"/>
        </w:rPr>
        <w:t>交、直流控制电源系统</w:t>
      </w:r>
      <w:bookmarkEnd w:id="300"/>
      <w:bookmarkEnd w:id="301"/>
      <w:bookmarkEnd w:id="302"/>
      <w:r>
        <w:rPr>
          <w:color w:val="auto"/>
          <w:highlight w:val="none"/>
        </w:rPr>
        <w:t xml:space="preserve"> </w:t>
      </w:r>
    </w:p>
    <w:p>
      <w:pPr>
        <w:pStyle w:val="132"/>
        <w:rPr>
          <w:color w:val="auto"/>
          <w:highlight w:val="none"/>
        </w:rPr>
      </w:pPr>
      <w:bookmarkStart w:id="303" w:name="_Toc5706"/>
      <w:bookmarkStart w:id="304" w:name="_Toc114042626"/>
      <w:bookmarkStart w:id="305" w:name="_Toc127395737"/>
      <w:bookmarkStart w:id="306" w:name="_Toc6267"/>
      <w:r>
        <w:rPr>
          <w:color w:val="auto"/>
          <w:highlight w:val="none"/>
        </w:rPr>
        <w:t>12.</w:t>
      </w:r>
      <w:r>
        <w:rPr>
          <w:rFonts w:hint="eastAsia"/>
          <w:color w:val="auto"/>
          <w:highlight w:val="none"/>
        </w:rPr>
        <w:t>1</w:t>
      </w:r>
      <w:r>
        <w:rPr>
          <w:color w:val="auto"/>
          <w:highlight w:val="none"/>
        </w:rPr>
        <w:t xml:space="preserve"> </w:t>
      </w:r>
      <w:r>
        <w:rPr>
          <w:rFonts w:hint="eastAsia"/>
          <w:color w:val="auto"/>
          <w:highlight w:val="none"/>
        </w:rPr>
        <w:t>简要技术说明</w:t>
      </w:r>
      <w:bookmarkEnd w:id="303"/>
      <w:bookmarkEnd w:id="304"/>
      <w:bookmarkEnd w:id="305"/>
      <w:bookmarkEnd w:id="306"/>
      <w:r>
        <w:rPr>
          <w:color w:val="auto"/>
          <w:highlight w:val="none"/>
        </w:rPr>
        <w:t xml:space="preserve"> </w:t>
      </w:r>
      <w:bookmarkStart w:id="307" w:name="_Toc706"/>
      <w:bookmarkStart w:id="308" w:name="_Toc395269761"/>
      <w:bookmarkStart w:id="309" w:name="_Toc387821704"/>
    </w:p>
    <w:p>
      <w:pPr>
        <w:pStyle w:val="132"/>
        <w:rPr>
          <w:color w:val="auto"/>
          <w:highlight w:val="none"/>
        </w:rPr>
      </w:pPr>
      <w:r>
        <w:rPr>
          <w:color w:val="auto"/>
          <w:highlight w:val="none"/>
        </w:rPr>
        <w:t>12.</w:t>
      </w:r>
      <w:r>
        <w:rPr>
          <w:rFonts w:hint="eastAsia"/>
          <w:color w:val="auto"/>
          <w:highlight w:val="none"/>
        </w:rPr>
        <w:t>1</w:t>
      </w:r>
      <w:r>
        <w:rPr>
          <w:color w:val="auto"/>
          <w:highlight w:val="none"/>
        </w:rPr>
        <w:t>.</w:t>
      </w:r>
      <w:r>
        <w:rPr>
          <w:rFonts w:hint="eastAsia"/>
          <w:color w:val="auto"/>
          <w:highlight w:val="none"/>
          <w:lang w:val="en-US"/>
        </w:rPr>
        <w:t>1</w:t>
      </w:r>
      <w:r>
        <w:rPr>
          <w:rFonts w:hint="eastAsia"/>
          <w:color w:val="auto"/>
          <w:highlight w:val="none"/>
        </w:rPr>
        <w:t xml:space="preserve">  系统结构</w:t>
      </w:r>
      <w:bookmarkEnd w:id="307"/>
      <w:bookmarkEnd w:id="308"/>
      <w:bookmarkEnd w:id="309"/>
    </w:p>
    <w:p>
      <w:pPr>
        <w:snapToGrid w:val="0"/>
        <w:spacing w:line="46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1) </w:t>
      </w:r>
      <w:r>
        <w:rPr>
          <w:rFonts w:hint="eastAsia" w:ascii="Times New Roman" w:hAnsi="Times New Roman"/>
          <w:color w:val="auto"/>
          <w:sz w:val="24"/>
          <w:szCs w:val="24"/>
          <w:highlight w:val="none"/>
        </w:rPr>
        <w:t>地下厂房直流电源系统为三套充电机、两组1800Ah蓄电池、微机绝缘监测装置、两套微机电池巡检仪、直流母线分段的高频开关直流电源系统。设</w:t>
      </w:r>
      <w:r>
        <w:rPr>
          <w:color w:val="auto"/>
          <w:sz w:val="24"/>
          <w:highlight w:val="none"/>
        </w:rPr>
        <w:t>3</w:t>
      </w:r>
      <w:r>
        <w:rPr>
          <w:rFonts w:hAnsi="宋体"/>
          <w:color w:val="auto"/>
          <w:sz w:val="24"/>
          <w:highlight w:val="none"/>
        </w:rPr>
        <w:t>面直流充电屏</w:t>
      </w:r>
      <w:r>
        <w:rPr>
          <w:color w:val="auto"/>
          <w:sz w:val="24"/>
          <w:highlight w:val="none"/>
        </w:rPr>
        <w:t>(</w:t>
      </w:r>
      <w:r>
        <w:rPr>
          <w:rFonts w:hint="eastAsia"/>
          <w:color w:val="auto"/>
          <w:sz w:val="24"/>
          <w:highlight w:val="none"/>
        </w:rPr>
        <w:t>每组电池由两面直流充电屏充电</w:t>
      </w:r>
      <w:r>
        <w:rPr>
          <w:rFonts w:hAnsi="宋体"/>
          <w:color w:val="auto"/>
          <w:sz w:val="24"/>
          <w:highlight w:val="none"/>
        </w:rPr>
        <w:t>，当其中一段直流充电屏故障时，</w:t>
      </w:r>
      <w:r>
        <w:rPr>
          <w:rFonts w:hint="eastAsia" w:hAnsi="宋体"/>
          <w:color w:val="auto"/>
          <w:sz w:val="24"/>
          <w:highlight w:val="none"/>
        </w:rPr>
        <w:t>备用</w:t>
      </w:r>
      <w:r>
        <w:rPr>
          <w:rFonts w:hAnsi="宋体"/>
          <w:color w:val="auto"/>
          <w:sz w:val="24"/>
          <w:highlight w:val="none"/>
        </w:rPr>
        <w:t>直流充电屏可以投入对电池进行充电</w:t>
      </w:r>
      <w:r>
        <w:rPr>
          <w:color w:val="auto"/>
          <w:sz w:val="24"/>
          <w:highlight w:val="none"/>
        </w:rPr>
        <w:t>)</w:t>
      </w:r>
      <w:r>
        <w:rPr>
          <w:rFonts w:hAnsi="宋体"/>
          <w:color w:val="auto"/>
          <w:sz w:val="24"/>
          <w:highlight w:val="none"/>
        </w:rPr>
        <w:t>、</w:t>
      </w:r>
      <w:r>
        <w:rPr>
          <w:color w:val="auto"/>
          <w:sz w:val="24"/>
          <w:highlight w:val="none"/>
        </w:rPr>
        <w:t>4</w:t>
      </w:r>
      <w:r>
        <w:rPr>
          <w:rFonts w:hAnsi="宋体"/>
          <w:color w:val="auto"/>
          <w:sz w:val="24"/>
          <w:highlight w:val="none"/>
        </w:rPr>
        <w:t>面直流馈电主屏</w:t>
      </w:r>
      <w:r>
        <w:rPr>
          <w:rFonts w:hint="eastAsia" w:hAnsi="宋体"/>
          <w:color w:val="auto"/>
          <w:sz w:val="24"/>
          <w:highlight w:val="none"/>
        </w:rPr>
        <w:t>（含蓄电池在线监测）</w:t>
      </w:r>
      <w:r>
        <w:rPr>
          <w:rFonts w:hAnsi="宋体"/>
          <w:color w:val="auto"/>
          <w:sz w:val="24"/>
          <w:highlight w:val="none"/>
        </w:rPr>
        <w:t>、2面联络屏、</w:t>
      </w:r>
      <w:r>
        <w:rPr>
          <w:rFonts w:hint="eastAsia"/>
          <w:color w:val="auto"/>
          <w:sz w:val="24"/>
          <w:highlight w:val="none"/>
        </w:rPr>
        <w:t>10</w:t>
      </w:r>
      <w:r>
        <w:rPr>
          <w:rFonts w:hAnsi="宋体"/>
          <w:color w:val="auto"/>
          <w:sz w:val="24"/>
          <w:highlight w:val="none"/>
        </w:rPr>
        <w:t>面直流馈电分屏、</w:t>
      </w:r>
      <w:r>
        <w:rPr>
          <w:color w:val="auto"/>
          <w:sz w:val="24"/>
          <w:highlight w:val="none"/>
        </w:rPr>
        <w:t>6</w:t>
      </w:r>
      <w:r>
        <w:rPr>
          <w:rFonts w:hAnsi="宋体"/>
          <w:color w:val="auto"/>
          <w:sz w:val="24"/>
          <w:highlight w:val="none"/>
        </w:rPr>
        <w:t>面交流</w:t>
      </w:r>
      <w:r>
        <w:rPr>
          <w:rFonts w:hint="eastAsia" w:hAnsi="宋体"/>
          <w:color w:val="auto"/>
          <w:sz w:val="24"/>
          <w:highlight w:val="none"/>
        </w:rPr>
        <w:t>配电</w:t>
      </w:r>
      <w:r>
        <w:rPr>
          <w:rFonts w:hAnsi="宋体"/>
          <w:color w:val="auto"/>
          <w:sz w:val="24"/>
          <w:highlight w:val="none"/>
        </w:rPr>
        <w:t>分屏</w:t>
      </w:r>
      <w:r>
        <w:rPr>
          <w:rFonts w:hint="eastAsia" w:hAnsi="宋体"/>
          <w:color w:val="auto"/>
          <w:sz w:val="24"/>
          <w:highlight w:val="none"/>
        </w:rPr>
        <w:t>、</w:t>
      </w:r>
      <w:r>
        <w:rPr>
          <w:rFonts w:hint="eastAsia"/>
          <w:color w:val="auto"/>
          <w:sz w:val="24"/>
          <w:highlight w:val="none"/>
        </w:rPr>
        <w:t>2</w:t>
      </w:r>
      <w:r>
        <w:rPr>
          <w:rFonts w:hint="eastAsia" w:hAnsi="宋体"/>
          <w:color w:val="auto"/>
          <w:sz w:val="24"/>
          <w:highlight w:val="none"/>
        </w:rPr>
        <w:t>套</w:t>
      </w:r>
      <w:r>
        <w:rPr>
          <w:rFonts w:hAnsi="宋体"/>
          <w:color w:val="auto"/>
          <w:sz w:val="24"/>
          <w:highlight w:val="none"/>
        </w:rPr>
        <w:t>20kVA</w:t>
      </w:r>
      <w:r>
        <w:rPr>
          <w:rFonts w:hint="eastAsia" w:hAnsi="宋体"/>
          <w:color w:val="auto"/>
          <w:sz w:val="24"/>
          <w:highlight w:val="none"/>
        </w:rPr>
        <w:t xml:space="preserve"> </w:t>
      </w:r>
      <w:r>
        <w:rPr>
          <w:rFonts w:hAnsi="宋体"/>
          <w:color w:val="auto"/>
          <w:sz w:val="24"/>
          <w:highlight w:val="none"/>
        </w:rPr>
        <w:t>UPS电源系统</w:t>
      </w:r>
      <w:r>
        <w:rPr>
          <w:rFonts w:hint="eastAsia" w:hAnsi="宋体"/>
          <w:color w:val="auto"/>
          <w:sz w:val="24"/>
          <w:highlight w:val="none"/>
        </w:rPr>
        <w:t>（给机组、主变洞等需要交流供电的重要设备供电）、2套30kVA UPS电源系统（给监控系统供电专用）</w:t>
      </w:r>
      <w:r>
        <w:rPr>
          <w:rFonts w:hAnsi="宋体"/>
          <w:color w:val="auto"/>
          <w:sz w:val="24"/>
          <w:highlight w:val="none"/>
        </w:rPr>
        <w:t>和</w:t>
      </w:r>
      <w:r>
        <w:rPr>
          <w:color w:val="auto"/>
          <w:sz w:val="24"/>
          <w:highlight w:val="none"/>
        </w:rPr>
        <w:t>1</w:t>
      </w:r>
      <w:r>
        <w:rPr>
          <w:rFonts w:hint="eastAsia" w:hAnsi="宋体"/>
          <w:color w:val="auto"/>
          <w:sz w:val="24"/>
          <w:highlight w:val="none"/>
        </w:rPr>
        <w:t xml:space="preserve">套30kW </w:t>
      </w:r>
      <w:r>
        <w:rPr>
          <w:rFonts w:hAnsi="宋体"/>
          <w:color w:val="auto"/>
          <w:sz w:val="24"/>
          <w:highlight w:val="none"/>
        </w:rPr>
        <w:t>EPS</w:t>
      </w:r>
      <w:r>
        <w:rPr>
          <w:rFonts w:hint="eastAsia" w:hAnsi="宋体"/>
          <w:color w:val="auto"/>
          <w:sz w:val="24"/>
          <w:highlight w:val="none"/>
        </w:rPr>
        <w:t>应急</w:t>
      </w:r>
      <w:r>
        <w:rPr>
          <w:rFonts w:hAnsi="宋体"/>
          <w:color w:val="auto"/>
          <w:sz w:val="24"/>
          <w:highlight w:val="none"/>
        </w:rPr>
        <w:t>电源系统、</w:t>
      </w:r>
      <w:r>
        <w:rPr>
          <w:color w:val="auto"/>
          <w:sz w:val="24"/>
          <w:highlight w:val="none"/>
        </w:rPr>
        <w:t>2</w:t>
      </w:r>
      <w:r>
        <w:rPr>
          <w:rFonts w:hAnsi="宋体"/>
          <w:color w:val="auto"/>
          <w:sz w:val="24"/>
          <w:highlight w:val="none"/>
        </w:rPr>
        <w:t>套电池架(采用镀锌碳钢材料)</w:t>
      </w:r>
      <w:r>
        <w:rPr>
          <w:rFonts w:hint="eastAsia" w:ascii="Times New Roman" w:hAnsi="Times New Roman"/>
          <w:color w:val="auto"/>
          <w:sz w:val="24"/>
          <w:szCs w:val="24"/>
          <w:highlight w:val="none"/>
        </w:rPr>
        <w:t>。</w:t>
      </w:r>
    </w:p>
    <w:p>
      <w:pPr>
        <w:snapToGrid w:val="0"/>
        <w:spacing w:line="46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22</w:t>
      </w:r>
      <w:r>
        <w:rPr>
          <w:rFonts w:ascii="Times New Roman" w:hAnsi="Times New Roman"/>
          <w:color w:val="auto"/>
          <w:sz w:val="24"/>
          <w:szCs w:val="24"/>
          <w:highlight w:val="none"/>
        </w:rPr>
        <w:t xml:space="preserve">0kV </w:t>
      </w:r>
      <w:r>
        <w:rPr>
          <w:rFonts w:hint="eastAsia" w:ascii="Times New Roman" w:hAnsi="Times New Roman"/>
          <w:color w:val="auto"/>
          <w:sz w:val="24"/>
          <w:szCs w:val="24"/>
          <w:highlight w:val="none"/>
        </w:rPr>
        <w:t>GIS地面开关站直流电源系统为三套充电机、两组1000Ah蓄电池、微机绝缘监测装置、两套微机电池巡检仪、直流母线分段的高频开关直流电源系统。设3面直流充电屏(2面直流充电屏分别给两组电池充电，当1面直流充电屏故障时，另1面直流充电屏可以投入对电池进行充电)、2面直流馈电屏（含蓄电池在线监测）、2面联络屏、1面交流馈电分屏、2套10kVA UPS电源系统和1套10kW EPS电源系统、2套电池架(采用镀锌碳钢材料)。开关站直流控制电源、</w:t>
      </w:r>
      <w:r>
        <w:rPr>
          <w:rFonts w:ascii="Times New Roman" w:hAnsi="Times New Roman"/>
          <w:color w:val="auto"/>
          <w:sz w:val="24"/>
          <w:szCs w:val="24"/>
          <w:highlight w:val="none"/>
        </w:rPr>
        <w:t>UPS</w:t>
      </w:r>
      <w:r>
        <w:rPr>
          <w:rFonts w:hint="eastAsia" w:ascii="Times New Roman" w:hAnsi="Times New Roman"/>
          <w:color w:val="auto"/>
          <w:sz w:val="24"/>
          <w:szCs w:val="24"/>
          <w:highlight w:val="none"/>
        </w:rPr>
        <w:t>电源及</w:t>
      </w:r>
      <w:r>
        <w:rPr>
          <w:rFonts w:ascii="Times New Roman" w:hAnsi="Times New Roman"/>
          <w:color w:val="auto"/>
          <w:sz w:val="24"/>
          <w:szCs w:val="24"/>
          <w:highlight w:val="none"/>
        </w:rPr>
        <w:t>EPS</w:t>
      </w:r>
      <w:r>
        <w:rPr>
          <w:rFonts w:hint="eastAsia" w:ascii="Times New Roman" w:hAnsi="Times New Roman"/>
          <w:color w:val="auto"/>
          <w:sz w:val="24"/>
          <w:szCs w:val="24"/>
          <w:highlight w:val="none"/>
        </w:rPr>
        <w:t>电源设备均由高压标负责安装。</w:t>
      </w:r>
    </w:p>
    <w:p>
      <w:pPr>
        <w:snapToGrid w:val="0"/>
        <w:spacing w:line="46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上水库直流电源系统每套为单电源、单套充电机、单组</w:t>
      </w:r>
      <w:bookmarkStart w:id="310" w:name="OLE_LINK4"/>
      <w:r>
        <w:rPr>
          <w:rFonts w:hint="eastAsia" w:ascii="Times New Roman" w:hAnsi="Times New Roman"/>
          <w:color w:val="auto"/>
          <w:sz w:val="24"/>
          <w:szCs w:val="24"/>
          <w:highlight w:val="none"/>
        </w:rPr>
        <w:t>100Ah</w:t>
      </w:r>
      <w:bookmarkEnd w:id="310"/>
      <w:r>
        <w:rPr>
          <w:rFonts w:hint="eastAsia" w:ascii="Times New Roman" w:hAnsi="Times New Roman"/>
          <w:color w:val="auto"/>
          <w:sz w:val="24"/>
          <w:szCs w:val="24"/>
          <w:highlight w:val="none"/>
        </w:rPr>
        <w:t>蓄电池、单微机绝缘监测装置、单微机电池巡检仪、单母线高频开关直流电源系统。设1面直流充电屏、1面直流馈电及蓄电池在线监测屏和1面电池屏。</w:t>
      </w:r>
    </w:p>
    <w:p>
      <w:pPr>
        <w:snapToGrid w:val="0"/>
        <w:spacing w:line="460" w:lineRule="exact"/>
        <w:ind w:firstLine="480" w:firstLineChars="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4</w:t>
      </w:r>
      <w:r>
        <w:rPr>
          <w:rFonts w:ascii="Times New Roman" w:hAnsi="Times New Roman"/>
          <w:color w:val="auto"/>
          <w:sz w:val="24"/>
          <w:szCs w:val="24"/>
          <w:highlight w:val="none"/>
        </w:rPr>
        <w:t>)</w:t>
      </w:r>
      <w:r>
        <w:rPr>
          <w:rFonts w:hint="eastAsia" w:ascii="Times New Roman" w:hAnsi="Times New Roman"/>
          <w:color w:val="auto"/>
          <w:sz w:val="24"/>
          <w:szCs w:val="24"/>
          <w:highlight w:val="none"/>
        </w:rPr>
        <w:t>下水库直流电源系统每套为单电源、单套充电机、单组100Ah蓄电池、单微机绝缘监测装置、单微机电池巡检仪、单母线高频开关直流电源系统。设1面直流充电屏、1面直流馈电及蓄电池在线监测屏和1面电池屏。</w:t>
      </w:r>
    </w:p>
    <w:p>
      <w:pPr>
        <w:snapToGrid w:val="0"/>
        <w:spacing w:line="460" w:lineRule="exact"/>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5)下库坝区直流电源系统每套为单电源、单套充电机、单组100Ah蓄电池、单微机绝缘监测装置、单微机电池巡检仪、单母线高频开关直流电源系统。设1面直流充电屏、1面直流馈电及蓄电池在线监测屏和1面电池屏。</w:t>
      </w:r>
    </w:p>
    <w:p>
      <w:pPr>
        <w:snapToGrid w:val="0"/>
        <w:spacing w:line="46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6) </w:t>
      </w:r>
      <w:r>
        <w:rPr>
          <w:rFonts w:hint="eastAsia" w:ascii="Times New Roman" w:hAnsi="Times New Roman"/>
          <w:color w:val="auto"/>
          <w:sz w:val="24"/>
          <w:szCs w:val="24"/>
          <w:highlight w:val="none"/>
        </w:rPr>
        <w:t>各系统组成直流电源成套装置，按蓄电池、充电装置和馈线分别设置屏。</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7</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地下厂房、开关站各配置的UPS装置，不设蓄电池，采用电站220V直流一体化电源。地下厂房和开关站UPS为并联冗余、互为热备用的工作方式：两组相同的UPS的容量都可单独供给全部负荷，正常运行时，两组UPS并联供电。当一组UPS故障时，另一组UPS向全部负荷供电。UPS为双变换式(在线式)</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，具有锁相同步跟踪技术。正常情况下UPS由厂用交流电源供电。交流电源消失时，由蓄电池供给逆变器。当两台UPS的整流和逆变部分都发生故障但交流电源完好时，交流电源经过旁路开关柜直接供给负荷。8</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屏柜设备配置</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每套直流电源系统组成直流成套装置，由充电屏、馈电屏、蓄电池组组成。</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充电屏包括：交流微机智能自动切换单元、智能型高频开关充电模块(采用N+n冗余组合)</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、微机监控模块、电池接口、监控和故障报警单元模块等。</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馈电屏包括：电流电压采样装置、微机绝缘监测装置、微机电池巡检仪、直流馈线输出开关等。</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地下厂房和220</w:t>
      </w:r>
      <w:r>
        <w:rPr>
          <w:rFonts w:ascii="Times New Roman" w:hAnsi="Times New Roman"/>
          <w:color w:val="auto"/>
          <w:sz w:val="24"/>
          <w:szCs w:val="24"/>
          <w:highlight w:val="none"/>
        </w:rPr>
        <w:t xml:space="preserve">kV </w:t>
      </w:r>
      <w:r>
        <w:rPr>
          <w:rFonts w:hint="eastAsia" w:ascii="Times New Roman" w:hAnsi="Times New Roman"/>
          <w:color w:val="auto"/>
          <w:sz w:val="24"/>
          <w:szCs w:val="24"/>
          <w:highlight w:val="none"/>
        </w:rPr>
        <w:t>GIS地面开关站的密封免维护铅酸蓄电池组安装在蓄电池室的支架上，其它的密封免维护铅酸蓄电池组安装在电池屏内。</w:t>
      </w:r>
    </w:p>
    <w:p>
      <w:pPr>
        <w:snapToGrid w:val="0"/>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每套UPS电源系统也组成UPS装置屏，按供电负荷数量要求配置馈线柜和旁路柜。</w:t>
      </w:r>
    </w:p>
    <w:p>
      <w:pPr>
        <w:snapToGrid w:val="0"/>
        <w:spacing w:line="46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8</w:t>
      </w:r>
      <w:r>
        <w:rPr>
          <w:rFonts w:hint="eastAsia" w:ascii="Times New Roman" w:hAnsi="Times New Roman"/>
          <w:color w:val="auto"/>
          <w:sz w:val="24"/>
          <w:szCs w:val="24"/>
          <w:highlight w:val="none"/>
        </w:rPr>
        <w:t>)EPS电源系统</w:t>
      </w:r>
    </w:p>
    <w:p>
      <w:pPr>
        <w:spacing w:line="46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电站配置2套EPS应急电源系统，地下厂房与地面开关站各1套。每套EPS应急电源系统自带一组蓄电池及充电器。每套EPS应急电源系统有2回400V三相四线交流进线电源和1回220V直流进线电源(自配蓄电池)。</w:t>
      </w:r>
    </w:p>
    <w:p>
      <w:pPr>
        <w:pStyle w:val="132"/>
        <w:rPr>
          <w:color w:val="auto"/>
          <w:highlight w:val="none"/>
        </w:rPr>
      </w:pPr>
      <w:bookmarkStart w:id="311" w:name="_Toc387821706"/>
      <w:bookmarkStart w:id="312" w:name="_Toc15216"/>
      <w:r>
        <w:rPr>
          <w:color w:val="auto"/>
          <w:highlight w:val="none"/>
        </w:rPr>
        <w:t>12.</w:t>
      </w:r>
      <w:r>
        <w:rPr>
          <w:rFonts w:hint="eastAsia"/>
          <w:color w:val="auto"/>
          <w:highlight w:val="none"/>
          <w:lang w:val="en-US"/>
        </w:rPr>
        <w:t>1</w:t>
      </w:r>
      <w:r>
        <w:rPr>
          <w:color w:val="auto"/>
          <w:highlight w:val="none"/>
        </w:rPr>
        <w:t xml:space="preserve">.4 </w:t>
      </w:r>
      <w:r>
        <w:rPr>
          <w:rFonts w:hint="eastAsia"/>
          <w:color w:val="auto"/>
          <w:highlight w:val="none"/>
        </w:rPr>
        <w:t xml:space="preserve"> 直流电源系统</w:t>
      </w:r>
      <w:bookmarkEnd w:id="311"/>
      <w:r>
        <w:rPr>
          <w:rFonts w:hint="eastAsia"/>
          <w:color w:val="auto"/>
          <w:highlight w:val="none"/>
        </w:rPr>
        <w:t>技术特性</w:t>
      </w:r>
      <w:bookmarkEnd w:id="312"/>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 </w:t>
      </w:r>
      <w:r>
        <w:rPr>
          <w:rFonts w:hint="eastAsia" w:ascii="Times New Roman" w:hAnsi="Times New Roman" w:cs="Times New Roman"/>
          <w:color w:val="auto"/>
          <w:sz w:val="24"/>
          <w:highlight w:val="none"/>
        </w:rPr>
        <w:t>交流输入参数</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额定电压</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AC380±15%V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额定频率</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50Hz</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 </w:t>
      </w:r>
      <w:r>
        <w:rPr>
          <w:rFonts w:hint="eastAsia" w:ascii="Times New Roman" w:hAnsi="Times New Roman" w:cs="Times New Roman"/>
          <w:color w:val="auto"/>
          <w:sz w:val="24"/>
          <w:highlight w:val="none"/>
        </w:rPr>
        <w:t>直流输出参数</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额定电压</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220V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充电装置输出直流额定电流：</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 </w:t>
      </w:r>
      <w:r>
        <w:rPr>
          <w:rFonts w:hint="eastAsia" w:ascii="Times New Roman" w:hAnsi="Times New Roman" w:cs="Times New Roman"/>
          <w:color w:val="auto"/>
          <w:sz w:val="24"/>
          <w:highlight w:val="none"/>
        </w:rPr>
        <w:t>地下厂房</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320</w:t>
      </w:r>
      <w:r>
        <w:rPr>
          <w:rFonts w:ascii="Times New Roman" w:hAnsi="Times New Roman" w:cs="Times New Roman"/>
          <w:color w:val="auto"/>
          <w:sz w:val="24"/>
          <w:highlight w:val="none"/>
        </w:rPr>
        <w:t xml:space="preserve"> A</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 220kV </w:t>
      </w:r>
      <w:r>
        <w:rPr>
          <w:rFonts w:hint="eastAsia" w:ascii="Times New Roman" w:hAnsi="Times New Roman" w:cs="Times New Roman"/>
          <w:color w:val="auto"/>
          <w:sz w:val="24"/>
          <w:highlight w:val="none"/>
        </w:rPr>
        <w:t>GIS地面开关站</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1</w:t>
      </w:r>
      <w:r>
        <w:rPr>
          <w:rFonts w:hint="eastAsia" w:ascii="Times New Roman" w:hAnsi="Times New Roman" w:cs="Times New Roman"/>
          <w:color w:val="auto"/>
          <w:sz w:val="24"/>
          <w:highlight w:val="none"/>
        </w:rPr>
        <w:t>6</w:t>
      </w:r>
      <w:r>
        <w:rPr>
          <w:rFonts w:ascii="Times New Roman" w:hAnsi="Times New Roman" w:cs="Times New Roman"/>
          <w:color w:val="auto"/>
          <w:sz w:val="24"/>
          <w:highlight w:val="none"/>
        </w:rPr>
        <w:t>0A</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 </w:t>
      </w:r>
      <w:r>
        <w:rPr>
          <w:rFonts w:hint="eastAsia" w:ascii="Times New Roman" w:hAnsi="Times New Roman" w:cs="Times New Roman"/>
          <w:color w:val="auto"/>
          <w:sz w:val="24"/>
          <w:highlight w:val="none"/>
        </w:rPr>
        <w:t>上水库</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w:t>
      </w:r>
      <w:r>
        <w:rPr>
          <w:rFonts w:ascii="Times New Roman" w:hAnsi="Times New Roman" w:cs="Times New Roman"/>
          <w:color w:val="auto"/>
          <w:sz w:val="24"/>
          <w:highlight w:val="none"/>
        </w:rPr>
        <w:tab/>
      </w:r>
      <w:r>
        <w:rPr>
          <w:rFonts w:ascii="Times New Roman" w:hAnsi="Times New Roman" w:cs="Times New Roman"/>
          <w:color w:val="auto"/>
          <w:sz w:val="24"/>
          <w:highlight w:val="none"/>
        </w:rPr>
        <w:t>40A</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4) </w:t>
      </w:r>
      <w:r>
        <w:rPr>
          <w:rFonts w:hint="eastAsia" w:ascii="Times New Roman" w:hAnsi="Times New Roman" w:cs="Times New Roman"/>
          <w:color w:val="auto"/>
          <w:sz w:val="24"/>
          <w:highlight w:val="none"/>
        </w:rPr>
        <w:t>下水库</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40A</w:t>
      </w:r>
      <w:r>
        <w:rPr>
          <w:rFonts w:hint="eastAsia" w:ascii="Times New Roman" w:hAnsi="Times New Roman" w:cs="Times New Roman"/>
          <w:color w:val="auto"/>
          <w:sz w:val="24"/>
          <w:highlight w:val="none"/>
        </w:rPr>
        <w:t>5）下水库坝区</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40A</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 </w:t>
      </w:r>
      <w:r>
        <w:rPr>
          <w:rFonts w:hint="eastAsia" w:ascii="Times New Roman" w:hAnsi="Times New Roman" w:cs="Times New Roman"/>
          <w:color w:val="auto"/>
          <w:sz w:val="24"/>
          <w:highlight w:val="none"/>
        </w:rPr>
        <w:t>其它主要技术参数</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稳流精度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≤±1%</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浮充电压</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232V(25℃) </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稳压精度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≤±0.5%</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均充电压</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24</w:t>
      </w:r>
      <w:r>
        <w:rPr>
          <w:rFonts w:hint="eastAsia" w:ascii="Times New Roman" w:hAnsi="Times New Roman" w:cs="Times New Roman"/>
          <w:color w:val="auto"/>
          <w:sz w:val="24"/>
          <w:highlight w:val="none"/>
        </w:rPr>
        <w:t>2</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波纹系数</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≤0.5%</w:t>
      </w:r>
    </w:p>
    <w:p>
      <w:pPr>
        <w:snapToGrid w:val="0"/>
        <w:spacing w:line="480" w:lineRule="exact"/>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(4) </w:t>
      </w:r>
      <w:r>
        <w:rPr>
          <w:rFonts w:hint="eastAsia" w:ascii="Times New Roman" w:hAnsi="Times New Roman" w:cs="Times New Roman"/>
          <w:color w:val="auto"/>
          <w:sz w:val="24"/>
          <w:highlight w:val="none"/>
        </w:rPr>
        <w:t>保护参数</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输入过压报警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4</w:t>
      </w:r>
      <w:r>
        <w:rPr>
          <w:rFonts w:hint="eastAsia" w:ascii="Times New Roman" w:hAnsi="Times New Roman" w:cs="Times New Roman"/>
          <w:color w:val="auto"/>
          <w:sz w:val="24"/>
          <w:highlight w:val="none"/>
        </w:rPr>
        <w:t>60</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输入过压保护</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470±5V </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输入欠压报警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3</w:t>
      </w:r>
      <w:r>
        <w:rPr>
          <w:rFonts w:hint="eastAsia" w:ascii="Times New Roman" w:hAnsi="Times New Roman" w:cs="Times New Roman"/>
          <w:color w:val="auto"/>
          <w:sz w:val="24"/>
          <w:highlight w:val="none"/>
        </w:rPr>
        <w:t>30</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输入欠压保护</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329±5V </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输出过压保护</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29</w:t>
      </w:r>
      <w:r>
        <w:rPr>
          <w:rFonts w:hint="eastAsia" w:ascii="Times New Roman" w:hAnsi="Times New Roman" w:cs="Times New Roman"/>
          <w:color w:val="auto"/>
          <w:sz w:val="24"/>
          <w:highlight w:val="none"/>
        </w:rPr>
        <w:t>1</w:t>
      </w:r>
      <w:r>
        <w:rPr>
          <w:rFonts w:ascii="Times New Roman" w:hAnsi="Times New Roman" w:cs="Times New Roman"/>
          <w:color w:val="auto"/>
          <w:sz w:val="24"/>
          <w:highlight w:val="none"/>
        </w:rPr>
        <w:t>±</w:t>
      </w:r>
      <w:r>
        <w:rPr>
          <w:rFonts w:hint="eastAsia" w:ascii="Times New Roman" w:hAnsi="Times New Roman" w:cs="Times New Roman"/>
          <w:color w:val="auto"/>
          <w:sz w:val="24"/>
          <w:highlight w:val="none"/>
        </w:rPr>
        <w:t>4</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输出欠压报警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200</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充电过热保护</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85℃(可恢复) </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母线欠压报警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200</w:t>
      </w:r>
      <w:r>
        <w:rPr>
          <w:rFonts w:ascii="Times New Roman" w:hAnsi="Times New Roman" w:cs="Times New Roman"/>
          <w:color w:val="auto"/>
          <w:sz w:val="24"/>
          <w:highlight w:val="none"/>
        </w:rPr>
        <w:t>V</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母线过压报警</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2</w:t>
      </w:r>
      <w:r>
        <w:rPr>
          <w:rFonts w:hint="eastAsia" w:ascii="Times New Roman" w:hAnsi="Times New Roman" w:cs="Times New Roman"/>
          <w:color w:val="auto"/>
          <w:sz w:val="24"/>
          <w:highlight w:val="none"/>
        </w:rPr>
        <w:t>60</w:t>
      </w:r>
      <w:r>
        <w:rPr>
          <w:rFonts w:ascii="Times New Roman" w:hAnsi="Times New Roman" w:cs="Times New Roman"/>
          <w:color w:val="auto"/>
          <w:sz w:val="24"/>
          <w:highlight w:val="none"/>
        </w:rPr>
        <w:t>V</w:t>
      </w:r>
    </w:p>
    <w:p>
      <w:pPr>
        <w:pStyle w:val="132"/>
        <w:rPr>
          <w:color w:val="auto"/>
          <w:highlight w:val="none"/>
        </w:rPr>
      </w:pPr>
      <w:bookmarkStart w:id="313" w:name="_Toc387821707"/>
      <w:bookmarkStart w:id="314" w:name="_Toc1633181"/>
      <w:bookmarkStart w:id="315" w:name="_Toc16310"/>
      <w:r>
        <w:rPr>
          <w:color w:val="auto"/>
          <w:highlight w:val="none"/>
        </w:rPr>
        <w:t>12.</w:t>
      </w:r>
      <w:r>
        <w:rPr>
          <w:rFonts w:hint="eastAsia"/>
          <w:color w:val="auto"/>
          <w:highlight w:val="none"/>
          <w:lang w:val="en-US"/>
        </w:rPr>
        <w:t>1</w:t>
      </w:r>
      <w:r>
        <w:rPr>
          <w:color w:val="auto"/>
          <w:highlight w:val="none"/>
        </w:rPr>
        <w:t xml:space="preserve">.5  </w:t>
      </w:r>
      <w:r>
        <w:rPr>
          <w:rFonts w:hint="eastAsia"/>
          <w:color w:val="auto"/>
          <w:highlight w:val="none"/>
        </w:rPr>
        <w:t>UPS电源系统</w:t>
      </w:r>
      <w:bookmarkEnd w:id="313"/>
      <w:bookmarkEnd w:id="314"/>
      <w:r>
        <w:rPr>
          <w:rFonts w:hint="eastAsia"/>
          <w:color w:val="auto"/>
          <w:highlight w:val="none"/>
        </w:rPr>
        <w:t>技术特性</w:t>
      </w:r>
      <w:bookmarkEnd w:id="315"/>
    </w:p>
    <w:p>
      <w:pPr>
        <w:pStyle w:val="76"/>
        <w:rPr>
          <w:color w:val="auto"/>
          <w:highlight w:val="none"/>
        </w:rPr>
      </w:pPr>
      <w:r>
        <w:rPr>
          <w:rFonts w:hint="eastAsia"/>
          <w:color w:val="auto"/>
          <w:highlight w:val="none"/>
        </w:rPr>
        <w:t>输入电压：三相AC380+10%/-10%；单相AC220V+10%/-10%；50Hz±2.5</w:t>
      </w:r>
      <w:r>
        <w:rPr>
          <w:color w:val="auto"/>
          <w:highlight w:val="none"/>
        </w:rPr>
        <w:t xml:space="preserve"> </w:t>
      </w:r>
      <w:r>
        <w:rPr>
          <w:rFonts w:hint="eastAsia"/>
          <w:color w:val="auto"/>
          <w:highlight w:val="none"/>
        </w:rPr>
        <w:t>Hz；</w:t>
      </w:r>
    </w:p>
    <w:p>
      <w:pPr>
        <w:pStyle w:val="76"/>
        <w:rPr>
          <w:color w:val="auto"/>
          <w:highlight w:val="none"/>
        </w:rPr>
      </w:pPr>
      <w:r>
        <w:rPr>
          <w:rFonts w:hint="eastAsia"/>
          <w:color w:val="auto"/>
          <w:highlight w:val="none"/>
        </w:rPr>
        <w:t>输出电压：AC220V(±1%调节)</w:t>
      </w:r>
      <w:r>
        <w:rPr>
          <w:color w:val="auto"/>
          <w:highlight w:val="none"/>
        </w:rPr>
        <w:t xml:space="preserve"> </w:t>
      </w:r>
      <w:r>
        <w:rPr>
          <w:rFonts w:hint="eastAsia"/>
          <w:color w:val="auto"/>
          <w:highlight w:val="none"/>
        </w:rPr>
        <w:t>，50Hz±0.1</w:t>
      </w:r>
      <w:r>
        <w:rPr>
          <w:color w:val="auto"/>
          <w:highlight w:val="none"/>
        </w:rPr>
        <w:t xml:space="preserve"> </w:t>
      </w:r>
      <w:r>
        <w:rPr>
          <w:rFonts w:hint="eastAsia"/>
          <w:color w:val="auto"/>
          <w:highlight w:val="none"/>
        </w:rPr>
        <w:t>Hz；</w:t>
      </w:r>
    </w:p>
    <w:p>
      <w:pPr>
        <w:pStyle w:val="76"/>
        <w:rPr>
          <w:color w:val="auto"/>
          <w:highlight w:val="none"/>
        </w:rPr>
      </w:pPr>
      <w:r>
        <w:rPr>
          <w:rFonts w:hint="eastAsia"/>
          <w:color w:val="auto"/>
          <w:highlight w:val="none"/>
        </w:rPr>
        <w:t>波形畸变&lt;5%；</w:t>
      </w:r>
    </w:p>
    <w:p>
      <w:pPr>
        <w:pStyle w:val="76"/>
        <w:rPr>
          <w:color w:val="auto"/>
          <w:highlight w:val="none"/>
        </w:rPr>
      </w:pPr>
      <w:r>
        <w:rPr>
          <w:rFonts w:hint="eastAsia"/>
          <w:color w:val="auto"/>
          <w:highlight w:val="none"/>
        </w:rPr>
        <w:t>噪音&lt;</w:t>
      </w:r>
      <w:r>
        <w:rPr>
          <w:color w:val="auto"/>
          <w:highlight w:val="none"/>
        </w:rPr>
        <w:t>55</w:t>
      </w:r>
      <w:r>
        <w:rPr>
          <w:rFonts w:hint="eastAsia"/>
          <w:color w:val="auto"/>
          <w:highlight w:val="none"/>
        </w:rPr>
        <w:t>dB；UPS系统具有冲击电压保护、短路保护、冲击电流保护等必要的保护措施。具有恒频恒压特性。</w:t>
      </w:r>
    </w:p>
    <w:p>
      <w:pPr>
        <w:pStyle w:val="132"/>
        <w:rPr>
          <w:color w:val="auto"/>
          <w:highlight w:val="none"/>
        </w:rPr>
      </w:pPr>
      <w:bookmarkStart w:id="316" w:name="_Toc1633182"/>
      <w:bookmarkStart w:id="317" w:name="_Toc6562"/>
      <w:r>
        <w:rPr>
          <w:color w:val="auto"/>
          <w:highlight w:val="none"/>
        </w:rPr>
        <w:t>12.</w:t>
      </w:r>
      <w:r>
        <w:rPr>
          <w:rFonts w:hint="eastAsia"/>
          <w:color w:val="auto"/>
          <w:highlight w:val="none"/>
          <w:lang w:val="en-US"/>
        </w:rPr>
        <w:t>1</w:t>
      </w:r>
      <w:r>
        <w:rPr>
          <w:color w:val="auto"/>
          <w:highlight w:val="none"/>
        </w:rPr>
        <w:t>.6</w:t>
      </w:r>
      <w:r>
        <w:rPr>
          <w:rFonts w:hint="eastAsia"/>
          <w:color w:val="auto"/>
          <w:highlight w:val="none"/>
        </w:rPr>
        <w:t xml:space="preserve">  EPS应急电源系统</w:t>
      </w:r>
      <w:bookmarkEnd w:id="316"/>
      <w:r>
        <w:rPr>
          <w:rFonts w:hint="eastAsia"/>
          <w:color w:val="auto"/>
          <w:highlight w:val="none"/>
        </w:rPr>
        <w:t>技术特性</w:t>
      </w:r>
      <w:bookmarkEnd w:id="317"/>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交流输入：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400</w:t>
      </w:r>
      <w:r>
        <w:rPr>
          <w:rFonts w:ascii="Times New Roman" w:hAnsi="Times New Roman" w:cs="Times New Roman"/>
          <w:color w:val="auto"/>
          <w:sz w:val="24"/>
          <w:highlight w:val="none"/>
        </w:rPr>
        <w:t>V</w:t>
      </w:r>
      <w:r>
        <w:rPr>
          <w:rFonts w:ascii="Kino MT" w:hAnsi="Kino MT" w:cs="Times New Roman"/>
          <w:color w:val="auto"/>
          <w:sz w:val="24"/>
          <w:highlight w:val="none"/>
        </w:rPr>
        <w:t>±</w:t>
      </w:r>
      <w:r>
        <w:rPr>
          <w:rFonts w:hint="eastAsia" w:ascii="Times New Roman" w:hAnsi="Times New Roman" w:cs="Times New Roman"/>
          <w:color w:val="auto"/>
          <w:sz w:val="24"/>
          <w:highlight w:val="none"/>
        </w:rPr>
        <w:t>15%，50Hz</w:t>
      </w:r>
      <w:r>
        <w:rPr>
          <w:rFonts w:ascii="Kino MT" w:hAnsi="Kino MT" w:cs="Times New Roman"/>
          <w:color w:val="auto"/>
          <w:sz w:val="24"/>
          <w:highlight w:val="none"/>
        </w:rPr>
        <w:t>±</w:t>
      </w:r>
      <w:r>
        <w:rPr>
          <w:rFonts w:hint="eastAsia" w:ascii="Times New Roman" w:hAnsi="Times New Roman" w:cs="Times New Roman"/>
          <w:color w:val="auto"/>
          <w:sz w:val="24"/>
          <w:highlight w:val="none"/>
        </w:rPr>
        <w:t>5%Hz；</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直流输入：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220V(-20%~+15%)；</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交流输出（应急时）：</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380V</w:t>
      </w:r>
      <w:r>
        <w:rPr>
          <w:rFonts w:ascii="Kino MT" w:hAnsi="Kino MT" w:cs="Times New Roman"/>
          <w:color w:val="auto"/>
          <w:sz w:val="24"/>
          <w:highlight w:val="none"/>
        </w:rPr>
        <w:t>±</w:t>
      </w:r>
      <w:r>
        <w:rPr>
          <w:rFonts w:hint="eastAsia" w:ascii="Times New Roman" w:hAnsi="Times New Roman" w:cs="Times New Roman"/>
          <w:color w:val="auto"/>
          <w:sz w:val="24"/>
          <w:highlight w:val="none"/>
        </w:rPr>
        <w:t>3%；</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输出功率：</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30kW(地下厂房)，10kW(开关站)；</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输出频率（应急时）：</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50Hz</w:t>
      </w:r>
      <w:r>
        <w:rPr>
          <w:rFonts w:ascii="Kino MT" w:hAnsi="Kino MT" w:cs="Times New Roman"/>
          <w:color w:val="auto"/>
          <w:sz w:val="24"/>
          <w:highlight w:val="none"/>
        </w:rPr>
        <w:t>±</w:t>
      </w:r>
      <w:r>
        <w:rPr>
          <w:rFonts w:hint="eastAsia" w:ascii="Times New Roman" w:hAnsi="Times New Roman" w:cs="Times New Roman"/>
          <w:color w:val="auto"/>
          <w:sz w:val="24"/>
          <w:highlight w:val="none"/>
        </w:rPr>
        <w:t>0.5Hz；</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变换效率：</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≥60%；</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静态开关切换时间：</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≤3ms；</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输出波形：</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纯正弦波；</w:t>
      </w:r>
    </w:p>
    <w:p>
      <w:pPr>
        <w:snapToGrid w:val="0"/>
        <w:spacing w:line="480" w:lineRule="exact"/>
        <w:ind w:firstLine="480" w:firstLineChars="200"/>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过载能力：</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120%正常工作；150%</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10秒保护</w:t>
      </w:r>
    </w:p>
    <w:p>
      <w:pPr>
        <w:pStyle w:val="62"/>
        <w:rPr>
          <w:color w:val="auto"/>
          <w:highlight w:val="none"/>
        </w:rPr>
      </w:pPr>
      <w:bookmarkStart w:id="318" w:name="_Toc17046"/>
      <w:bookmarkStart w:id="319" w:name="_Toc127395739"/>
      <w:bookmarkStart w:id="320" w:name="_Toc31024"/>
      <w:r>
        <w:rPr>
          <w:color w:val="auto"/>
          <w:highlight w:val="none"/>
        </w:rPr>
        <w:t>12.</w:t>
      </w:r>
      <w:r>
        <w:rPr>
          <w:rFonts w:hint="eastAsia"/>
          <w:color w:val="auto"/>
          <w:highlight w:val="none"/>
        </w:rPr>
        <w:t>2</w:t>
      </w:r>
      <w:r>
        <w:rPr>
          <w:color w:val="auto"/>
          <w:highlight w:val="none"/>
        </w:rPr>
        <w:t xml:space="preserve">  </w:t>
      </w:r>
      <w:r>
        <w:rPr>
          <w:rFonts w:hint="eastAsia"/>
          <w:color w:val="auto"/>
          <w:highlight w:val="none"/>
        </w:rPr>
        <w:t>制造商提供的专用工器具</w:t>
      </w:r>
      <w:bookmarkEnd w:id="318"/>
      <w:bookmarkEnd w:id="319"/>
      <w:bookmarkEnd w:id="320"/>
    </w:p>
    <w:p>
      <w:pPr>
        <w:pStyle w:val="76"/>
        <w:spacing w:line="480" w:lineRule="exact"/>
        <w:ind w:firstLine="480" w:firstLineChars="200"/>
        <w:jc w:val="both"/>
        <w:rPr>
          <w:color w:val="auto"/>
          <w:highlight w:val="none"/>
        </w:rPr>
      </w:pPr>
      <w:r>
        <w:rPr>
          <w:rFonts w:hint="eastAsia"/>
          <w:color w:val="auto"/>
          <w:highlight w:val="none"/>
        </w:rPr>
        <w:t>智能式移动蓄电池放电装置</w:t>
      </w:r>
      <w:r>
        <w:rPr>
          <w:color w:val="auto"/>
          <w:highlight w:val="none"/>
        </w:rPr>
        <w:t xml:space="preserve">                                </w:t>
      </w:r>
      <w:r>
        <w:rPr>
          <w:rFonts w:hint="eastAsia"/>
          <w:color w:val="auto"/>
          <w:highlight w:val="none"/>
        </w:rPr>
        <w:t>2套</w:t>
      </w:r>
    </w:p>
    <w:p>
      <w:pPr>
        <w:pStyle w:val="76"/>
        <w:spacing w:line="480" w:lineRule="exact"/>
        <w:ind w:firstLine="480" w:firstLineChars="200"/>
        <w:jc w:val="both"/>
        <w:rPr>
          <w:color w:val="auto"/>
          <w:highlight w:val="none"/>
        </w:rPr>
      </w:pPr>
      <w:r>
        <w:rPr>
          <w:rFonts w:hint="eastAsia"/>
          <w:color w:val="auto"/>
          <w:highlight w:val="none"/>
        </w:rPr>
        <w:t>蓄电池维护用便携式活化仪</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蓄电池阻抗测试仪</w:t>
      </w:r>
      <w:r>
        <w:rPr>
          <w:color w:val="auto"/>
          <w:highlight w:val="none"/>
        </w:rPr>
        <w:t xml:space="preserve">                                        </w:t>
      </w:r>
      <w:r>
        <w:rPr>
          <w:rFonts w:hint="eastAsia"/>
          <w:color w:val="auto"/>
          <w:highlight w:val="none"/>
        </w:rPr>
        <w:t>1台</w:t>
      </w:r>
    </w:p>
    <w:p>
      <w:pPr>
        <w:pStyle w:val="76"/>
        <w:spacing w:line="480" w:lineRule="exact"/>
        <w:ind w:firstLine="480" w:firstLineChars="200"/>
        <w:jc w:val="both"/>
        <w:rPr>
          <w:color w:val="auto"/>
          <w:highlight w:val="none"/>
        </w:rPr>
      </w:pPr>
      <w:r>
        <w:rPr>
          <w:rFonts w:hint="eastAsia"/>
          <w:color w:val="auto"/>
          <w:highlight w:val="none"/>
        </w:rPr>
        <w:t>交直流电源钳型电流表</w:t>
      </w:r>
      <w:r>
        <w:rPr>
          <w:color w:val="auto"/>
          <w:highlight w:val="none"/>
        </w:rPr>
        <w:t xml:space="preserve">                                    </w:t>
      </w:r>
      <w:r>
        <w:rPr>
          <w:rFonts w:hint="eastAsia"/>
          <w:color w:val="auto"/>
          <w:highlight w:val="none"/>
        </w:rPr>
        <w:t>1套</w:t>
      </w:r>
    </w:p>
    <w:p>
      <w:pPr>
        <w:pStyle w:val="76"/>
        <w:spacing w:line="480" w:lineRule="exact"/>
        <w:ind w:firstLine="480" w:firstLineChars="200"/>
        <w:jc w:val="both"/>
        <w:rPr>
          <w:color w:val="auto"/>
          <w:highlight w:val="none"/>
        </w:rPr>
      </w:pPr>
      <w:r>
        <w:rPr>
          <w:rFonts w:hint="eastAsia"/>
          <w:color w:val="auto"/>
          <w:highlight w:val="none"/>
        </w:rPr>
        <w:t>便携式直流回路绝缘监测仪</w:t>
      </w:r>
      <w:r>
        <w:rPr>
          <w:color w:val="auto"/>
          <w:highlight w:val="none"/>
        </w:rPr>
        <w:t xml:space="preserve">                                </w:t>
      </w:r>
      <w:r>
        <w:rPr>
          <w:rFonts w:hint="eastAsia"/>
          <w:color w:val="auto"/>
          <w:highlight w:val="none"/>
        </w:rPr>
        <w:t>1套</w:t>
      </w:r>
    </w:p>
    <w:p>
      <w:pPr>
        <w:rPr>
          <w:color w:val="auto"/>
          <w:highlight w:val="none"/>
        </w:rPr>
      </w:pPr>
      <w:r>
        <w:rPr>
          <w:rFonts w:hint="eastAsia"/>
          <w:color w:val="auto"/>
          <w:highlight w:val="none"/>
        </w:rPr>
        <w:br w:type="page"/>
      </w:r>
    </w:p>
    <w:p>
      <w:pPr>
        <w:pStyle w:val="50"/>
        <w:rPr>
          <w:color w:val="auto"/>
          <w:highlight w:val="none"/>
        </w:rPr>
      </w:pPr>
      <w:r>
        <w:rPr>
          <w:rFonts w:hint="eastAsia"/>
          <w:color w:val="auto"/>
          <w:highlight w:val="none"/>
        </w:rPr>
        <w:t>第13章</w:t>
      </w:r>
      <w:r>
        <w:rPr>
          <w:color w:val="auto"/>
          <w:highlight w:val="none"/>
        </w:rPr>
        <w:t xml:space="preserve">  </w:t>
      </w:r>
      <w:r>
        <w:rPr>
          <w:rFonts w:hint="eastAsia"/>
          <w:color w:val="auto"/>
          <w:highlight w:val="none"/>
        </w:rPr>
        <w:t>在线监测系统</w:t>
      </w:r>
    </w:p>
    <w:p>
      <w:pPr>
        <w:pStyle w:val="62"/>
        <w:rPr>
          <w:color w:val="auto"/>
          <w:highlight w:val="none"/>
        </w:rPr>
      </w:pPr>
      <w:bookmarkStart w:id="321" w:name="_Toc127299807"/>
      <w:bookmarkStart w:id="322" w:name="_Toc13178"/>
      <w:bookmarkStart w:id="323" w:name="_Toc116928283"/>
      <w:bookmarkStart w:id="324" w:name="_Toc114038251"/>
      <w:bookmarkStart w:id="325" w:name="_Toc114038865"/>
      <w:bookmarkStart w:id="326" w:name="_Toc1175"/>
      <w:bookmarkStart w:id="327" w:name="_Toc30630"/>
      <w:r>
        <w:rPr>
          <w:color w:val="auto"/>
          <w:highlight w:val="none"/>
        </w:rPr>
        <w:t xml:space="preserve">13.1 </w:t>
      </w:r>
      <w:r>
        <w:rPr>
          <w:rFonts w:hint="eastAsia"/>
          <w:color w:val="auto"/>
          <w:highlight w:val="none"/>
        </w:rPr>
        <w:t xml:space="preserve"> 概述</w:t>
      </w:r>
      <w:bookmarkEnd w:id="321"/>
      <w:bookmarkEnd w:id="322"/>
      <w:bookmarkEnd w:id="323"/>
      <w:bookmarkEnd w:id="324"/>
      <w:bookmarkEnd w:id="325"/>
      <w:bookmarkEnd w:id="326"/>
      <w:bookmarkEnd w:id="327"/>
    </w:p>
    <w:p>
      <w:pPr>
        <w:rPr>
          <w:color w:val="auto"/>
          <w:highlight w:val="none"/>
        </w:rPr>
      </w:pPr>
      <w:r>
        <w:rPr>
          <w:rFonts w:hint="eastAsia"/>
          <w:color w:val="auto"/>
          <w:highlight w:val="none"/>
        </w:rPr>
        <w:t>无</w:t>
      </w:r>
    </w:p>
    <w:p>
      <w:pPr>
        <w:pStyle w:val="62"/>
        <w:rPr>
          <w:color w:val="auto"/>
          <w:highlight w:val="none"/>
        </w:rPr>
      </w:pPr>
      <w:bookmarkStart w:id="328" w:name="_Toc17191"/>
      <w:bookmarkStart w:id="329" w:name="_Toc26172"/>
      <w:bookmarkStart w:id="330" w:name="_Toc114042629"/>
      <w:bookmarkStart w:id="331" w:name="_Toc127395741"/>
      <w:r>
        <w:rPr>
          <w:color w:val="auto"/>
          <w:highlight w:val="none"/>
        </w:rPr>
        <w:t xml:space="preserve">13.2 </w:t>
      </w:r>
      <w:r>
        <w:rPr>
          <w:rFonts w:hint="eastAsia"/>
          <w:color w:val="auto"/>
          <w:highlight w:val="none"/>
        </w:rPr>
        <w:t>系统结构</w:t>
      </w:r>
      <w:bookmarkEnd w:id="328"/>
      <w:bookmarkEnd w:id="329"/>
      <w:bookmarkEnd w:id="330"/>
      <w:bookmarkEnd w:id="331"/>
    </w:p>
    <w:p>
      <w:pPr>
        <w:pStyle w:val="76"/>
        <w:jc w:val="both"/>
        <w:rPr>
          <w:color w:val="auto"/>
          <w:highlight w:val="none"/>
        </w:rPr>
      </w:pPr>
      <w:r>
        <w:rPr>
          <w:rFonts w:hint="eastAsia"/>
          <w:color w:val="auto"/>
          <w:highlight w:val="none"/>
        </w:rPr>
        <w:t>系统采用分层分布式结构。设全厂机组在线状态监测系统专用的上位机系统(含状态数据服务器、Web服务器和工程师站等)，现地每台机组各装设一套现地状态监测数据采集及处理单元。可以通过工程师站用远程方式对现地状态监测数据采集及处理单元进行数据处理、维护、参数配置及管理，</w:t>
      </w:r>
      <w:r>
        <w:rPr>
          <w:color w:val="auto"/>
          <w:highlight w:val="none"/>
        </w:rPr>
        <w:t xml:space="preserve"> </w:t>
      </w:r>
      <w:r>
        <w:rPr>
          <w:rFonts w:hint="eastAsia"/>
          <w:color w:val="auto"/>
          <w:highlight w:val="none"/>
        </w:rPr>
        <w:t>Web服务器可以通过电站MIS系统接口和防火墙向电站MIS用户发布实时Web数据、状态监测画面及提供所有数据查询、统计、分析和出报表，电站监控系统各机组LCU与各机组状态监测数据采集及处理单元通过站控层网络通讯，监控系统通过通讯方式获得所有机组在线监测单元的数据，现地状态监测数据采集及处理单元可以获得监控系统机组的所有数据包括各机组的功率、电流、电压、导叶开度、压力及各导轴承油温、瓦温等参数。现地状态监测数据采集及处理单元通过现场总线方式获得监控系统的卫星时钟同步信号。</w:t>
      </w:r>
    </w:p>
    <w:p>
      <w:pPr>
        <w:pStyle w:val="76"/>
        <w:jc w:val="both"/>
        <w:rPr>
          <w:color w:val="auto"/>
          <w:highlight w:val="none"/>
        </w:rPr>
      </w:pPr>
      <w:r>
        <w:rPr>
          <w:rFonts w:hint="eastAsia"/>
          <w:color w:val="auto"/>
          <w:highlight w:val="none"/>
        </w:rPr>
        <w:t>系统应预留与南网储能大数据平台（即：机组状态监测系统）的软、硬件接口。</w:t>
      </w:r>
    </w:p>
    <w:p>
      <w:pPr>
        <w:pStyle w:val="76"/>
        <w:jc w:val="both"/>
        <w:rPr>
          <w:color w:val="auto"/>
          <w:highlight w:val="none"/>
        </w:rPr>
      </w:pPr>
      <w:r>
        <w:rPr>
          <w:rFonts w:hint="eastAsia"/>
          <w:color w:val="auto"/>
          <w:highlight w:val="none"/>
        </w:rPr>
        <w:t>每台机组设一块状态监测数据采集及处理系统屏，装设数据采集及处理单元。该屏对机组的振动、摆度、气隙、磁通、局放、尾水管压力脉动等参数进行数据采集、处理、分析，以图形、图表、曲线等直观的方式在计算机屏幕显示器上显示。同时将通过光纤通道将资料上送到数据服务器，同时通过站控层网络总线实现与机组LCU通讯并获得卫星时钟信号。状态监测数据采集及处理系统设不少于10个硬布线出口，用户可以任意定义为机组各振动、气隙、摆度监测测点的报警及跳机值，或将其中一个点定义为总报警及总跳机出口。</w:t>
      </w:r>
    </w:p>
    <w:p>
      <w:pPr>
        <w:pStyle w:val="76"/>
        <w:jc w:val="both"/>
        <w:rPr>
          <w:color w:val="auto"/>
          <w:highlight w:val="none"/>
        </w:rPr>
      </w:pPr>
      <w:r>
        <w:rPr>
          <w:rFonts w:hint="eastAsia"/>
          <w:color w:val="auto"/>
          <w:highlight w:val="none"/>
        </w:rPr>
        <w:t>机组装设电涡流传感器测量机组各导轴承大轴摆度；机组装振动速度传感器测量各机架和顶盖的振动；在机组蜗壳尾水管处装压力、压差及脉动传感器；机组装设气隙传感器、局放传感器，监测机组运行气隙、局放状态。机架和顶盖振动监测要求测量双幅振动有效值。</w:t>
      </w:r>
    </w:p>
    <w:p>
      <w:pPr>
        <w:pStyle w:val="132"/>
        <w:rPr>
          <w:color w:val="auto"/>
          <w:highlight w:val="none"/>
        </w:rPr>
      </w:pPr>
      <w:bookmarkStart w:id="332" w:name="_Toc127395742"/>
      <w:bookmarkStart w:id="333" w:name="_Toc114042630"/>
      <w:bookmarkStart w:id="334" w:name="_Toc30033"/>
      <w:r>
        <w:rPr>
          <w:color w:val="auto"/>
          <w:highlight w:val="none"/>
        </w:rPr>
        <w:t>13.2.1</w:t>
      </w:r>
      <w:r>
        <w:rPr>
          <w:rFonts w:hint="eastAsia"/>
          <w:color w:val="auto"/>
          <w:highlight w:val="none"/>
        </w:rPr>
        <w:t>在线监测系统主要设备配置</w:t>
      </w:r>
      <w:bookmarkEnd w:id="332"/>
      <w:bookmarkEnd w:id="333"/>
      <w:bookmarkEnd w:id="334"/>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054"/>
        <w:gridCol w:w="4374"/>
        <w:gridCol w:w="630"/>
        <w:gridCol w:w="1007"/>
        <w:gridCol w:w="23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编号</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设备名称</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单位</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数量</w:t>
            </w:r>
          </w:p>
        </w:tc>
        <w:tc>
          <w:tcPr>
            <w:tcW w:w="2327" w:type="dxa"/>
          </w:tcPr>
          <w:p>
            <w:pPr>
              <w:adjustRightInd w:val="0"/>
              <w:snapToGrid w:val="0"/>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1</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状态数据服务器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指电站该项全部数量，包含两台，互为热备冗余。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2</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Web</w:t>
            </w:r>
            <w:r>
              <w:rPr>
                <w:rFonts w:hint="eastAsia" w:cs="Times New Roman"/>
                <w:color w:val="auto"/>
                <w:sz w:val="22"/>
                <w:highlight w:val="none"/>
              </w:rPr>
              <w:t>服务器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指电站该项全部数量。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3</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工程师工作站</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指电站该项全部数量。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4</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网络设备</w:t>
            </w:r>
            <w:r>
              <w:rPr>
                <w:rFonts w:ascii="Times New Roman" w:hAnsi="Times New Roman" w:cs="Times New Roman"/>
                <w:color w:val="auto"/>
                <w:sz w:val="22"/>
                <w:highlight w:val="none"/>
              </w:rPr>
              <w:t xml:space="preserve"> </w:t>
            </w:r>
            <w:r>
              <w:rPr>
                <w:rFonts w:hint="eastAsia"/>
                <w:color w:val="auto"/>
                <w:sz w:val="22"/>
                <w:highlight w:val="none"/>
              </w:rPr>
              <w:t>（包括交换机、电力专用横向单向安全隔离装置，防火墙，光纤收发器等）</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指电站该项全部数量。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5</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数据采集及处理系统（包括数据采集单元，数据采集及处理系统屏、振摆保护装置等）</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6</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软件</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项</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hint="eastAsia" w:ascii="Times New Roman" w:hAnsi="Times New Roman" w:cs="Times New Roman"/>
                <w:color w:val="auto"/>
                <w:sz w:val="22"/>
                <w:highlight w:val="none"/>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7</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摆度传感器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8</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轴向位移传感器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9</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键相传感器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10</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振动传感器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11</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空气间隙传感器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w:t>
            </w:r>
            <w:r>
              <w:rPr>
                <w:rFonts w:ascii="Times New Roman" w:hAnsi="Times New Roman" w:cs="Times New Roman"/>
                <w:color w:val="auto"/>
                <w:sz w:val="22"/>
                <w:highlight w:val="none"/>
              </w:rPr>
              <w:t>1</w:t>
            </w:r>
            <w:r>
              <w:rPr>
                <w:rFonts w:hint="eastAsia" w:cs="Times New Roman"/>
                <w:color w:val="auto"/>
                <w:sz w:val="22"/>
                <w:highlight w:val="none"/>
              </w:rPr>
              <w:t>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12</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局放耦合器（含在线局放监测仪）</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hint="eastAsia"/>
                <w:color w:val="auto"/>
                <w:szCs w:val="21"/>
                <w:highlight w:val="none"/>
              </w:rPr>
              <w:t>按</w:t>
            </w:r>
            <w:r>
              <w:rPr>
                <w:rFonts w:ascii="Times New Roman" w:hAnsi="Times New Roman" w:cs="Times New Roman"/>
                <w:color w:val="auto"/>
                <w:sz w:val="22"/>
                <w:highlight w:val="none"/>
              </w:rPr>
              <w:t>4</w:t>
            </w:r>
            <w:r>
              <w:rPr>
                <w:rFonts w:hint="eastAsia"/>
                <w:color w:val="auto"/>
                <w:sz w:val="22"/>
                <w:highlight w:val="none"/>
              </w:rPr>
              <w:t>分支，“1套”指1台机组的全部数量。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13</w:t>
            </w:r>
          </w:p>
        </w:tc>
        <w:tc>
          <w:tcPr>
            <w:tcW w:w="4374" w:type="dxa"/>
            <w:vAlign w:val="center"/>
          </w:tcPr>
          <w:p>
            <w:pPr>
              <w:adjustRightInd w:val="0"/>
              <w:snapToGrid w:val="0"/>
              <w:jc w:val="center"/>
              <w:textAlignment w:val="baseline"/>
              <w:rPr>
                <w:color w:val="auto"/>
                <w:sz w:val="22"/>
                <w:highlight w:val="none"/>
              </w:rPr>
            </w:pPr>
            <w:r>
              <w:rPr>
                <w:rFonts w:hint="eastAsia"/>
                <w:color w:val="auto"/>
                <w:sz w:val="22"/>
                <w:highlight w:val="none"/>
              </w:rPr>
              <w:t>螺栓应力传感器</w:t>
            </w:r>
          </w:p>
        </w:tc>
        <w:tc>
          <w:tcPr>
            <w:tcW w:w="630" w:type="dxa"/>
            <w:vAlign w:val="center"/>
          </w:tcPr>
          <w:p>
            <w:pPr>
              <w:adjustRightInd w:val="0"/>
              <w:snapToGrid w:val="0"/>
              <w:jc w:val="center"/>
              <w:textAlignment w:val="baseline"/>
              <w:rPr>
                <w:color w:val="auto"/>
                <w:sz w:val="22"/>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color w:val="auto"/>
                <w:sz w:val="22"/>
                <w:highlight w:val="none"/>
              </w:rPr>
            </w:pPr>
            <w:r>
              <w:rPr>
                <w:rFonts w:hint="eastAsia"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color w:val="auto"/>
                <w:szCs w:val="21"/>
                <w:highlight w:val="none"/>
              </w:rPr>
            </w:pPr>
            <w:r>
              <w:rPr>
                <w:rFonts w:hint="eastAsia"/>
                <w:color w:val="auto"/>
                <w:szCs w:val="21"/>
                <w:highlight w:val="none"/>
              </w:rPr>
              <w:t>“1套”指1台机组的全部数量。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14</w:t>
            </w:r>
          </w:p>
        </w:tc>
        <w:tc>
          <w:tcPr>
            <w:tcW w:w="4374" w:type="dxa"/>
            <w:vAlign w:val="center"/>
          </w:tcPr>
          <w:p>
            <w:pPr>
              <w:adjustRightInd w:val="0"/>
              <w:snapToGrid w:val="0"/>
              <w:jc w:val="center"/>
              <w:textAlignment w:val="baseline"/>
              <w:rPr>
                <w:color w:val="auto"/>
                <w:sz w:val="22"/>
                <w:highlight w:val="none"/>
              </w:rPr>
            </w:pPr>
            <w:r>
              <w:rPr>
                <w:rFonts w:hint="eastAsia"/>
                <w:color w:val="auto"/>
                <w:sz w:val="22"/>
                <w:highlight w:val="none"/>
              </w:rPr>
              <w:t>声音传感器</w:t>
            </w:r>
          </w:p>
        </w:tc>
        <w:tc>
          <w:tcPr>
            <w:tcW w:w="630" w:type="dxa"/>
            <w:vAlign w:val="center"/>
          </w:tcPr>
          <w:p>
            <w:pPr>
              <w:adjustRightInd w:val="0"/>
              <w:snapToGrid w:val="0"/>
              <w:jc w:val="center"/>
              <w:textAlignment w:val="baseline"/>
              <w:rPr>
                <w:color w:val="auto"/>
                <w:sz w:val="22"/>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color w:val="auto"/>
                <w:sz w:val="22"/>
                <w:highlight w:val="none"/>
              </w:rPr>
            </w:pPr>
            <w:r>
              <w:rPr>
                <w:rFonts w:hint="eastAsia"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color w:val="auto"/>
                <w:szCs w:val="21"/>
                <w:highlight w:val="none"/>
              </w:rPr>
            </w:pPr>
            <w:r>
              <w:rPr>
                <w:rFonts w:hint="eastAsia"/>
                <w:color w:val="auto"/>
                <w:szCs w:val="21"/>
                <w:highlight w:val="none"/>
              </w:rPr>
              <w:t>“1套”指1台机组的全部数量。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15</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发电机磁通密度传感器</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4</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hint="eastAsia"/>
                <w:color w:val="auto"/>
                <w:szCs w:val="21"/>
                <w:highlight w:val="none"/>
              </w:rPr>
              <w:t>“1套”指1台机组的全部数量。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jc w:val="center"/>
        </w:trPr>
        <w:tc>
          <w:tcPr>
            <w:tcW w:w="1054" w:type="dxa"/>
            <w:vAlign w:val="center"/>
          </w:tcPr>
          <w:p>
            <w:pPr>
              <w:autoSpaceDE w:val="0"/>
              <w:autoSpaceDN w:val="0"/>
              <w:adjustRightInd w:val="0"/>
              <w:snapToGrid w:val="0"/>
              <w:jc w:val="center"/>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16</w:t>
            </w:r>
          </w:p>
        </w:tc>
        <w:tc>
          <w:tcPr>
            <w:tcW w:w="4374"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其它（未指明，但对构成一个完整的系统所必需的设备或部件）</w:t>
            </w:r>
          </w:p>
        </w:tc>
        <w:tc>
          <w:tcPr>
            <w:tcW w:w="630"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hint="eastAsia"/>
                <w:color w:val="auto"/>
                <w:sz w:val="22"/>
                <w:highlight w:val="none"/>
              </w:rPr>
              <w:t>套</w:t>
            </w:r>
          </w:p>
        </w:tc>
        <w:tc>
          <w:tcPr>
            <w:tcW w:w="1007" w:type="dxa"/>
            <w:vAlign w:val="center"/>
          </w:tcPr>
          <w:p>
            <w:pPr>
              <w:adjustRightInd w:val="0"/>
              <w:snapToGrid w:val="0"/>
              <w:jc w:val="center"/>
              <w:textAlignment w:val="baseline"/>
              <w:rPr>
                <w:rFonts w:ascii="Times New Roman" w:hAnsi="Times New Roman" w:cs="Times New Roman"/>
                <w:bCs/>
                <w:color w:val="auto"/>
                <w:szCs w:val="21"/>
                <w:highlight w:val="none"/>
              </w:rPr>
            </w:pPr>
            <w:r>
              <w:rPr>
                <w:rFonts w:ascii="Times New Roman" w:hAnsi="Times New Roman" w:cs="Times New Roman"/>
                <w:color w:val="auto"/>
                <w:sz w:val="22"/>
                <w:highlight w:val="none"/>
              </w:rPr>
              <w:t>1</w:t>
            </w:r>
          </w:p>
        </w:tc>
        <w:tc>
          <w:tcPr>
            <w:tcW w:w="2327" w:type="dxa"/>
            <w:vAlign w:val="center"/>
          </w:tcPr>
          <w:p>
            <w:pPr>
              <w:adjustRightInd w:val="0"/>
              <w:snapToGrid w:val="0"/>
              <w:jc w:val="center"/>
              <w:textAlignment w:val="baseline"/>
              <w:rPr>
                <w:rFonts w:ascii="Times New Roman" w:hAnsi="Times New Roman" w:cs="Times New Roman"/>
                <w:color w:val="auto"/>
                <w:sz w:val="22"/>
                <w:highlight w:val="none"/>
              </w:rPr>
            </w:pPr>
            <w:r>
              <w:rPr>
                <w:rFonts w:ascii="Times New Roman" w:hAnsi="Times New Roman" w:cs="Times New Roman"/>
                <w:color w:val="auto"/>
                <w:sz w:val="22"/>
                <w:highlight w:val="none"/>
              </w:rPr>
              <w:t>“1</w:t>
            </w:r>
            <w:r>
              <w:rPr>
                <w:rFonts w:hint="eastAsia" w:cs="Times New Roman"/>
                <w:color w:val="auto"/>
                <w:sz w:val="22"/>
                <w:highlight w:val="none"/>
              </w:rPr>
              <w:t>套</w:t>
            </w:r>
            <w:r>
              <w:rPr>
                <w:rFonts w:ascii="Times New Roman" w:hAnsi="Times New Roman" w:cs="Times New Roman"/>
                <w:color w:val="auto"/>
                <w:sz w:val="22"/>
                <w:highlight w:val="none"/>
              </w:rPr>
              <w:t>”</w:t>
            </w:r>
            <w:r>
              <w:rPr>
                <w:rFonts w:hint="eastAsia" w:cs="Times New Roman"/>
                <w:color w:val="auto"/>
                <w:sz w:val="22"/>
                <w:highlight w:val="none"/>
              </w:rPr>
              <w:t>指电站该项全部数量。</w:t>
            </w:r>
          </w:p>
        </w:tc>
      </w:tr>
    </w:tbl>
    <w:p>
      <w:pPr>
        <w:pStyle w:val="62"/>
        <w:rPr>
          <w:color w:val="auto"/>
          <w:highlight w:val="none"/>
        </w:rPr>
      </w:pPr>
      <w:bookmarkStart w:id="335" w:name="_Toc1341"/>
      <w:bookmarkStart w:id="336" w:name="_Toc4149"/>
      <w:bookmarkStart w:id="337" w:name="_Toc127395743"/>
      <w:r>
        <w:rPr>
          <w:color w:val="auto"/>
          <w:highlight w:val="none"/>
        </w:rPr>
        <w:t>13.</w:t>
      </w:r>
      <w:r>
        <w:rPr>
          <w:rFonts w:hint="eastAsia"/>
          <w:color w:val="auto"/>
          <w:highlight w:val="none"/>
        </w:rPr>
        <w:t>3</w:t>
      </w:r>
      <w:r>
        <w:rPr>
          <w:color w:val="auto"/>
          <w:highlight w:val="none"/>
        </w:rPr>
        <w:t xml:space="preserve">  </w:t>
      </w:r>
      <w:r>
        <w:rPr>
          <w:rFonts w:hint="eastAsia"/>
          <w:color w:val="auto"/>
          <w:highlight w:val="none"/>
        </w:rPr>
        <w:t>制造商提供的专用工器具</w:t>
      </w:r>
      <w:bookmarkEnd w:id="335"/>
      <w:bookmarkEnd w:id="336"/>
      <w:bookmarkEnd w:id="337"/>
    </w:p>
    <w:p>
      <w:pPr>
        <w:pStyle w:val="76"/>
        <w:ind w:firstLine="480" w:firstLineChars="200"/>
        <w:jc w:val="both"/>
        <w:rPr>
          <w:color w:val="auto"/>
          <w:highlight w:val="none"/>
        </w:rPr>
      </w:pPr>
      <w:r>
        <w:rPr>
          <w:rFonts w:hint="eastAsia"/>
          <w:color w:val="auto"/>
          <w:highlight w:val="none"/>
        </w:rPr>
        <w:t>带有在线监测系统调试软件、专用数据接口的笔记本电脑(含调试软件备用光盘/通用U盘、连接数据线、工具包等)</w:t>
      </w:r>
      <w:r>
        <w:rPr>
          <w:color w:val="auto"/>
          <w:highlight w:val="none"/>
        </w:rPr>
        <w:t xml:space="preserve">                     </w:t>
      </w:r>
      <w:r>
        <w:rPr>
          <w:rFonts w:hint="eastAsia"/>
          <w:color w:val="auto"/>
          <w:highlight w:val="none"/>
        </w:rPr>
        <w:t xml:space="preserve">         1套</w:t>
      </w:r>
    </w:p>
    <w:p>
      <w:pPr>
        <w:pStyle w:val="76"/>
        <w:rPr>
          <w:color w:val="auto"/>
          <w:highlight w:val="none"/>
        </w:rPr>
      </w:pPr>
    </w:p>
    <w:p>
      <w:pPr>
        <w:rPr>
          <w:rFonts w:hint="eastAsia"/>
          <w:color w:val="auto"/>
          <w:highlight w:val="none"/>
        </w:rPr>
      </w:pPr>
      <w:bookmarkStart w:id="338" w:name="_Toc27794"/>
      <w:bookmarkStart w:id="339" w:name="_Toc17309"/>
      <w:bookmarkStart w:id="340" w:name="_Toc127395744"/>
      <w:bookmarkStart w:id="341" w:name="_Toc114042631"/>
      <w:r>
        <w:rPr>
          <w:rFonts w:hint="eastAsia"/>
          <w:color w:val="auto"/>
          <w:highlight w:val="none"/>
        </w:rPr>
        <w:br w:type="page"/>
      </w:r>
    </w:p>
    <w:p>
      <w:pPr>
        <w:pStyle w:val="50"/>
        <w:rPr>
          <w:color w:val="auto"/>
          <w:highlight w:val="none"/>
        </w:rPr>
      </w:pPr>
      <w:r>
        <w:rPr>
          <w:rFonts w:hint="eastAsia"/>
          <w:color w:val="auto"/>
          <w:highlight w:val="none"/>
        </w:rPr>
        <w:t>第14章</w:t>
      </w:r>
      <w:r>
        <w:rPr>
          <w:color w:val="auto"/>
          <w:highlight w:val="none"/>
        </w:rPr>
        <w:t xml:space="preserve">  </w:t>
      </w:r>
      <w:r>
        <w:rPr>
          <w:rFonts w:hint="eastAsia"/>
          <w:color w:val="auto"/>
          <w:highlight w:val="none"/>
        </w:rPr>
        <w:t>闸门及启闭机安装</w:t>
      </w:r>
      <w:bookmarkEnd w:id="338"/>
      <w:bookmarkEnd w:id="339"/>
      <w:bookmarkEnd w:id="340"/>
      <w:bookmarkEnd w:id="341"/>
    </w:p>
    <w:p>
      <w:pPr>
        <w:pStyle w:val="62"/>
        <w:rPr>
          <w:color w:val="auto"/>
          <w:highlight w:val="none"/>
        </w:rPr>
      </w:pPr>
      <w:bookmarkStart w:id="342" w:name="_Toc127395745"/>
      <w:bookmarkStart w:id="343" w:name="_Toc114042632"/>
      <w:bookmarkStart w:id="344" w:name="_Toc31936"/>
      <w:bookmarkStart w:id="345" w:name="_Toc25413"/>
      <w:r>
        <w:rPr>
          <w:color w:val="auto"/>
          <w:highlight w:val="none"/>
        </w:rPr>
        <w:t xml:space="preserve">14.1 </w:t>
      </w:r>
      <w:bookmarkEnd w:id="342"/>
      <w:bookmarkEnd w:id="343"/>
      <w:r>
        <w:rPr>
          <w:rFonts w:hint="eastAsia"/>
          <w:color w:val="auto"/>
          <w:highlight w:val="none"/>
        </w:rPr>
        <w:t>概述</w:t>
      </w:r>
      <w:bookmarkEnd w:id="344"/>
      <w:bookmarkEnd w:id="345"/>
      <w:r>
        <w:rPr>
          <w:color w:val="auto"/>
          <w:highlight w:val="none"/>
        </w:rPr>
        <w:t xml:space="preserve"> </w:t>
      </w:r>
    </w:p>
    <w:p>
      <w:pPr>
        <w:pStyle w:val="132"/>
        <w:rPr>
          <w:color w:val="auto"/>
          <w:highlight w:val="none"/>
        </w:rPr>
      </w:pPr>
      <w:bookmarkStart w:id="346" w:name="_Toc3683"/>
      <w:r>
        <w:rPr>
          <w:color w:val="auto"/>
          <w:highlight w:val="none"/>
        </w:rPr>
        <w:t>14.1.1</w:t>
      </w:r>
      <w:r>
        <w:rPr>
          <w:rFonts w:hint="eastAsia"/>
          <w:color w:val="auto"/>
          <w:highlight w:val="none"/>
        </w:rPr>
        <w:t>应用范围</w:t>
      </w:r>
      <w:bookmarkEnd w:id="346"/>
    </w:p>
    <w:p>
      <w:pPr>
        <w:pStyle w:val="76"/>
        <w:rPr>
          <w:color w:val="auto"/>
          <w:highlight w:val="none"/>
        </w:rPr>
      </w:pPr>
      <w:r>
        <w:rPr>
          <w:rFonts w:hint="eastAsia"/>
          <w:color w:val="auto"/>
          <w:highlight w:val="none"/>
        </w:rPr>
        <w:t>本章规定适用于本合同施工安装图纸所示的各种钢闸门及启闭机的安装。项目包括尾水闸门室事故闸门、尾水闸门室事故闸门门槽埋件、尾水闸门室旁通及排气系统、尾水事故闸门液压启闭机及尾水闸门室桥机的机械和电气设备，及其启闭机承载平台及基础埋件等附属设施。除另有规定外，安装工作包括上述各项设备的工地卸货、开箱验收、储存保管、二次运输、安装及调试、现场调试、起动试运行直至移交给发包人的全部工作。</w:t>
      </w:r>
    </w:p>
    <w:p>
      <w:pPr>
        <w:pStyle w:val="76"/>
        <w:ind w:firstLine="426"/>
        <w:rPr>
          <w:color w:val="auto"/>
          <w:highlight w:val="none"/>
        </w:rPr>
      </w:pPr>
      <w:r>
        <w:rPr>
          <w:rFonts w:hint="eastAsia"/>
          <w:b/>
          <w:bCs/>
          <w:color w:val="auto"/>
          <w:highlight w:val="none"/>
        </w:rPr>
        <w:t>本系统所需安装项目的规格和数量详见表</w:t>
      </w:r>
      <w:r>
        <w:rPr>
          <w:b/>
          <w:bCs/>
          <w:color w:val="auto"/>
          <w:highlight w:val="none"/>
        </w:rPr>
        <w:t>14.1.1</w:t>
      </w:r>
      <w:r>
        <w:rPr>
          <w:rFonts w:hint="eastAsia"/>
          <w:b/>
          <w:bCs/>
          <w:color w:val="auto"/>
          <w:highlight w:val="none"/>
        </w:rPr>
        <w:t>，供报价参考。</w:t>
      </w:r>
    </w:p>
    <w:p>
      <w:pPr>
        <w:pStyle w:val="76"/>
        <w:ind w:firstLine="0" w:firstLineChars="0"/>
        <w:jc w:val="center"/>
        <w:rPr>
          <w:color w:val="auto"/>
          <w:highlight w:val="none"/>
        </w:rPr>
      </w:pPr>
      <w:r>
        <w:rPr>
          <w:rFonts w:hint="eastAsia"/>
          <w:color w:val="auto"/>
          <w:highlight w:val="none"/>
        </w:rPr>
        <w:t>表</w:t>
      </w:r>
      <w:r>
        <w:rPr>
          <w:color w:val="auto"/>
          <w:highlight w:val="none"/>
        </w:rPr>
        <w:t xml:space="preserve">14.1.1  </w:t>
      </w:r>
      <w:r>
        <w:rPr>
          <w:rFonts w:hint="eastAsia"/>
          <w:color w:val="auto"/>
          <w:highlight w:val="none"/>
        </w:rPr>
        <w:t>闸门及其启闭设备安装项目一览表</w:t>
      </w:r>
    </w:p>
    <w:tbl>
      <w:tblPr>
        <w:tblStyle w:val="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57" w:type="dxa"/>
          <w:bottom w:w="0" w:type="dxa"/>
          <w:right w:w="57" w:type="dxa"/>
        </w:tblCellMar>
      </w:tblPr>
      <w:tblGrid>
        <w:gridCol w:w="838"/>
        <w:gridCol w:w="1912"/>
        <w:gridCol w:w="2033"/>
        <w:gridCol w:w="875"/>
        <w:gridCol w:w="699"/>
        <w:gridCol w:w="747"/>
        <w:gridCol w:w="796"/>
        <w:gridCol w:w="11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109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编号</w:t>
            </w:r>
          </w:p>
        </w:tc>
        <w:tc>
          <w:tcPr>
            <w:tcW w:w="1912"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目</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名</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称</w:t>
            </w:r>
          </w:p>
        </w:tc>
        <w:tc>
          <w:tcPr>
            <w:tcW w:w="2033"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孔口尺寸</w:t>
            </w:r>
          </w:p>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(宽×高-水头)(m)</w:t>
            </w:r>
          </w:p>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机型、容量及行程</w:t>
            </w:r>
          </w:p>
        </w:tc>
        <w:tc>
          <w:tcPr>
            <w:tcW w:w="875"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支承</w:t>
            </w:r>
          </w:p>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型式</w:t>
            </w:r>
          </w:p>
        </w:tc>
        <w:tc>
          <w:tcPr>
            <w:tcW w:w="699"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数量</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单重(t)</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总重(t)</w:t>
            </w:r>
          </w:p>
        </w:tc>
        <w:tc>
          <w:tcPr>
            <w:tcW w:w="1116"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备</w:t>
            </w:r>
            <w:r>
              <w:rPr>
                <w:rFonts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尾水闸门室事故闸门</w:t>
            </w:r>
          </w:p>
        </w:tc>
        <w:tc>
          <w:tcPr>
            <w:tcW w:w="2033" w:type="dxa"/>
            <w:vAlign w:val="center"/>
          </w:tcPr>
          <w:p>
            <w:pPr>
              <w:adjustRightIn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4.5</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5.5-152.24</w:t>
            </w:r>
          </w:p>
        </w:tc>
        <w:tc>
          <w:tcPr>
            <w:tcW w:w="875"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滑块</w:t>
            </w:r>
          </w:p>
        </w:tc>
        <w:tc>
          <w:tcPr>
            <w:tcW w:w="69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48.0</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192</w:t>
            </w:r>
          </w:p>
        </w:tc>
        <w:tc>
          <w:tcPr>
            <w:tcW w:w="1116" w:type="dxa"/>
            <w:vAlign w:val="center"/>
          </w:tcPr>
          <w:p>
            <w:pPr>
              <w:adjustRightInd w:val="0"/>
              <w:snapToGrid w:val="0"/>
              <w:rPr>
                <w:rFonts w:ascii="Times New Roman" w:hAnsi="Times New Roman" w:cs="Times New Roman"/>
                <w:color w:val="auto"/>
                <w:szCs w:val="21"/>
                <w:highlight w:val="none"/>
              </w:rPr>
            </w:pPr>
            <w:r>
              <w:rPr>
                <w:color w:val="auto"/>
                <w:highlight w:val="none"/>
              </w:rPr>
              <w:t>现场</w:t>
            </w:r>
            <w:r>
              <w:rPr>
                <w:rFonts w:hint="eastAsia"/>
                <w:color w:val="auto"/>
                <w:highlight w:val="none"/>
              </w:rPr>
              <w:t>拼焊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尾水闸门室事故闸门门槽埋件</w:t>
            </w:r>
          </w:p>
        </w:tc>
        <w:tc>
          <w:tcPr>
            <w:tcW w:w="2033" w:type="dxa"/>
            <w:vAlign w:val="center"/>
          </w:tcPr>
          <w:p>
            <w:pPr>
              <w:adjustRightInd w:val="0"/>
              <w:jc w:val="center"/>
              <w:rPr>
                <w:rFonts w:ascii="Times New Roman" w:hAnsi="Times New Roman" w:cs="Times New Roman"/>
                <w:color w:val="auto"/>
                <w:szCs w:val="21"/>
                <w:highlight w:val="none"/>
              </w:rPr>
            </w:pPr>
          </w:p>
        </w:tc>
        <w:tc>
          <w:tcPr>
            <w:tcW w:w="875" w:type="dxa"/>
            <w:vAlign w:val="center"/>
          </w:tcPr>
          <w:p>
            <w:pPr>
              <w:adjustRightInd w:val="0"/>
              <w:snapToGrid w:val="0"/>
              <w:jc w:val="center"/>
              <w:rPr>
                <w:rFonts w:ascii="Times New Roman" w:hAnsi="Times New Roman" w:cs="Times New Roman"/>
                <w:color w:val="auto"/>
                <w:szCs w:val="21"/>
                <w:highlight w:val="none"/>
              </w:rPr>
            </w:pPr>
          </w:p>
        </w:tc>
        <w:tc>
          <w:tcPr>
            <w:tcW w:w="69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172</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688</w:t>
            </w:r>
          </w:p>
        </w:tc>
        <w:tc>
          <w:tcPr>
            <w:tcW w:w="1116" w:type="dxa"/>
            <w:vAlign w:val="center"/>
          </w:tcPr>
          <w:p>
            <w:pPr>
              <w:adjustRightInd w:val="0"/>
              <w:snapToGrid w:val="0"/>
              <w:rPr>
                <w:rFonts w:ascii="Times New Roman" w:hAnsi="Times New Roman" w:cs="Times New Roman"/>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尾水闸门室旁通及排气（水）系统</w:t>
            </w:r>
          </w:p>
        </w:tc>
        <w:tc>
          <w:tcPr>
            <w:tcW w:w="2033" w:type="dxa"/>
            <w:vAlign w:val="center"/>
          </w:tcPr>
          <w:p>
            <w:pPr>
              <w:adjustRightInd w:val="0"/>
              <w:jc w:val="center"/>
              <w:rPr>
                <w:rFonts w:ascii="Times New Roman" w:hAnsi="Times New Roman" w:cs="Times New Roman"/>
                <w:color w:val="auto"/>
                <w:szCs w:val="21"/>
                <w:highlight w:val="none"/>
              </w:rPr>
            </w:pPr>
          </w:p>
        </w:tc>
        <w:tc>
          <w:tcPr>
            <w:tcW w:w="875" w:type="dxa"/>
            <w:vAlign w:val="center"/>
          </w:tcPr>
          <w:p>
            <w:pPr>
              <w:adjustRightInd w:val="0"/>
              <w:snapToGrid w:val="0"/>
              <w:jc w:val="center"/>
              <w:rPr>
                <w:rFonts w:ascii="Times New Roman" w:hAnsi="Times New Roman" w:cs="Times New Roman"/>
                <w:color w:val="auto"/>
                <w:szCs w:val="21"/>
                <w:highlight w:val="none"/>
              </w:rPr>
            </w:pPr>
          </w:p>
        </w:tc>
        <w:tc>
          <w:tcPr>
            <w:tcW w:w="69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20</w:t>
            </w:r>
          </w:p>
        </w:tc>
        <w:tc>
          <w:tcPr>
            <w:tcW w:w="1116" w:type="dxa"/>
            <w:vAlign w:val="center"/>
          </w:tcPr>
          <w:p>
            <w:pPr>
              <w:adjustRightInd w:val="0"/>
              <w:snapToGrid w:val="0"/>
              <w:rPr>
                <w:rFonts w:ascii="Times New Roman" w:hAnsi="Times New Roman" w:cs="Times New Roman"/>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尾水闸门室事故闸门启闭机</w:t>
            </w:r>
          </w:p>
        </w:tc>
        <w:tc>
          <w:tcPr>
            <w:tcW w:w="2033" w:type="dxa"/>
            <w:vAlign w:val="center"/>
          </w:tcPr>
          <w:p>
            <w:pPr>
              <w:adjustRightIn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液压启闭机</w:t>
            </w:r>
          </w:p>
          <w:p>
            <w:pPr>
              <w:adjustRightIn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5000kN/1600kN-6.5m</w:t>
            </w:r>
          </w:p>
        </w:tc>
        <w:tc>
          <w:tcPr>
            <w:tcW w:w="875" w:type="dxa"/>
            <w:vAlign w:val="center"/>
          </w:tcPr>
          <w:p>
            <w:pPr>
              <w:adjustRightInd w:val="0"/>
              <w:snapToGrid w:val="0"/>
              <w:jc w:val="center"/>
              <w:rPr>
                <w:rFonts w:ascii="Times New Roman" w:hAnsi="Times New Roman" w:cs="Times New Roman"/>
                <w:color w:val="auto"/>
                <w:szCs w:val="21"/>
                <w:highlight w:val="none"/>
              </w:rPr>
            </w:pPr>
          </w:p>
        </w:tc>
        <w:tc>
          <w:tcPr>
            <w:tcW w:w="69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70</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280</w:t>
            </w:r>
          </w:p>
        </w:tc>
        <w:tc>
          <w:tcPr>
            <w:tcW w:w="1116"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含机架、泵站、电气设备及门槽顶部盖板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尾闸室桥机</w:t>
            </w:r>
          </w:p>
        </w:tc>
        <w:tc>
          <w:tcPr>
            <w:tcW w:w="2033" w:type="dxa"/>
            <w:vAlign w:val="center"/>
          </w:tcPr>
          <w:p>
            <w:pPr>
              <w:adjustRightIn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630/50kN</w:t>
            </w:r>
            <w:r>
              <w:rPr>
                <w:rFonts w:hint="eastAsia" w:ascii="Times New Roman" w:hAnsi="Times New Roman" w:cs="Times New Roman"/>
                <w:color w:val="auto"/>
                <w:szCs w:val="21"/>
                <w:highlight w:val="none"/>
              </w:rPr>
              <w:t>轨距7</w:t>
            </w:r>
            <w:r>
              <w:rPr>
                <w:rFonts w:ascii="Times New Roman" w:hAnsi="Times New Roman" w:cs="Times New Roman"/>
                <w:color w:val="auto"/>
                <w:szCs w:val="21"/>
                <w:highlight w:val="none"/>
              </w:rPr>
              <w:t>.2</w:t>
            </w:r>
            <w:r>
              <w:rPr>
                <w:rFonts w:hint="eastAsia" w:ascii="Times New Roman" w:hAnsi="Times New Roman" w:cs="Times New Roman"/>
                <w:color w:val="auto"/>
                <w:szCs w:val="21"/>
                <w:highlight w:val="none"/>
              </w:rPr>
              <w:t>m</w:t>
            </w:r>
          </w:p>
        </w:tc>
        <w:tc>
          <w:tcPr>
            <w:tcW w:w="875" w:type="dxa"/>
            <w:vAlign w:val="center"/>
          </w:tcPr>
          <w:p>
            <w:pPr>
              <w:adjustRightInd w:val="0"/>
              <w:snapToGrid w:val="0"/>
              <w:jc w:val="center"/>
              <w:rPr>
                <w:rFonts w:ascii="Times New Roman" w:hAnsi="Times New Roman" w:cs="Times New Roman"/>
                <w:color w:val="auto"/>
                <w:szCs w:val="21"/>
                <w:highlight w:val="none"/>
              </w:rPr>
            </w:pPr>
          </w:p>
        </w:tc>
        <w:tc>
          <w:tcPr>
            <w:tcW w:w="699"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r>
              <w:rPr>
                <w:rFonts w:ascii="Times New Roman" w:hAnsi="Times New Roman" w:cs="Times New Roman"/>
                <w:color w:val="auto"/>
                <w:szCs w:val="21"/>
                <w:highlight w:val="none"/>
              </w:rPr>
              <w:t>0</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r>
              <w:rPr>
                <w:rFonts w:ascii="Times New Roman" w:hAnsi="Times New Roman" w:cs="Times New Roman"/>
                <w:color w:val="auto"/>
                <w:szCs w:val="21"/>
                <w:highlight w:val="none"/>
              </w:rPr>
              <w:t>0</w:t>
            </w:r>
          </w:p>
        </w:tc>
        <w:tc>
          <w:tcPr>
            <w:tcW w:w="1116" w:type="dxa"/>
            <w:vAlign w:val="center"/>
          </w:tcPr>
          <w:p>
            <w:pPr>
              <w:adjustRightInd w:val="0"/>
              <w:snapToGrid w:val="0"/>
              <w:rPr>
                <w:rFonts w:ascii="Times New Roman" w:hAnsi="Times New Roman" w:cs="Times New Roman"/>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557" w:hRule="atLeast"/>
          <w:jc w:val="center"/>
        </w:trPr>
        <w:tc>
          <w:tcPr>
            <w:tcW w:w="838"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6</w:t>
            </w:r>
          </w:p>
        </w:tc>
        <w:tc>
          <w:tcPr>
            <w:tcW w:w="1912" w:type="dxa"/>
            <w:vAlign w:val="center"/>
          </w:tcPr>
          <w:p>
            <w:pPr>
              <w:adjustRightInd w:val="0"/>
              <w:snapToGrid w:val="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尾闸室桥机轨道</w:t>
            </w:r>
          </w:p>
        </w:tc>
        <w:tc>
          <w:tcPr>
            <w:tcW w:w="2033" w:type="dxa"/>
            <w:vAlign w:val="center"/>
          </w:tcPr>
          <w:p>
            <w:pPr>
              <w:adjustRightIn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Q</w:t>
            </w:r>
            <w:r>
              <w:rPr>
                <w:rFonts w:ascii="Times New Roman" w:hAnsi="Times New Roman" w:cs="Times New Roman"/>
                <w:color w:val="auto"/>
                <w:szCs w:val="21"/>
                <w:highlight w:val="none"/>
              </w:rPr>
              <w:t>U80-</w:t>
            </w:r>
            <w:r>
              <w:rPr>
                <w:rFonts w:hint="eastAsia" w:ascii="Times New Roman" w:hAnsi="Times New Roman" w:cs="Times New Roman"/>
                <w:color w:val="auto"/>
                <w:szCs w:val="21"/>
                <w:highlight w:val="none"/>
              </w:rPr>
              <w:t>长度约1</w:t>
            </w:r>
            <w:r>
              <w:rPr>
                <w:rFonts w:ascii="Times New Roman" w:hAnsi="Times New Roman" w:cs="Times New Roman"/>
                <w:color w:val="auto"/>
                <w:szCs w:val="21"/>
                <w:highlight w:val="none"/>
              </w:rPr>
              <w:t>05</w:t>
            </w:r>
            <w:r>
              <w:rPr>
                <w:rFonts w:hint="eastAsia" w:ascii="Times New Roman" w:hAnsi="Times New Roman" w:cs="Times New Roman"/>
                <w:color w:val="auto"/>
                <w:szCs w:val="21"/>
                <w:highlight w:val="none"/>
              </w:rPr>
              <w:t>m</w:t>
            </w:r>
          </w:p>
        </w:tc>
        <w:tc>
          <w:tcPr>
            <w:tcW w:w="875" w:type="dxa"/>
            <w:vAlign w:val="center"/>
          </w:tcPr>
          <w:p>
            <w:pPr>
              <w:adjustRightInd w:val="0"/>
              <w:snapToGrid w:val="0"/>
              <w:jc w:val="center"/>
              <w:rPr>
                <w:rFonts w:ascii="Times New Roman" w:hAnsi="Times New Roman" w:cs="Times New Roman"/>
                <w:color w:val="auto"/>
                <w:szCs w:val="21"/>
                <w:highlight w:val="none"/>
              </w:rPr>
            </w:pPr>
          </w:p>
        </w:tc>
        <w:tc>
          <w:tcPr>
            <w:tcW w:w="699"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c>
          <w:tcPr>
            <w:tcW w:w="747" w:type="dxa"/>
            <w:vAlign w:val="center"/>
          </w:tcPr>
          <w:p>
            <w:pPr>
              <w:adjustRightInd w:val="0"/>
              <w:snapToGrid w:val="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25</w:t>
            </w:r>
          </w:p>
        </w:tc>
        <w:tc>
          <w:tcPr>
            <w:tcW w:w="796" w:type="dxa"/>
            <w:vAlign w:val="center"/>
          </w:tcPr>
          <w:p>
            <w:pPr>
              <w:adjustRightInd w:val="0"/>
              <w:snapToGrid w:val="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2</w:t>
            </w:r>
            <w:r>
              <w:rPr>
                <w:rFonts w:ascii="Times New Roman" w:hAnsi="Times New Roman" w:cs="Times New Roman"/>
                <w:color w:val="auto"/>
                <w:szCs w:val="21"/>
                <w:highlight w:val="none"/>
              </w:rPr>
              <w:t>5</w:t>
            </w:r>
          </w:p>
        </w:tc>
        <w:tc>
          <w:tcPr>
            <w:tcW w:w="1116" w:type="dxa"/>
            <w:vAlign w:val="center"/>
          </w:tcPr>
          <w:p>
            <w:pPr>
              <w:adjustRightInd w:val="0"/>
              <w:snapToGrid w:val="0"/>
              <w:rPr>
                <w:rFonts w:ascii="Times New Roman" w:hAnsi="Times New Roman" w:cs="Times New Roman"/>
                <w:color w:val="auto"/>
                <w:szCs w:val="21"/>
                <w:highlight w:val="none"/>
              </w:rPr>
            </w:pPr>
          </w:p>
        </w:tc>
      </w:tr>
    </w:tbl>
    <w:p>
      <w:pPr>
        <w:ind w:firstLine="420"/>
        <w:rPr>
          <w:color w:val="auto"/>
          <w:szCs w:val="16"/>
          <w:highlight w:val="none"/>
        </w:rPr>
      </w:pPr>
      <w:bookmarkStart w:id="347" w:name="_Toc31441"/>
      <w:r>
        <w:rPr>
          <w:rFonts w:hint="eastAsia" w:ascii="Times New Roman" w:hAnsi="Times New Roman" w:cs="Times New Roman"/>
          <w:color w:val="auto"/>
          <w:szCs w:val="16"/>
          <w:highlight w:val="none"/>
        </w:rPr>
        <w:t>注：本表所列重量均为招标阶段的估算重量，不保证完全准确，本标承包人应根据招标详图和安装经验自行估算，并承担相应风险。</w:t>
      </w:r>
    </w:p>
    <w:p>
      <w:pPr>
        <w:pStyle w:val="132"/>
        <w:rPr>
          <w:color w:val="auto"/>
          <w:highlight w:val="none"/>
        </w:rPr>
      </w:pPr>
      <w:r>
        <w:rPr>
          <w:rFonts w:hint="eastAsia"/>
          <w:color w:val="auto"/>
          <w:highlight w:val="none"/>
        </w:rPr>
        <w:t>14.1.2设备起吊和运输</w:t>
      </w:r>
      <w:bookmarkEnd w:id="347"/>
    </w:p>
    <w:p>
      <w:pPr>
        <w:pStyle w:val="76"/>
        <w:ind w:firstLine="0" w:firstLineChars="0"/>
        <w:jc w:val="center"/>
        <w:rPr>
          <w:color w:val="auto"/>
          <w:highlight w:val="none"/>
        </w:rPr>
      </w:pPr>
      <w:r>
        <w:rPr>
          <w:rFonts w:hint="eastAsia"/>
          <w:color w:val="auto"/>
          <w:highlight w:val="none"/>
        </w:rPr>
        <w:t>表14.1.2各部位闸门及启闭设备的较大件运输尺寸及其吊运重量列表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880"/>
        <w:gridCol w:w="2677"/>
        <w:gridCol w:w="1223"/>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1"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序号</w:t>
            </w:r>
          </w:p>
        </w:tc>
        <w:tc>
          <w:tcPr>
            <w:tcW w:w="2880"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名称</w:t>
            </w:r>
          </w:p>
        </w:tc>
        <w:tc>
          <w:tcPr>
            <w:tcW w:w="2677"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最大尺寸</w:t>
            </w:r>
            <w:r>
              <w:rPr>
                <w:rFonts w:ascii="Times New Roman" w:hAnsi="Times New Roman" w:cs="Times New Roman"/>
                <w:color w:val="auto"/>
                <w:highlight w:val="none"/>
              </w:rPr>
              <w:t>(</w:t>
            </w:r>
            <w:r>
              <w:rPr>
                <w:rFonts w:hint="eastAsia" w:ascii="Times New Roman" w:hAnsi="Times New Roman" w:cs="Times New Roman"/>
                <w:color w:val="auto"/>
                <w:highlight w:val="none"/>
              </w:rPr>
              <w:t>长×高×厚</w:t>
            </w:r>
            <w:r>
              <w:rPr>
                <w:rFonts w:ascii="Times New Roman" w:hAnsi="Times New Roman" w:cs="Times New Roman"/>
                <w:color w:val="auto"/>
                <w:highlight w:val="none"/>
              </w:rPr>
              <w:t>)</w:t>
            </w:r>
          </w:p>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(m</w:t>
            </w:r>
            <w:r>
              <w:rPr>
                <w:rFonts w:hint="eastAsia" w:ascii="Times New Roman" w:hAnsi="Times New Roman" w:cs="Times New Roman"/>
                <w:color w:val="auto"/>
                <w:highlight w:val="none"/>
              </w:rPr>
              <w:t>×</w:t>
            </w:r>
            <w:r>
              <w:rPr>
                <w:rFonts w:ascii="Times New Roman" w:hAnsi="Times New Roman" w:cs="Times New Roman"/>
                <w:color w:val="auto"/>
                <w:highlight w:val="none"/>
              </w:rPr>
              <w:t>m</w:t>
            </w:r>
            <w:r>
              <w:rPr>
                <w:rFonts w:hint="eastAsia" w:ascii="Times New Roman" w:hAnsi="Times New Roman" w:cs="Times New Roman"/>
                <w:color w:val="auto"/>
                <w:highlight w:val="none"/>
              </w:rPr>
              <w:t>×</w:t>
            </w:r>
            <w:r>
              <w:rPr>
                <w:rFonts w:ascii="Times New Roman" w:hAnsi="Times New Roman" w:cs="Times New Roman"/>
                <w:color w:val="auto"/>
                <w:highlight w:val="none"/>
              </w:rPr>
              <w:t>m)</w:t>
            </w:r>
          </w:p>
        </w:tc>
        <w:tc>
          <w:tcPr>
            <w:tcW w:w="1223"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最大重量</w:t>
            </w:r>
            <w:r>
              <w:rPr>
                <w:rFonts w:ascii="Times New Roman" w:hAnsi="Times New Roman" w:cs="Times New Roman"/>
                <w:color w:val="auto"/>
                <w:highlight w:val="none"/>
              </w:rPr>
              <w:t>(t)</w:t>
            </w:r>
          </w:p>
        </w:tc>
        <w:tc>
          <w:tcPr>
            <w:tcW w:w="1200"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1"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1</w:t>
            </w:r>
          </w:p>
        </w:tc>
        <w:tc>
          <w:tcPr>
            <w:tcW w:w="2880"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下节门叶</w:t>
            </w:r>
          </w:p>
        </w:tc>
        <w:tc>
          <w:tcPr>
            <w:tcW w:w="2677"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5.98</w:t>
            </w:r>
            <w:r>
              <w:rPr>
                <w:rFonts w:hint="eastAsia" w:ascii="Times New Roman" w:hAnsi="Times New Roman" w:cs="Times New Roman"/>
                <w:color w:val="auto"/>
                <w:highlight w:val="none"/>
              </w:rPr>
              <w:t>×</w:t>
            </w:r>
            <w:r>
              <w:rPr>
                <w:rFonts w:ascii="Times New Roman" w:hAnsi="Times New Roman" w:cs="Times New Roman"/>
                <w:color w:val="auto"/>
                <w:highlight w:val="none"/>
              </w:rPr>
              <w:t>3.365</w:t>
            </w:r>
            <w:r>
              <w:rPr>
                <w:rFonts w:hint="eastAsia" w:ascii="Times New Roman" w:hAnsi="Times New Roman" w:cs="Times New Roman"/>
                <w:color w:val="auto"/>
                <w:highlight w:val="none"/>
              </w:rPr>
              <w:t>×</w:t>
            </w:r>
            <w:r>
              <w:rPr>
                <w:rFonts w:ascii="Times New Roman" w:hAnsi="Times New Roman" w:cs="Times New Roman"/>
                <w:color w:val="auto"/>
                <w:highlight w:val="none"/>
              </w:rPr>
              <w:t>1.12</w:t>
            </w:r>
          </w:p>
        </w:tc>
        <w:tc>
          <w:tcPr>
            <w:tcW w:w="1223"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24</w:t>
            </w:r>
          </w:p>
        </w:tc>
        <w:tc>
          <w:tcPr>
            <w:tcW w:w="1200" w:type="dxa"/>
            <w:vAlign w:val="center"/>
          </w:tcPr>
          <w:p>
            <w:pPr>
              <w:overflowPunct w:val="0"/>
              <w:jc w:val="center"/>
              <w:rPr>
                <w:rFonts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1"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2</w:t>
            </w:r>
          </w:p>
        </w:tc>
        <w:tc>
          <w:tcPr>
            <w:tcW w:w="2880"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门槽顶部框架</w:t>
            </w:r>
          </w:p>
        </w:tc>
        <w:tc>
          <w:tcPr>
            <w:tcW w:w="2677"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7</w:t>
            </w:r>
            <w:r>
              <w:rPr>
                <w:rFonts w:hint="eastAsia" w:ascii="Times New Roman" w:hAnsi="Times New Roman" w:cs="Times New Roman"/>
                <w:color w:val="auto"/>
                <w:highlight w:val="none"/>
              </w:rPr>
              <w:t>.</w:t>
            </w:r>
            <w:r>
              <w:rPr>
                <w:rFonts w:ascii="Times New Roman" w:hAnsi="Times New Roman" w:cs="Times New Roman"/>
                <w:color w:val="auto"/>
                <w:highlight w:val="none"/>
              </w:rPr>
              <w:t>4</w:t>
            </w:r>
            <w:r>
              <w:rPr>
                <w:rFonts w:hint="eastAsia" w:ascii="Times New Roman" w:hAnsi="Times New Roman" w:cs="Times New Roman"/>
                <w:color w:val="auto"/>
                <w:highlight w:val="none"/>
              </w:rPr>
              <w:t>×</w:t>
            </w:r>
            <w:r>
              <w:rPr>
                <w:rFonts w:ascii="Times New Roman" w:hAnsi="Times New Roman" w:cs="Times New Roman"/>
                <w:color w:val="auto"/>
                <w:highlight w:val="none"/>
              </w:rPr>
              <w:t>2.68</w:t>
            </w:r>
            <w:r>
              <w:rPr>
                <w:rFonts w:hint="eastAsia" w:ascii="Times New Roman" w:hAnsi="Times New Roman" w:cs="Times New Roman"/>
                <w:color w:val="auto"/>
                <w:highlight w:val="none"/>
              </w:rPr>
              <w:t>×</w:t>
            </w:r>
            <w:r>
              <w:rPr>
                <w:rFonts w:ascii="Times New Roman" w:hAnsi="Times New Roman" w:cs="Times New Roman"/>
                <w:color w:val="auto"/>
                <w:highlight w:val="none"/>
              </w:rPr>
              <w:t>2.87</w:t>
            </w:r>
          </w:p>
        </w:tc>
        <w:tc>
          <w:tcPr>
            <w:tcW w:w="1223"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31</w:t>
            </w:r>
          </w:p>
        </w:tc>
        <w:tc>
          <w:tcPr>
            <w:tcW w:w="1200" w:type="dxa"/>
            <w:vAlign w:val="center"/>
          </w:tcPr>
          <w:p>
            <w:pPr>
              <w:overflowPunct w:val="0"/>
              <w:jc w:val="center"/>
              <w:rPr>
                <w:rFonts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1"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3</w:t>
            </w:r>
          </w:p>
        </w:tc>
        <w:tc>
          <w:tcPr>
            <w:tcW w:w="2880" w:type="dxa"/>
            <w:vAlign w:val="center"/>
          </w:tcPr>
          <w:p>
            <w:pPr>
              <w:overflowPunct w:val="0"/>
              <w:jc w:val="center"/>
              <w:rPr>
                <w:rFonts w:ascii="Times New Roman" w:hAnsi="Times New Roman" w:cs="Times New Roman"/>
                <w:color w:val="auto"/>
                <w:highlight w:val="none"/>
              </w:rPr>
            </w:pPr>
            <w:r>
              <w:rPr>
                <w:rFonts w:hint="eastAsia" w:ascii="Times New Roman" w:hAnsi="Times New Roman" w:cs="Times New Roman"/>
                <w:color w:val="auto"/>
                <w:highlight w:val="none"/>
              </w:rPr>
              <w:t>液压油缸</w:t>
            </w:r>
          </w:p>
        </w:tc>
        <w:tc>
          <w:tcPr>
            <w:tcW w:w="2677"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Φ1.01</w:t>
            </w:r>
            <w:r>
              <w:rPr>
                <w:rFonts w:hint="eastAsia" w:ascii="Times New Roman" w:hAnsi="Times New Roman" w:cs="Times New Roman"/>
                <w:color w:val="auto"/>
                <w:highlight w:val="none"/>
              </w:rPr>
              <w:t>×</w:t>
            </w:r>
            <w:r>
              <w:rPr>
                <w:rFonts w:ascii="Times New Roman" w:hAnsi="Times New Roman" w:cs="Times New Roman"/>
                <w:color w:val="auto"/>
                <w:highlight w:val="none"/>
              </w:rPr>
              <w:t>10.8</w:t>
            </w:r>
          </w:p>
        </w:tc>
        <w:tc>
          <w:tcPr>
            <w:tcW w:w="1223" w:type="dxa"/>
            <w:vAlign w:val="center"/>
          </w:tcPr>
          <w:p>
            <w:pPr>
              <w:overflowPunct w:val="0"/>
              <w:jc w:val="center"/>
              <w:rPr>
                <w:rFonts w:ascii="Times New Roman" w:hAnsi="Times New Roman" w:cs="Times New Roman"/>
                <w:color w:val="auto"/>
                <w:highlight w:val="none"/>
              </w:rPr>
            </w:pPr>
            <w:r>
              <w:rPr>
                <w:rFonts w:ascii="Times New Roman" w:hAnsi="Times New Roman" w:cs="Times New Roman"/>
                <w:color w:val="auto"/>
                <w:highlight w:val="none"/>
              </w:rPr>
              <w:t>25</w:t>
            </w:r>
          </w:p>
        </w:tc>
        <w:tc>
          <w:tcPr>
            <w:tcW w:w="1200" w:type="dxa"/>
            <w:vAlign w:val="center"/>
          </w:tcPr>
          <w:p>
            <w:pPr>
              <w:overflowPunct w:val="0"/>
              <w:jc w:val="center"/>
              <w:rPr>
                <w:rFonts w:ascii="Times New Roman" w:hAnsi="Times New Roman" w:cs="Times New Roman"/>
                <w:color w:val="auto"/>
                <w:highlight w:val="none"/>
              </w:rPr>
            </w:pPr>
          </w:p>
        </w:tc>
      </w:tr>
    </w:tbl>
    <w:p>
      <w:pPr>
        <w:pStyle w:val="132"/>
        <w:rPr>
          <w:color w:val="auto"/>
          <w:highlight w:val="none"/>
        </w:rPr>
      </w:pPr>
      <w:bookmarkStart w:id="348" w:name="_Toc26677"/>
      <w:r>
        <w:rPr>
          <w:rFonts w:hint="eastAsia"/>
          <w:color w:val="auto"/>
          <w:highlight w:val="none"/>
        </w:rPr>
        <w:t>14.1.3电气设备安装工作范围</w:t>
      </w:r>
      <w:bookmarkEnd w:id="348"/>
    </w:p>
    <w:p>
      <w:pPr>
        <w:pStyle w:val="76"/>
        <w:ind w:firstLine="480" w:firstLineChars="200"/>
        <w:rPr>
          <w:color w:val="auto"/>
          <w:highlight w:val="none"/>
        </w:rPr>
      </w:pPr>
      <w:r>
        <w:rPr>
          <w:rFonts w:hint="eastAsia"/>
          <w:color w:val="auto"/>
          <w:highlight w:val="none"/>
        </w:rPr>
        <w:t>本节规定适用于由本标承包人负责尾水闸门室系统等所有电气设备的安装、调试、试验、试运行和现场交接。全部安装项目包括上述各系统所配备的控制箱(柜)</w:t>
      </w:r>
      <w:r>
        <w:rPr>
          <w:color w:val="auto"/>
          <w:highlight w:val="none"/>
        </w:rPr>
        <w:t xml:space="preserve"> </w:t>
      </w:r>
      <w:r>
        <w:rPr>
          <w:rFonts w:hint="eastAsia"/>
          <w:color w:val="auto"/>
          <w:highlight w:val="none"/>
        </w:rPr>
        <w:t>、动力箱(柜)</w:t>
      </w:r>
      <w:r>
        <w:rPr>
          <w:color w:val="auto"/>
          <w:highlight w:val="none"/>
        </w:rPr>
        <w:t xml:space="preserve"> </w:t>
      </w:r>
      <w:r>
        <w:rPr>
          <w:rFonts w:hint="eastAsia"/>
          <w:color w:val="auto"/>
          <w:highlight w:val="none"/>
        </w:rPr>
        <w:t>、设备的接地及与距离最近的接地网相连。全部安装项目的内容详见下表。</w:t>
      </w:r>
    </w:p>
    <w:p>
      <w:pPr>
        <w:pStyle w:val="76"/>
        <w:ind w:firstLine="482" w:firstLineChars="200"/>
        <w:rPr>
          <w:color w:val="auto"/>
          <w:highlight w:val="none"/>
        </w:rPr>
      </w:pPr>
      <w:r>
        <w:rPr>
          <w:rFonts w:hint="eastAsia"/>
          <w:b/>
          <w:bCs/>
          <w:color w:val="auto"/>
          <w:highlight w:val="none"/>
        </w:rPr>
        <w:t>本系统所需安装项目的规格和数量详见表14.1.</w:t>
      </w:r>
      <w:r>
        <w:rPr>
          <w:b/>
          <w:bCs/>
          <w:color w:val="auto"/>
          <w:highlight w:val="none"/>
        </w:rPr>
        <w:t>3</w:t>
      </w:r>
      <w:r>
        <w:rPr>
          <w:rFonts w:hint="eastAsia"/>
          <w:b/>
          <w:bCs/>
          <w:color w:val="auto"/>
          <w:highlight w:val="none"/>
        </w:rPr>
        <w:t>，供报价参考。</w:t>
      </w:r>
    </w:p>
    <w:p>
      <w:pPr>
        <w:pStyle w:val="76"/>
        <w:ind w:firstLine="0" w:firstLineChars="0"/>
        <w:jc w:val="center"/>
        <w:rPr>
          <w:color w:val="auto"/>
          <w:highlight w:val="none"/>
        </w:rPr>
      </w:pPr>
      <w:r>
        <w:rPr>
          <w:rFonts w:hint="eastAsia"/>
          <w:color w:val="auto"/>
          <w:highlight w:val="none"/>
        </w:rPr>
        <w:t>表14.</w:t>
      </w:r>
      <w:r>
        <w:rPr>
          <w:color w:val="auto"/>
          <w:highlight w:val="none"/>
        </w:rPr>
        <w:t xml:space="preserve">1.3  </w:t>
      </w:r>
      <w:r>
        <w:rPr>
          <w:rFonts w:hint="eastAsia"/>
          <w:color w:val="auto"/>
          <w:highlight w:val="none"/>
        </w:rPr>
        <w:t>电气设备表</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1"/>
        <w:gridCol w:w="4531"/>
        <w:gridCol w:w="864"/>
        <w:gridCol w:w="1003"/>
        <w:gridCol w:w="144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序号</w:t>
            </w:r>
          </w:p>
        </w:tc>
        <w:tc>
          <w:tcPr>
            <w:tcW w:w="453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项目名称</w:t>
            </w:r>
          </w:p>
        </w:tc>
        <w:tc>
          <w:tcPr>
            <w:tcW w:w="864"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单位</w:t>
            </w:r>
          </w:p>
        </w:tc>
        <w:tc>
          <w:tcPr>
            <w:tcW w:w="100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数量</w:t>
            </w:r>
          </w:p>
        </w:tc>
        <w:tc>
          <w:tcPr>
            <w:tcW w:w="144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1</w:t>
            </w:r>
          </w:p>
        </w:tc>
        <w:tc>
          <w:tcPr>
            <w:tcW w:w="4531" w:type="dxa"/>
            <w:vAlign w:val="center"/>
          </w:tcPr>
          <w:p>
            <w:pPr>
              <w:adjustRightInd w:val="0"/>
              <w:snapToGrid w:val="0"/>
              <w:spacing w:line="240" w:lineRule="exact"/>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动力箱</w:t>
            </w:r>
            <w:r>
              <w:rPr>
                <w:rFonts w:ascii="Times New Roman" w:hAnsi="Times New Roman" w:cs="Times New Roman"/>
                <w:bCs/>
                <w:color w:val="auto"/>
                <w:szCs w:val="21"/>
                <w:highlight w:val="none"/>
              </w:rPr>
              <w:t>(</w:t>
            </w:r>
            <w:r>
              <w:rPr>
                <w:rFonts w:hint="eastAsia" w:ascii="Times New Roman" w:hAnsi="Times New Roman" w:cs="Times New Roman"/>
                <w:bCs/>
                <w:color w:val="auto"/>
                <w:szCs w:val="21"/>
                <w:highlight w:val="none"/>
              </w:rPr>
              <w:t>柜</w:t>
            </w:r>
            <w:r>
              <w:rPr>
                <w:rFonts w:ascii="Times New Roman" w:hAnsi="Times New Roman" w:cs="Times New Roman"/>
                <w:bCs/>
                <w:color w:val="auto"/>
                <w:szCs w:val="21"/>
                <w:highlight w:val="none"/>
              </w:rPr>
              <w:t xml:space="preserve">) </w:t>
            </w:r>
          </w:p>
        </w:tc>
        <w:tc>
          <w:tcPr>
            <w:tcW w:w="864"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面</w:t>
            </w:r>
          </w:p>
        </w:tc>
        <w:tc>
          <w:tcPr>
            <w:tcW w:w="100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p>
        </w:tc>
        <w:tc>
          <w:tcPr>
            <w:tcW w:w="144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2</w:t>
            </w:r>
          </w:p>
        </w:tc>
        <w:tc>
          <w:tcPr>
            <w:tcW w:w="4531" w:type="dxa"/>
            <w:vAlign w:val="center"/>
          </w:tcPr>
          <w:p>
            <w:pPr>
              <w:adjustRightInd w:val="0"/>
              <w:snapToGrid w:val="0"/>
              <w:spacing w:line="240" w:lineRule="exact"/>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尾水闸门室事故闸门启闭机启动柜</w:t>
            </w:r>
          </w:p>
        </w:tc>
        <w:tc>
          <w:tcPr>
            <w:tcW w:w="864"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面</w:t>
            </w:r>
          </w:p>
        </w:tc>
        <w:tc>
          <w:tcPr>
            <w:tcW w:w="100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4</w:t>
            </w:r>
          </w:p>
        </w:tc>
        <w:tc>
          <w:tcPr>
            <w:tcW w:w="144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3</w:t>
            </w:r>
          </w:p>
        </w:tc>
        <w:tc>
          <w:tcPr>
            <w:tcW w:w="4531" w:type="dxa"/>
            <w:vAlign w:val="center"/>
          </w:tcPr>
          <w:p>
            <w:pPr>
              <w:adjustRightInd w:val="0"/>
              <w:snapToGrid w:val="0"/>
              <w:spacing w:line="240" w:lineRule="exact"/>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尾水闸门室事故闸门启闭机控制柜</w:t>
            </w:r>
          </w:p>
        </w:tc>
        <w:tc>
          <w:tcPr>
            <w:tcW w:w="864"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面</w:t>
            </w:r>
          </w:p>
        </w:tc>
        <w:tc>
          <w:tcPr>
            <w:tcW w:w="100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4</w:t>
            </w:r>
          </w:p>
        </w:tc>
        <w:tc>
          <w:tcPr>
            <w:tcW w:w="144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1"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4</w:t>
            </w:r>
          </w:p>
        </w:tc>
        <w:tc>
          <w:tcPr>
            <w:tcW w:w="4531" w:type="dxa"/>
            <w:vAlign w:val="center"/>
          </w:tcPr>
          <w:p>
            <w:pPr>
              <w:adjustRightInd w:val="0"/>
              <w:snapToGrid w:val="0"/>
              <w:spacing w:line="240" w:lineRule="exact"/>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尾水闸门室事故闸门开度检测装置</w:t>
            </w:r>
          </w:p>
        </w:tc>
        <w:tc>
          <w:tcPr>
            <w:tcW w:w="864"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hint="eastAsia" w:ascii="Times New Roman" w:hAnsi="Times New Roman" w:cs="Times New Roman"/>
                <w:bCs/>
                <w:color w:val="auto"/>
                <w:szCs w:val="21"/>
                <w:highlight w:val="none"/>
              </w:rPr>
              <w:t>项</w:t>
            </w:r>
          </w:p>
        </w:tc>
        <w:tc>
          <w:tcPr>
            <w:tcW w:w="100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4</w:t>
            </w:r>
          </w:p>
        </w:tc>
        <w:tc>
          <w:tcPr>
            <w:tcW w:w="1443" w:type="dxa"/>
            <w:vAlign w:val="center"/>
          </w:tcPr>
          <w:p>
            <w:pPr>
              <w:adjustRightInd w:val="0"/>
              <w:snapToGrid w:val="0"/>
              <w:spacing w:line="240" w:lineRule="exact"/>
              <w:jc w:val="center"/>
              <w:textAlignment w:val="baseline"/>
              <w:rPr>
                <w:rFonts w:ascii="Times New Roman" w:hAnsi="Times New Roman" w:cs="Times New Roman"/>
                <w:bCs/>
                <w:color w:val="auto"/>
                <w:szCs w:val="21"/>
                <w:highlight w:val="none"/>
              </w:rPr>
            </w:pPr>
          </w:p>
        </w:tc>
      </w:tr>
    </w:tbl>
    <w:p>
      <w:pPr>
        <w:pStyle w:val="62"/>
        <w:rPr>
          <w:color w:val="auto"/>
          <w:highlight w:val="none"/>
        </w:rPr>
      </w:pPr>
      <w:bookmarkStart w:id="349" w:name="_Toc114042633"/>
      <w:bookmarkStart w:id="350" w:name="_Toc31203"/>
      <w:bookmarkStart w:id="351" w:name="_Toc127395746"/>
      <w:bookmarkStart w:id="352" w:name="_Toc1006"/>
      <w:r>
        <w:rPr>
          <w:color w:val="auto"/>
          <w:highlight w:val="none"/>
        </w:rPr>
        <w:t xml:space="preserve">14.2 </w:t>
      </w:r>
      <w:r>
        <w:rPr>
          <w:rFonts w:hint="eastAsia"/>
          <w:color w:val="auto"/>
          <w:highlight w:val="none"/>
        </w:rPr>
        <w:t>简要技术说明</w:t>
      </w:r>
      <w:bookmarkEnd w:id="349"/>
      <w:bookmarkEnd w:id="350"/>
      <w:bookmarkEnd w:id="351"/>
      <w:bookmarkEnd w:id="352"/>
    </w:p>
    <w:p>
      <w:pPr>
        <w:pStyle w:val="132"/>
        <w:rPr>
          <w:color w:val="auto"/>
          <w:highlight w:val="none"/>
        </w:rPr>
      </w:pPr>
      <w:bookmarkStart w:id="353" w:name="_Toc20804"/>
      <w:r>
        <w:rPr>
          <w:color w:val="auto"/>
          <w:highlight w:val="none"/>
        </w:rPr>
        <w:t>14.2.1</w:t>
      </w:r>
      <w:r>
        <w:rPr>
          <w:rFonts w:hint="eastAsia"/>
          <w:color w:val="auto"/>
          <w:highlight w:val="none"/>
        </w:rPr>
        <w:t xml:space="preserve"> 尾水闸门室金属结构</w:t>
      </w:r>
      <w:bookmarkEnd w:id="353"/>
    </w:p>
    <w:p>
      <w:pPr>
        <w:pStyle w:val="111"/>
        <w:adjustRightInd w:val="0"/>
        <w:snapToGrid w:val="0"/>
        <w:spacing w:line="480" w:lineRule="exact"/>
        <w:ind w:firstLine="480" w:firstLineChars="200"/>
        <w:rPr>
          <w:color w:val="auto"/>
          <w:highlight w:val="none"/>
        </w:rPr>
      </w:pPr>
      <w:r>
        <w:rPr>
          <w:rFonts w:hint="eastAsia"/>
          <w:color w:val="auto"/>
          <w:highlight w:val="none"/>
        </w:rPr>
        <w:t>电站装机4台，地下厂房至尾水闸门室采用一管一机布置方式，尾水闸门室后四洞合一，设一条尾水主洞。为检修机组、尾水管时封堵下水库的水源或当地下厂房内与尾水隧洞相连接的管路等部件出现事故时，能动水截断下水库的水流，避免水淹厂房等事故的发生，在尾水闸门室处设置事故闸门。尾水闸门室金属结构包括尾闸室事故闸门及相应启闭机。</w:t>
      </w:r>
    </w:p>
    <w:p>
      <w:pPr>
        <w:pStyle w:val="132"/>
        <w:rPr>
          <w:color w:val="auto"/>
          <w:highlight w:val="none"/>
        </w:rPr>
      </w:pPr>
      <w:bookmarkStart w:id="354" w:name="_Toc25393"/>
      <w:r>
        <w:rPr>
          <w:color w:val="auto"/>
          <w:highlight w:val="none"/>
        </w:rPr>
        <w:t>14.2.2</w:t>
      </w:r>
      <w:r>
        <w:rPr>
          <w:rFonts w:hint="eastAsia"/>
          <w:color w:val="auto"/>
          <w:highlight w:val="none"/>
        </w:rPr>
        <w:t xml:space="preserve"> 尾闸室事故闸门</w:t>
      </w:r>
      <w:bookmarkEnd w:id="354"/>
    </w:p>
    <w:p>
      <w:pPr>
        <w:pStyle w:val="111"/>
        <w:adjustRightInd w:val="0"/>
        <w:snapToGrid w:val="0"/>
        <w:spacing w:line="480" w:lineRule="exact"/>
        <w:ind w:firstLine="480" w:firstLineChars="200"/>
        <w:rPr>
          <w:color w:val="auto"/>
          <w:highlight w:val="none"/>
        </w:rPr>
      </w:pPr>
      <w:r>
        <w:rPr>
          <w:rFonts w:hint="eastAsia"/>
          <w:color w:val="auto"/>
          <w:highlight w:val="none"/>
        </w:rPr>
        <w:t>4条尾水管共设置4扇事故闸门，闸门孔口尺寸为</w:t>
      </w:r>
      <w:r>
        <w:rPr>
          <w:color w:val="auto"/>
          <w:highlight w:val="none"/>
        </w:rPr>
        <w:t>4.5</w:t>
      </w:r>
      <w:r>
        <w:rPr>
          <w:rFonts w:hint="eastAsia"/>
          <w:color w:val="auto"/>
          <w:highlight w:val="none"/>
        </w:rPr>
        <w:t>m×5.5m(宽×高)，底板高程</w:t>
      </w:r>
      <w:r>
        <w:rPr>
          <w:color w:val="auto"/>
          <w:highlight w:val="none"/>
        </w:rPr>
        <w:t>502.400</w:t>
      </w:r>
      <w:r>
        <w:rPr>
          <w:rFonts w:hint="eastAsia"/>
          <w:color w:val="auto"/>
          <w:highlight w:val="none"/>
        </w:rPr>
        <w:t>m，下水库正常蓄水位</w:t>
      </w:r>
      <w:r>
        <w:rPr>
          <w:color w:val="auto"/>
          <w:highlight w:val="none"/>
        </w:rPr>
        <w:t>612</w:t>
      </w:r>
      <w:r>
        <w:rPr>
          <w:rFonts w:hint="eastAsia"/>
          <w:color w:val="auto"/>
          <w:highlight w:val="none"/>
        </w:rPr>
        <w:t>.000m，根据水力过渡过程计算，尾闸室事故闸门承受最大水压力</w:t>
      </w:r>
      <w:r>
        <w:rPr>
          <w:color w:val="auto"/>
          <w:highlight w:val="none"/>
        </w:rPr>
        <w:t>152.24</w:t>
      </w:r>
      <w:r>
        <w:rPr>
          <w:rFonts w:hint="eastAsia"/>
          <w:color w:val="auto"/>
          <w:highlight w:val="none"/>
        </w:rPr>
        <w:t>m。闸门门型采用平面滑动闸门，主支承为复合材料支承滑道，门叶面板及底止水均设置在下库侧，顶、侧止水设置在厂房侧，利用水柱闭门。闸门门槽为封闭式门槽，采用箱型整体钢结构，顶部设有密封盖板，闸门和门槽结构强度按最大水压力</w:t>
      </w:r>
      <w:r>
        <w:rPr>
          <w:color w:val="auto"/>
          <w:highlight w:val="none"/>
        </w:rPr>
        <w:t>152.24</w:t>
      </w:r>
      <w:r>
        <w:rPr>
          <w:rFonts w:hint="eastAsia"/>
          <w:color w:val="auto"/>
          <w:highlight w:val="none"/>
        </w:rPr>
        <w:t>m进行设计，同时门槽还按尾水支管放空时所受到的最大外水压力计算封闭壳体的强度。</w:t>
      </w:r>
    </w:p>
    <w:p>
      <w:pPr>
        <w:pStyle w:val="111"/>
        <w:adjustRightInd w:val="0"/>
        <w:snapToGrid w:val="0"/>
        <w:spacing w:line="480" w:lineRule="exact"/>
        <w:ind w:firstLine="480" w:firstLineChars="200"/>
        <w:rPr>
          <w:color w:val="auto"/>
          <w:highlight w:val="none"/>
        </w:rPr>
      </w:pPr>
      <w:r>
        <w:rPr>
          <w:rFonts w:hint="eastAsia"/>
          <w:color w:val="auto"/>
          <w:highlight w:val="none"/>
        </w:rPr>
        <w:t>闸门通过门槽顶部的液压启闭机操作，采用现地启闭操作和中控室远程闭门操作方式。在正常检修工况下，闸门静水闭门；在尾水管管路发生泄漏的事故工况下，闸门能够全水头动水下门，防止事态进一步扩大。闸门通过电动旁通阀充水平压后静水启门。</w:t>
      </w:r>
    </w:p>
    <w:p>
      <w:pPr>
        <w:pStyle w:val="111"/>
        <w:adjustRightInd w:val="0"/>
        <w:snapToGrid w:val="0"/>
        <w:spacing w:line="480" w:lineRule="exact"/>
        <w:ind w:firstLine="480" w:firstLineChars="200"/>
        <w:rPr>
          <w:color w:val="auto"/>
          <w:highlight w:val="none"/>
        </w:rPr>
      </w:pPr>
      <w:r>
        <w:rPr>
          <w:rFonts w:hint="eastAsia"/>
          <w:color w:val="auto"/>
          <w:highlight w:val="none"/>
        </w:rPr>
        <w:t>事故闸门采用旁通管充水平压，设置有一个手动/电动球阀作为工作阀，连接形式为法兰连接。在工作阀前设置1个手动球阀，作为检修阀，连接形式为法兰连接。在靠近闸门的机组侧流道顶部和闸门腰箱顶部均设置有自动排气、充气装置。机组侧进排气管上方分别设有自动充排气阀，连接形式为法兰连接。在门槽顶盖充排气管上方分别设有一只可排高压气体的自动充排气阀，连接形式为法兰连接。为便于自动充排气阀检修，在充排气阀的下部串联一只手动球阀作为检修阀，连接形式为法兰连接。</w:t>
      </w:r>
    </w:p>
    <w:p>
      <w:pPr>
        <w:pStyle w:val="111"/>
        <w:adjustRightInd w:val="0"/>
        <w:snapToGrid w:val="0"/>
        <w:spacing w:line="480" w:lineRule="exact"/>
        <w:ind w:firstLine="464" w:firstLineChars="200"/>
        <w:rPr>
          <w:color w:val="auto"/>
          <w:spacing w:val="-4"/>
          <w:highlight w:val="none"/>
        </w:rPr>
      </w:pPr>
      <w:r>
        <w:rPr>
          <w:rFonts w:hint="eastAsia"/>
          <w:color w:val="auto"/>
          <w:spacing w:val="-4"/>
          <w:highlight w:val="none"/>
        </w:rPr>
        <w:t>为避免误操作，在球阀与事故闸门之间设置互相闭锁装置，即只有在球阀关闭状态，事故闸门关闭指令才能执行；只有事故闸门在全开状态，球阀的打开指令才能执行。</w:t>
      </w:r>
    </w:p>
    <w:p>
      <w:pPr>
        <w:pStyle w:val="111"/>
        <w:adjustRightInd w:val="0"/>
        <w:snapToGrid w:val="0"/>
        <w:spacing w:line="480" w:lineRule="exact"/>
        <w:ind w:firstLine="480" w:firstLineChars="200"/>
        <w:rPr>
          <w:color w:val="auto"/>
          <w:highlight w:val="none"/>
        </w:rPr>
      </w:pPr>
      <w:r>
        <w:rPr>
          <w:rFonts w:hint="eastAsia"/>
          <w:color w:val="auto"/>
          <w:highlight w:val="none"/>
        </w:rPr>
        <w:t>闸门平时通过液压启闭机悬吊于孔口门楣上方约1m处并处于待命状态。</w:t>
      </w:r>
    </w:p>
    <w:p>
      <w:pPr>
        <w:pStyle w:val="111"/>
        <w:adjustRightInd w:val="0"/>
        <w:snapToGrid w:val="0"/>
        <w:spacing w:line="480" w:lineRule="exact"/>
        <w:ind w:firstLine="480" w:firstLineChars="200"/>
        <w:rPr>
          <w:color w:val="auto"/>
          <w:highlight w:val="none"/>
        </w:rPr>
      </w:pPr>
      <w:r>
        <w:rPr>
          <w:rFonts w:hint="eastAsia"/>
          <w:color w:val="auto"/>
          <w:highlight w:val="none"/>
        </w:rPr>
        <w:t>尾闸室事故闸门主要技术参数：</w:t>
      </w:r>
    </w:p>
    <w:tbl>
      <w:tblPr>
        <w:tblStyle w:val="36"/>
        <w:tblW w:w="0" w:type="auto"/>
        <w:tblInd w:w="108" w:type="dxa"/>
        <w:tblLayout w:type="fixed"/>
        <w:tblCellMar>
          <w:top w:w="0" w:type="dxa"/>
          <w:left w:w="108" w:type="dxa"/>
          <w:bottom w:w="0" w:type="dxa"/>
          <w:right w:w="108" w:type="dxa"/>
        </w:tblCellMar>
      </w:tblPr>
      <w:tblGrid>
        <w:gridCol w:w="3676"/>
        <w:gridCol w:w="4846"/>
      </w:tblGrid>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孔口尺寸：</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4.5m×5.5m </w:t>
            </w:r>
            <w:r>
              <w:rPr>
                <w:rFonts w:hint="eastAsia" w:ascii="Times New Roman" w:hAnsi="Times New Roman"/>
                <w:color w:val="auto"/>
                <w:sz w:val="24"/>
                <w:highlight w:val="none"/>
              </w:rPr>
              <w:t>(宽×高)</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闸门型式：</w:t>
            </w:r>
          </w:p>
        </w:tc>
        <w:tc>
          <w:tcPr>
            <w:tcW w:w="4846" w:type="dxa"/>
          </w:tcPr>
          <w:p>
            <w:pPr>
              <w:adjustRightInd w:val="0"/>
              <w:snapToGrid w:val="0"/>
              <w:spacing w:line="480" w:lineRule="exact"/>
              <w:rPr>
                <w:rFonts w:ascii="Times New Roman" w:hAnsi="Times New Roman"/>
                <w:color w:val="auto"/>
                <w:sz w:val="24"/>
                <w:highlight w:val="none"/>
              </w:rPr>
            </w:pPr>
            <w:r>
              <w:rPr>
                <w:rFonts w:hint="eastAsia" w:ascii="Times New Roman" w:hAnsi="Times New Roman"/>
                <w:color w:val="auto"/>
                <w:sz w:val="24"/>
                <w:highlight w:val="none"/>
              </w:rPr>
              <w:t>潜孔、平面、滑动</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设计水头：</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pacing w:val="-4"/>
                <w:sz w:val="24"/>
                <w:highlight w:val="none"/>
              </w:rPr>
              <w:t>152.24</w:t>
            </w:r>
            <w:r>
              <w:rPr>
                <w:rFonts w:ascii="Times New Roman" w:hAnsi="Times New Roman"/>
                <w:color w:val="auto"/>
                <w:sz w:val="24"/>
                <w:highlight w:val="none"/>
              </w:rPr>
              <w:t>m</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支承型式：</w:t>
            </w:r>
          </w:p>
        </w:tc>
        <w:tc>
          <w:tcPr>
            <w:tcW w:w="4846" w:type="dxa"/>
          </w:tcPr>
          <w:p>
            <w:pPr>
              <w:adjustRightInd w:val="0"/>
              <w:snapToGrid w:val="0"/>
              <w:spacing w:line="480" w:lineRule="exact"/>
              <w:rPr>
                <w:rFonts w:ascii="Times New Roman" w:hAnsi="Times New Roman"/>
                <w:color w:val="auto"/>
                <w:sz w:val="24"/>
                <w:highlight w:val="none"/>
              </w:rPr>
            </w:pPr>
            <w:r>
              <w:rPr>
                <w:rFonts w:hint="eastAsia" w:ascii="Times New Roman" w:hAnsi="Times New Roman"/>
                <w:color w:val="auto"/>
                <w:sz w:val="24"/>
                <w:highlight w:val="none"/>
              </w:rPr>
              <w:t>钢基铜塑复合滑道</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孔口数量：</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4</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闸门数量：</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4</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操作条件：</w:t>
            </w:r>
          </w:p>
        </w:tc>
        <w:tc>
          <w:tcPr>
            <w:tcW w:w="4846" w:type="dxa"/>
          </w:tcPr>
          <w:p>
            <w:pPr>
              <w:adjustRightInd w:val="0"/>
              <w:snapToGrid w:val="0"/>
              <w:spacing w:line="480" w:lineRule="exact"/>
              <w:rPr>
                <w:rFonts w:ascii="Times New Roman" w:hAnsi="Times New Roman"/>
                <w:color w:val="auto"/>
                <w:sz w:val="24"/>
                <w:highlight w:val="none"/>
              </w:rPr>
            </w:pPr>
            <w:r>
              <w:rPr>
                <w:rFonts w:hint="eastAsia" w:ascii="Times New Roman" w:hAnsi="Times New Roman"/>
                <w:color w:val="auto"/>
                <w:sz w:val="24"/>
                <w:highlight w:val="none"/>
              </w:rPr>
              <w:t>动水闭门，静水启门</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启闭机型式：</w:t>
            </w:r>
          </w:p>
        </w:tc>
        <w:tc>
          <w:tcPr>
            <w:tcW w:w="4846" w:type="dxa"/>
          </w:tcPr>
          <w:p>
            <w:pPr>
              <w:adjustRightInd w:val="0"/>
              <w:snapToGrid w:val="0"/>
              <w:spacing w:line="480" w:lineRule="exact"/>
              <w:rPr>
                <w:rFonts w:ascii="Times New Roman" w:hAnsi="Times New Roman"/>
                <w:color w:val="auto"/>
                <w:sz w:val="24"/>
                <w:highlight w:val="none"/>
              </w:rPr>
            </w:pPr>
            <w:r>
              <w:rPr>
                <w:rFonts w:hint="eastAsia" w:ascii="Times New Roman" w:hAnsi="Times New Roman"/>
                <w:color w:val="auto"/>
                <w:sz w:val="24"/>
                <w:highlight w:val="none"/>
              </w:rPr>
              <w:t>液压启闭机</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启闭机容量：</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50</w:t>
            </w:r>
            <w:r>
              <w:rPr>
                <w:rFonts w:hint="eastAsia" w:ascii="Times New Roman" w:hAnsi="Times New Roman"/>
                <w:color w:val="auto"/>
                <w:sz w:val="24"/>
                <w:highlight w:val="none"/>
              </w:rPr>
              <w:t>00kN/1600kN(持住力/启门力)</w:t>
            </w:r>
          </w:p>
        </w:tc>
      </w:tr>
    </w:tbl>
    <w:p>
      <w:pPr>
        <w:pStyle w:val="132"/>
        <w:rPr>
          <w:color w:val="auto"/>
          <w:highlight w:val="none"/>
        </w:rPr>
      </w:pPr>
      <w:bookmarkStart w:id="355" w:name="_Toc27981"/>
      <w:r>
        <w:rPr>
          <w:color w:val="auto"/>
          <w:highlight w:val="none"/>
        </w:rPr>
        <w:t>14.2.3</w:t>
      </w:r>
      <w:r>
        <w:rPr>
          <w:rFonts w:hint="eastAsia"/>
          <w:color w:val="auto"/>
          <w:highlight w:val="none"/>
        </w:rPr>
        <w:t>尾闸室事故闸门启闭机</w:t>
      </w:r>
      <w:bookmarkEnd w:id="355"/>
    </w:p>
    <w:p>
      <w:pPr>
        <w:pStyle w:val="111"/>
        <w:adjustRightInd w:val="0"/>
        <w:snapToGrid w:val="0"/>
        <w:spacing w:line="480" w:lineRule="exact"/>
        <w:ind w:firstLine="480" w:firstLineChars="200"/>
        <w:rPr>
          <w:color w:val="auto"/>
          <w:highlight w:val="none"/>
        </w:rPr>
      </w:pPr>
      <w:r>
        <w:rPr>
          <w:rFonts w:hint="eastAsia"/>
          <w:color w:val="auto"/>
          <w:highlight w:val="none"/>
        </w:rPr>
        <w:t>每扇尾闸室事故闸门各设置1套启闭机，共4套，启闭机型式选用液压启闭机，单吊点，油缸缸体的下端坐落在高程</w:t>
      </w:r>
      <w:r>
        <w:rPr>
          <w:color w:val="auto"/>
          <w:highlight w:val="none"/>
        </w:rPr>
        <w:t>517.570</w:t>
      </w:r>
      <w:r>
        <w:rPr>
          <w:rFonts w:hint="eastAsia"/>
          <w:color w:val="auto"/>
          <w:highlight w:val="none"/>
        </w:rPr>
        <w:t>m的门槽顶部盖板的机座上，活塞杆下端与闸门吊耳连接，启闭机容量为5</w:t>
      </w:r>
      <w:r>
        <w:rPr>
          <w:color w:val="auto"/>
          <w:highlight w:val="none"/>
        </w:rPr>
        <w:t>0</w:t>
      </w:r>
      <w:r>
        <w:rPr>
          <w:rFonts w:hint="eastAsia"/>
          <w:color w:val="auto"/>
          <w:highlight w:val="none"/>
        </w:rPr>
        <w:t>00kN/1600kN(持住力/启门力)，启门速度约0.5m/min，闭门时间约3min，工作行程6.5m。4台启闭机共设4个液压泵站，每台泵站应配置两台相同的油泵及电动机，一台为工作泵，一台为备用泵。当工作泵发生故障时，备用泵应能立即投入运行。泵站安装在高程</w:t>
      </w:r>
      <w:r>
        <w:rPr>
          <w:color w:val="auto"/>
          <w:highlight w:val="none"/>
        </w:rPr>
        <w:t>516.000</w:t>
      </w:r>
      <w:r>
        <w:rPr>
          <w:rFonts w:hint="eastAsia"/>
          <w:color w:val="auto"/>
          <w:highlight w:val="none"/>
        </w:rPr>
        <w:t>m的液压启闭机机房内。</w:t>
      </w:r>
    </w:p>
    <w:p>
      <w:pPr>
        <w:pStyle w:val="111"/>
        <w:adjustRightInd w:val="0"/>
        <w:snapToGrid w:val="0"/>
        <w:spacing w:line="480" w:lineRule="exact"/>
        <w:ind w:firstLine="480" w:firstLineChars="200"/>
        <w:rPr>
          <w:color w:val="auto"/>
          <w:highlight w:val="none"/>
        </w:rPr>
      </w:pPr>
      <w:r>
        <w:rPr>
          <w:rFonts w:hint="eastAsia"/>
          <w:color w:val="auto"/>
          <w:highlight w:val="none"/>
        </w:rPr>
        <w:t>液压启闭机可实现闸门现地启闭操作和中控室远程闭门操作。启闭机动力保证措施为两回厂用交流电源和一回厂用直流电源供电方式。</w:t>
      </w:r>
    </w:p>
    <w:tbl>
      <w:tblPr>
        <w:tblStyle w:val="36"/>
        <w:tblW w:w="0" w:type="auto"/>
        <w:tblInd w:w="108" w:type="dxa"/>
        <w:tblLayout w:type="fixed"/>
        <w:tblCellMar>
          <w:top w:w="0" w:type="dxa"/>
          <w:left w:w="108" w:type="dxa"/>
          <w:bottom w:w="0" w:type="dxa"/>
          <w:right w:w="108" w:type="dxa"/>
        </w:tblCellMar>
      </w:tblPr>
      <w:tblGrid>
        <w:gridCol w:w="3676"/>
        <w:gridCol w:w="4846"/>
      </w:tblGrid>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启闭机型式：</w:t>
            </w:r>
          </w:p>
        </w:tc>
        <w:tc>
          <w:tcPr>
            <w:tcW w:w="4846" w:type="dxa"/>
          </w:tcPr>
          <w:p>
            <w:pPr>
              <w:adjustRightInd w:val="0"/>
              <w:snapToGrid w:val="0"/>
              <w:spacing w:line="480" w:lineRule="exact"/>
              <w:rPr>
                <w:rFonts w:ascii="Times New Roman" w:hAnsi="Times New Roman"/>
                <w:color w:val="auto"/>
                <w:sz w:val="24"/>
                <w:highlight w:val="none"/>
              </w:rPr>
            </w:pPr>
            <w:r>
              <w:rPr>
                <w:rFonts w:hint="eastAsia" w:ascii="Times New Roman" w:hAnsi="Times New Roman"/>
                <w:color w:val="auto"/>
                <w:sz w:val="24"/>
                <w:highlight w:val="none"/>
              </w:rPr>
              <w:t>液压启闭机</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容</w:t>
            </w:r>
            <w:r>
              <w:rPr>
                <w:rFonts w:ascii="Times New Roman" w:hAnsi="Times New Roman"/>
                <w:color w:val="auto"/>
                <w:sz w:val="24"/>
                <w:highlight w:val="none"/>
              </w:rPr>
              <w:t xml:space="preserve">    </w:t>
            </w:r>
            <w:r>
              <w:rPr>
                <w:rFonts w:hint="eastAsia" w:ascii="Times New Roman" w:hAnsi="Times New Roman"/>
                <w:color w:val="auto"/>
                <w:sz w:val="24"/>
                <w:highlight w:val="none"/>
              </w:rPr>
              <w:t>量：</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50</w:t>
            </w:r>
            <w:r>
              <w:rPr>
                <w:rFonts w:hint="eastAsia" w:ascii="Times New Roman" w:hAnsi="Times New Roman"/>
                <w:color w:val="auto"/>
                <w:sz w:val="24"/>
                <w:highlight w:val="none"/>
              </w:rPr>
              <w:t>00kN/1600kN(持住力/启门力)</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工作行程：</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6.5m</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启门速度：</w:t>
            </w:r>
          </w:p>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闭门时间：</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0.5m/min</w:t>
            </w:r>
          </w:p>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3min</w:t>
            </w:r>
          </w:p>
        </w:tc>
      </w:tr>
      <w:tr>
        <w:tblPrEx>
          <w:tblCellMar>
            <w:top w:w="0" w:type="dxa"/>
            <w:left w:w="108" w:type="dxa"/>
            <w:bottom w:w="0" w:type="dxa"/>
            <w:right w:w="108" w:type="dxa"/>
          </w:tblCellMar>
        </w:tblPrEx>
        <w:tc>
          <w:tcPr>
            <w:tcW w:w="3676" w:type="dxa"/>
          </w:tcPr>
          <w:p>
            <w:pPr>
              <w:adjustRightInd w:val="0"/>
              <w:snapToGrid w:val="0"/>
              <w:spacing w:line="48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数</w:t>
            </w:r>
            <w:r>
              <w:rPr>
                <w:rFonts w:ascii="Times New Roman" w:hAnsi="Times New Roman"/>
                <w:color w:val="auto"/>
                <w:sz w:val="24"/>
                <w:highlight w:val="none"/>
              </w:rPr>
              <w:t xml:space="preserve">    </w:t>
            </w:r>
            <w:r>
              <w:rPr>
                <w:rFonts w:hint="eastAsia" w:ascii="Times New Roman" w:hAnsi="Times New Roman"/>
                <w:color w:val="auto"/>
                <w:sz w:val="24"/>
                <w:highlight w:val="none"/>
              </w:rPr>
              <w:t>量：</w:t>
            </w:r>
          </w:p>
        </w:tc>
        <w:tc>
          <w:tcPr>
            <w:tcW w:w="4846" w:type="dxa"/>
          </w:tcPr>
          <w:p>
            <w:pPr>
              <w:adjustRightInd w:val="0"/>
              <w:snapToGrid w:val="0"/>
              <w:spacing w:line="480" w:lineRule="exact"/>
              <w:rPr>
                <w:rFonts w:ascii="Times New Roman" w:hAnsi="Times New Roman"/>
                <w:color w:val="auto"/>
                <w:sz w:val="24"/>
                <w:highlight w:val="none"/>
              </w:rPr>
            </w:pPr>
            <w:r>
              <w:rPr>
                <w:rFonts w:ascii="Times New Roman" w:hAnsi="Times New Roman"/>
                <w:color w:val="auto"/>
                <w:sz w:val="24"/>
                <w:highlight w:val="none"/>
              </w:rPr>
              <w:t>4</w:t>
            </w:r>
          </w:p>
        </w:tc>
      </w:tr>
    </w:tbl>
    <w:p>
      <w:pPr>
        <w:pStyle w:val="132"/>
        <w:rPr>
          <w:color w:val="auto"/>
          <w:highlight w:val="none"/>
        </w:rPr>
      </w:pPr>
      <w:bookmarkStart w:id="356" w:name="_Toc127299816"/>
      <w:bookmarkStart w:id="357" w:name="_Toc888"/>
      <w:bookmarkStart w:id="358" w:name="_Toc127395747"/>
      <w:bookmarkStart w:id="359" w:name="_Toc6636"/>
      <w:bookmarkStart w:id="360" w:name="_Toc17989"/>
      <w:bookmarkStart w:id="361" w:name="_Toc116928292"/>
      <w:r>
        <w:rPr>
          <w:color w:val="auto"/>
          <w:highlight w:val="none"/>
        </w:rPr>
        <w:t>14.2.4</w:t>
      </w:r>
      <w:r>
        <w:rPr>
          <w:rFonts w:hint="eastAsia"/>
          <w:color w:val="auto"/>
          <w:highlight w:val="none"/>
        </w:rPr>
        <w:t>尾闸室</w:t>
      </w:r>
      <w:r>
        <w:rPr>
          <w:rFonts w:hint="eastAsia" w:eastAsia="宋体"/>
          <w:color w:val="auto"/>
          <w:kern w:val="2"/>
          <w:highlight w:val="none"/>
          <w:lang w:val="en-US"/>
        </w:rPr>
        <w:t>630/50kN</w:t>
      </w:r>
      <w:r>
        <w:rPr>
          <w:rFonts w:hint="eastAsia"/>
          <w:color w:val="auto"/>
          <w:highlight w:val="none"/>
        </w:rPr>
        <w:t>桥机</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桥机装设于尾水闸门室内高程530.8m平台上。该桥机主要用于4台尾水闸门室事故闸门、事故闸门门槽、事故闸门液压启闭机以及附属设备的安装及检修。</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630/50kN桥机大车沿垂直于上/下游方向的轨道行走，其轨距7.2m；起升机构和1台50kN移动式电动葫芦布置在小车上，小车沿上/下游方向走行。桥机布置要求应与附图相符。</w:t>
      </w:r>
      <w:bookmarkEnd w:id="356"/>
      <w:bookmarkEnd w:id="357"/>
      <w:bookmarkEnd w:id="358"/>
      <w:bookmarkEnd w:id="359"/>
      <w:bookmarkEnd w:id="360"/>
      <w:bookmarkEnd w:id="361"/>
    </w:p>
    <w:p>
      <w:pPr>
        <w:adjustRightInd w:val="0"/>
        <w:snapToGrid w:val="0"/>
        <w:spacing w:line="460" w:lineRule="exact"/>
        <w:ind w:firstLine="480" w:firstLineChars="200"/>
        <w:rPr>
          <w:color w:val="auto"/>
          <w:sz w:val="24"/>
          <w:highlight w:val="none"/>
        </w:rPr>
      </w:pPr>
      <w:r>
        <w:rPr>
          <w:color w:val="auto"/>
          <w:sz w:val="24"/>
          <w:highlight w:val="none"/>
        </w:rPr>
        <w:t xml:space="preserve">跨度：            </w:t>
      </w:r>
      <w:r>
        <w:rPr>
          <w:rFonts w:hint="eastAsia"/>
          <w:color w:val="auto"/>
          <w:sz w:val="24"/>
          <w:highlight w:val="none"/>
        </w:rPr>
        <w:t xml:space="preserve"> </w:t>
      </w:r>
      <w:r>
        <w:rPr>
          <w:color w:val="auto"/>
          <w:sz w:val="24"/>
          <w:highlight w:val="none"/>
        </w:rPr>
        <w:t xml:space="preserve">  7</w:t>
      </w:r>
      <w:r>
        <w:rPr>
          <w:rFonts w:hint="eastAsia"/>
          <w:color w:val="auto"/>
          <w:sz w:val="24"/>
          <w:highlight w:val="none"/>
        </w:rPr>
        <w:t>.2</w:t>
      </w:r>
      <w:r>
        <w:rPr>
          <w:color w:val="auto"/>
          <w:sz w:val="24"/>
          <w:highlight w:val="none"/>
        </w:rPr>
        <w:t>m</w:t>
      </w:r>
    </w:p>
    <w:p>
      <w:pPr>
        <w:adjustRightInd w:val="0"/>
        <w:snapToGrid w:val="0"/>
        <w:spacing w:line="460" w:lineRule="exact"/>
        <w:ind w:firstLine="480" w:firstLineChars="200"/>
        <w:rPr>
          <w:color w:val="auto"/>
          <w:sz w:val="24"/>
          <w:highlight w:val="none"/>
        </w:rPr>
      </w:pPr>
      <w:r>
        <w:rPr>
          <w:rFonts w:hint="eastAsia"/>
          <w:color w:val="auto"/>
          <w:sz w:val="24"/>
          <w:highlight w:val="none"/>
        </w:rPr>
        <w:t>大车轨道</w:t>
      </w:r>
      <w:r>
        <w:rPr>
          <w:rFonts w:hint="eastAsia"/>
          <w:color w:val="auto"/>
          <w:sz w:val="24"/>
          <w:highlight w:val="none"/>
        </w:rPr>
        <w:tab/>
      </w:r>
      <w:r>
        <w:rPr>
          <w:color w:val="auto"/>
          <w:sz w:val="24"/>
          <w:highlight w:val="none"/>
        </w:rPr>
        <w:t xml:space="preserve">           </w:t>
      </w:r>
      <w:r>
        <w:rPr>
          <w:rFonts w:hint="eastAsia"/>
          <w:color w:val="auto"/>
          <w:sz w:val="24"/>
          <w:highlight w:val="none"/>
        </w:rPr>
        <w:t>QU80</w:t>
      </w:r>
    </w:p>
    <w:p>
      <w:pPr>
        <w:adjustRightInd w:val="0"/>
        <w:snapToGrid w:val="0"/>
        <w:spacing w:line="460" w:lineRule="exact"/>
        <w:ind w:firstLine="480" w:firstLineChars="200"/>
        <w:rPr>
          <w:color w:val="auto"/>
          <w:sz w:val="24"/>
          <w:highlight w:val="none"/>
        </w:rPr>
      </w:pP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  </w:t>
      </w:r>
      <w:r>
        <w:rPr>
          <w:color w:val="auto"/>
          <w:sz w:val="24"/>
          <w:highlight w:val="none"/>
        </w:rPr>
        <w:t>主钩</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 </w:t>
      </w:r>
      <w:r>
        <w:rPr>
          <w:color w:val="auto"/>
          <w:sz w:val="24"/>
          <w:highlight w:val="none"/>
        </w:rPr>
        <w:t>电动葫芦</w:t>
      </w:r>
    </w:p>
    <w:p>
      <w:pPr>
        <w:adjustRightInd w:val="0"/>
        <w:snapToGrid w:val="0"/>
        <w:spacing w:line="460" w:lineRule="exact"/>
        <w:ind w:firstLine="480" w:firstLineChars="200"/>
        <w:rPr>
          <w:color w:val="auto"/>
          <w:sz w:val="24"/>
          <w:highlight w:val="none"/>
        </w:rPr>
      </w:pPr>
      <w:r>
        <w:rPr>
          <w:color w:val="auto"/>
          <w:sz w:val="24"/>
          <w:highlight w:val="none"/>
        </w:rPr>
        <w:t xml:space="preserve">最大起升高度：      </w:t>
      </w:r>
      <w:r>
        <w:rPr>
          <w:rFonts w:hint="eastAsia"/>
          <w:color w:val="auto"/>
          <w:sz w:val="24"/>
          <w:highlight w:val="none"/>
        </w:rPr>
        <w:t xml:space="preserve"> </w:t>
      </w:r>
      <w:r>
        <w:rPr>
          <w:color w:val="auto"/>
          <w:sz w:val="24"/>
          <w:highlight w:val="none"/>
        </w:rPr>
        <w:t>28m</w:t>
      </w:r>
      <w:r>
        <w:rPr>
          <w:color w:val="auto"/>
          <w:sz w:val="24"/>
          <w:highlight w:val="none"/>
        </w:rPr>
        <w:tab/>
      </w:r>
      <w:r>
        <w:rPr>
          <w:color w:val="auto"/>
          <w:sz w:val="24"/>
          <w:highlight w:val="none"/>
        </w:rPr>
        <w:tab/>
      </w:r>
      <w:r>
        <w:rPr>
          <w:color w:val="auto"/>
          <w:sz w:val="24"/>
          <w:highlight w:val="none"/>
        </w:rPr>
        <w:t xml:space="preserve">  </w:t>
      </w:r>
      <w:r>
        <w:rPr>
          <w:color w:val="auto"/>
          <w:sz w:val="24"/>
          <w:highlight w:val="none"/>
        </w:rPr>
        <w:tab/>
      </w:r>
      <w:r>
        <w:rPr>
          <w:color w:val="auto"/>
          <w:sz w:val="24"/>
          <w:highlight w:val="none"/>
        </w:rPr>
        <w:t xml:space="preserve">             </w:t>
      </w:r>
      <w:r>
        <w:rPr>
          <w:color w:val="auto"/>
          <w:sz w:val="24"/>
          <w:highlight w:val="none"/>
        </w:rPr>
        <w:tab/>
      </w:r>
      <w:r>
        <w:rPr>
          <w:color w:val="auto"/>
          <w:sz w:val="24"/>
          <w:highlight w:val="none"/>
        </w:rPr>
        <w:t>18m</w:t>
      </w:r>
    </w:p>
    <w:p>
      <w:pPr>
        <w:adjustRightInd w:val="0"/>
        <w:snapToGrid w:val="0"/>
        <w:spacing w:line="460" w:lineRule="exact"/>
        <w:ind w:firstLine="480" w:firstLineChars="200"/>
        <w:rPr>
          <w:color w:val="auto"/>
          <w:sz w:val="24"/>
          <w:highlight w:val="none"/>
        </w:rPr>
      </w:pPr>
      <w:r>
        <w:rPr>
          <w:color w:val="auto"/>
          <w:sz w:val="24"/>
          <w:highlight w:val="none"/>
        </w:rPr>
        <w:t xml:space="preserve">起升荷载     </w:t>
      </w:r>
      <w:r>
        <w:rPr>
          <w:color w:val="auto"/>
          <w:sz w:val="24"/>
          <w:highlight w:val="none"/>
        </w:rPr>
        <w:tab/>
      </w:r>
      <w:r>
        <w:rPr>
          <w:color w:val="auto"/>
          <w:sz w:val="24"/>
          <w:highlight w:val="none"/>
        </w:rPr>
        <w:tab/>
      </w:r>
      <w:r>
        <w:rPr>
          <w:color w:val="auto"/>
          <w:sz w:val="24"/>
          <w:highlight w:val="none"/>
        </w:rPr>
        <w:tab/>
      </w:r>
      <w:r>
        <w:rPr>
          <w:color w:val="auto"/>
          <w:sz w:val="24"/>
          <w:highlight w:val="none"/>
        </w:rPr>
        <w:t>630</w:t>
      </w:r>
      <w:r>
        <w:rPr>
          <w:rFonts w:hint="eastAsia"/>
          <w:color w:val="auto"/>
          <w:sz w:val="24"/>
          <w:highlight w:val="none"/>
        </w:rPr>
        <w:t>kN</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50</w:t>
      </w:r>
      <w:r>
        <w:rPr>
          <w:rFonts w:hint="eastAsia"/>
          <w:color w:val="auto"/>
          <w:sz w:val="24"/>
          <w:highlight w:val="none"/>
        </w:rPr>
        <w:t>k</w:t>
      </w:r>
      <w:r>
        <w:rPr>
          <w:color w:val="auto"/>
          <w:sz w:val="24"/>
          <w:highlight w:val="none"/>
        </w:rPr>
        <w:t>N</w:t>
      </w:r>
    </w:p>
    <w:p>
      <w:pPr>
        <w:adjustRightInd w:val="0"/>
        <w:snapToGrid w:val="0"/>
        <w:spacing w:line="460" w:lineRule="exact"/>
        <w:ind w:firstLine="480" w:firstLineChars="200"/>
        <w:rPr>
          <w:color w:val="auto"/>
          <w:sz w:val="24"/>
          <w:highlight w:val="none"/>
        </w:rPr>
      </w:pPr>
      <w:r>
        <w:rPr>
          <w:color w:val="auto"/>
          <w:sz w:val="24"/>
          <w:highlight w:val="none"/>
        </w:rPr>
        <w:t>起升速度</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0.</w:t>
      </w:r>
      <w:r>
        <w:rPr>
          <w:rFonts w:hint="eastAsia"/>
          <w:color w:val="auto"/>
          <w:sz w:val="24"/>
          <w:highlight w:val="none"/>
        </w:rPr>
        <w:t>2</w:t>
      </w:r>
      <w:r>
        <w:rPr>
          <w:color w:val="auto"/>
          <w:sz w:val="24"/>
          <w:highlight w:val="none"/>
        </w:rPr>
        <w:t>～</w:t>
      </w:r>
      <w:r>
        <w:rPr>
          <w:rFonts w:hint="eastAsia"/>
          <w:color w:val="auto"/>
          <w:sz w:val="24"/>
          <w:highlight w:val="none"/>
        </w:rPr>
        <w:t>2</w:t>
      </w:r>
      <w:r>
        <w:rPr>
          <w:color w:val="auto"/>
          <w:sz w:val="24"/>
          <w:highlight w:val="none"/>
        </w:rPr>
        <w:t>.0m/min(</w:t>
      </w:r>
      <w:r>
        <w:rPr>
          <w:rFonts w:hint="eastAsia"/>
          <w:color w:val="auto"/>
          <w:sz w:val="24"/>
          <w:highlight w:val="none"/>
        </w:rPr>
        <w:t>可</w:t>
      </w:r>
      <w:r>
        <w:rPr>
          <w:color w:val="auto"/>
          <w:sz w:val="24"/>
          <w:highlight w:val="none"/>
        </w:rPr>
        <w:t>调)</w:t>
      </w:r>
      <w:r>
        <w:rPr>
          <w:color w:val="auto"/>
          <w:sz w:val="24"/>
          <w:highlight w:val="none"/>
        </w:rPr>
        <w:tab/>
      </w:r>
      <w:r>
        <w:rPr>
          <w:color w:val="auto"/>
          <w:sz w:val="24"/>
          <w:highlight w:val="none"/>
        </w:rPr>
        <w:t xml:space="preserve">     </w:t>
      </w:r>
      <w:r>
        <w:rPr>
          <w:color w:val="auto"/>
          <w:sz w:val="24"/>
          <w:highlight w:val="none"/>
        </w:rPr>
        <w:tab/>
      </w:r>
      <w:r>
        <w:rPr>
          <w:color w:val="auto"/>
          <w:sz w:val="24"/>
          <w:highlight w:val="none"/>
        </w:rPr>
        <w:t>8m/min</w:t>
      </w:r>
    </w:p>
    <w:p>
      <w:pPr>
        <w:adjustRightInd w:val="0"/>
        <w:snapToGrid w:val="0"/>
        <w:spacing w:line="460" w:lineRule="exact"/>
        <w:ind w:firstLine="480" w:firstLineChars="200"/>
        <w:rPr>
          <w:color w:val="auto"/>
          <w:sz w:val="24"/>
          <w:highlight w:val="none"/>
        </w:rPr>
      </w:pPr>
      <w:r>
        <w:rPr>
          <w:color w:val="auto"/>
          <w:sz w:val="24"/>
          <w:highlight w:val="none"/>
        </w:rPr>
        <w:t>小车行走速度：</w:t>
      </w:r>
      <w:r>
        <w:rPr>
          <w:color w:val="auto"/>
          <w:sz w:val="24"/>
          <w:highlight w:val="none"/>
        </w:rPr>
        <w:tab/>
      </w:r>
      <w:r>
        <w:rPr>
          <w:color w:val="auto"/>
          <w:sz w:val="24"/>
          <w:highlight w:val="none"/>
        </w:rPr>
        <w:tab/>
      </w:r>
      <w:r>
        <w:rPr>
          <w:color w:val="auto"/>
          <w:sz w:val="24"/>
          <w:highlight w:val="none"/>
        </w:rPr>
        <w:t>0.</w:t>
      </w:r>
      <w:r>
        <w:rPr>
          <w:rFonts w:hint="eastAsia"/>
          <w:color w:val="auto"/>
          <w:sz w:val="24"/>
          <w:highlight w:val="none"/>
        </w:rPr>
        <w:t>2</w:t>
      </w:r>
      <w:r>
        <w:rPr>
          <w:color w:val="auto"/>
          <w:sz w:val="24"/>
          <w:highlight w:val="none"/>
        </w:rPr>
        <w:t>～</w:t>
      </w:r>
      <w:r>
        <w:rPr>
          <w:rFonts w:hint="eastAsia"/>
          <w:color w:val="auto"/>
          <w:sz w:val="24"/>
          <w:highlight w:val="none"/>
        </w:rPr>
        <w:t>2</w:t>
      </w:r>
      <w:r>
        <w:rPr>
          <w:color w:val="auto"/>
          <w:sz w:val="24"/>
          <w:highlight w:val="none"/>
        </w:rPr>
        <w:t>.0m/min(</w:t>
      </w:r>
      <w:r>
        <w:rPr>
          <w:rFonts w:hint="eastAsia"/>
          <w:color w:val="auto"/>
          <w:sz w:val="24"/>
          <w:highlight w:val="none"/>
        </w:rPr>
        <w:t>可</w:t>
      </w:r>
      <w:r>
        <w:rPr>
          <w:color w:val="auto"/>
          <w:sz w:val="24"/>
          <w:highlight w:val="none"/>
        </w:rPr>
        <w:t>调)</w:t>
      </w:r>
      <w:r>
        <w:rPr>
          <w:color w:val="auto"/>
          <w:sz w:val="24"/>
          <w:highlight w:val="none"/>
        </w:rPr>
        <w:tab/>
      </w:r>
    </w:p>
    <w:p>
      <w:pPr>
        <w:adjustRightInd w:val="0"/>
        <w:snapToGrid w:val="0"/>
        <w:spacing w:line="460" w:lineRule="exact"/>
        <w:ind w:firstLine="240" w:firstLineChars="100"/>
        <w:rPr>
          <w:color w:val="auto"/>
          <w:sz w:val="24"/>
          <w:highlight w:val="none"/>
        </w:rPr>
      </w:pPr>
      <w:r>
        <w:rPr>
          <w:color w:val="auto"/>
          <w:sz w:val="24"/>
          <w:highlight w:val="none"/>
        </w:rPr>
        <w:t xml:space="preserve">  大车行走速度</w:t>
      </w:r>
      <w:r>
        <w:rPr>
          <w:color w:val="auto"/>
          <w:sz w:val="24"/>
          <w:highlight w:val="none"/>
        </w:rPr>
        <w:tab/>
      </w:r>
      <w:r>
        <w:rPr>
          <w:color w:val="auto"/>
          <w:sz w:val="24"/>
          <w:highlight w:val="none"/>
        </w:rPr>
        <w:t xml:space="preserve">       2～20m/min(</w:t>
      </w:r>
      <w:r>
        <w:rPr>
          <w:rFonts w:hint="eastAsia"/>
          <w:color w:val="auto"/>
          <w:sz w:val="24"/>
          <w:highlight w:val="none"/>
        </w:rPr>
        <w:t>可</w:t>
      </w:r>
      <w:r>
        <w:rPr>
          <w:color w:val="auto"/>
          <w:sz w:val="24"/>
          <w:highlight w:val="none"/>
        </w:rPr>
        <w:t>调)</w:t>
      </w:r>
      <w:r>
        <w:rPr>
          <w:color w:val="auto"/>
          <w:sz w:val="24"/>
          <w:highlight w:val="none"/>
        </w:rPr>
        <w:tab/>
      </w:r>
      <w:r>
        <w:rPr>
          <w:color w:val="auto"/>
          <w:sz w:val="24"/>
          <w:highlight w:val="none"/>
        </w:rPr>
        <w:t xml:space="preserve">       </w:t>
      </w:r>
      <w:r>
        <w:rPr>
          <w:color w:val="auto"/>
          <w:sz w:val="24"/>
          <w:highlight w:val="none"/>
        </w:rPr>
        <w:tab/>
      </w:r>
      <w:r>
        <w:rPr>
          <w:color w:val="auto"/>
          <w:sz w:val="24"/>
          <w:highlight w:val="none"/>
        </w:rPr>
        <w:t>20m/min</w:t>
      </w:r>
    </w:p>
    <w:p>
      <w:pPr>
        <w:rPr>
          <w:rFonts w:ascii="Times New Roman" w:hAnsi="Times New Roman" w:cs="Times New Roman"/>
          <w:color w:val="auto"/>
          <w:sz w:val="24"/>
          <w:szCs w:val="24"/>
          <w:highlight w:val="none"/>
        </w:rPr>
      </w:pPr>
    </w:p>
    <w:p>
      <w:pPr>
        <w:pStyle w:val="50"/>
        <w:rPr>
          <w:color w:val="auto"/>
          <w:highlight w:val="none"/>
        </w:rPr>
      </w:pPr>
      <w:bookmarkStart w:id="362" w:name="_Toc127395749"/>
      <w:bookmarkEnd w:id="362"/>
      <w:bookmarkStart w:id="363" w:name="_Toc114042634"/>
      <w:bookmarkEnd w:id="363"/>
      <w:bookmarkStart w:id="364" w:name="_Toc13278"/>
      <w:bookmarkEnd w:id="364"/>
      <w:bookmarkStart w:id="365" w:name="_Toc23223"/>
      <w:r>
        <w:rPr>
          <w:rFonts w:hint="eastAsia"/>
          <w:color w:val="auto"/>
          <w:highlight w:val="none"/>
        </w:rPr>
        <w:t>第15</w:t>
      </w:r>
      <w:bookmarkEnd w:id="365"/>
      <w:r>
        <w:rPr>
          <w:rFonts w:hint="eastAsia"/>
          <w:color w:val="auto"/>
          <w:highlight w:val="none"/>
        </w:rPr>
        <w:t>章  通风空调系统</w:t>
      </w:r>
    </w:p>
    <w:p>
      <w:pPr>
        <w:pStyle w:val="62"/>
        <w:rPr>
          <w:color w:val="auto"/>
          <w:highlight w:val="none"/>
        </w:rPr>
      </w:pPr>
      <w:bookmarkStart w:id="366" w:name="_Toc23279"/>
      <w:bookmarkEnd w:id="366"/>
      <w:bookmarkStart w:id="367" w:name="_Toc20981"/>
      <w:r>
        <w:rPr>
          <w:color w:val="auto"/>
          <w:highlight w:val="none"/>
        </w:rPr>
        <w:t xml:space="preserve">15.1  </w:t>
      </w:r>
      <w:bookmarkEnd w:id="367"/>
      <w:r>
        <w:rPr>
          <w:color w:val="auto"/>
          <w:highlight w:val="none"/>
        </w:rPr>
        <w:t>概述</w:t>
      </w:r>
    </w:p>
    <w:p>
      <w:pPr>
        <w:spacing w:line="480" w:lineRule="exact"/>
        <w:ind w:firstLine="424" w:firstLineChars="177"/>
        <w:rPr>
          <w:color w:val="auto"/>
          <w:highlight w:val="none"/>
        </w:rPr>
      </w:pPr>
      <w:r>
        <w:rPr>
          <w:rFonts w:ascii="宋体" w:hAnsi="宋体" w:cs="宋体"/>
          <w:color w:val="auto"/>
          <w:sz w:val="24"/>
          <w:highlight w:val="none"/>
        </w:rPr>
        <w:t>本电站地下厂房拟定由交通洞及通风洞两端进风，主要通风系统有</w:t>
      </w:r>
      <w:r>
        <w:rPr>
          <w:rFonts w:eastAsia="Calibri" w:cs="Calibri"/>
          <w:color w:val="auto"/>
          <w:sz w:val="24"/>
          <w:highlight w:val="none"/>
        </w:rPr>
        <w:t>4</w:t>
      </w:r>
      <w:r>
        <w:rPr>
          <w:rFonts w:ascii="宋体" w:hAnsi="宋体" w:cs="宋体"/>
          <w:color w:val="auto"/>
          <w:sz w:val="24"/>
          <w:highlight w:val="none"/>
        </w:rPr>
        <w:t>个，一是主厂房通风系统：主厂房通风系统可分为两部分，一路从通风兼安全洞自然进风，风量经布置在副厂房顶层的空气处理机组热湿处理后，由布置在发电机层拱顶的送风管下送至发电机层大空间，吸收发电机层热量后进入母线层，汇入母线洞；另一路从进厂交通洞自然进风，风量经布置在蜗壳层端部的空气处理机组热湿处理后，采用风管送风的方式，将风量分别送至母线层、水轮机层及蜗壳层；各层通风换气后，汇入母线洞；主厂房通风空调系统回风运行时，母线洞排风系统停运，启动母线洞水冷单元空调系统；二是主变洞通风系统：新风从交通洞直接引到主变搬运道，经主变室及其他功能房间使用后排风至主变洞拱顶，再经主变总排风机排至厂外；三是尾闸室通风系统：新风从交通洞直接引到尾水闸门廊道使用后排至厂外；四是地下副厂房通风系统：新风从通风兼安全洞取风，通过设在副厂房上游的送风竖井送到各层，通过设在副厂房下游的竖井排风至厂外。主厂房采用集中式空调系统，主副厂房采用半集中式空调系统，皆可回风运行，主变洞和尾水闸门廊道以机械通风为主，在</w:t>
      </w:r>
      <w:r>
        <w:rPr>
          <w:rFonts w:eastAsia="Calibri" w:cs="Calibri"/>
          <w:color w:val="auto"/>
          <w:sz w:val="24"/>
          <w:highlight w:val="none"/>
        </w:rPr>
        <w:t>SFC</w:t>
      </w:r>
      <w:r>
        <w:rPr>
          <w:rFonts w:ascii="宋体" w:hAnsi="宋体" w:cs="宋体"/>
          <w:color w:val="auto"/>
          <w:sz w:val="24"/>
          <w:highlight w:val="none"/>
        </w:rPr>
        <w:t>输入输出变室等局部房间设单元空调。</w:t>
      </w:r>
    </w:p>
    <w:p>
      <w:pPr>
        <w:spacing w:line="480" w:lineRule="exact"/>
        <w:ind w:firstLine="424" w:firstLineChars="177"/>
        <w:rPr>
          <w:color w:val="auto"/>
          <w:highlight w:val="none"/>
        </w:rPr>
      </w:pPr>
      <w:r>
        <w:rPr>
          <w:rFonts w:ascii="宋体" w:hAnsi="宋体" w:cs="宋体"/>
          <w:color w:val="auto"/>
          <w:sz w:val="24"/>
          <w:highlight w:val="none"/>
        </w:rPr>
        <w:t>地面</w:t>
      </w:r>
      <w:r>
        <w:rPr>
          <w:rFonts w:eastAsia="Calibri" w:cs="Calibri"/>
          <w:color w:val="auto"/>
          <w:sz w:val="24"/>
          <w:highlight w:val="none"/>
        </w:rPr>
        <w:t>GIS</w:t>
      </w:r>
      <w:r>
        <w:rPr>
          <w:rFonts w:ascii="宋体" w:hAnsi="宋体" w:cs="宋体"/>
          <w:color w:val="auto"/>
          <w:sz w:val="24"/>
          <w:highlight w:val="none"/>
        </w:rPr>
        <w:t>室及电缆室，采用自然进风机械排风的通风方式。</w:t>
      </w:r>
    </w:p>
    <w:p>
      <w:pPr>
        <w:spacing w:line="480" w:lineRule="exact"/>
        <w:ind w:firstLine="424" w:firstLineChars="177"/>
        <w:rPr>
          <w:color w:val="auto"/>
          <w:highlight w:val="none"/>
        </w:rPr>
      </w:pPr>
      <w:r>
        <w:rPr>
          <w:rFonts w:ascii="宋体" w:hAnsi="宋体" w:cs="宋体"/>
          <w:color w:val="auto"/>
          <w:sz w:val="24"/>
          <w:highlight w:val="none"/>
        </w:rPr>
        <w:t>地面继保楼各室等采用分体式空调系统。</w:t>
      </w:r>
      <w:r>
        <w:rPr>
          <w:rFonts w:eastAsia="Calibri" w:cs="Calibri"/>
          <w:color w:val="auto"/>
          <w:sz w:val="24"/>
          <w:highlight w:val="none"/>
        </w:rPr>
        <w:t xml:space="preserve"> </w:t>
      </w:r>
    </w:p>
    <w:p>
      <w:pPr>
        <w:spacing w:line="480" w:lineRule="exact"/>
        <w:ind w:firstLine="424" w:firstLineChars="177"/>
        <w:rPr>
          <w:rFonts w:hint="eastAsia" w:ascii="宋体" w:hAnsi="宋体" w:cs="宋体"/>
          <w:color w:val="auto"/>
          <w:sz w:val="24"/>
          <w:highlight w:val="none"/>
        </w:rPr>
      </w:pPr>
      <w:r>
        <w:rPr>
          <w:rFonts w:ascii="宋体" w:hAnsi="宋体" w:cs="宋体"/>
          <w:color w:val="auto"/>
          <w:sz w:val="24"/>
          <w:highlight w:val="none"/>
        </w:rPr>
        <w:t>地下厂房排水廊道、施工支洞采用机械通风。</w:t>
      </w:r>
    </w:p>
    <w:p>
      <w:pPr>
        <w:spacing w:line="480" w:lineRule="exact"/>
        <w:ind w:firstLine="371" w:firstLineChars="177"/>
        <w:rPr>
          <w:color w:val="auto"/>
          <w:highlight w:val="none"/>
        </w:rPr>
      </w:pPr>
      <w:r>
        <w:rPr>
          <w:color w:val="auto"/>
          <w:highlight w:val="none"/>
        </w:rPr>
        <w:t>母线洞、主变洞排风均通过离心风机沿施工支洞引至排风竖井，排至厂外。</w:t>
      </w:r>
    </w:p>
    <w:p>
      <w:pPr>
        <w:pStyle w:val="62"/>
        <w:rPr>
          <w:color w:val="auto"/>
          <w:highlight w:val="none"/>
        </w:rPr>
      </w:pPr>
      <w:bookmarkStart w:id="368" w:name="_Toc12552"/>
      <w:bookmarkEnd w:id="368"/>
      <w:bookmarkStart w:id="369" w:name="_Toc7648"/>
      <w:bookmarkEnd w:id="369"/>
      <w:bookmarkStart w:id="370" w:name="_Toc129353363"/>
      <w:r>
        <w:rPr>
          <w:color w:val="auto"/>
          <w:highlight w:val="none"/>
        </w:rPr>
        <w:t xml:space="preserve">15.2 </w:t>
      </w:r>
      <w:bookmarkEnd w:id="370"/>
      <w:r>
        <w:rPr>
          <w:color w:val="auto"/>
          <w:highlight w:val="none"/>
        </w:rPr>
        <w:t>简要技术说明</w:t>
      </w:r>
    </w:p>
    <w:p>
      <w:pPr>
        <w:tabs>
          <w:tab w:val="center" w:pos="4153"/>
          <w:tab w:val="right" w:pos="8306"/>
        </w:tabs>
        <w:snapToGrid w:val="0"/>
        <w:spacing w:before="60" w:after="60" w:line="480" w:lineRule="exact"/>
        <w:rPr>
          <w:rFonts w:eastAsia="Calibri" w:cs="Calibri"/>
          <w:color w:val="auto"/>
          <w:sz w:val="24"/>
          <w:highlight w:val="none"/>
        </w:rPr>
      </w:pPr>
      <w:r>
        <w:rPr>
          <w:rFonts w:eastAsia="Calibri" w:cs="Calibri"/>
          <w:color w:val="auto"/>
          <w:sz w:val="24"/>
          <w:highlight w:val="none"/>
        </w:rPr>
        <w:t>15.2.1 技术要求</w:t>
      </w:r>
    </w:p>
    <w:p>
      <w:pPr>
        <w:tabs>
          <w:tab w:val="center" w:pos="4153"/>
          <w:tab w:val="right" w:pos="8306"/>
        </w:tabs>
        <w:snapToGrid w:val="0"/>
        <w:spacing w:before="60" w:after="60" w:line="480" w:lineRule="exact"/>
        <w:rPr>
          <w:rFonts w:eastAsia="Calibri" w:cs="Calibri"/>
          <w:color w:val="auto"/>
          <w:sz w:val="24"/>
          <w:highlight w:val="none"/>
        </w:rPr>
      </w:pPr>
      <w:r>
        <w:rPr>
          <w:rFonts w:eastAsia="Calibri" w:cs="Calibri"/>
          <w:color w:val="auto"/>
          <w:sz w:val="24"/>
          <w:highlight w:val="none"/>
        </w:rPr>
        <w:t>15.2.1.1 风机</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1) 卖方提供的通风设备，应是技术先进、性能优良、结构紧凑、便于安装和维护且满足技术要求的成熟产品，风机制造应符合国家及该行业部颁有关制造标准，应有特性曲线及噪音的认证许可。</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2) 风机应能在环境温度≤45℃、相对湿度≤95%的环境中连续运行。</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3) 风机的基本参数应符合GB/T3235-2008的有关规定，风机的效率应能满足国家节能标准。</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4) 风机的设计使用年限应不少于15年，风机第一次大修前的安全运转时间应不少于18000h。</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5) 每台风机的技术性能指标应与机身上所标的铭牌参数相符。大中型风机(№8#以上的，含8#)，每台风机出厂前均应按国家或行业有关标准进行各项技术参数测试，并随设备提交出厂测试报告；</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6) 每台风机出厂前都应进行动平衡试验(№4#及以下的小型轴流风机除外)及其它相关试验，试验项目及要求按国家有关标准进行，动平衡试验平衡精度要求符合国家标准规定的精度等级(6.3级)，并随设备提交出厂试验报告；</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7) 各台风机配用的电动机应性能优良，在运行过程中具有良好的散热条件，能适应长期连续运转，并应具备现地及远方控制功能；配套电机要求采用F级绝缘，较大功率(≥15kW)的电机轴承要求采用知名品牌产品，所有设备轴承的额定寿命不少于25000小时，轴承润滑的操作时间不少于12个月(8760小时)。</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8) 风机运行时，叶轮应平稳，不应有摆动(包括主轴)，其噪声值应低于国家有关规定限值及产品样本中提供的噪声值；离心风机运行时的振动指标应满足规范JB/T8689-2014《通风机振动检测及其限值》的要求。投标单位在标书中应填报各型号风机可达到的最小噪音值和振动值(振动值以双振幅最大值表示)和采取措施后，可达到的最小噪音值和振动值；</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9) 风机出厂前应进行起动试验，其起动时间应满足国家有关规定要求并不应大于30秒，且电机不应有过热现象；</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10) 每台风机均要求厂家提供配套的电动机一台。</w:t>
      </w:r>
    </w:p>
    <w:p>
      <w:pPr>
        <w:numPr>
          <w:ilvl w:val="0"/>
          <w:numId w:val="7"/>
        </w:numPr>
        <w:spacing w:line="480" w:lineRule="exact"/>
        <w:rPr>
          <w:rFonts w:ascii="宋体" w:hAnsi="宋体" w:cs="宋体"/>
          <w:color w:val="auto"/>
          <w:sz w:val="24"/>
          <w:highlight w:val="none"/>
        </w:rPr>
      </w:pPr>
      <w:r>
        <w:rPr>
          <w:rFonts w:ascii="宋体" w:hAnsi="宋体" w:cs="宋体"/>
          <w:color w:val="auto"/>
          <w:sz w:val="24"/>
          <w:highlight w:val="none"/>
        </w:rPr>
        <w:t>风机均需配置电源接线盒，。风机电源接线盒和轴承加油孔应设于机壳便于操作处。轴流风机、混流风机进出风口需配置可拆式防护网（两端接风管的风机除外）。</w:t>
      </w:r>
    </w:p>
    <w:p>
      <w:pPr>
        <w:numPr>
          <w:ilvl w:val="0"/>
          <w:numId w:val="7"/>
        </w:numPr>
        <w:spacing w:line="480" w:lineRule="exact"/>
        <w:rPr>
          <w:rFonts w:ascii="宋体" w:hAnsi="宋体" w:cs="宋体"/>
          <w:color w:val="auto"/>
          <w:sz w:val="24"/>
          <w:highlight w:val="none"/>
        </w:rPr>
      </w:pPr>
      <w:r>
        <w:rPr>
          <w:rFonts w:ascii="宋体" w:hAnsi="宋体" w:cs="宋体"/>
          <w:color w:val="auto"/>
          <w:sz w:val="24"/>
          <w:highlight w:val="none"/>
        </w:rPr>
        <w:t>消音斜流风机箱的消声器应能消声5～11dB以上，外箱应紧贴风机风筒制作。</w:t>
      </w:r>
    </w:p>
    <w:p>
      <w:pPr>
        <w:numPr>
          <w:ilvl w:val="0"/>
          <w:numId w:val="7"/>
        </w:numPr>
        <w:pBdr>
          <w:bottom w:val="none" w:color="auto" w:sz="0" w:space="0"/>
        </w:pBdr>
        <w:spacing w:line="480" w:lineRule="exact"/>
        <w:rPr>
          <w:color w:val="auto"/>
          <w:highlight w:val="none"/>
        </w:rPr>
      </w:pPr>
      <w:r>
        <w:rPr>
          <w:rFonts w:ascii="宋体" w:hAnsi="宋体" w:cs="宋体"/>
          <w:color w:val="auto"/>
          <w:sz w:val="24"/>
          <w:highlight w:val="none"/>
        </w:rPr>
        <w:t>外壳材质为碳钢，热镀锌处理，外壳应有足够的型钢支撑。叶轮叶片材质为不锈钢，应采用高效率、高强度和先进的结构型式。轴流风机及混流风机外壳采用整块厚钢板制造。</w:t>
      </w:r>
    </w:p>
    <w:p>
      <w:pPr>
        <w:tabs>
          <w:tab w:val="center" w:pos="4153"/>
          <w:tab w:val="right" w:pos="8306"/>
        </w:tabs>
        <w:snapToGrid w:val="0"/>
        <w:spacing w:before="60" w:after="60" w:line="480" w:lineRule="exact"/>
        <w:rPr>
          <w:rFonts w:eastAsia="Calibri" w:cs="Calibri"/>
          <w:color w:val="auto"/>
          <w:sz w:val="24"/>
          <w:highlight w:val="none"/>
        </w:rPr>
      </w:pPr>
      <w:r>
        <w:rPr>
          <w:rFonts w:eastAsia="Calibri" w:cs="Calibri"/>
          <w:color w:val="auto"/>
          <w:sz w:val="24"/>
          <w:highlight w:val="none"/>
        </w:rPr>
        <w:t>15.2.1.2风机控制柜</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施工支洞风机各现地控制柜(箱)控制要求：具有现地手动运行功能；能实现定时自动运行（如开2小时停半小时）</w:t>
      </w:r>
    </w:p>
    <w:p>
      <w:pPr>
        <w:tabs>
          <w:tab w:val="center" w:pos="4153"/>
          <w:tab w:val="right" w:pos="8306"/>
        </w:tabs>
        <w:snapToGrid w:val="0"/>
        <w:spacing w:before="60" w:after="60" w:line="480" w:lineRule="exact"/>
        <w:rPr>
          <w:color w:val="auto"/>
          <w:highlight w:val="none"/>
        </w:rPr>
      </w:pPr>
      <w:r>
        <w:rPr>
          <w:rFonts w:eastAsia="Calibri" w:cs="Calibri"/>
          <w:color w:val="auto"/>
          <w:sz w:val="24"/>
          <w:highlight w:val="none"/>
        </w:rPr>
        <w:t xml:space="preserve">15.2.2  </w:t>
      </w:r>
      <w:r>
        <w:rPr>
          <w:rFonts w:ascii="黑体" w:hAnsi="黑体" w:eastAsia="黑体"/>
          <w:color w:val="auto"/>
          <w:sz w:val="24"/>
          <w:highlight w:val="none"/>
        </w:rPr>
        <w:t>设备清单</w:t>
      </w:r>
    </w:p>
    <w:p>
      <w:pPr>
        <w:spacing w:line="480" w:lineRule="exact"/>
        <w:ind w:firstLine="424" w:firstLineChars="177"/>
        <w:rPr>
          <w:rFonts w:ascii="宋体" w:hAnsi="宋体" w:cs="宋体"/>
          <w:color w:val="auto"/>
          <w:sz w:val="24"/>
          <w:highlight w:val="none"/>
        </w:rPr>
      </w:pPr>
      <w:r>
        <w:rPr>
          <w:rFonts w:ascii="宋体" w:hAnsi="宋体" w:cs="宋体"/>
          <w:color w:val="auto"/>
          <w:sz w:val="24"/>
          <w:highlight w:val="none"/>
        </w:rPr>
        <w:t>全厂通风空调系统设备、管路的安装由本标承包人负责；本标承包人负责全厂明装风管、预埋风管、风管支吊架、耐火软接、水管保温材料、防火封堵（风口、风管、水管等与孔洞的封堵）、风口、调节阀、消声器的采购及安装。本标承包人负责从电厂厂用电到通风空调系统的永久供电动力电缆和从计算机监控系统设备到通风空调系统的控制、信号电缆的采购和安装。通风空调设备控制柜到设备的电缆、</w:t>
      </w:r>
      <w:r>
        <w:rPr>
          <w:rFonts w:eastAsia="Calibri" w:cs="Calibri"/>
          <w:color w:val="auto"/>
          <w:sz w:val="24"/>
          <w:highlight w:val="none"/>
        </w:rPr>
        <w:t>DDC</w:t>
      </w:r>
      <w:r>
        <w:rPr>
          <w:rFonts w:ascii="宋体" w:hAnsi="宋体" w:cs="宋体"/>
          <w:color w:val="auto"/>
          <w:sz w:val="24"/>
          <w:highlight w:val="none"/>
        </w:rPr>
        <w:t>至风阀和温湿度传感器的电缆、火灾自动报警系统与通风空调控制设备的连接电缆均由本标承包人采购和安装。</w:t>
      </w:r>
    </w:p>
    <w:p>
      <w:pPr>
        <w:spacing w:line="480" w:lineRule="exact"/>
        <w:ind w:firstLine="424" w:firstLineChars="177"/>
        <w:rPr>
          <w:color w:val="auto"/>
          <w:highlight w:val="none"/>
        </w:rPr>
      </w:pPr>
      <w:r>
        <w:rPr>
          <w:rFonts w:ascii="宋体" w:hAnsi="宋体" w:cs="宋体"/>
          <w:color w:val="auto"/>
          <w:sz w:val="24"/>
          <w:highlight w:val="none"/>
        </w:rPr>
        <w:t>施工支洞运行期配套通风设备、风管及附件、支吊架、控制柜、动力/控制电缆等由机电安装标供货安装。</w:t>
      </w:r>
    </w:p>
    <w:p>
      <w:pPr>
        <w:rPr>
          <w:color w:val="auto"/>
          <w:highlight w:val="none"/>
        </w:rPr>
      </w:pPr>
      <w:r>
        <w:rPr>
          <w:rFonts w:ascii="Times New Roman" w:hAnsi="Times New Roman" w:eastAsia="Times New Roman" w:cs="Times New Roman"/>
          <w:color w:val="auto"/>
          <w:sz w:val="24"/>
          <w:highlight w:val="none"/>
        </w:rPr>
        <w:t>15.2.2.1</w:t>
      </w:r>
      <w:r>
        <w:rPr>
          <w:rFonts w:ascii="宋体" w:hAnsi="宋体" w:cs="宋体"/>
          <w:color w:val="auto"/>
          <w:sz w:val="24"/>
          <w:highlight w:val="none"/>
        </w:rPr>
        <w:t>通风空调系统清单</w:t>
      </w:r>
    </w:p>
    <w:p>
      <w:pPr>
        <w:spacing w:line="480" w:lineRule="exact"/>
        <w:ind w:firstLine="424" w:firstLineChars="177"/>
        <w:rPr>
          <w:color w:val="auto"/>
          <w:highlight w:val="none"/>
        </w:rPr>
      </w:pPr>
      <w:r>
        <w:rPr>
          <w:rFonts w:ascii="宋体" w:hAnsi="宋体" w:cs="宋体"/>
          <w:color w:val="auto"/>
          <w:sz w:val="24"/>
          <w:highlight w:val="none"/>
        </w:rPr>
        <w:t>通风空调系统详见图“GY</w:t>
      </w:r>
      <w:r>
        <w:rPr>
          <w:rFonts w:eastAsia="Calibri" w:cs="Calibri"/>
          <w:color w:val="auto"/>
          <w:sz w:val="24"/>
          <w:highlight w:val="none"/>
        </w:rPr>
        <w:t>ZB-EM2-</w:t>
      </w:r>
      <w:r>
        <w:rPr>
          <w:rFonts w:ascii="宋体" w:hAnsi="宋体" w:cs="宋体"/>
          <w:color w:val="auto"/>
          <w:sz w:val="24"/>
          <w:highlight w:val="none"/>
        </w:rPr>
        <w:t>暖通</w:t>
      </w:r>
      <w:r>
        <w:rPr>
          <w:rFonts w:eastAsia="Calibri" w:cs="Calibri"/>
          <w:color w:val="auto"/>
          <w:sz w:val="24"/>
          <w:highlight w:val="none"/>
        </w:rPr>
        <w:t>-01</w:t>
      </w:r>
      <w:r>
        <w:rPr>
          <w:rFonts w:ascii="宋体" w:hAnsi="宋体" w:cs="宋体"/>
          <w:color w:val="auto"/>
          <w:sz w:val="24"/>
          <w:highlight w:val="none"/>
        </w:rPr>
        <w:t>”，本系统由发包人提供的主要设备规格、数量见表</w:t>
      </w:r>
      <w:r>
        <w:rPr>
          <w:rFonts w:eastAsia="Calibri" w:cs="Calibri"/>
          <w:color w:val="auto"/>
          <w:sz w:val="24"/>
          <w:highlight w:val="none"/>
        </w:rPr>
        <w:t>15-1</w:t>
      </w:r>
      <w:r>
        <w:rPr>
          <w:rFonts w:ascii="宋体" w:hAnsi="宋体" w:cs="宋体"/>
          <w:color w:val="auto"/>
          <w:sz w:val="24"/>
          <w:highlight w:val="none"/>
        </w:rPr>
        <w:t>，供投标人报价参考。</w:t>
      </w:r>
    </w:p>
    <w:p>
      <w:pPr>
        <w:spacing w:line="480" w:lineRule="exact"/>
        <w:ind w:firstLine="424" w:firstLineChars="177"/>
        <w:jc w:val="center"/>
        <w:rPr>
          <w:color w:val="auto"/>
          <w:highlight w:val="none"/>
        </w:rPr>
      </w:pPr>
      <w:r>
        <w:rPr>
          <w:rFonts w:hint="eastAsia" w:ascii="宋体" w:hAnsi="宋体" w:cs="宋体"/>
          <w:color w:val="auto"/>
          <w:sz w:val="24"/>
          <w:highlight w:val="none"/>
        </w:rPr>
        <w:t>表</w:t>
      </w:r>
      <w:r>
        <w:rPr>
          <w:rFonts w:eastAsia="Calibri" w:cs="Calibri"/>
          <w:color w:val="auto"/>
          <w:sz w:val="24"/>
          <w:highlight w:val="none"/>
        </w:rPr>
        <w:t xml:space="preserve">15-1  </w:t>
      </w:r>
      <w:r>
        <w:rPr>
          <w:rFonts w:hint="eastAsia" w:ascii="宋体" w:hAnsi="宋体" w:cs="宋体"/>
          <w:color w:val="auto"/>
          <w:sz w:val="24"/>
          <w:highlight w:val="none"/>
        </w:rPr>
        <w:t>通风空调系统主要设备表</w:t>
      </w:r>
    </w:p>
    <w:tbl>
      <w:tblPr>
        <w:tblStyle w:val="37"/>
        <w:tblW w:w="0" w:type="auto"/>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top w:w="0" w:type="dxa"/>
          <w:left w:w="108" w:type="dxa"/>
          <w:bottom w:w="0" w:type="dxa"/>
          <w:right w:w="108" w:type="dxa"/>
        </w:tblCellMar>
      </w:tblPr>
      <w:tblGrid>
        <w:gridCol w:w="645"/>
        <w:gridCol w:w="2625"/>
        <w:gridCol w:w="3060"/>
        <w:gridCol w:w="795"/>
        <w:gridCol w:w="675"/>
        <w:gridCol w:w="675"/>
      </w:tblGrid>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trHeight w:val="340" w:hRule="atLeast"/>
          <w:jc w:val="center"/>
        </w:trPr>
        <w:tc>
          <w:tcPr>
            <w:tcW w:w="64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序号</w:t>
            </w:r>
          </w:p>
        </w:tc>
        <w:tc>
          <w:tcPr>
            <w:tcW w:w="262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设备名称</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型号与规格</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单位</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数量</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备注</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trHeight w:val="730" w:hRule="atLeast"/>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离心风机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 xml:space="preserve">L=90900m³/h  H=970 Pa </w:t>
            </w:r>
          </w:p>
          <w:p>
            <w:pPr>
              <w:jc w:val="center"/>
              <w:rPr>
                <w:rFonts w:hint="eastAsia" w:ascii="宋体" w:hAnsi="宋体" w:cs="宋体"/>
                <w:color w:val="auto"/>
                <w:sz w:val="20"/>
                <w:highlight w:val="none"/>
              </w:rPr>
            </w:pPr>
            <w:r>
              <w:rPr>
                <w:rFonts w:ascii="宋体" w:hAnsi="宋体" w:cs="宋体"/>
                <w:color w:val="auto"/>
                <w:sz w:val="20"/>
                <w:highlight w:val="none"/>
              </w:rPr>
              <w:t>n=660rpm   N=37kW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离心风机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L=148000m³/h   H=932Pa</w:t>
            </w:r>
          </w:p>
          <w:p>
            <w:pPr>
              <w:jc w:val="center"/>
              <w:rPr>
                <w:rFonts w:hint="eastAsia" w:ascii="宋体" w:hAnsi="宋体" w:cs="宋体"/>
                <w:color w:val="auto"/>
                <w:sz w:val="20"/>
                <w:highlight w:val="none"/>
              </w:rPr>
            </w:pPr>
            <w:r>
              <w:rPr>
                <w:rFonts w:ascii="宋体" w:hAnsi="宋体" w:cs="宋体"/>
                <w:color w:val="auto"/>
                <w:sz w:val="20"/>
                <w:highlight w:val="none"/>
              </w:rPr>
              <w:t>n=470rpm   N=45kW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trHeight w:val="90" w:hRule="atLeast"/>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L=94782m³/h   H=870 Pa</w:t>
            </w:r>
          </w:p>
          <w:p>
            <w:pPr>
              <w:jc w:val="center"/>
              <w:rPr>
                <w:rFonts w:hint="eastAsia" w:ascii="宋体" w:hAnsi="宋体" w:cs="宋体"/>
                <w:color w:val="auto"/>
                <w:sz w:val="20"/>
                <w:highlight w:val="none"/>
              </w:rPr>
            </w:pPr>
            <w:r>
              <w:rPr>
                <w:rFonts w:ascii="宋体" w:hAnsi="宋体" w:cs="宋体"/>
                <w:color w:val="auto"/>
                <w:sz w:val="20"/>
                <w:highlight w:val="none"/>
              </w:rPr>
              <w:t>n=980rpm  N=37kW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L=45100m³/h   H=348Pa</w:t>
            </w:r>
          </w:p>
          <w:p>
            <w:pPr>
              <w:jc w:val="center"/>
              <w:rPr>
                <w:rFonts w:hint="eastAsia" w:ascii="宋体" w:hAnsi="宋体" w:cs="宋体"/>
                <w:color w:val="auto"/>
                <w:sz w:val="20"/>
                <w:highlight w:val="none"/>
              </w:rPr>
            </w:pPr>
            <w:r>
              <w:rPr>
                <w:rFonts w:ascii="宋体" w:hAnsi="宋体" w:cs="宋体"/>
                <w:color w:val="auto"/>
                <w:sz w:val="20"/>
                <w:highlight w:val="none"/>
              </w:rPr>
              <w:t>n=960rpm N=11kW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5</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L=35294m³/h  H=516Pa</w:t>
            </w:r>
          </w:p>
          <w:p>
            <w:pPr>
              <w:jc w:val="center"/>
              <w:rPr>
                <w:rFonts w:hint="eastAsia" w:ascii="宋体" w:hAnsi="宋体" w:cs="宋体"/>
                <w:color w:val="auto"/>
                <w:sz w:val="20"/>
                <w:highlight w:val="none"/>
              </w:rPr>
            </w:pPr>
            <w:r>
              <w:rPr>
                <w:rFonts w:ascii="宋体" w:hAnsi="宋体" w:cs="宋体"/>
                <w:color w:val="auto"/>
                <w:sz w:val="20"/>
                <w:highlight w:val="none"/>
              </w:rPr>
              <w:t>n=970rpm     N=11kW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L=8200m³/h   H=310Pa</w:t>
            </w:r>
          </w:p>
          <w:p>
            <w:pPr>
              <w:jc w:val="center"/>
              <w:rPr>
                <w:rFonts w:hint="eastAsia" w:ascii="宋体" w:hAnsi="宋体" w:cs="宋体"/>
                <w:color w:val="auto"/>
                <w:sz w:val="20"/>
                <w:highlight w:val="none"/>
              </w:rPr>
            </w:pPr>
            <w:r>
              <w:rPr>
                <w:rFonts w:ascii="宋体" w:hAnsi="宋体" w:cs="宋体"/>
                <w:color w:val="auto"/>
                <w:sz w:val="20"/>
                <w:highlight w:val="none"/>
              </w:rPr>
              <w:t>n=1450rpm N=1.5kW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7</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L=6100m³/h  H=278Pa</w:t>
            </w:r>
          </w:p>
          <w:p>
            <w:pPr>
              <w:jc w:val="center"/>
              <w:rPr>
                <w:rFonts w:hint="eastAsia" w:ascii="宋体" w:hAnsi="宋体" w:cs="宋体"/>
                <w:color w:val="auto"/>
                <w:sz w:val="20"/>
                <w:highlight w:val="none"/>
              </w:rPr>
            </w:pPr>
            <w:r>
              <w:rPr>
                <w:rFonts w:ascii="宋体" w:hAnsi="宋体" w:cs="宋体"/>
                <w:color w:val="auto"/>
                <w:sz w:val="20"/>
                <w:highlight w:val="none"/>
              </w:rPr>
              <w:t>n=1450rpm  N=1.1kW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消音斜流风机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L=4040m³/h  H=216Pa</w:t>
            </w:r>
          </w:p>
          <w:p>
            <w:pPr>
              <w:jc w:val="center"/>
              <w:rPr>
                <w:rFonts w:hint="eastAsia" w:ascii="宋体" w:hAnsi="宋体" w:cs="宋体"/>
                <w:color w:val="auto"/>
                <w:sz w:val="20"/>
                <w:highlight w:val="none"/>
              </w:rPr>
            </w:pPr>
            <w:r>
              <w:rPr>
                <w:rFonts w:ascii="宋体" w:hAnsi="宋体" w:cs="宋体"/>
                <w:color w:val="auto"/>
                <w:sz w:val="20"/>
                <w:highlight w:val="none"/>
              </w:rPr>
              <w:t>n=1450rpm  N=0.37kW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9</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L=41415m³/h   H=651Pa</w:t>
            </w:r>
          </w:p>
          <w:p>
            <w:pPr>
              <w:jc w:val="center"/>
              <w:rPr>
                <w:rFonts w:hint="eastAsia" w:ascii="宋体" w:hAnsi="宋体" w:cs="宋体"/>
                <w:color w:val="auto"/>
                <w:sz w:val="20"/>
                <w:highlight w:val="none"/>
              </w:rPr>
            </w:pPr>
            <w:r>
              <w:rPr>
                <w:rFonts w:ascii="宋体" w:hAnsi="宋体" w:cs="宋体"/>
                <w:color w:val="auto"/>
                <w:sz w:val="20"/>
                <w:highlight w:val="none"/>
              </w:rPr>
              <w:t xml:space="preserve"> n=960rpm N=11kW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L=16508m³/h H=327Pa</w:t>
            </w:r>
          </w:p>
          <w:p>
            <w:pPr>
              <w:jc w:val="center"/>
              <w:rPr>
                <w:rFonts w:hint="eastAsia" w:ascii="宋体" w:hAnsi="宋体" w:cs="宋体"/>
                <w:color w:val="auto"/>
                <w:sz w:val="20"/>
                <w:highlight w:val="none"/>
              </w:rPr>
            </w:pPr>
            <w:r>
              <w:rPr>
                <w:rFonts w:ascii="宋体" w:hAnsi="宋体" w:cs="宋体"/>
                <w:color w:val="auto"/>
                <w:sz w:val="20"/>
                <w:highlight w:val="none"/>
              </w:rPr>
              <w:t>n=720rpm 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11</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L=11000m³/hH=380Pa</w:t>
            </w:r>
          </w:p>
          <w:p>
            <w:pPr>
              <w:jc w:val="center"/>
              <w:rPr>
                <w:rFonts w:hint="eastAsia" w:ascii="宋体" w:hAnsi="宋体" w:cs="宋体"/>
                <w:color w:val="auto"/>
                <w:sz w:val="20"/>
                <w:highlight w:val="none"/>
              </w:rPr>
            </w:pPr>
            <w:r>
              <w:rPr>
                <w:rFonts w:ascii="宋体" w:hAnsi="宋体" w:cs="宋体"/>
                <w:color w:val="auto"/>
                <w:sz w:val="20"/>
                <w:highlight w:val="none"/>
              </w:rPr>
              <w:t>n=960rpm 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9</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12</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L=22920m³/h H=350Pa n=720rpm   N=4kW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13</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轴流风机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L=3100m³/h H=212Pa</w:t>
            </w:r>
          </w:p>
          <w:p>
            <w:pPr>
              <w:jc w:val="center"/>
              <w:rPr>
                <w:rFonts w:hint="eastAsia" w:ascii="宋体" w:hAnsi="宋体" w:cs="宋体"/>
                <w:color w:val="auto"/>
                <w:sz w:val="20"/>
                <w:highlight w:val="none"/>
              </w:rPr>
            </w:pPr>
            <w:r>
              <w:rPr>
                <w:rFonts w:ascii="宋体" w:hAnsi="宋体" w:cs="宋体"/>
                <w:color w:val="auto"/>
                <w:sz w:val="20"/>
                <w:highlight w:val="none"/>
              </w:rPr>
              <w:t>n=1450rpm N=0.37kW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14</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防腐轴流风机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L=5581m</w:t>
            </w:r>
            <w:r>
              <w:rPr>
                <w:rFonts w:ascii="宋体" w:hAnsi="宋体" w:cs="宋体"/>
                <w:color w:val="auto"/>
                <w:sz w:val="20"/>
                <w:highlight w:val="none"/>
                <w:vertAlign w:val="superscript"/>
              </w:rPr>
              <w:t>3</w:t>
            </w:r>
            <w:r>
              <w:rPr>
                <w:rFonts w:ascii="宋体" w:hAnsi="宋体" w:cs="宋体"/>
                <w:color w:val="auto"/>
                <w:sz w:val="20"/>
                <w:highlight w:val="none"/>
              </w:rPr>
              <w:t>/h  H=115Pa</w:t>
            </w:r>
          </w:p>
          <w:p>
            <w:pPr>
              <w:jc w:val="center"/>
              <w:rPr>
                <w:rFonts w:hint="eastAsia" w:ascii="宋体" w:hAnsi="宋体" w:cs="宋体"/>
                <w:color w:val="auto"/>
                <w:sz w:val="20"/>
                <w:highlight w:val="none"/>
              </w:rPr>
            </w:pPr>
            <w:r>
              <w:rPr>
                <w:rFonts w:ascii="宋体" w:hAnsi="宋体" w:cs="宋体"/>
                <w:color w:val="auto"/>
                <w:sz w:val="20"/>
                <w:highlight w:val="none"/>
              </w:rPr>
              <w:t>n=1450rpm N=0.25kW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15</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轴流风机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L=1346m</w:t>
            </w:r>
            <w:r>
              <w:rPr>
                <w:rFonts w:ascii="宋体" w:hAnsi="宋体" w:cs="宋体"/>
                <w:color w:val="auto"/>
                <w:sz w:val="20"/>
                <w:highlight w:val="none"/>
                <w:vertAlign w:val="superscript"/>
              </w:rPr>
              <w:t>3</w:t>
            </w:r>
            <w:r>
              <w:rPr>
                <w:rFonts w:ascii="宋体" w:hAnsi="宋体" w:cs="宋体"/>
                <w:color w:val="auto"/>
                <w:sz w:val="20"/>
                <w:highlight w:val="none"/>
              </w:rPr>
              <w:t xml:space="preserve">/h  H=44 Pa </w:t>
            </w:r>
          </w:p>
          <w:p>
            <w:pPr>
              <w:jc w:val="center"/>
              <w:rPr>
                <w:rFonts w:hint="eastAsia" w:ascii="宋体" w:hAnsi="宋体" w:cs="宋体"/>
                <w:color w:val="auto"/>
                <w:sz w:val="20"/>
                <w:highlight w:val="none"/>
              </w:rPr>
            </w:pPr>
            <w:r>
              <w:rPr>
                <w:rFonts w:ascii="宋体" w:hAnsi="宋体" w:cs="宋体"/>
                <w:color w:val="auto"/>
                <w:sz w:val="20"/>
                <w:highlight w:val="none"/>
              </w:rPr>
              <w:t>n=1450rpm N=0.02kW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16</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轴流风机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L=2737m</w:t>
            </w:r>
            <w:r>
              <w:rPr>
                <w:rFonts w:ascii="宋体" w:hAnsi="宋体" w:cs="宋体"/>
                <w:color w:val="auto"/>
                <w:sz w:val="20"/>
                <w:highlight w:val="none"/>
                <w:vertAlign w:val="superscript"/>
              </w:rPr>
              <w:t>3</w:t>
            </w:r>
            <w:r>
              <w:rPr>
                <w:rFonts w:ascii="宋体" w:hAnsi="宋体" w:cs="宋体"/>
                <w:color w:val="auto"/>
                <w:sz w:val="20"/>
                <w:highlight w:val="none"/>
              </w:rPr>
              <w:t>/h H=125Pa</w:t>
            </w:r>
          </w:p>
          <w:p>
            <w:pPr>
              <w:jc w:val="center"/>
              <w:rPr>
                <w:rFonts w:hint="eastAsia" w:ascii="宋体" w:hAnsi="宋体" w:cs="宋体"/>
                <w:color w:val="auto"/>
                <w:sz w:val="20"/>
                <w:highlight w:val="none"/>
              </w:rPr>
            </w:pPr>
            <w:r>
              <w:rPr>
                <w:rFonts w:ascii="宋体" w:hAnsi="宋体" w:cs="宋体"/>
                <w:color w:val="auto"/>
                <w:sz w:val="20"/>
                <w:highlight w:val="none"/>
              </w:rPr>
              <w:t>n=1450rpm N=0.06kW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17</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防爆轴流风机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L=2737m</w:t>
            </w:r>
            <w:r>
              <w:rPr>
                <w:rFonts w:ascii="宋体" w:hAnsi="宋体" w:cs="宋体"/>
                <w:color w:val="auto"/>
                <w:sz w:val="20"/>
                <w:highlight w:val="none"/>
                <w:vertAlign w:val="superscript"/>
              </w:rPr>
              <w:t>3</w:t>
            </w:r>
            <w:r>
              <w:rPr>
                <w:rFonts w:ascii="宋体" w:hAnsi="宋体" w:cs="宋体"/>
                <w:color w:val="auto"/>
                <w:sz w:val="20"/>
                <w:highlight w:val="none"/>
              </w:rPr>
              <w:t>/h H=125Pa</w:t>
            </w:r>
          </w:p>
          <w:p>
            <w:pPr>
              <w:jc w:val="center"/>
              <w:rPr>
                <w:rFonts w:hint="eastAsia" w:ascii="宋体" w:hAnsi="宋体" w:cs="宋体"/>
                <w:color w:val="auto"/>
                <w:sz w:val="20"/>
                <w:highlight w:val="none"/>
              </w:rPr>
            </w:pPr>
            <w:r>
              <w:rPr>
                <w:rFonts w:ascii="宋体" w:hAnsi="宋体" w:cs="宋体"/>
                <w:color w:val="auto"/>
                <w:sz w:val="20"/>
                <w:highlight w:val="none"/>
              </w:rPr>
              <w:t>n=1450rpm N=0.06kW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18</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防爆轴流风机</w:t>
            </w:r>
          </w:p>
        </w:tc>
        <w:tc>
          <w:tcPr>
            <w:tcW w:w="3060" w:type="dxa"/>
            <w:tcMar>
              <w:top w:w="0" w:type="dxa"/>
              <w:left w:w="108" w:type="dxa"/>
              <w:bottom w:w="0" w:type="dxa"/>
              <w:right w:w="108" w:type="dxa"/>
            </w:tcMar>
            <w:vAlign w:val="center"/>
          </w:tcPr>
          <w:p>
            <w:pPr>
              <w:spacing w:line="480" w:lineRule="exact"/>
              <w:jc w:val="center"/>
              <w:rPr>
                <w:rFonts w:hint="eastAsia" w:ascii="宋体" w:hAnsi="宋体" w:cs="宋体"/>
                <w:color w:val="auto"/>
                <w:sz w:val="20"/>
                <w:highlight w:val="none"/>
              </w:rPr>
            </w:pPr>
            <w:r>
              <w:rPr>
                <w:rFonts w:ascii="宋体" w:hAnsi="宋体" w:cs="宋体"/>
                <w:color w:val="auto"/>
                <w:sz w:val="20"/>
                <w:highlight w:val="none"/>
              </w:rPr>
              <w:t>L=4492m³/h H=392Pa</w:t>
            </w:r>
          </w:p>
          <w:p>
            <w:pPr>
              <w:jc w:val="center"/>
              <w:rPr>
                <w:rFonts w:hint="eastAsia" w:ascii="宋体" w:hAnsi="宋体" w:cs="宋体"/>
                <w:color w:val="auto"/>
                <w:sz w:val="20"/>
                <w:highlight w:val="none"/>
              </w:rPr>
            </w:pPr>
            <w:r>
              <w:rPr>
                <w:rFonts w:ascii="宋体" w:hAnsi="宋体" w:cs="宋体"/>
                <w:color w:val="auto"/>
                <w:sz w:val="20"/>
                <w:highlight w:val="none"/>
              </w:rPr>
              <w:t>n=1450rpm N=0.55kW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19</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防爆离心风机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L=8050m³/h   H=618Pa</w:t>
            </w:r>
          </w:p>
          <w:p>
            <w:pPr>
              <w:jc w:val="center"/>
              <w:rPr>
                <w:rFonts w:hint="eastAsia" w:ascii="宋体" w:hAnsi="宋体" w:cs="宋体"/>
                <w:color w:val="auto"/>
                <w:sz w:val="20"/>
                <w:highlight w:val="none"/>
              </w:rPr>
            </w:pPr>
            <w:r>
              <w:rPr>
                <w:rFonts w:ascii="宋体" w:hAnsi="宋体" w:cs="宋体"/>
                <w:color w:val="auto"/>
                <w:sz w:val="20"/>
                <w:highlight w:val="none"/>
              </w:rPr>
              <w:t>n=1450rpm  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20</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排气扇</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L=1260m³/h  N=0.06kW</w:t>
            </w:r>
          </w:p>
          <w:p>
            <w:pPr>
              <w:jc w:val="center"/>
              <w:rPr>
                <w:rFonts w:hint="eastAsia" w:ascii="宋体" w:hAnsi="宋体" w:cs="宋体"/>
                <w:color w:val="auto"/>
                <w:sz w:val="20"/>
                <w:highlight w:val="none"/>
              </w:rPr>
            </w:pPr>
            <w:r>
              <w:rPr>
                <w:rFonts w:ascii="宋体" w:hAnsi="宋体" w:cs="宋体"/>
                <w:color w:val="auto"/>
                <w:sz w:val="20"/>
                <w:highlight w:val="none"/>
              </w:rPr>
              <w:t>220V  50Hz</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9</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21</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L=33510m³/h     H=562Pa</w:t>
            </w:r>
          </w:p>
          <w:p>
            <w:pPr>
              <w:jc w:val="center"/>
              <w:rPr>
                <w:rFonts w:hint="eastAsia" w:ascii="宋体" w:hAnsi="宋体" w:cs="宋体"/>
                <w:color w:val="auto"/>
                <w:sz w:val="20"/>
                <w:highlight w:val="none"/>
              </w:rPr>
            </w:pPr>
            <w:r>
              <w:rPr>
                <w:rFonts w:ascii="宋体" w:hAnsi="宋体" w:cs="宋体"/>
                <w:color w:val="auto"/>
                <w:sz w:val="20"/>
                <w:highlight w:val="none"/>
              </w:rPr>
              <w:t>n=1450rpm     N=11kW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加压送风</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22</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L=28598m³/h     H=692Pa</w:t>
            </w:r>
          </w:p>
          <w:p>
            <w:pPr>
              <w:jc w:val="center"/>
              <w:rPr>
                <w:rFonts w:hint="eastAsia" w:ascii="宋体" w:hAnsi="宋体" w:cs="宋体"/>
                <w:color w:val="auto"/>
                <w:sz w:val="20"/>
                <w:highlight w:val="none"/>
              </w:rPr>
            </w:pPr>
            <w:r>
              <w:rPr>
                <w:rFonts w:ascii="宋体" w:hAnsi="宋体" w:cs="宋体"/>
                <w:color w:val="auto"/>
                <w:sz w:val="20"/>
                <w:highlight w:val="none"/>
              </w:rPr>
              <w:t>n=1450rpm     N=7.5kW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加压送风</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23</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消音混流风机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L=18700m³/h     H=510Pa</w:t>
            </w:r>
          </w:p>
          <w:p>
            <w:pPr>
              <w:jc w:val="center"/>
              <w:rPr>
                <w:rFonts w:hint="eastAsia" w:ascii="宋体" w:hAnsi="宋体" w:cs="宋体"/>
                <w:color w:val="auto"/>
                <w:sz w:val="20"/>
                <w:highlight w:val="none"/>
              </w:rPr>
            </w:pPr>
            <w:r>
              <w:rPr>
                <w:rFonts w:ascii="宋体" w:hAnsi="宋体" w:cs="宋体"/>
                <w:color w:val="auto"/>
                <w:sz w:val="20"/>
                <w:highlight w:val="none"/>
              </w:rPr>
              <w:t>n=1450rpm     N=5.5kW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加压送风</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24</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高温轴流排烟风机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L=5442m³/h     H=636Pa</w:t>
            </w:r>
          </w:p>
          <w:p>
            <w:pPr>
              <w:jc w:val="center"/>
              <w:rPr>
                <w:rFonts w:hint="eastAsia" w:ascii="宋体" w:hAnsi="宋体" w:cs="宋体"/>
                <w:color w:val="auto"/>
                <w:sz w:val="20"/>
                <w:highlight w:val="none"/>
              </w:rPr>
            </w:pPr>
            <w:r>
              <w:rPr>
                <w:rFonts w:ascii="宋体" w:hAnsi="宋体" w:cs="宋体"/>
                <w:color w:val="auto"/>
                <w:sz w:val="20"/>
                <w:highlight w:val="none"/>
              </w:rPr>
              <w:t>n=2900rpm     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CO2</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25</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高温轴流排烟风机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L=18700m³/h     H=510Pa</w:t>
            </w:r>
          </w:p>
          <w:p>
            <w:pPr>
              <w:jc w:val="center"/>
              <w:rPr>
                <w:rFonts w:hint="eastAsia" w:ascii="宋体" w:hAnsi="宋体" w:cs="宋体"/>
                <w:color w:val="auto"/>
                <w:sz w:val="20"/>
                <w:highlight w:val="none"/>
              </w:rPr>
            </w:pPr>
            <w:r>
              <w:rPr>
                <w:rFonts w:ascii="宋体" w:hAnsi="宋体" w:cs="宋体"/>
                <w:color w:val="auto"/>
                <w:sz w:val="20"/>
                <w:highlight w:val="none"/>
              </w:rPr>
              <w:t>n=1450rpm     N=5.5kW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w:t>
            </w:r>
          </w:p>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26</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高温轴流排烟风机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L=22439m³/h     H=655Pa</w:t>
            </w:r>
          </w:p>
          <w:p>
            <w:pPr>
              <w:jc w:val="center"/>
              <w:rPr>
                <w:rFonts w:hint="eastAsia" w:ascii="宋体" w:hAnsi="宋体" w:cs="宋体"/>
                <w:color w:val="auto"/>
                <w:sz w:val="20"/>
                <w:highlight w:val="none"/>
              </w:rPr>
            </w:pPr>
            <w:r>
              <w:rPr>
                <w:rFonts w:ascii="宋体" w:hAnsi="宋体" w:cs="宋体"/>
                <w:color w:val="auto"/>
                <w:sz w:val="20"/>
                <w:highlight w:val="none"/>
              </w:rPr>
              <w:t>n=1450rpm     N=7.5kW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w:t>
            </w:r>
          </w:p>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27</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高温轴流排烟风机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L=114829m³/h    H=798Pa</w:t>
            </w:r>
          </w:p>
          <w:p>
            <w:pPr>
              <w:jc w:val="center"/>
              <w:rPr>
                <w:rFonts w:hint="eastAsia" w:ascii="宋体" w:hAnsi="宋体" w:cs="宋体"/>
                <w:color w:val="auto"/>
                <w:sz w:val="20"/>
                <w:highlight w:val="none"/>
              </w:rPr>
            </w:pPr>
            <w:r>
              <w:rPr>
                <w:rFonts w:ascii="宋体" w:hAnsi="宋体" w:cs="宋体"/>
                <w:color w:val="auto"/>
                <w:sz w:val="20"/>
                <w:highlight w:val="none"/>
              </w:rPr>
              <w:t>n=1440rpm     N=45kW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w:t>
            </w:r>
          </w:p>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28</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磁悬浮变频离心式冷水机组</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制冷量Q≥1320kW</w:t>
            </w:r>
          </w:p>
          <w:p>
            <w:pPr>
              <w:jc w:val="center"/>
              <w:rPr>
                <w:rFonts w:hint="eastAsia" w:ascii="宋体" w:hAnsi="宋体" w:cs="宋体"/>
                <w:color w:val="auto"/>
                <w:sz w:val="20"/>
                <w:highlight w:val="none"/>
              </w:rPr>
            </w:pPr>
            <w:r>
              <w:rPr>
                <w:rFonts w:ascii="宋体" w:hAnsi="宋体" w:cs="宋体"/>
                <w:color w:val="auto"/>
                <w:sz w:val="20"/>
                <w:highlight w:val="none"/>
              </w:rPr>
              <w:t>冷冻水量L=224m³/h</w:t>
            </w:r>
          </w:p>
          <w:p>
            <w:pPr>
              <w:jc w:val="center"/>
              <w:rPr>
                <w:rFonts w:hint="eastAsia" w:ascii="宋体" w:hAnsi="宋体" w:cs="宋体"/>
                <w:color w:val="auto"/>
                <w:sz w:val="20"/>
                <w:highlight w:val="none"/>
              </w:rPr>
            </w:pPr>
            <w:r>
              <w:rPr>
                <w:rFonts w:ascii="宋体" w:hAnsi="宋体" w:cs="宋体"/>
                <w:color w:val="auto"/>
                <w:sz w:val="20"/>
                <w:highlight w:val="none"/>
              </w:rPr>
              <w:t>冷却水量 L=280m³/h</w:t>
            </w:r>
          </w:p>
          <w:p>
            <w:pPr>
              <w:jc w:val="center"/>
              <w:rPr>
                <w:rFonts w:hint="eastAsia" w:ascii="宋体" w:hAnsi="宋体" w:cs="宋体"/>
                <w:color w:val="auto"/>
                <w:sz w:val="20"/>
                <w:highlight w:val="none"/>
              </w:rPr>
            </w:pPr>
            <w:r>
              <w:rPr>
                <w:rFonts w:ascii="宋体" w:hAnsi="宋体" w:cs="宋体"/>
                <w:color w:val="auto"/>
                <w:sz w:val="20"/>
                <w:highlight w:val="none"/>
              </w:rPr>
              <w:t>制冷功率N=230kW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29</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空气处理机组</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风量L≥60000m³/h</w:t>
            </w:r>
          </w:p>
          <w:p>
            <w:pPr>
              <w:jc w:val="center"/>
              <w:rPr>
                <w:rFonts w:hint="eastAsia" w:ascii="宋体" w:hAnsi="宋体" w:cs="宋体"/>
                <w:color w:val="auto"/>
                <w:sz w:val="20"/>
                <w:highlight w:val="none"/>
              </w:rPr>
            </w:pPr>
            <w:r>
              <w:rPr>
                <w:rFonts w:ascii="宋体" w:hAnsi="宋体" w:cs="宋体"/>
                <w:color w:val="auto"/>
                <w:sz w:val="20"/>
                <w:highlight w:val="none"/>
              </w:rPr>
              <w:t>机外余压≥650Pa</w:t>
            </w:r>
          </w:p>
          <w:p>
            <w:pPr>
              <w:jc w:val="center"/>
              <w:rPr>
                <w:rFonts w:hint="eastAsia" w:ascii="宋体" w:hAnsi="宋体" w:cs="宋体"/>
                <w:color w:val="auto"/>
                <w:sz w:val="20"/>
                <w:highlight w:val="none"/>
              </w:rPr>
            </w:pPr>
            <w:r>
              <w:rPr>
                <w:rFonts w:ascii="宋体" w:hAnsi="宋体" w:cs="宋体"/>
                <w:color w:val="auto"/>
                <w:sz w:val="20"/>
                <w:highlight w:val="none"/>
              </w:rPr>
              <w:t>N=30kW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30</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空气处理机组</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风量L≥50000m³/h</w:t>
            </w:r>
          </w:p>
          <w:p>
            <w:pPr>
              <w:jc w:val="center"/>
              <w:rPr>
                <w:rFonts w:hint="eastAsia" w:ascii="宋体" w:hAnsi="宋体" w:cs="宋体"/>
                <w:color w:val="auto"/>
                <w:sz w:val="20"/>
                <w:highlight w:val="none"/>
              </w:rPr>
            </w:pPr>
            <w:r>
              <w:rPr>
                <w:rFonts w:ascii="宋体" w:hAnsi="宋体" w:cs="宋体"/>
                <w:color w:val="auto"/>
                <w:sz w:val="20"/>
                <w:highlight w:val="none"/>
              </w:rPr>
              <w:t>机外余压≥800Pa</w:t>
            </w:r>
          </w:p>
          <w:p>
            <w:pPr>
              <w:jc w:val="center"/>
              <w:rPr>
                <w:rFonts w:hint="eastAsia" w:ascii="宋体" w:hAnsi="宋体" w:cs="宋体"/>
                <w:color w:val="auto"/>
                <w:sz w:val="20"/>
                <w:highlight w:val="none"/>
              </w:rPr>
            </w:pPr>
            <w:r>
              <w:rPr>
                <w:rFonts w:ascii="宋体" w:hAnsi="宋体" w:cs="宋体"/>
                <w:color w:val="auto"/>
                <w:sz w:val="20"/>
                <w:highlight w:val="none"/>
              </w:rPr>
              <w:t>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31</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冷冻水泵</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L=235m³/h  H=30 m</w:t>
            </w:r>
          </w:p>
          <w:p>
            <w:pPr>
              <w:jc w:val="center"/>
              <w:rPr>
                <w:rFonts w:hint="eastAsia" w:ascii="宋体" w:hAnsi="宋体" w:cs="宋体"/>
                <w:color w:val="auto"/>
                <w:sz w:val="20"/>
                <w:highlight w:val="none"/>
              </w:rPr>
            </w:pPr>
            <w:r>
              <w:rPr>
                <w:rFonts w:ascii="宋体" w:hAnsi="宋体" w:cs="宋体"/>
                <w:color w:val="auto"/>
                <w:sz w:val="20"/>
                <w:highlight w:val="none"/>
              </w:rPr>
              <w:t>PN1.6MPa N=30kW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32</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冷却水泵</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L=294m³/h  H=40 m</w:t>
            </w:r>
          </w:p>
          <w:p>
            <w:pPr>
              <w:jc w:val="center"/>
              <w:rPr>
                <w:rFonts w:hint="eastAsia" w:ascii="宋体" w:hAnsi="宋体" w:cs="宋体"/>
                <w:color w:val="auto"/>
                <w:sz w:val="20"/>
                <w:highlight w:val="none"/>
              </w:rPr>
            </w:pPr>
            <w:r>
              <w:rPr>
                <w:rFonts w:ascii="宋体" w:hAnsi="宋体" w:cs="宋体"/>
                <w:color w:val="auto"/>
                <w:sz w:val="20"/>
                <w:highlight w:val="none"/>
              </w:rPr>
              <w:t>PN2.5MPa N=45kW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33</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膨胀水箱</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1m³</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34</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吊顶式空调风柜</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L=8000m³/h   Qc=106.3kW Ls=18.4m³/h  H=250Pa N=2.2kW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35</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吊顶式空调风柜</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L=3000m³/h   Qc=45.2kW Ls=7.1m³/h  H=170Pa N=0.75kW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36</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水冷单元空调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 xml:space="preserve">L=10000m³/h  Qc=64.7 kWLs=14m³/h  H=300Pa   N=20.1kW  </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37</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水冷单元空调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 xml:space="preserve">L=18000m³/h  Qc=119 kWLs=25m³/h  H=250Pa   N=38.3kW  </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38</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风冷单元空调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L=3000m³/h  Qc=12.9kW N=3.7kW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39</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风冷单元空调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L=6500m³/h  Qc=35.6kW N=13.3kW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40</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工业型分体柜式冷暖型空调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制冷量≥12kW</w:t>
            </w:r>
          </w:p>
          <w:p>
            <w:pPr>
              <w:jc w:val="center"/>
              <w:rPr>
                <w:rFonts w:hint="eastAsia" w:ascii="宋体" w:hAnsi="宋体" w:cs="宋体"/>
                <w:color w:val="auto"/>
                <w:sz w:val="20"/>
                <w:highlight w:val="none"/>
              </w:rPr>
            </w:pPr>
            <w:r>
              <w:rPr>
                <w:rFonts w:ascii="宋体" w:hAnsi="宋体" w:cs="宋体"/>
                <w:color w:val="auto"/>
                <w:sz w:val="20"/>
                <w:highlight w:val="none"/>
              </w:rPr>
              <w:t>5匹，冷暖型</w:t>
            </w:r>
          </w:p>
          <w:p>
            <w:pPr>
              <w:jc w:val="center"/>
              <w:rPr>
                <w:rFonts w:hint="eastAsia" w:ascii="宋体" w:hAnsi="宋体" w:cs="宋体"/>
                <w:color w:val="auto"/>
                <w:sz w:val="20"/>
                <w:highlight w:val="none"/>
              </w:rPr>
            </w:pPr>
            <w:r>
              <w:rPr>
                <w:rFonts w:ascii="宋体" w:hAnsi="宋体" w:cs="宋体"/>
                <w:color w:val="auto"/>
                <w:sz w:val="20"/>
                <w:highlight w:val="none"/>
              </w:rPr>
              <w:t>制热量14.3kW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41</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工业型分体柜式冷暖型空调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制冷量≥7kW</w:t>
            </w:r>
          </w:p>
          <w:p>
            <w:pPr>
              <w:jc w:val="center"/>
              <w:rPr>
                <w:rFonts w:hint="eastAsia" w:ascii="宋体" w:hAnsi="宋体" w:cs="宋体"/>
                <w:color w:val="auto"/>
                <w:sz w:val="20"/>
                <w:highlight w:val="none"/>
              </w:rPr>
            </w:pPr>
            <w:r>
              <w:rPr>
                <w:rFonts w:ascii="宋体" w:hAnsi="宋体" w:cs="宋体"/>
                <w:color w:val="auto"/>
                <w:sz w:val="20"/>
                <w:highlight w:val="none"/>
              </w:rPr>
              <w:t>3匹，冷暖型</w:t>
            </w:r>
          </w:p>
          <w:p>
            <w:pPr>
              <w:jc w:val="center"/>
              <w:rPr>
                <w:rFonts w:hint="eastAsia" w:ascii="宋体" w:hAnsi="宋体" w:cs="宋体"/>
                <w:color w:val="auto"/>
                <w:sz w:val="20"/>
                <w:highlight w:val="none"/>
              </w:rPr>
            </w:pPr>
            <w:r>
              <w:rPr>
                <w:rFonts w:ascii="宋体" w:hAnsi="宋体" w:cs="宋体"/>
                <w:color w:val="auto"/>
                <w:sz w:val="20"/>
                <w:highlight w:val="none"/>
              </w:rPr>
              <w:t>制热量9.5kW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42</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多联空调</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室外机：1台 制冷量：50kW</w:t>
            </w:r>
          </w:p>
          <w:p>
            <w:pPr>
              <w:jc w:val="center"/>
              <w:rPr>
                <w:rFonts w:hint="eastAsia" w:ascii="宋体" w:hAnsi="宋体" w:cs="宋体"/>
                <w:color w:val="auto"/>
                <w:sz w:val="20"/>
                <w:highlight w:val="none"/>
              </w:rPr>
            </w:pPr>
            <w:r>
              <w:rPr>
                <w:rFonts w:ascii="宋体" w:hAnsi="宋体" w:cs="宋体"/>
                <w:color w:val="auto"/>
                <w:sz w:val="20"/>
                <w:highlight w:val="none"/>
              </w:rPr>
              <w:t>制冷功率：13.5W</w:t>
            </w:r>
          </w:p>
          <w:p>
            <w:pPr>
              <w:jc w:val="center"/>
              <w:rPr>
                <w:rFonts w:hint="eastAsia" w:ascii="宋体" w:hAnsi="宋体" w:cs="宋体"/>
                <w:color w:val="auto"/>
                <w:sz w:val="20"/>
                <w:highlight w:val="none"/>
              </w:rPr>
            </w:pPr>
            <w:r>
              <w:rPr>
                <w:rFonts w:ascii="宋体" w:hAnsi="宋体" w:cs="宋体"/>
                <w:color w:val="auto"/>
                <w:sz w:val="20"/>
                <w:highlight w:val="none"/>
              </w:rPr>
              <w:t>室内机： 7台 四面出风嵌入式</w:t>
            </w:r>
          </w:p>
          <w:p>
            <w:pPr>
              <w:jc w:val="center"/>
              <w:rPr>
                <w:rFonts w:hint="eastAsia" w:ascii="宋体" w:hAnsi="宋体" w:cs="宋体"/>
                <w:color w:val="auto"/>
                <w:sz w:val="20"/>
                <w:highlight w:val="none"/>
              </w:rPr>
            </w:pPr>
            <w:r>
              <w:rPr>
                <w:rFonts w:ascii="宋体" w:hAnsi="宋体" w:cs="宋体"/>
                <w:color w:val="auto"/>
                <w:sz w:val="20"/>
                <w:highlight w:val="none"/>
              </w:rPr>
              <w:t>制冷量：7.1kW</w:t>
            </w:r>
          </w:p>
          <w:p>
            <w:pPr>
              <w:jc w:val="center"/>
              <w:rPr>
                <w:rFonts w:hint="eastAsia" w:ascii="宋体" w:hAnsi="宋体" w:cs="宋体"/>
                <w:color w:val="auto"/>
                <w:sz w:val="20"/>
                <w:highlight w:val="none"/>
              </w:rPr>
            </w:pPr>
            <w:r>
              <w:rPr>
                <w:rFonts w:ascii="宋体" w:hAnsi="宋体" w:cs="宋体"/>
                <w:color w:val="auto"/>
                <w:sz w:val="20"/>
                <w:highlight w:val="none"/>
              </w:rPr>
              <w:t>风量：1000m³/h</w:t>
            </w:r>
          </w:p>
          <w:p>
            <w:pPr>
              <w:jc w:val="center"/>
              <w:rPr>
                <w:rFonts w:hint="eastAsia" w:ascii="宋体" w:hAnsi="宋体" w:cs="宋体"/>
                <w:color w:val="auto"/>
                <w:sz w:val="20"/>
                <w:highlight w:val="none"/>
              </w:rPr>
            </w:pPr>
            <w:r>
              <w:rPr>
                <w:rFonts w:ascii="宋体" w:hAnsi="宋体" w:cs="宋体"/>
                <w:color w:val="auto"/>
                <w:sz w:val="20"/>
                <w:highlight w:val="none"/>
              </w:rPr>
              <w:t>功率：0.07kW</w:t>
            </w:r>
          </w:p>
          <w:p>
            <w:pPr>
              <w:jc w:val="center"/>
              <w:rPr>
                <w:rFonts w:hint="eastAsia" w:ascii="宋体" w:hAnsi="宋体" w:cs="宋体"/>
                <w:color w:val="auto"/>
                <w:sz w:val="20"/>
                <w:highlight w:val="none"/>
              </w:rPr>
            </w:pPr>
            <w:r>
              <w:rPr>
                <w:rFonts w:ascii="宋体" w:hAnsi="宋体" w:cs="宋体"/>
                <w:color w:val="auto"/>
                <w:sz w:val="20"/>
                <w:highlight w:val="none"/>
              </w:rPr>
              <w:t>含配管、电气等其他配件</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套</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43</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自动反冲电子水处理仪</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DN300 PN2.5MPa</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trHeight w:val="312" w:hRule="atLeast"/>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44</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自动反冲电子水处理仪</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DN250   PN1.6MPa</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45</w:t>
            </w:r>
          </w:p>
        </w:tc>
        <w:tc>
          <w:tcPr>
            <w:tcW w:w="262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低温型除湿机</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Q=10kg/h    N=4.2kW</w:t>
            </w:r>
          </w:p>
        </w:tc>
        <w:tc>
          <w:tcPr>
            <w:tcW w:w="79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台</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28</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bl>
    <w:p>
      <w:pPr>
        <w:rPr>
          <w:color w:val="auto"/>
          <w:highlight w:val="none"/>
        </w:rPr>
      </w:pPr>
      <w:r>
        <w:rPr>
          <w:rFonts w:ascii="Times New Roman" w:hAnsi="Times New Roman" w:eastAsia="Times New Roman" w:cs="Times New Roman"/>
          <w:color w:val="auto"/>
          <w:sz w:val="24"/>
          <w:highlight w:val="none"/>
        </w:rPr>
        <w:t>15.2.2.2</w:t>
      </w:r>
      <w:r>
        <w:rPr>
          <w:rFonts w:ascii="宋体" w:hAnsi="宋体" w:cs="宋体"/>
          <w:color w:val="auto"/>
          <w:sz w:val="24"/>
          <w:highlight w:val="none"/>
        </w:rPr>
        <w:t>通风空调仪器仪表清单</w:t>
      </w:r>
    </w:p>
    <w:p>
      <w:pPr>
        <w:spacing w:line="480" w:lineRule="exact"/>
        <w:ind w:firstLine="424" w:firstLineChars="177"/>
        <w:rPr>
          <w:color w:val="auto"/>
          <w:highlight w:val="none"/>
        </w:rPr>
      </w:pPr>
      <w:r>
        <w:rPr>
          <w:rFonts w:ascii="宋体" w:hAnsi="宋体" w:cs="宋体"/>
          <w:color w:val="auto"/>
          <w:sz w:val="24"/>
          <w:highlight w:val="none"/>
        </w:rPr>
        <w:t>本系统由发包人提供的仪器仪表清单如下，供报价参考：</w:t>
      </w:r>
    </w:p>
    <w:p>
      <w:pPr>
        <w:spacing w:line="480" w:lineRule="exact"/>
        <w:ind w:firstLine="424" w:firstLineChars="177"/>
        <w:jc w:val="center"/>
        <w:rPr>
          <w:color w:val="auto"/>
          <w:highlight w:val="none"/>
        </w:rPr>
      </w:pPr>
      <w:r>
        <w:rPr>
          <w:rFonts w:eastAsia="Calibri" w:cs="Calibri"/>
          <w:color w:val="auto"/>
          <w:sz w:val="24"/>
          <w:highlight w:val="none"/>
        </w:rPr>
        <w:t xml:space="preserve"> </w:t>
      </w:r>
      <w:r>
        <w:rPr>
          <w:rFonts w:ascii="宋体" w:hAnsi="宋体" w:cs="宋体"/>
          <w:color w:val="auto"/>
          <w:sz w:val="24"/>
          <w:highlight w:val="none"/>
        </w:rPr>
        <w:t>表</w:t>
      </w:r>
      <w:r>
        <w:rPr>
          <w:rFonts w:eastAsia="Calibri" w:cs="Calibri"/>
          <w:color w:val="auto"/>
          <w:sz w:val="24"/>
          <w:highlight w:val="none"/>
        </w:rPr>
        <w:t xml:space="preserve">15-2 </w:t>
      </w:r>
      <w:r>
        <w:rPr>
          <w:rFonts w:ascii="宋体" w:hAnsi="宋体" w:cs="宋体"/>
          <w:color w:val="auto"/>
          <w:sz w:val="24"/>
          <w:highlight w:val="none"/>
        </w:rPr>
        <w:t>通风空调仪器仪表清单（仅供报价参考）</w:t>
      </w:r>
    </w:p>
    <w:tbl>
      <w:tblPr>
        <w:tblStyle w:val="37"/>
        <w:tblW w:w="0" w:type="auto"/>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top w:w="0" w:type="dxa"/>
          <w:left w:w="108" w:type="dxa"/>
          <w:bottom w:w="0" w:type="dxa"/>
          <w:right w:w="108" w:type="dxa"/>
        </w:tblCellMar>
      </w:tblPr>
      <w:tblGrid>
        <w:gridCol w:w="645"/>
        <w:gridCol w:w="2625"/>
        <w:gridCol w:w="3060"/>
        <w:gridCol w:w="795"/>
        <w:gridCol w:w="675"/>
        <w:gridCol w:w="675"/>
      </w:tblGrid>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序号</w:t>
            </w:r>
          </w:p>
        </w:tc>
        <w:tc>
          <w:tcPr>
            <w:tcW w:w="2625"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设备名称</w:t>
            </w:r>
          </w:p>
        </w:tc>
        <w:tc>
          <w:tcPr>
            <w:tcW w:w="3060"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型号与规格</w:t>
            </w:r>
          </w:p>
        </w:tc>
        <w:tc>
          <w:tcPr>
            <w:tcW w:w="795"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单位</w:t>
            </w:r>
          </w:p>
        </w:tc>
        <w:tc>
          <w:tcPr>
            <w:tcW w:w="675"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数量</w:t>
            </w:r>
          </w:p>
        </w:tc>
        <w:tc>
          <w:tcPr>
            <w:tcW w:w="675" w:type="dxa"/>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备注</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工业温度计</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0℃-100℃</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8</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压力表</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0-1.6MPa，精度0.5级，表面Φ150，M20X1.5mm外螺纹连接</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9</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3</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压力表</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0-2.5 Mpa，精度0.5级，表面Φ150，M20X1.5mm外螺纹连接</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9</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4</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带显示的压力变送器</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量程0～1.6MPa，精度0.2级，输出4～20mA，LCD显示</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3</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5</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带显示的压力变送器</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量程0～2.5MPa，精度0.2级，输出4～20mA，LCD显示</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3</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6</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流量开关</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测量范围为0～3m/s</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4</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45" w:type="dxa"/>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7</w:t>
            </w:r>
          </w:p>
        </w:tc>
        <w:tc>
          <w:tcPr>
            <w:tcW w:w="2625"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温湿度传感器</w:t>
            </w:r>
          </w:p>
        </w:tc>
        <w:tc>
          <w:tcPr>
            <w:tcW w:w="3060" w:type="dxa"/>
            <w:tcMar>
              <w:top w:w="0" w:type="dxa"/>
              <w:left w:w="108" w:type="dxa"/>
              <w:bottom w:w="0" w:type="dxa"/>
              <w:right w:w="108" w:type="dxa"/>
            </w:tcMar>
            <w:vAlign w:val="center"/>
          </w:tcPr>
          <w:p>
            <w:pPr>
              <w:jc w:val="left"/>
              <w:rPr>
                <w:rFonts w:hint="eastAsia" w:ascii="宋体" w:hAnsi="宋体" w:cs="宋体"/>
                <w:color w:val="auto"/>
                <w:highlight w:val="none"/>
              </w:rPr>
            </w:pPr>
            <w:r>
              <w:rPr>
                <w:rFonts w:ascii="宋体" w:hAnsi="宋体" w:cs="宋体"/>
                <w:color w:val="auto"/>
                <w:sz w:val="18"/>
                <w:highlight w:val="none"/>
              </w:rPr>
              <w:t>输出4～20mA温湿度信号模拟量</w:t>
            </w:r>
          </w:p>
        </w:tc>
        <w:tc>
          <w:tcPr>
            <w:tcW w:w="79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套</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18"/>
                <w:highlight w:val="none"/>
              </w:rPr>
              <w:t>63</w:t>
            </w:r>
          </w:p>
        </w:tc>
        <w:tc>
          <w:tcPr>
            <w:tcW w:w="675" w:type="dxa"/>
            <w:tcMar>
              <w:top w:w="0" w:type="dxa"/>
              <w:left w:w="108" w:type="dxa"/>
              <w:bottom w:w="0" w:type="dxa"/>
              <w:right w:w="108" w:type="dxa"/>
            </w:tcMar>
            <w:vAlign w:val="center"/>
          </w:tcPr>
          <w:p>
            <w:pPr>
              <w:jc w:val="center"/>
              <w:rPr>
                <w:rFonts w:hint="eastAsia" w:ascii="宋体" w:hAnsi="宋体" w:cs="宋体"/>
                <w:color w:val="auto"/>
                <w:highlight w:val="none"/>
              </w:rPr>
            </w:pPr>
            <w:r>
              <w:rPr>
                <w:rFonts w:ascii="宋体" w:hAnsi="宋体" w:cs="宋体"/>
                <w:color w:val="auto"/>
                <w:sz w:val="20"/>
                <w:highlight w:val="none"/>
              </w:rPr>
              <w:t> </w:t>
            </w:r>
          </w:p>
        </w:tc>
      </w:tr>
    </w:tbl>
    <w:p>
      <w:pPr>
        <w:rPr>
          <w:color w:val="auto"/>
          <w:highlight w:val="none"/>
        </w:rPr>
      </w:pPr>
      <w:r>
        <w:rPr>
          <w:rFonts w:ascii="Times New Roman" w:hAnsi="Times New Roman" w:eastAsia="Times New Roman" w:cs="Times New Roman"/>
          <w:color w:val="auto"/>
          <w:sz w:val="24"/>
          <w:highlight w:val="none"/>
        </w:rPr>
        <w:t>15.2.2.3</w:t>
      </w:r>
      <w:r>
        <w:rPr>
          <w:rFonts w:ascii="宋体" w:hAnsi="宋体" w:cs="宋体"/>
          <w:color w:val="auto"/>
          <w:sz w:val="24"/>
          <w:highlight w:val="none"/>
        </w:rPr>
        <w:t>空调系统各类阀门清单</w:t>
      </w:r>
    </w:p>
    <w:p>
      <w:pPr>
        <w:spacing w:line="480" w:lineRule="exact"/>
        <w:ind w:firstLine="424" w:firstLineChars="177"/>
        <w:rPr>
          <w:color w:val="auto"/>
          <w:highlight w:val="none"/>
        </w:rPr>
      </w:pPr>
      <w:r>
        <w:rPr>
          <w:rFonts w:ascii="宋体" w:hAnsi="宋体" w:cs="宋体"/>
          <w:color w:val="auto"/>
          <w:sz w:val="24"/>
          <w:highlight w:val="none"/>
        </w:rPr>
        <w:t>本系统由发包人提供的空调系统各类阀门清单如下，供报价参考：</w:t>
      </w:r>
    </w:p>
    <w:p>
      <w:pPr>
        <w:spacing w:line="480" w:lineRule="exact"/>
        <w:ind w:firstLine="424" w:firstLineChars="177"/>
        <w:jc w:val="center"/>
        <w:rPr>
          <w:color w:val="auto"/>
          <w:highlight w:val="none"/>
        </w:rPr>
      </w:pPr>
      <w:r>
        <w:rPr>
          <w:rFonts w:eastAsia="Calibri" w:cs="Calibri"/>
          <w:color w:val="auto"/>
          <w:sz w:val="24"/>
          <w:highlight w:val="none"/>
        </w:rPr>
        <w:t xml:space="preserve"> </w:t>
      </w:r>
      <w:r>
        <w:rPr>
          <w:rFonts w:ascii="宋体" w:hAnsi="宋体" w:cs="宋体"/>
          <w:color w:val="auto"/>
          <w:sz w:val="24"/>
          <w:highlight w:val="none"/>
        </w:rPr>
        <w:t>表</w:t>
      </w:r>
      <w:r>
        <w:rPr>
          <w:rFonts w:eastAsia="Calibri" w:cs="Calibri"/>
          <w:color w:val="auto"/>
          <w:sz w:val="24"/>
          <w:highlight w:val="none"/>
        </w:rPr>
        <w:t xml:space="preserve">15-3 </w:t>
      </w:r>
      <w:r>
        <w:rPr>
          <w:rFonts w:ascii="宋体" w:hAnsi="宋体" w:cs="宋体"/>
          <w:color w:val="auto"/>
          <w:sz w:val="24"/>
          <w:highlight w:val="none"/>
        </w:rPr>
        <w:t>空调系统各类阀门清单（仅供报价参考）</w:t>
      </w:r>
    </w:p>
    <w:tbl>
      <w:tblPr>
        <w:tblStyle w:val="37"/>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645"/>
        <w:gridCol w:w="2625"/>
        <w:gridCol w:w="3060"/>
        <w:gridCol w:w="795"/>
        <w:gridCol w:w="675"/>
        <w:gridCol w:w="675"/>
      </w:tblGrid>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354" w:hRule="atLeast"/>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序号</w:t>
            </w:r>
          </w:p>
        </w:tc>
        <w:tc>
          <w:tcPr>
            <w:tcW w:w="26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设备名称</w:t>
            </w:r>
          </w:p>
        </w:tc>
        <w:tc>
          <w:tcPr>
            <w:tcW w:w="306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型号与规格</w:t>
            </w:r>
          </w:p>
        </w:tc>
        <w:tc>
          <w:tcPr>
            <w:tcW w:w="79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单位</w:t>
            </w:r>
          </w:p>
        </w:tc>
        <w:tc>
          <w:tcPr>
            <w:tcW w:w="67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数量</w:t>
            </w:r>
          </w:p>
        </w:tc>
        <w:tc>
          <w:tcPr>
            <w:tcW w:w="67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备注</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354" w:hRule="atLeast"/>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不锈钢流量调节阀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不锈钢静态平衡阀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DN40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3</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不锈钢静态平衡阀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4</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不锈钢静态平衡阀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DN80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5</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不锈钢静态平衡阀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DN150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6</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比例积分阀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DN40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套</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7</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比例积分阀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套</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8</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比例积分阀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DN125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套</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9</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不锈钢截止阀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DN40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10</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不锈钢截止阀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13</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不锈钢截止阀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DN80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不锈钢截止阀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DN150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13</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14</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DN40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15</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16</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17</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DN125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8</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18</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16</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19</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3</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20</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不锈钢电动蝶阀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不锈钢电动蝶阀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23</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不锈钢止回阀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24</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不锈钢止回阀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25</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不锈钢止回阀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26</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不锈钢球阀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DN32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27</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不锈钢球阀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color w:val="auto"/>
                <w:highlight w:val="none"/>
              </w:rPr>
              <w:t>28</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不锈钢球阀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DN300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color w:val="auto"/>
                <w:highlight w:val="none"/>
              </w:rPr>
              <w:t>29</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自动放气阀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color w:val="auto"/>
                <w:highlight w:val="none"/>
              </w:rPr>
              <w:t>30</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不锈钢浮球阀</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DN25  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color w:val="auto"/>
                <w:highlight w:val="none"/>
              </w:rPr>
              <w:t>31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压差旁通阀组</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DN100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套</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color w:val="auto"/>
                <w:highlight w:val="none"/>
              </w:rPr>
              <w:t>32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Y型过滤器</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DN65  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sz w:val="20"/>
                <w:highlight w:val="none"/>
              </w:rPr>
            </w:pPr>
          </w:p>
        </w:tc>
      </w:tr>
    </w:tbl>
    <w:p>
      <w:pPr>
        <w:rPr>
          <w:color w:val="auto"/>
          <w:highlight w:val="none"/>
        </w:rPr>
      </w:pPr>
      <w:bookmarkStart w:id="371" w:name="_Toc21189"/>
      <w:bookmarkEnd w:id="371"/>
      <w:bookmarkStart w:id="372" w:name="_Toc3435"/>
      <w:bookmarkEnd w:id="372"/>
      <w:r>
        <w:rPr>
          <w:rFonts w:ascii="Times New Roman" w:hAnsi="Times New Roman" w:eastAsia="Times New Roman" w:cs="Times New Roman"/>
          <w:color w:val="auto"/>
          <w:sz w:val="24"/>
          <w:highlight w:val="none"/>
        </w:rPr>
        <w:t>15.2.2.4</w:t>
      </w:r>
      <w:r>
        <w:rPr>
          <w:rFonts w:ascii="宋体" w:hAnsi="宋体" w:cs="宋体"/>
          <w:color w:val="auto"/>
          <w:sz w:val="24"/>
          <w:highlight w:val="none"/>
        </w:rPr>
        <w:t>不锈钢管路清单</w:t>
      </w:r>
    </w:p>
    <w:p>
      <w:pPr>
        <w:spacing w:line="480" w:lineRule="exact"/>
        <w:ind w:firstLine="424" w:firstLineChars="177"/>
        <w:rPr>
          <w:color w:val="auto"/>
          <w:highlight w:val="none"/>
        </w:rPr>
      </w:pPr>
      <w:r>
        <w:rPr>
          <w:rFonts w:ascii="宋体" w:hAnsi="宋体" w:cs="宋体"/>
          <w:color w:val="auto"/>
          <w:sz w:val="24"/>
          <w:highlight w:val="none"/>
        </w:rPr>
        <w:t>本系统由发包人提供的管路清单如下，供报价参考：</w:t>
      </w:r>
    </w:p>
    <w:p>
      <w:pPr>
        <w:spacing w:line="480" w:lineRule="exact"/>
        <w:ind w:firstLine="424" w:firstLineChars="177"/>
        <w:jc w:val="center"/>
        <w:rPr>
          <w:color w:val="auto"/>
          <w:highlight w:val="none"/>
        </w:rPr>
      </w:pPr>
      <w:r>
        <w:rPr>
          <w:rFonts w:eastAsia="Calibri" w:cs="Calibri"/>
          <w:color w:val="auto"/>
          <w:sz w:val="24"/>
          <w:highlight w:val="none"/>
        </w:rPr>
        <w:t xml:space="preserve"> </w:t>
      </w:r>
      <w:r>
        <w:rPr>
          <w:rFonts w:ascii="宋体" w:hAnsi="宋体" w:cs="宋体"/>
          <w:color w:val="auto"/>
          <w:sz w:val="24"/>
          <w:highlight w:val="none"/>
        </w:rPr>
        <w:t>表</w:t>
      </w:r>
      <w:r>
        <w:rPr>
          <w:rFonts w:eastAsia="Calibri" w:cs="Calibri"/>
          <w:color w:val="auto"/>
          <w:sz w:val="24"/>
          <w:highlight w:val="none"/>
        </w:rPr>
        <w:t xml:space="preserve">15-4 </w:t>
      </w:r>
      <w:r>
        <w:rPr>
          <w:rFonts w:ascii="宋体" w:hAnsi="宋体" w:cs="宋体"/>
          <w:color w:val="auto"/>
          <w:sz w:val="24"/>
          <w:highlight w:val="none"/>
        </w:rPr>
        <w:t>不锈钢管路清单（仅供报价参考）</w:t>
      </w:r>
    </w:p>
    <w:tbl>
      <w:tblPr>
        <w:tblStyle w:val="37"/>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645"/>
        <w:gridCol w:w="2625"/>
        <w:gridCol w:w="3060"/>
        <w:gridCol w:w="795"/>
        <w:gridCol w:w="675"/>
        <w:gridCol w:w="675"/>
      </w:tblGrid>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序号</w:t>
            </w:r>
          </w:p>
        </w:tc>
        <w:tc>
          <w:tcPr>
            <w:tcW w:w="26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设备名称</w:t>
            </w:r>
          </w:p>
        </w:tc>
        <w:tc>
          <w:tcPr>
            <w:tcW w:w="306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型号与规格</w:t>
            </w:r>
          </w:p>
        </w:tc>
        <w:tc>
          <w:tcPr>
            <w:tcW w:w="79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单位</w:t>
            </w:r>
          </w:p>
        </w:tc>
        <w:tc>
          <w:tcPr>
            <w:tcW w:w="67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数量</w:t>
            </w:r>
          </w:p>
        </w:tc>
        <w:tc>
          <w:tcPr>
            <w:tcW w:w="67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color w:val="auto"/>
                <w:highlight w:val="none"/>
              </w:rPr>
            </w:pPr>
            <w:r>
              <w:rPr>
                <w:rFonts w:ascii="宋体" w:hAnsi="宋体" w:cs="宋体"/>
                <w:color w:val="auto"/>
                <w:highlight w:val="none"/>
              </w:rPr>
              <w:t>备注</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DN20  φ26.9×3，PN2.5MPa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50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DN25  φ33.7×3，PN2.5MPa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70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3</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DN32  φ42.4×4，PN2.5MPa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65</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4</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DN40  φ48.3×4，PN2.5MPa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100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5</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DN50  φ60.3×4，PN2.5MPa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50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6</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DN65  φ73×4，PN2.5MPa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300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7</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DN80  φ88.9×5，PN2.5MPa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50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8</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DN100 φ114.3×5，PN2.5MPa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40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9</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DN125 φ141.3×5，PN2.5MPa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100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10</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DN150 φ168.3×5，PN2.5MPa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100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11</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DN200 φ219.1×6，PN2.5MPa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300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12</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DN250 φ273.0×6，PN2.5MPa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150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jc w:val="center"/>
        </w:trPr>
        <w:tc>
          <w:tcPr>
            <w:tcW w:w="64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color w:val="auto"/>
                <w:highlight w:val="none"/>
              </w:rPr>
            </w:pPr>
            <w:r>
              <w:rPr>
                <w:rFonts w:ascii="Times New Roman" w:hAnsi="Times New Roman" w:eastAsia="Times New Roman" w:cs="Times New Roman"/>
                <w:color w:val="auto"/>
                <w:sz w:val="20"/>
                <w:highlight w:val="none"/>
              </w:rPr>
              <w:t>13</w:t>
            </w:r>
          </w:p>
        </w:tc>
        <w:tc>
          <w:tcPr>
            <w:tcW w:w="26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w w:val="98"/>
                <w:sz w:val="20"/>
                <w:highlight w:val="none"/>
              </w:rPr>
              <w:t>不锈钢无缝钢管</w:t>
            </w:r>
          </w:p>
        </w:tc>
        <w:tc>
          <w:tcPr>
            <w:tcW w:w="30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w w:val="98"/>
                <w:sz w:val="20"/>
                <w:highlight w:val="none"/>
              </w:rPr>
              <w:t>DN300 φ323.9×8，PN2.5MPa</w:t>
            </w:r>
          </w:p>
        </w:tc>
        <w:tc>
          <w:tcPr>
            <w:tcW w:w="79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m</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center"/>
              <w:rPr>
                <w:rFonts w:ascii="Times New Roman" w:hAnsi="Times New Roman" w:eastAsia="Times New Roman" w:cs="Times New Roman"/>
                <w:color w:val="auto"/>
                <w:sz w:val="20"/>
                <w:highlight w:val="none"/>
              </w:rPr>
            </w:pPr>
            <w:r>
              <w:rPr>
                <w:rFonts w:ascii="Times New Roman" w:hAnsi="Times New Roman" w:eastAsia="Times New Roman" w:cs="Times New Roman"/>
                <w:color w:val="auto"/>
                <w:sz w:val="20"/>
                <w:highlight w:val="none"/>
              </w:rPr>
              <w:t>250</w:t>
            </w:r>
          </w:p>
        </w:tc>
        <w:tc>
          <w:tcPr>
            <w:tcW w:w="67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jc w:val="left"/>
              <w:rPr>
                <w:rFonts w:ascii="Times New Roman" w:hAnsi="Times New Roman" w:eastAsia="Times New Roman" w:cs="Times New Roman"/>
                <w:color w:val="auto"/>
                <w:highlight w:val="none"/>
              </w:rPr>
            </w:pPr>
            <w:r>
              <w:rPr>
                <w:rFonts w:ascii="Times New Roman" w:hAnsi="Times New Roman" w:eastAsia="Times New Roman" w:cs="Times New Roman"/>
                <w:color w:val="auto"/>
                <w:sz w:val="20"/>
                <w:highlight w:val="none"/>
              </w:rPr>
              <w:t> </w:t>
            </w:r>
          </w:p>
        </w:tc>
      </w:tr>
    </w:tbl>
    <w:p>
      <w:pPr>
        <w:rPr>
          <w:color w:val="auto"/>
          <w:highlight w:val="none"/>
        </w:rPr>
      </w:pPr>
      <w:r>
        <w:rPr>
          <w:rFonts w:ascii="Times New Roman" w:hAnsi="Times New Roman" w:eastAsia="Times New Roman" w:cs="Times New Roman"/>
          <w:color w:val="auto"/>
          <w:sz w:val="24"/>
          <w:highlight w:val="none"/>
        </w:rPr>
        <w:t>15.2.2.5</w:t>
      </w:r>
      <w:r>
        <w:rPr>
          <w:rFonts w:ascii="宋体" w:hAnsi="宋体" w:cs="宋体"/>
          <w:color w:val="auto"/>
          <w:sz w:val="24"/>
          <w:highlight w:val="none"/>
        </w:rPr>
        <w:t>各类防火阀、排烟阀（口）、多叶送风口清单</w:t>
      </w:r>
    </w:p>
    <w:p>
      <w:pPr>
        <w:spacing w:line="480" w:lineRule="exact"/>
        <w:ind w:firstLine="424" w:firstLineChars="177"/>
        <w:rPr>
          <w:color w:val="auto"/>
          <w:highlight w:val="none"/>
        </w:rPr>
      </w:pPr>
      <w:r>
        <w:rPr>
          <w:rFonts w:ascii="宋体" w:hAnsi="宋体" w:cs="宋体"/>
          <w:color w:val="auto"/>
          <w:sz w:val="24"/>
          <w:highlight w:val="none"/>
        </w:rPr>
        <w:t>本系统由发包人提供的各类防火阀、排烟阀（口）、多叶送风口清单如下，供报价参考：</w:t>
      </w:r>
    </w:p>
    <w:p>
      <w:pPr>
        <w:spacing w:line="480" w:lineRule="exact"/>
        <w:ind w:firstLine="424" w:firstLineChars="177"/>
        <w:jc w:val="center"/>
        <w:rPr>
          <w:color w:val="auto"/>
          <w:highlight w:val="none"/>
        </w:rPr>
      </w:pPr>
      <w:r>
        <w:rPr>
          <w:rFonts w:eastAsia="Calibri" w:cs="Calibri"/>
          <w:color w:val="auto"/>
          <w:sz w:val="24"/>
          <w:highlight w:val="none"/>
        </w:rPr>
        <w:t xml:space="preserve"> </w:t>
      </w:r>
      <w:r>
        <w:rPr>
          <w:rFonts w:ascii="宋体" w:hAnsi="宋体" w:cs="宋体"/>
          <w:color w:val="auto"/>
          <w:sz w:val="24"/>
          <w:highlight w:val="none"/>
        </w:rPr>
        <w:t>表</w:t>
      </w:r>
      <w:r>
        <w:rPr>
          <w:rFonts w:eastAsia="Calibri" w:cs="Calibri"/>
          <w:color w:val="auto"/>
          <w:sz w:val="24"/>
          <w:highlight w:val="none"/>
        </w:rPr>
        <w:t xml:space="preserve">15-5 </w:t>
      </w:r>
      <w:r>
        <w:rPr>
          <w:rFonts w:ascii="宋体" w:hAnsi="宋体" w:cs="宋体"/>
          <w:color w:val="auto"/>
          <w:sz w:val="24"/>
          <w:highlight w:val="none"/>
        </w:rPr>
        <w:t>各类防火阀、排烟阀（口）、多叶送风口清单（仅供报价参考）</w:t>
      </w:r>
    </w:p>
    <w:tbl>
      <w:tblPr>
        <w:tblStyle w:val="37"/>
        <w:tblW w:w="0" w:type="auto"/>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top w:w="0" w:type="dxa"/>
          <w:left w:w="108" w:type="dxa"/>
          <w:bottom w:w="0" w:type="dxa"/>
          <w:right w:w="108" w:type="dxa"/>
        </w:tblCellMar>
      </w:tblPr>
      <w:tblGrid>
        <w:gridCol w:w="630"/>
        <w:gridCol w:w="3060"/>
        <w:gridCol w:w="2445"/>
        <w:gridCol w:w="765"/>
        <w:gridCol w:w="675"/>
        <w:gridCol w:w="675"/>
      </w:tblGrid>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序号</w:t>
            </w:r>
          </w:p>
        </w:tc>
        <w:tc>
          <w:tcPr>
            <w:tcW w:w="3060"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设备名称</w:t>
            </w:r>
          </w:p>
        </w:tc>
        <w:tc>
          <w:tcPr>
            <w:tcW w:w="244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型号与规格</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单位</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数量</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备注</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320×1000（墙式）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630×630（墙式）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8</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800×500（墙式）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800×1000（墙式）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50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5</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800×1250（墙式）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7</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1000×500（墙式）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7</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1000×1250（墙式）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18</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1600×1250（墙式）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48</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9</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2000×1250（墙式）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2000×1500（墙式）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11</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1000×1250（墙式）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18</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12</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1000×1250（楼板式）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13</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400×320（风管式）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14</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500×320（风管式）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15</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630×320（风管式）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trHeight w:val="339" w:hRule="atLeast"/>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16</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800×320（风管式）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7</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17</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1000×320（风管式）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18</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500×500（风管式）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19</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20</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1000×630（风管式）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21</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800×800（风管式）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22</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全自动不锈钢防火阀(70℃)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1000×1000（风管式）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23</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630×800（风管式）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24</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800×400（风管式）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25</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800×800（风管式）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26</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不锈钢防火阀（70℃）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800×1000（风管式）</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27</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排烟阀</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400×800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28</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排烟防火阀（280℃）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630×630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7</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29</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排烟防火阀（280℃）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400×800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30</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排烟防火阀（280℃）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630×800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4</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31</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排烟防火阀（280℃）</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1250×1600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10</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32</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电动多页送风口</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400×1000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6</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33</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电动多页送风口</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500×1250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7</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34</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电动多页送风口</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1250×1000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85</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 </w:t>
            </w: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35</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多页调节阀</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630×630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1</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p>
        </w:tc>
      </w:tr>
      <w:tr>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8" w:type="dxa"/>
            <w:bottom w:w="0" w:type="dxa"/>
            <w:right w:w="108" w:type="dxa"/>
          </w:tblCellMar>
        </w:tblPrEx>
        <w:trPr>
          <w:jc w:val="center"/>
        </w:trPr>
        <w:tc>
          <w:tcPr>
            <w:tcW w:w="63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36</w:t>
            </w:r>
          </w:p>
        </w:tc>
        <w:tc>
          <w:tcPr>
            <w:tcW w:w="3060"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多页调节阀</w:t>
            </w:r>
          </w:p>
        </w:tc>
        <w:tc>
          <w:tcPr>
            <w:tcW w:w="2445" w:type="dxa"/>
            <w:tcMar>
              <w:top w:w="0" w:type="dxa"/>
              <w:left w:w="108" w:type="dxa"/>
              <w:bottom w:w="0" w:type="dxa"/>
              <w:right w:w="108" w:type="dxa"/>
            </w:tcMar>
            <w:vAlign w:val="center"/>
          </w:tcPr>
          <w:p>
            <w:pPr>
              <w:jc w:val="left"/>
              <w:rPr>
                <w:rFonts w:hint="eastAsia" w:ascii="宋体" w:hAnsi="宋体" w:cs="宋体"/>
                <w:color w:val="auto"/>
                <w:sz w:val="20"/>
                <w:highlight w:val="none"/>
              </w:rPr>
            </w:pPr>
            <w:r>
              <w:rPr>
                <w:rFonts w:ascii="宋体" w:hAnsi="宋体" w:cs="宋体"/>
                <w:color w:val="auto"/>
                <w:sz w:val="20"/>
                <w:highlight w:val="none"/>
              </w:rPr>
              <w:t>630×800</w:t>
            </w:r>
          </w:p>
        </w:tc>
        <w:tc>
          <w:tcPr>
            <w:tcW w:w="76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个</w:t>
            </w:r>
          </w:p>
        </w:tc>
        <w:tc>
          <w:tcPr>
            <w:tcW w:w="675" w:type="dxa"/>
            <w:tcMar>
              <w:top w:w="0" w:type="dxa"/>
              <w:left w:w="108" w:type="dxa"/>
              <w:bottom w:w="0" w:type="dxa"/>
              <w:right w:w="108" w:type="dxa"/>
            </w:tcMar>
            <w:vAlign w:val="center"/>
          </w:tcPr>
          <w:p>
            <w:pPr>
              <w:jc w:val="center"/>
              <w:rPr>
                <w:rFonts w:hint="eastAsia" w:ascii="宋体" w:hAnsi="宋体" w:cs="宋体"/>
                <w:color w:val="auto"/>
                <w:sz w:val="20"/>
                <w:highlight w:val="none"/>
              </w:rPr>
            </w:pPr>
            <w:r>
              <w:rPr>
                <w:rFonts w:ascii="宋体" w:hAnsi="宋体" w:cs="宋体"/>
                <w:color w:val="auto"/>
                <w:sz w:val="20"/>
                <w:highlight w:val="none"/>
              </w:rPr>
              <w:t>2</w:t>
            </w:r>
          </w:p>
        </w:tc>
        <w:tc>
          <w:tcPr>
            <w:tcW w:w="675" w:type="dxa"/>
            <w:tcMar>
              <w:top w:w="0" w:type="dxa"/>
              <w:left w:w="108" w:type="dxa"/>
              <w:bottom w:w="0" w:type="dxa"/>
              <w:right w:w="108" w:type="dxa"/>
            </w:tcMar>
            <w:vAlign w:val="center"/>
          </w:tcPr>
          <w:p>
            <w:pPr>
              <w:jc w:val="left"/>
              <w:rPr>
                <w:rFonts w:hint="eastAsia" w:ascii="宋体" w:hAnsi="宋体" w:cs="宋体"/>
                <w:color w:val="auto"/>
                <w:sz w:val="20"/>
                <w:highlight w:val="none"/>
              </w:rPr>
            </w:pPr>
          </w:p>
        </w:tc>
      </w:tr>
    </w:tbl>
    <w:p>
      <w:pPr>
        <w:rPr>
          <w:color w:val="auto"/>
          <w:highlight w:val="none"/>
        </w:rPr>
      </w:pPr>
    </w:p>
    <w:p>
      <w:pPr>
        <w:rPr>
          <w:rFonts w:ascii="Times New Roman" w:hAnsi="Times New Roman" w:cs="Times New Roman"/>
          <w:color w:val="auto"/>
          <w:sz w:val="24"/>
          <w:szCs w:val="24"/>
          <w:highlight w:val="none"/>
        </w:rPr>
      </w:pPr>
    </w:p>
    <w:p>
      <w:pPr>
        <w:rPr>
          <w:rFonts w:hint="eastAsia"/>
          <w:color w:val="auto"/>
          <w:highlight w:val="none"/>
        </w:rPr>
      </w:pPr>
      <w:r>
        <w:rPr>
          <w:rFonts w:hint="eastAsia"/>
          <w:color w:val="auto"/>
          <w:highlight w:val="none"/>
        </w:rPr>
        <w:br w:type="page"/>
      </w:r>
    </w:p>
    <w:p>
      <w:pPr>
        <w:pStyle w:val="50"/>
        <w:rPr>
          <w:color w:val="auto"/>
          <w:highlight w:val="none"/>
        </w:rPr>
      </w:pPr>
      <w:r>
        <w:rPr>
          <w:rFonts w:hint="eastAsia"/>
          <w:color w:val="auto"/>
          <w:highlight w:val="none"/>
        </w:rPr>
        <w:t>第16章</w:t>
      </w:r>
      <w:r>
        <w:rPr>
          <w:color w:val="auto"/>
          <w:highlight w:val="none"/>
        </w:rPr>
        <w:t xml:space="preserve">  </w:t>
      </w:r>
      <w:r>
        <w:rPr>
          <w:rFonts w:hint="eastAsia"/>
          <w:color w:val="auto"/>
          <w:highlight w:val="none"/>
        </w:rPr>
        <w:t>其他机电设备安装工程</w:t>
      </w:r>
    </w:p>
    <w:p>
      <w:pPr>
        <w:pStyle w:val="62"/>
        <w:rPr>
          <w:color w:val="auto"/>
          <w:highlight w:val="none"/>
        </w:rPr>
      </w:pPr>
      <w:bookmarkStart w:id="373" w:name="_Toc127395756"/>
      <w:bookmarkStart w:id="374" w:name="_Toc116929710"/>
      <w:bookmarkStart w:id="375" w:name="_Toc20531"/>
      <w:bookmarkStart w:id="376" w:name="_Toc18842"/>
      <w:r>
        <w:rPr>
          <w:color w:val="auto"/>
          <w:highlight w:val="none"/>
        </w:rPr>
        <w:t xml:space="preserve">16.1  </w:t>
      </w:r>
      <w:r>
        <w:rPr>
          <w:rFonts w:hint="eastAsia"/>
          <w:color w:val="auto"/>
          <w:highlight w:val="none"/>
        </w:rPr>
        <w:t>概述</w:t>
      </w:r>
      <w:bookmarkEnd w:id="373"/>
      <w:bookmarkEnd w:id="374"/>
      <w:bookmarkEnd w:id="375"/>
      <w:bookmarkEnd w:id="376"/>
      <w:r>
        <w:rPr>
          <w:color w:val="auto"/>
          <w:highlight w:val="none"/>
        </w:rPr>
        <w:t xml:space="preserve"> </w:t>
      </w:r>
    </w:p>
    <w:p>
      <w:pPr>
        <w:pStyle w:val="132"/>
        <w:rPr>
          <w:color w:val="auto"/>
          <w:highlight w:val="none"/>
        </w:rPr>
      </w:pPr>
      <w:bookmarkStart w:id="377" w:name="_Toc20140"/>
      <w:r>
        <w:rPr>
          <w:color w:val="auto"/>
          <w:highlight w:val="none"/>
        </w:rPr>
        <w:t xml:space="preserve">16.1.1  </w:t>
      </w:r>
      <w:r>
        <w:rPr>
          <w:rFonts w:hint="eastAsia"/>
          <w:color w:val="auto"/>
          <w:highlight w:val="none"/>
        </w:rPr>
        <w:t>工作范围</w:t>
      </w:r>
      <w:bookmarkEnd w:id="377"/>
    </w:p>
    <w:p>
      <w:pPr>
        <w:autoSpaceDE w:val="0"/>
        <w:autoSpaceDN w:val="0"/>
        <w:adjustRightInd w:val="0"/>
        <w:spacing w:line="480" w:lineRule="exact"/>
        <w:ind w:firstLine="480" w:firstLineChars="200"/>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本标承包人负责下列系统或设备的全部或部分安装相关工作，具体工作内容包括：</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4"/>
          <w:highlight w:val="none"/>
        </w:rPr>
        <w:t xml:space="preserve">(1) </w:t>
      </w:r>
      <w:r>
        <w:rPr>
          <w:rFonts w:hint="eastAsia" w:ascii="Times New Roman" w:hAnsi="Times New Roman"/>
          <w:color w:val="auto"/>
          <w:kern w:val="0"/>
          <w:sz w:val="24"/>
          <w:szCs w:val="24"/>
          <w:highlight w:val="none"/>
        </w:rPr>
        <w:t>220kV主变压器</w:t>
      </w:r>
      <w:r>
        <w:rPr>
          <w:rFonts w:hint="eastAsia" w:ascii="Times New Roman" w:hAnsi="Times New Roman" w:eastAsia="宋体" w:cs="黑体"/>
          <w:i w:val="0"/>
          <w:strike w:val="0"/>
          <w:color w:val="auto"/>
          <w:kern w:val="0"/>
          <w:sz w:val="24"/>
          <w:szCs w:val="24"/>
          <w:highlight w:val="none"/>
          <w:u w:val="none"/>
          <w:shd w:val="clear" w:color="auto" w:fill="auto"/>
        </w:rPr>
        <w:t>（含中性点设备）</w:t>
      </w:r>
      <w:r>
        <w:rPr>
          <w:rFonts w:hint="eastAsia" w:ascii="Times New Roman" w:hAnsi="Times New Roman"/>
          <w:color w:val="auto"/>
          <w:kern w:val="0"/>
          <w:sz w:val="24"/>
          <w:szCs w:val="24"/>
          <w:highlight w:val="none"/>
        </w:rPr>
        <w:t>基础板的埋设与安装由本标承包人负责。220kV主变压器及</w:t>
      </w:r>
      <w:r>
        <w:rPr>
          <w:rFonts w:hint="eastAsia" w:ascii="Times New Roman" w:hAnsi="Times New Roman"/>
          <w:color w:val="auto"/>
          <w:kern w:val="0"/>
          <w:sz w:val="24"/>
          <w:szCs w:val="20"/>
          <w:highlight w:val="none"/>
        </w:rPr>
        <w:t>其附件的卸车、运输、就位和安装由其他承包人负责，本标承包人配合。</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(2) </w:t>
      </w:r>
      <w:r>
        <w:rPr>
          <w:rFonts w:hint="eastAsia" w:ascii="Times New Roman" w:hAnsi="Times New Roman"/>
          <w:color w:val="auto"/>
          <w:kern w:val="0"/>
          <w:sz w:val="24"/>
          <w:szCs w:val="20"/>
          <w:highlight w:val="none"/>
        </w:rPr>
        <w:t>主副厂房、安装间、主变洞、母线洞、通风洞、高压电缆洞、排水廊道、进厂交通洞、尾闸室等地下洞室；上下库启闭机室、上下库配电室、以及发包人要求的其他部位的照明系统灯具的采购和安装及装置性材料的采购、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(3) </w:t>
      </w:r>
      <w:r>
        <w:rPr>
          <w:rFonts w:hint="eastAsia" w:ascii="Times New Roman" w:hAnsi="Times New Roman"/>
          <w:color w:val="auto"/>
          <w:sz w:val="24"/>
          <w:szCs w:val="24"/>
          <w:highlight w:val="none"/>
        </w:rPr>
        <w:t>主副厂房、母线洞、主变洞设备层各层及安装间、全厂除开关站外的暗敷接地网、全厂明敷接地网的材料采购和安装(包括二次设备等电位接地网的材料采购、运输、制作和敷设)，全厂明敷接地网与暗敷接地网的连接，本标范围内需要接地的所有设备、电缆架、构架、系统及其基础、预埋件等与接地网的连接，接地电阻、接触电势、跨步电势的测量。</w:t>
      </w:r>
    </w:p>
    <w:p>
      <w:pPr>
        <w:pBdr>
          <w:bottom w:val="none" w:color="auto" w:sz="0" w:space="0"/>
        </w:pBd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(4) 本标范围内电力电缆的采购及安装(设备供货商合同范围内的电缆由设备供货商采购，但电缆安装由本标负责。高压标范围内的电缆由高压标提供并安装。)。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(5) </w:t>
      </w:r>
      <w:r>
        <w:rPr>
          <w:rFonts w:hint="eastAsia" w:ascii="Times New Roman" w:hAnsi="Times New Roman"/>
          <w:color w:val="auto"/>
          <w:kern w:val="0"/>
          <w:sz w:val="24"/>
          <w:szCs w:val="20"/>
          <w:highlight w:val="none"/>
        </w:rPr>
        <w:t>本标范围内的控制及信号电缆的采购及安装(设备供货商合同范围内的电缆由设备供货商采购，但电缆安装由本标负责，高压标范围内的电缆由高压标提供并安装)。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(6) </w:t>
      </w:r>
      <w:r>
        <w:rPr>
          <w:rFonts w:hint="eastAsia" w:ascii="Times New Roman" w:hAnsi="Times New Roman"/>
          <w:color w:val="auto"/>
          <w:sz w:val="24"/>
          <w:szCs w:val="24"/>
          <w:highlight w:val="none"/>
        </w:rPr>
        <w:t>本标范围内</w:t>
      </w:r>
      <w:r>
        <w:rPr>
          <w:rFonts w:hint="eastAsia" w:ascii="Times New Roman" w:hAnsi="Times New Roman"/>
          <w:color w:val="auto"/>
          <w:kern w:val="0"/>
          <w:sz w:val="24"/>
          <w:szCs w:val="20"/>
          <w:highlight w:val="none"/>
        </w:rPr>
        <w:t>电缆桥架及电缆套管、埋件的采购及安装。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(7) </w:t>
      </w:r>
      <w:r>
        <w:rPr>
          <w:rFonts w:hint="eastAsia" w:ascii="Times New Roman" w:hAnsi="Times New Roman"/>
          <w:color w:val="auto"/>
          <w:sz w:val="24"/>
          <w:szCs w:val="24"/>
          <w:highlight w:val="none"/>
        </w:rPr>
        <w:t>本标范围内</w:t>
      </w:r>
      <w:r>
        <w:rPr>
          <w:rFonts w:hint="eastAsia" w:ascii="Times New Roman" w:hAnsi="Times New Roman"/>
          <w:color w:val="auto"/>
          <w:kern w:val="0"/>
          <w:sz w:val="24"/>
          <w:szCs w:val="20"/>
          <w:highlight w:val="none"/>
        </w:rPr>
        <w:t>防火隔板、防火涂漆等防火材料的采购及安装。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(8) </w:t>
      </w:r>
      <w:r>
        <w:rPr>
          <w:rFonts w:hint="eastAsia" w:ascii="Times New Roman" w:hAnsi="Times New Roman"/>
          <w:color w:val="auto"/>
          <w:kern w:val="0"/>
          <w:sz w:val="24"/>
          <w:szCs w:val="20"/>
          <w:highlight w:val="none"/>
        </w:rPr>
        <w:t>吊物孔盖板的采购与安装。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(9) </w:t>
      </w:r>
      <w:r>
        <w:rPr>
          <w:rFonts w:hint="eastAsia" w:ascii="Times New Roman" w:hAnsi="Times New Roman"/>
          <w:color w:val="auto"/>
          <w:kern w:val="0"/>
          <w:sz w:val="24"/>
          <w:szCs w:val="20"/>
          <w:highlight w:val="none"/>
        </w:rPr>
        <w:t>地下副厂房电梯的采购、安装、调试、取证、运行维护管理。</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(10) </w:t>
      </w:r>
      <w:r>
        <w:rPr>
          <w:rFonts w:hint="eastAsia" w:ascii="Times New Roman" w:hAnsi="Times New Roman"/>
          <w:color w:val="auto"/>
          <w:kern w:val="0"/>
          <w:sz w:val="24"/>
          <w:szCs w:val="20"/>
          <w:highlight w:val="none"/>
        </w:rPr>
        <w:t>本标承包人除设备供货商供货以外的管路的采购和安装。</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(11) </w:t>
      </w:r>
      <w:r>
        <w:rPr>
          <w:rFonts w:hint="eastAsia" w:ascii="Times New Roman" w:hAnsi="Times New Roman"/>
          <w:color w:val="auto"/>
          <w:kern w:val="0"/>
          <w:sz w:val="24"/>
          <w:szCs w:val="20"/>
          <w:highlight w:val="none"/>
        </w:rPr>
        <w:t>本标承包人进行起重设备操作，吊运设备和土建相关材料等。</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(12) </w:t>
      </w:r>
      <w:r>
        <w:rPr>
          <w:rFonts w:hint="eastAsia" w:ascii="Times New Roman" w:hAnsi="Times New Roman"/>
          <w:color w:val="auto"/>
          <w:kern w:val="0"/>
          <w:sz w:val="24"/>
          <w:szCs w:val="20"/>
          <w:highlight w:val="none"/>
        </w:rPr>
        <w:t>位于开关站继保楼内的220kV线路保护盘柜及系统通信设备的安装工作由其他承包人完成，但本标承包人应予以配合。</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(13)</w:t>
      </w:r>
      <w:r>
        <w:rPr>
          <w:rFonts w:hint="eastAsia" w:ascii="Times New Roman" w:hAnsi="Times New Roman"/>
          <w:color w:val="auto"/>
          <w:kern w:val="0"/>
          <w:sz w:val="24"/>
          <w:szCs w:val="20"/>
          <w:highlight w:val="none"/>
        </w:rPr>
        <w:t>220kV主变、GIS、电缆的安装工作由其他承包人完成，但本标承包人应予以配合。</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(14) </w:t>
      </w:r>
      <w:r>
        <w:rPr>
          <w:rFonts w:hint="eastAsia" w:ascii="Times New Roman" w:hAnsi="Times New Roman"/>
          <w:color w:val="auto"/>
          <w:kern w:val="0"/>
          <w:sz w:val="24"/>
          <w:szCs w:val="20"/>
          <w:highlight w:val="none"/>
        </w:rPr>
        <w:t>信息通信系统、安防视频监控系统、门禁一卡通系统、钥匙闭锁系统、消防系统的安装工作由其他承包人完成，但本标承包人应予以配合。</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 xml:space="preserve">(15) </w:t>
      </w:r>
      <w:r>
        <w:rPr>
          <w:rFonts w:hint="eastAsia" w:ascii="Times New Roman" w:hAnsi="Times New Roman"/>
          <w:color w:val="auto"/>
          <w:kern w:val="0"/>
          <w:sz w:val="24"/>
          <w:szCs w:val="20"/>
          <w:highlight w:val="none"/>
        </w:rPr>
        <w:t>发包人将对全厂电力电缆按发包人管理要求进行第三方抽检试验，试验项目如下所示。由第三方出具的抽检报告和电缆厂提供的合格的试验报告后方可开始敷设电缆。第三方检验单位由发包人另行委托有资质的第三方完成。电缆在制造、试验、检验过程中，发包人有权进行监造和见证，发包人对每批次的电缆进行随机抽检，承包人负责电缆到货后截取及包装，交发包人检验。承包人采购电缆时，除电缆安装损耗量外，还应考虑每批电缆预留</w:t>
      </w:r>
      <w:r>
        <w:rPr>
          <w:rFonts w:ascii="Times New Roman" w:hAnsi="Times New Roman"/>
          <w:color w:val="auto"/>
          <w:kern w:val="0"/>
          <w:sz w:val="24"/>
          <w:szCs w:val="20"/>
          <w:highlight w:val="none"/>
        </w:rPr>
        <w:t>10</w:t>
      </w:r>
      <w:r>
        <w:rPr>
          <w:rFonts w:hint="eastAsia" w:ascii="Times New Roman" w:hAnsi="Times New Roman"/>
          <w:color w:val="auto"/>
          <w:kern w:val="0"/>
          <w:sz w:val="24"/>
          <w:szCs w:val="20"/>
          <w:highlight w:val="none"/>
        </w:rPr>
        <w:t>米的抽检长度。电缆到货后截取及包装的费用分摊到电缆单价中。电缆检验费用由发包人承担。电缆抽检试验项目：</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bookmarkStart w:id="378" w:name="_Toc1633276"/>
      <w:r>
        <w:rPr>
          <w:rFonts w:ascii="Times New Roman" w:hAnsi="Times New Roman"/>
          <w:color w:val="auto"/>
          <w:kern w:val="0"/>
          <w:sz w:val="24"/>
          <w:szCs w:val="20"/>
          <w:highlight w:val="none"/>
        </w:rPr>
        <w:t xml:space="preserve">1) </w:t>
      </w:r>
      <w:r>
        <w:rPr>
          <w:rFonts w:hint="eastAsia" w:ascii="Times New Roman" w:hAnsi="Times New Roman"/>
          <w:color w:val="auto"/>
          <w:kern w:val="0"/>
          <w:sz w:val="24"/>
          <w:szCs w:val="20"/>
          <w:highlight w:val="none"/>
        </w:rPr>
        <w:t>控制电缆试验项目</w:t>
      </w:r>
      <w:bookmarkEnd w:id="378"/>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hint="eastAsia" w:ascii="Times New Roman" w:hAnsi="Times New Roman"/>
          <w:color w:val="auto"/>
          <w:kern w:val="0"/>
          <w:sz w:val="24"/>
          <w:szCs w:val="20"/>
          <w:highlight w:val="none"/>
        </w:rPr>
        <w:t>结构和尺寸检查、导体结构、绝缘和外护套厚度、外径的测量、绝缘热延伸试验、导体直流电阻测量；</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bookmarkStart w:id="379" w:name="_Toc1633277"/>
      <w:r>
        <w:rPr>
          <w:rFonts w:ascii="Times New Roman" w:hAnsi="Times New Roman"/>
          <w:color w:val="auto"/>
          <w:kern w:val="0"/>
          <w:sz w:val="24"/>
          <w:szCs w:val="20"/>
          <w:highlight w:val="none"/>
        </w:rPr>
        <w:t xml:space="preserve">2) </w:t>
      </w:r>
      <w:r>
        <w:rPr>
          <w:rFonts w:hint="eastAsia" w:ascii="Times New Roman" w:hAnsi="Times New Roman"/>
          <w:color w:val="auto"/>
          <w:kern w:val="0"/>
          <w:sz w:val="24"/>
          <w:szCs w:val="20"/>
          <w:highlight w:val="none"/>
        </w:rPr>
        <w:t>400V动力电缆试验项目</w:t>
      </w:r>
      <w:bookmarkEnd w:id="379"/>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hint="eastAsia" w:ascii="Times New Roman" w:hAnsi="Times New Roman"/>
          <w:color w:val="auto"/>
          <w:kern w:val="0"/>
          <w:sz w:val="24"/>
          <w:szCs w:val="20"/>
          <w:highlight w:val="none"/>
        </w:rPr>
        <w:t>结构和尺寸检查、绝缘和外护套厚度、外径的测量、绝缘热延伸试验、导体直流电阻测量、耐火电缆不延燃试验(耐火电缆做)。</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bookmarkStart w:id="380" w:name="_Toc1633278"/>
      <w:r>
        <w:rPr>
          <w:rFonts w:hint="eastAsia" w:ascii="Times New Roman" w:hAnsi="Times New Roman"/>
          <w:color w:val="auto"/>
          <w:kern w:val="0"/>
          <w:sz w:val="24"/>
          <w:szCs w:val="20"/>
          <w:highlight w:val="none"/>
        </w:rPr>
        <w:t>3)10kV、18kV动力电缆试验项目</w:t>
      </w:r>
      <w:bookmarkEnd w:id="380"/>
    </w:p>
    <w:p>
      <w:pPr>
        <w:spacing w:line="500" w:lineRule="atLeast"/>
        <w:ind w:firstLine="480" w:firstLineChars="200"/>
        <w:rPr>
          <w:rFonts w:ascii="Times New Roman" w:hAnsi="Times New Roman"/>
          <w:color w:val="auto"/>
          <w:kern w:val="0"/>
          <w:sz w:val="24"/>
          <w:szCs w:val="20"/>
          <w:highlight w:val="none"/>
        </w:rPr>
      </w:pPr>
      <w:r>
        <w:rPr>
          <w:rFonts w:hint="eastAsia" w:ascii="Times New Roman" w:hAnsi="Times New Roman"/>
          <w:color w:val="auto"/>
          <w:kern w:val="0"/>
          <w:sz w:val="24"/>
          <w:szCs w:val="20"/>
          <w:highlight w:val="none"/>
        </w:rPr>
        <w:t>电缆结构检查和尺寸测量、绝缘偏心度检查、导体直流电阻测量、绝缘热延伸试验、绝缘收缩试验、半导电绝缘屏蔽剥离试验、绝缘老化前机械性能试验、护套老化前机械性能试验、聚乙烯外护套碳黑含量、耐火电缆不延燃试验(耐火电缆做)。</w:t>
      </w:r>
    </w:p>
    <w:p>
      <w:pPr>
        <w:numPr>
          <w:ilvl w:val="0"/>
          <w:numId w:val="8"/>
        </w:numPr>
        <w:spacing w:line="500" w:lineRule="atLeast"/>
        <w:ind w:firstLine="480" w:firstLineChars="200"/>
        <w:rPr>
          <w:rFonts w:ascii="Times New Roman" w:hAnsi="Times New Roman"/>
          <w:color w:val="auto"/>
          <w:kern w:val="0"/>
          <w:sz w:val="24"/>
          <w:szCs w:val="20"/>
          <w:highlight w:val="none"/>
        </w:rPr>
      </w:pPr>
      <w:r>
        <w:rPr>
          <w:rFonts w:hint="eastAsia" w:ascii="Times New Roman" w:hAnsi="Times New Roman"/>
          <w:color w:val="auto"/>
          <w:kern w:val="0"/>
          <w:sz w:val="24"/>
          <w:szCs w:val="20"/>
          <w:highlight w:val="none"/>
        </w:rPr>
        <w:t>电缆到货抽检的其他项目与要求见附件电缆到货抽检文件。</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16）本章节项目在买方（发包方）提供初步设计图纸后，卖方（本标承包人）应按设计图纸提供选型方案，并组织专题会议进行审定。需专题会议审定的有：照明、防雷接地、动力及控制电缆、电缆桥架、防火封堵、电气设备基础及电缆埋管、吊物孔盖板、电梯、安装间电子显示屏。</w:t>
      </w:r>
    </w:p>
    <w:p>
      <w:pPr>
        <w:autoSpaceDE w:val="0"/>
        <w:autoSpaceDN w:val="0"/>
        <w:adjustRightInd w:val="0"/>
        <w:spacing w:line="480" w:lineRule="exact"/>
        <w:ind w:firstLine="480" w:firstLineChars="200"/>
        <w:rPr>
          <w:rFonts w:ascii="Times New Roman" w:hAnsi="Times New Roman"/>
          <w:color w:val="auto"/>
          <w:kern w:val="0"/>
          <w:sz w:val="24"/>
          <w:szCs w:val="20"/>
          <w:highlight w:val="none"/>
        </w:rPr>
      </w:pPr>
      <w:r>
        <w:rPr>
          <w:rFonts w:ascii="Times New Roman" w:hAnsi="Times New Roman"/>
          <w:color w:val="auto"/>
          <w:kern w:val="0"/>
          <w:sz w:val="24"/>
          <w:szCs w:val="20"/>
          <w:highlight w:val="none"/>
        </w:rPr>
        <w:t>由本标承包人负责采购的设备，其设备招标文件由本标承包人编制。</w:t>
      </w:r>
    </w:p>
    <w:p>
      <w:pPr>
        <w:pStyle w:val="62"/>
        <w:rPr>
          <w:b/>
          <w:bCs/>
          <w:color w:val="auto"/>
          <w:highlight w:val="none"/>
        </w:rPr>
      </w:pPr>
      <w:bookmarkStart w:id="381" w:name="_Toc9504"/>
      <w:bookmarkStart w:id="382" w:name="_Toc127395757"/>
      <w:bookmarkStart w:id="383" w:name="_Toc26234"/>
      <w:r>
        <w:rPr>
          <w:color w:val="auto"/>
          <w:highlight w:val="none"/>
        </w:rPr>
        <w:t xml:space="preserve">16.2  </w:t>
      </w:r>
      <w:r>
        <w:rPr>
          <w:rFonts w:hint="eastAsia"/>
          <w:color w:val="auto"/>
          <w:highlight w:val="none"/>
        </w:rPr>
        <w:t>简要技术说明</w:t>
      </w:r>
      <w:bookmarkEnd w:id="381"/>
      <w:bookmarkEnd w:id="382"/>
      <w:bookmarkEnd w:id="383"/>
    </w:p>
    <w:p>
      <w:pPr>
        <w:pStyle w:val="132"/>
        <w:rPr>
          <w:color w:val="auto"/>
          <w:highlight w:val="none"/>
        </w:rPr>
      </w:pPr>
      <w:bookmarkStart w:id="384" w:name="_Toc15537"/>
      <w:r>
        <w:rPr>
          <w:color w:val="auto"/>
          <w:highlight w:val="none"/>
        </w:rPr>
        <w:t xml:space="preserve">16.2.1  </w:t>
      </w:r>
      <w:r>
        <w:rPr>
          <w:rFonts w:hint="eastAsia"/>
          <w:color w:val="auto"/>
          <w:highlight w:val="none"/>
        </w:rPr>
        <w:t>220kV变压器</w:t>
      </w:r>
      <w:bookmarkEnd w:id="384"/>
    </w:p>
    <w:p>
      <w:pPr>
        <w:pStyle w:val="32"/>
        <w:spacing w:after="0" w:line="360" w:lineRule="auto"/>
        <w:ind w:firstLine="480" w:firstLineChars="200"/>
        <w:rPr>
          <w:color w:val="auto"/>
          <w:highlight w:val="none"/>
        </w:rPr>
      </w:pPr>
      <w:r>
        <w:rPr>
          <w:rFonts w:hint="eastAsia"/>
          <w:color w:val="auto"/>
          <w:sz w:val="24"/>
          <w:szCs w:val="24"/>
          <w:highlight w:val="none"/>
          <w:lang w:val="zh-CN"/>
        </w:rPr>
        <w:t>变压器及其冷却器埋件、事故油阀预埋管路安装，具体见施工图。</w:t>
      </w:r>
    </w:p>
    <w:p>
      <w:pPr>
        <w:pStyle w:val="132"/>
        <w:rPr>
          <w:color w:val="auto"/>
          <w:highlight w:val="none"/>
          <w:lang w:val="en-US"/>
        </w:rPr>
      </w:pPr>
      <w:bookmarkStart w:id="385" w:name="_Toc26905"/>
      <w:r>
        <w:rPr>
          <w:color w:val="auto"/>
          <w:highlight w:val="none"/>
        </w:rPr>
        <w:t>16.2.</w:t>
      </w:r>
      <w:r>
        <w:rPr>
          <w:color w:val="auto"/>
          <w:highlight w:val="none"/>
          <w:lang w:val="en-US"/>
        </w:rPr>
        <w:t>2</w:t>
      </w:r>
      <w:r>
        <w:rPr>
          <w:color w:val="auto"/>
          <w:highlight w:val="none"/>
        </w:rPr>
        <w:t xml:space="preserve">  </w:t>
      </w:r>
      <w:r>
        <w:rPr>
          <w:rFonts w:hint="eastAsia"/>
          <w:color w:val="auto"/>
          <w:highlight w:val="none"/>
          <w:lang w:val="en-US"/>
        </w:rPr>
        <w:t>信息通信系统</w:t>
      </w:r>
      <w:bookmarkEnd w:id="385"/>
    </w:p>
    <w:p>
      <w:pPr>
        <w:pStyle w:val="67"/>
        <w:rPr>
          <w:rFonts w:hint="eastAsia"/>
          <w:color w:val="auto"/>
          <w:highlight w:val="none"/>
        </w:rPr>
      </w:pPr>
      <w:r>
        <w:rPr>
          <w:color w:val="auto"/>
          <w:highlight w:val="none"/>
        </w:rPr>
        <w:t xml:space="preserve">16.2.2.1  </w:t>
      </w:r>
      <w:r>
        <w:rPr>
          <w:rFonts w:hint="eastAsia"/>
          <w:color w:val="auto"/>
          <w:highlight w:val="none"/>
        </w:rPr>
        <w:t>信息通信系统包括的项目内容</w:t>
      </w:r>
    </w:p>
    <w:p>
      <w:pPr>
        <w:pStyle w:val="67"/>
        <w:rPr>
          <w:rFonts w:hint="eastAsia"/>
          <w:color w:val="auto"/>
          <w:highlight w:val="none"/>
          <w:lang w:val="en-US"/>
        </w:rPr>
      </w:pPr>
      <w:r>
        <w:rPr>
          <w:rFonts w:hint="eastAsia"/>
          <w:color w:val="auto"/>
          <w:highlight w:val="none"/>
        </w:rPr>
        <w:t>全厂信息通信系统主要包括：</w:t>
      </w:r>
    </w:p>
    <w:p>
      <w:pPr>
        <w:pStyle w:val="76"/>
        <w:rPr>
          <w:color w:val="auto"/>
          <w:highlight w:val="none"/>
        </w:rPr>
      </w:pPr>
      <w:r>
        <w:rPr>
          <w:color w:val="auto"/>
          <w:highlight w:val="none"/>
        </w:rPr>
        <w:t xml:space="preserve">(1) </w:t>
      </w:r>
      <w:r>
        <w:rPr>
          <w:rFonts w:hint="eastAsia"/>
          <w:color w:val="auto"/>
          <w:highlight w:val="none"/>
        </w:rPr>
        <w:t>系统通信</w:t>
      </w:r>
    </w:p>
    <w:p>
      <w:pPr>
        <w:pStyle w:val="76"/>
        <w:rPr>
          <w:color w:val="auto"/>
          <w:highlight w:val="none"/>
        </w:rPr>
      </w:pPr>
      <w:r>
        <w:rPr>
          <w:rFonts w:hint="eastAsia"/>
          <w:color w:val="auto"/>
          <w:highlight w:val="none"/>
        </w:rPr>
        <w:t>包括：系统光传输设备、调度数据网、调度语音交换设备等。</w:t>
      </w:r>
    </w:p>
    <w:p>
      <w:pPr>
        <w:pStyle w:val="76"/>
        <w:rPr>
          <w:color w:val="auto"/>
          <w:highlight w:val="none"/>
        </w:rPr>
      </w:pPr>
      <w:r>
        <w:rPr>
          <w:color w:val="auto"/>
          <w:highlight w:val="none"/>
        </w:rPr>
        <w:t xml:space="preserve">(2) </w:t>
      </w:r>
      <w:r>
        <w:rPr>
          <w:rFonts w:hint="eastAsia"/>
          <w:color w:val="auto"/>
          <w:highlight w:val="none"/>
        </w:rPr>
        <w:t>厂内通信</w:t>
      </w:r>
    </w:p>
    <w:p>
      <w:pPr>
        <w:pStyle w:val="76"/>
        <w:rPr>
          <w:color w:val="auto"/>
          <w:highlight w:val="none"/>
        </w:rPr>
      </w:pPr>
      <w:r>
        <w:rPr>
          <w:rFonts w:hint="eastAsia"/>
          <w:color w:val="auto"/>
          <w:highlight w:val="none"/>
        </w:rPr>
        <w:t>包括：厂内光传输设备、厂内光缆、行政语音通信系统、程控调度交换机系统、应急通信、充水和机组调试通信保障等。</w:t>
      </w:r>
    </w:p>
    <w:p>
      <w:pPr>
        <w:pStyle w:val="76"/>
        <w:rPr>
          <w:color w:val="auto"/>
          <w:highlight w:val="none"/>
        </w:rPr>
      </w:pPr>
      <w:r>
        <w:rPr>
          <w:color w:val="auto"/>
          <w:highlight w:val="none"/>
        </w:rPr>
        <w:t xml:space="preserve">(3) </w:t>
      </w:r>
      <w:r>
        <w:rPr>
          <w:rFonts w:hint="eastAsia"/>
          <w:color w:val="auto"/>
          <w:highlight w:val="none"/>
        </w:rPr>
        <w:t>现场弱电系统</w:t>
      </w:r>
    </w:p>
    <w:p>
      <w:pPr>
        <w:pStyle w:val="76"/>
        <w:rPr>
          <w:color w:val="auto"/>
          <w:highlight w:val="none"/>
        </w:rPr>
      </w:pPr>
      <w:r>
        <w:rPr>
          <w:rFonts w:hint="eastAsia"/>
          <w:color w:val="auto"/>
          <w:highlight w:val="none"/>
        </w:rPr>
        <w:t>包括：集控数据网络、视频会议系统、综合布线、综合数据网络、视频监控系统、门禁系统、火灾报警控制系统等。</w:t>
      </w:r>
    </w:p>
    <w:p>
      <w:pPr>
        <w:pStyle w:val="76"/>
        <w:rPr>
          <w:color w:val="auto"/>
          <w:highlight w:val="none"/>
        </w:rPr>
      </w:pPr>
      <w:r>
        <w:rPr>
          <w:color w:val="auto"/>
          <w:highlight w:val="none"/>
        </w:rPr>
        <w:t xml:space="preserve">(4) </w:t>
      </w:r>
      <w:r>
        <w:rPr>
          <w:rFonts w:hint="eastAsia"/>
          <w:color w:val="auto"/>
          <w:highlight w:val="none"/>
        </w:rPr>
        <w:t>机房装修和电源系统</w:t>
      </w:r>
    </w:p>
    <w:p>
      <w:pPr>
        <w:pStyle w:val="76"/>
        <w:rPr>
          <w:color w:val="auto"/>
          <w:highlight w:val="none"/>
        </w:rPr>
      </w:pPr>
      <w:r>
        <w:rPr>
          <w:rFonts w:hint="eastAsia"/>
          <w:color w:val="auto"/>
          <w:highlight w:val="none"/>
        </w:rPr>
        <w:t>包括：信通机房及其辅助系统、通信电源系统、UPS电源系统等。</w:t>
      </w:r>
    </w:p>
    <w:p>
      <w:pPr>
        <w:pStyle w:val="76"/>
        <w:rPr>
          <w:color w:val="auto"/>
          <w:highlight w:val="none"/>
        </w:rPr>
      </w:pPr>
      <w:r>
        <w:rPr>
          <w:color w:val="auto"/>
          <w:highlight w:val="none"/>
        </w:rPr>
        <w:t xml:space="preserve">(5) </w:t>
      </w:r>
      <w:r>
        <w:rPr>
          <w:rFonts w:hint="eastAsia"/>
          <w:color w:val="auto"/>
          <w:highlight w:val="none"/>
        </w:rPr>
        <w:t>信息系统推广与实施</w:t>
      </w:r>
    </w:p>
    <w:p>
      <w:pPr>
        <w:pStyle w:val="76"/>
        <w:rPr>
          <w:color w:val="auto"/>
          <w:highlight w:val="none"/>
        </w:rPr>
      </w:pPr>
      <w:r>
        <w:rPr>
          <w:color w:val="auto"/>
          <w:highlight w:val="none"/>
        </w:rPr>
        <w:t xml:space="preserve">(6) </w:t>
      </w:r>
      <w:r>
        <w:rPr>
          <w:rFonts w:hint="eastAsia"/>
          <w:color w:val="auto"/>
          <w:highlight w:val="none"/>
        </w:rPr>
        <w:t>信息基础设施</w:t>
      </w:r>
    </w:p>
    <w:p>
      <w:pPr>
        <w:keepNext/>
        <w:keepLines/>
        <w:spacing w:before="60" w:after="60" w:line="460" w:lineRule="exact"/>
        <w:outlineLvl w:val="2"/>
        <w:rPr>
          <w:rFonts w:ascii="Times New Roman" w:hAnsi="Times New Roman" w:eastAsia="黑体" w:cs="Times New Roman"/>
          <w:color w:val="auto"/>
          <w:kern w:val="0"/>
          <w:sz w:val="24"/>
          <w:szCs w:val="20"/>
          <w:highlight w:val="none"/>
        </w:rPr>
      </w:pPr>
      <w:bookmarkStart w:id="386" w:name="_Toc387821761"/>
      <w:bookmarkStart w:id="387" w:name="_Toc32493"/>
      <w:r>
        <w:rPr>
          <w:rFonts w:ascii="Times New Roman" w:hAnsi="Times New Roman" w:eastAsia="黑体" w:cs="Times New Roman"/>
          <w:color w:val="auto"/>
          <w:kern w:val="0"/>
          <w:sz w:val="24"/>
          <w:szCs w:val="20"/>
          <w:highlight w:val="none"/>
        </w:rPr>
        <w:t xml:space="preserve">16.2.3  </w:t>
      </w:r>
      <w:r>
        <w:rPr>
          <w:rFonts w:hint="eastAsia" w:ascii="Times New Roman" w:hAnsi="Times New Roman" w:eastAsia="黑体" w:cs="Times New Roman"/>
          <w:color w:val="auto"/>
          <w:kern w:val="0"/>
          <w:sz w:val="24"/>
          <w:szCs w:val="20"/>
          <w:highlight w:val="none"/>
        </w:rPr>
        <w:t>照明工程</w:t>
      </w:r>
      <w:bookmarkEnd w:id="386"/>
      <w:bookmarkEnd w:id="387"/>
    </w:p>
    <w:p>
      <w:pPr>
        <w:spacing w:line="360" w:lineRule="auto"/>
        <w:ind w:firstLine="510"/>
        <w:rPr>
          <w:rFonts w:hint="eastAsia"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全厂照明系统，主要包括：主副厂房、安装场、主变洞、母线洞、高压电缆斜洞及平洞、排水廊道、进厂交通洞、通风兼安全洞、尾闸室、施工交通洞等照明系统灯具及装置性材料的采购和安装。</w:t>
      </w:r>
    </w:p>
    <w:p>
      <w:pPr>
        <w:spacing w:line="360" w:lineRule="auto"/>
        <w:ind w:firstLine="510"/>
        <w:rPr>
          <w:rFonts w:hint="eastAsia"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应急照明系统：设置直流逆变电源装置对地下厂房备用照明、安全照明的应急照明等进行备用供电。在厂内交流电源失电时，通过将厂内直流电逆变为交流为地下厂房应急照明灯供电。</w:t>
      </w:r>
    </w:p>
    <w:p>
      <w:pPr>
        <w:spacing w:line="360" w:lineRule="auto"/>
        <w:ind w:firstLine="510"/>
        <w:rPr>
          <w:rFonts w:hint="eastAsia"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消防应急照明系统：为确保厂房内的工作人员的安全疏散，在主厂房、副厂房、尾水事故闸门室等建筑物的楼梯、出入口、通道及转弯处都装设有消防应急照明灯具及疏散指示标志。</w:t>
      </w:r>
    </w:p>
    <w:p>
      <w:pPr>
        <w:spacing w:line="360" w:lineRule="auto"/>
        <w:ind w:firstLine="510"/>
        <w:rPr>
          <w:rFonts w:hint="eastAsia" w:ascii="Times New Roman" w:hAnsi="Times New Roman" w:cs="Times New Roman"/>
          <w:color w:val="auto"/>
          <w:kern w:val="0"/>
          <w:sz w:val="24"/>
          <w:szCs w:val="20"/>
          <w:highlight w:val="none"/>
        </w:rPr>
      </w:pPr>
      <w:bookmarkStart w:id="388" w:name="OLE_LINK11"/>
      <w:bookmarkEnd w:id="388"/>
      <w:bookmarkStart w:id="389" w:name="OLE_LINK10"/>
      <w:r>
        <w:rPr>
          <w:rFonts w:hint="eastAsia" w:ascii="Times New Roman" w:hAnsi="Times New Roman" w:cs="Times New Roman"/>
          <w:color w:val="auto"/>
          <w:kern w:val="0"/>
          <w:sz w:val="24"/>
          <w:szCs w:val="20"/>
          <w:highlight w:val="none"/>
        </w:rPr>
        <w:t>本标负责正常照明系统及应急照明系统所有设备的采购安装及消防应急照明系统电缆预埋管安装，本部分主要安装工作包括以下内容：</w:t>
      </w:r>
      <w:bookmarkEnd w:id="389"/>
    </w:p>
    <w:p>
      <w:pPr>
        <w:keepNext w:val="0"/>
        <w:keepLines w:val="0"/>
        <w:spacing w:line="360" w:lineRule="auto"/>
        <w:ind w:firstLine="0"/>
        <w:outlineLvl w:val="9"/>
        <w:rPr>
          <w:rFonts w:hint="eastAsia" w:ascii="Times New Roman" w:hAnsi="Times New Roman" w:cs="Times New Roman"/>
          <w:b w:val="0"/>
          <w:bCs w:val="0"/>
          <w:color w:val="auto"/>
          <w:kern w:val="0"/>
          <w:sz w:val="24"/>
          <w:szCs w:val="20"/>
          <w:highlight w:val="none"/>
        </w:rPr>
      </w:pPr>
      <w:bookmarkStart w:id="390" w:name="_Toc524940537"/>
      <w:bookmarkStart w:id="391" w:name="_Toc522716132"/>
      <w:bookmarkStart w:id="392" w:name="_Toc522347951"/>
      <w:bookmarkStart w:id="393" w:name="_Toc522716370"/>
      <w:r>
        <w:rPr>
          <w:rFonts w:hint="eastAsia" w:ascii="Times New Roman" w:hAnsi="Times New Roman" w:cs="Times New Roman"/>
          <w:b w:val="0"/>
          <w:bCs w:val="0"/>
          <w:color w:val="auto"/>
          <w:kern w:val="0"/>
          <w:sz w:val="24"/>
          <w:szCs w:val="20"/>
          <w:highlight w:val="none"/>
        </w:rPr>
        <w:t>16.2.3.1  地下厂房设应急照明逆变电源屏1面。安装地点和型号详见施工图，本标负责地下厂房应急照明逆变柜（EPS）安装。</w:t>
      </w:r>
      <w:bookmarkEnd w:id="390"/>
      <w:bookmarkEnd w:id="391"/>
      <w:bookmarkEnd w:id="392"/>
      <w:bookmarkEnd w:id="393"/>
    </w:p>
    <w:p>
      <w:pPr>
        <w:keepNext w:val="0"/>
        <w:keepLines w:val="0"/>
        <w:spacing w:line="360" w:lineRule="auto"/>
        <w:ind w:firstLine="0"/>
        <w:outlineLvl w:val="9"/>
        <w:rPr>
          <w:rFonts w:hint="eastAsia" w:ascii="Times New Roman" w:hAnsi="Times New Roman" w:cs="Times New Roman"/>
          <w:color w:val="auto"/>
          <w:kern w:val="0"/>
          <w:sz w:val="24"/>
          <w:szCs w:val="20"/>
          <w:highlight w:val="none"/>
        </w:rPr>
      </w:pPr>
      <w:bookmarkStart w:id="394" w:name="_Toc522716133"/>
      <w:bookmarkStart w:id="395" w:name="_Toc524940538"/>
      <w:bookmarkStart w:id="396" w:name="_Toc522716371"/>
      <w:bookmarkStart w:id="397" w:name="_Toc522347952"/>
      <w:r>
        <w:rPr>
          <w:rFonts w:hint="eastAsia" w:ascii="Times New Roman" w:hAnsi="Times New Roman" w:cs="Times New Roman"/>
          <w:color w:val="auto"/>
          <w:kern w:val="0"/>
          <w:sz w:val="24"/>
          <w:szCs w:val="20"/>
          <w:highlight w:val="none"/>
        </w:rPr>
        <w:t>16.2.3.2</w:t>
      </w:r>
      <w:bookmarkEnd w:id="394"/>
      <w:bookmarkEnd w:id="395"/>
      <w:bookmarkEnd w:id="396"/>
      <w:bookmarkEnd w:id="397"/>
      <w:r>
        <w:rPr>
          <w:rFonts w:hint="eastAsia" w:ascii="Times New Roman" w:hAnsi="Times New Roman" w:cs="Times New Roman"/>
          <w:color w:val="auto"/>
          <w:kern w:val="0"/>
          <w:sz w:val="24"/>
          <w:szCs w:val="20"/>
          <w:highlight w:val="none"/>
        </w:rPr>
        <w:t xml:space="preserve">  照明配电箱采用嵌墙式安装为主、壁挂式明装为辅的安装方式。具体安装地点和型号详见施工图。</w:t>
      </w:r>
    </w:p>
    <w:p>
      <w:pPr>
        <w:keepNext w:val="0"/>
        <w:keepLines w:val="0"/>
        <w:spacing w:line="360" w:lineRule="auto"/>
        <w:ind w:firstLine="0"/>
        <w:outlineLvl w:val="9"/>
        <w:rPr>
          <w:rFonts w:hint="eastAsia" w:ascii="Times New Roman" w:hAnsi="Times New Roman" w:cs="Times New Roman"/>
          <w:color w:val="auto"/>
          <w:kern w:val="0"/>
          <w:sz w:val="24"/>
          <w:szCs w:val="20"/>
          <w:highlight w:val="none"/>
        </w:rPr>
      </w:pPr>
      <w:bookmarkStart w:id="398" w:name="_Toc524940539"/>
      <w:bookmarkStart w:id="399" w:name="_Toc522716372"/>
      <w:bookmarkStart w:id="400" w:name="_Toc522716134"/>
      <w:bookmarkStart w:id="401" w:name="_Toc522347953"/>
      <w:r>
        <w:rPr>
          <w:rFonts w:hint="eastAsia" w:ascii="Times New Roman" w:hAnsi="Times New Roman" w:cs="Times New Roman"/>
          <w:color w:val="auto"/>
          <w:kern w:val="0"/>
          <w:sz w:val="24"/>
          <w:szCs w:val="20"/>
          <w:highlight w:val="none"/>
        </w:rPr>
        <w:t xml:space="preserve">16.2.3.3  </w:t>
      </w:r>
      <w:bookmarkEnd w:id="398"/>
      <w:bookmarkEnd w:id="399"/>
      <w:bookmarkEnd w:id="400"/>
      <w:bookmarkEnd w:id="401"/>
      <w:r>
        <w:rPr>
          <w:rFonts w:hint="eastAsia" w:ascii="Times New Roman" w:hAnsi="Times New Roman" w:cs="Times New Roman"/>
          <w:color w:val="auto"/>
          <w:kern w:val="0"/>
          <w:sz w:val="24"/>
          <w:szCs w:val="20"/>
          <w:highlight w:val="none"/>
        </w:rPr>
        <w:t>工作照明电压采用380/220V，中性点直接接地的三相五线制系统。事故照明采用逆变电源装置交流220V电源供电。</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电线采用</w:t>
      </w:r>
      <w:r>
        <w:rPr>
          <w:rFonts w:ascii="Times New Roman" w:hAnsi="Times New Roman" w:cs="Times New Roman"/>
          <w:color w:val="auto"/>
          <w:kern w:val="0"/>
          <w:sz w:val="24"/>
          <w:szCs w:val="24"/>
          <w:highlight w:val="none"/>
        </w:rPr>
        <w:t>ZABV-1.5</w:t>
      </w:r>
      <w:r>
        <w:rPr>
          <w:rFonts w:ascii="Times New Roman" w:hAnsi="宋体" w:cs="Times New Roman"/>
          <w:color w:val="auto"/>
          <w:kern w:val="0"/>
          <w:sz w:val="24"/>
          <w:szCs w:val="24"/>
          <w:highlight w:val="none"/>
        </w:rPr>
        <w:t>～</w:t>
      </w:r>
      <w:r>
        <w:rPr>
          <w:rFonts w:ascii="Times New Roman" w:hAnsi="Times New Roman" w:cs="Times New Roman"/>
          <w:color w:val="auto"/>
          <w:kern w:val="0"/>
          <w:sz w:val="24"/>
          <w:szCs w:val="24"/>
          <w:highlight w:val="none"/>
        </w:rPr>
        <w:t>16mm</w:t>
      </w:r>
      <w:r>
        <w:rPr>
          <w:rFonts w:ascii="Times New Roman" w:hAnsi="Times New Roman" w:cs="Times New Roman"/>
          <w:color w:val="auto"/>
          <w:kern w:val="0"/>
          <w:sz w:val="24"/>
          <w:szCs w:val="24"/>
          <w:highlight w:val="none"/>
          <w:vertAlign w:val="superscript"/>
        </w:rPr>
        <w:t>2</w:t>
      </w:r>
      <w:r>
        <w:rPr>
          <w:rFonts w:ascii="Times New Roman" w:hAnsi="宋体" w:cs="Times New Roman"/>
          <w:color w:val="auto"/>
          <w:kern w:val="0"/>
          <w:sz w:val="24"/>
          <w:szCs w:val="24"/>
          <w:highlight w:val="none"/>
        </w:rPr>
        <w:t>铜芯塑料线。</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电缆为WD</w:t>
      </w:r>
      <w:r>
        <w:rPr>
          <w:rFonts w:ascii="Times New Roman" w:hAnsi="Times New Roman" w:cs="Times New Roman"/>
          <w:color w:val="auto"/>
          <w:kern w:val="0"/>
          <w:sz w:val="24"/>
          <w:szCs w:val="24"/>
          <w:highlight w:val="none"/>
        </w:rPr>
        <w:t>ZA-YJY</w:t>
      </w:r>
      <w:r>
        <w:rPr>
          <w:rFonts w:ascii="Times New Roman" w:hAnsi="Times New Roman" w:cs="Times New Roman"/>
          <w:color w:val="auto"/>
          <w:kern w:val="0"/>
          <w:sz w:val="24"/>
          <w:szCs w:val="24"/>
          <w:highlight w:val="none"/>
          <w:vertAlign w:val="subscript"/>
        </w:rPr>
        <w:t>23</w:t>
      </w:r>
      <w:r>
        <w:rPr>
          <w:rFonts w:ascii="Times New Roman" w:hAnsi="宋体" w:cs="Times New Roman"/>
          <w:color w:val="auto"/>
          <w:kern w:val="0"/>
          <w:sz w:val="24"/>
          <w:szCs w:val="24"/>
          <w:highlight w:val="none"/>
        </w:rPr>
        <w:t>型。</w:t>
      </w:r>
    </w:p>
    <w:p>
      <w:pPr>
        <w:keepNext w:val="0"/>
        <w:keepLines w:val="0"/>
        <w:spacing w:line="360" w:lineRule="auto"/>
        <w:ind w:firstLine="0"/>
        <w:outlineLvl w:val="9"/>
        <w:rPr>
          <w:rFonts w:hint="eastAsia" w:ascii="Times New Roman" w:hAnsi="Times New Roman" w:cs="Times New Roman"/>
          <w:color w:val="auto"/>
          <w:kern w:val="0"/>
          <w:sz w:val="24"/>
          <w:szCs w:val="20"/>
          <w:highlight w:val="none"/>
        </w:rPr>
      </w:pPr>
      <w:bookmarkStart w:id="402" w:name="_Toc522716135"/>
      <w:bookmarkStart w:id="403" w:name="_Toc522716373"/>
      <w:bookmarkStart w:id="404" w:name="_Toc522347954"/>
      <w:bookmarkStart w:id="405" w:name="_Toc524940540"/>
      <w:r>
        <w:rPr>
          <w:rFonts w:hint="eastAsia" w:ascii="Times New Roman" w:hAnsi="Times New Roman" w:cs="Times New Roman"/>
          <w:color w:val="auto"/>
          <w:kern w:val="0"/>
          <w:sz w:val="24"/>
          <w:szCs w:val="20"/>
          <w:highlight w:val="none"/>
        </w:rPr>
        <w:t>16.2.3.4  各类照明灯具型号及数量以施工图为准。</w:t>
      </w:r>
      <w:bookmarkEnd w:id="402"/>
      <w:bookmarkEnd w:id="403"/>
      <w:bookmarkEnd w:id="404"/>
      <w:bookmarkEnd w:id="405"/>
      <w:r>
        <w:rPr>
          <w:rFonts w:hint="eastAsia" w:ascii="Times New Roman" w:hAnsi="Times New Roman" w:cs="Times New Roman"/>
          <w:color w:val="auto"/>
          <w:kern w:val="0"/>
          <w:sz w:val="24"/>
          <w:szCs w:val="20"/>
          <w:highlight w:val="none"/>
        </w:rPr>
        <w:t>技术要求如下：</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（1）标志灯(疏散指示灯</w:t>
      </w:r>
      <w:r>
        <w:rPr>
          <w:rFonts w:ascii="Times New Roman" w:hAnsi="Times New Roman" w:cs="Times New Roman"/>
          <w:color w:val="auto"/>
          <w:kern w:val="0"/>
          <w:sz w:val="24"/>
          <w:szCs w:val="20"/>
          <w:highlight w:val="none"/>
        </w:rPr>
        <w:t>)</w:t>
      </w:r>
      <w:r>
        <w:rPr>
          <w:rFonts w:hint="eastAsia" w:ascii="Times New Roman" w:hAnsi="Times New Roman" w:cs="Times New Roman"/>
          <w:color w:val="auto"/>
          <w:kern w:val="0"/>
          <w:sz w:val="24"/>
          <w:szCs w:val="20"/>
          <w:highlight w:val="none"/>
        </w:rPr>
        <w:t>主要技术要求</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采用的标志灯为挂墙式安装、吊装或嵌墙式安装。标志灯及主要元器件应采用符合国家有关标准的定型产品。</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标志灯</w:t>
      </w:r>
      <w:r>
        <w:rPr>
          <w:rFonts w:ascii="Times New Roman" w:hAnsi="宋体" w:cs="Times New Roman"/>
          <w:color w:val="auto"/>
          <w:kern w:val="0"/>
          <w:sz w:val="24"/>
          <w:szCs w:val="24"/>
          <w:highlight w:val="none"/>
        </w:rPr>
        <w:t>工作</w:t>
      </w:r>
      <w:r>
        <w:rPr>
          <w:rFonts w:hint="eastAsia" w:ascii="Times New Roman" w:hAnsi="Times New Roman" w:cs="Times New Roman"/>
          <w:color w:val="auto"/>
          <w:kern w:val="0"/>
          <w:sz w:val="24"/>
          <w:szCs w:val="20"/>
          <w:highlight w:val="none"/>
        </w:rPr>
        <w:t>方式：在厂用电源（交流220V）正常时标志灯不工作，对内部自带的电池进行浮充电；当厂用电源发生故障时投入工作，由内部自带的应急电池套件供电；当厂用电源恢复正常时退出工作状态，并对内部自带的应急电池进行浮充电</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1）采用3W</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LED光源。</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2）电子</w:t>
      </w:r>
      <w:r>
        <w:rPr>
          <w:rFonts w:ascii="Times New Roman" w:hAnsi="宋体" w:cs="Times New Roman"/>
          <w:color w:val="auto"/>
          <w:kern w:val="0"/>
          <w:sz w:val="24"/>
          <w:szCs w:val="24"/>
          <w:highlight w:val="none"/>
        </w:rPr>
        <w:t>元器件</w:t>
      </w:r>
      <w:r>
        <w:rPr>
          <w:rFonts w:hint="eastAsia" w:ascii="Times New Roman" w:hAnsi="Times New Roman" w:cs="Times New Roman"/>
          <w:color w:val="auto"/>
          <w:kern w:val="0"/>
          <w:sz w:val="24"/>
          <w:szCs w:val="20"/>
          <w:highlight w:val="none"/>
        </w:rPr>
        <w:t>应进行防潮、防霉、防盐雾处理。</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0"/>
          <w:highlight w:val="none"/>
        </w:rPr>
        <w:t>3）灯体应</w:t>
      </w:r>
      <w:r>
        <w:rPr>
          <w:rFonts w:ascii="Times New Roman" w:hAnsi="宋体" w:cs="Times New Roman"/>
          <w:color w:val="auto"/>
          <w:kern w:val="0"/>
          <w:sz w:val="24"/>
          <w:szCs w:val="24"/>
          <w:highlight w:val="none"/>
        </w:rPr>
        <w:t>采用</w:t>
      </w:r>
      <w:r>
        <w:rPr>
          <w:rFonts w:hint="eastAsia" w:ascii="Times New Roman" w:hAnsi="Times New Roman" w:cs="Times New Roman"/>
          <w:color w:val="auto"/>
          <w:kern w:val="0"/>
          <w:sz w:val="24"/>
          <w:szCs w:val="20"/>
          <w:highlight w:val="none"/>
        </w:rPr>
        <w:t>不燃（或难燃）材料制造，内部连线宜采用耐温不小于105℃的</w:t>
      </w:r>
      <w:r>
        <w:rPr>
          <w:rFonts w:hint="eastAsia" w:ascii="Times New Roman" w:hAnsi="Times New Roman" w:cs="Times New Roman"/>
          <w:color w:val="auto"/>
          <w:kern w:val="0"/>
          <w:sz w:val="24"/>
          <w:szCs w:val="24"/>
          <w:highlight w:val="none"/>
        </w:rPr>
        <w:t>导线。</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4）应急</w:t>
      </w:r>
      <w:r>
        <w:rPr>
          <w:rFonts w:ascii="Times New Roman" w:hAnsi="宋体" w:cs="Times New Roman"/>
          <w:color w:val="auto"/>
          <w:kern w:val="0"/>
          <w:sz w:val="24"/>
          <w:szCs w:val="24"/>
          <w:highlight w:val="none"/>
        </w:rPr>
        <w:t>转换时间</w:t>
      </w:r>
      <w:r>
        <w:rPr>
          <w:rFonts w:hint="eastAsia" w:ascii="Times New Roman" w:hAnsi="Times New Roman" w:cs="Times New Roman"/>
          <w:color w:val="auto"/>
          <w:kern w:val="0"/>
          <w:sz w:val="24"/>
          <w:szCs w:val="20"/>
          <w:highlight w:val="none"/>
        </w:rPr>
        <w:t>应≤5</w:t>
      </w:r>
      <w:r>
        <w:rPr>
          <w:rFonts w:ascii="Times New Roman" w:hAnsi="Times New Roman" w:cs="Times New Roman"/>
          <w:color w:val="auto"/>
          <w:kern w:val="0"/>
          <w:sz w:val="24"/>
          <w:szCs w:val="20"/>
          <w:highlight w:val="none"/>
        </w:rPr>
        <w:t>s</w:t>
      </w:r>
      <w:r>
        <w:rPr>
          <w:rFonts w:hint="eastAsia" w:ascii="Times New Roman" w:hAnsi="Times New Roman" w:cs="Times New Roman"/>
          <w:color w:val="auto"/>
          <w:kern w:val="0"/>
          <w:sz w:val="24"/>
          <w:szCs w:val="20"/>
          <w:highlight w:val="none"/>
        </w:rPr>
        <w:t>，应急工作时间应≥</w:t>
      </w:r>
      <w:r>
        <w:rPr>
          <w:rFonts w:ascii="Times New Roman" w:hAnsi="Times New Roman" w:cs="Times New Roman"/>
          <w:color w:val="auto"/>
          <w:kern w:val="0"/>
          <w:sz w:val="24"/>
          <w:szCs w:val="20"/>
          <w:highlight w:val="none"/>
        </w:rPr>
        <w:t>180min</w:t>
      </w:r>
      <w:r>
        <w:rPr>
          <w:rFonts w:hint="eastAsia" w:ascii="Times New Roman" w:hAnsi="Times New Roman" w:cs="Times New Roman"/>
          <w:color w:val="auto"/>
          <w:kern w:val="0"/>
          <w:sz w:val="24"/>
          <w:szCs w:val="20"/>
          <w:highlight w:val="none"/>
        </w:rPr>
        <w:t>。</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5）应设置</w:t>
      </w:r>
      <w:r>
        <w:rPr>
          <w:rFonts w:ascii="Times New Roman" w:hAnsi="宋体" w:cs="Times New Roman"/>
          <w:color w:val="auto"/>
          <w:kern w:val="0"/>
          <w:sz w:val="24"/>
          <w:szCs w:val="24"/>
          <w:highlight w:val="none"/>
        </w:rPr>
        <w:t>状态</w:t>
      </w:r>
      <w:r>
        <w:rPr>
          <w:rFonts w:hint="eastAsia" w:ascii="Times New Roman" w:hAnsi="Times New Roman" w:cs="Times New Roman"/>
          <w:color w:val="auto"/>
          <w:kern w:val="0"/>
          <w:sz w:val="24"/>
          <w:szCs w:val="20"/>
          <w:highlight w:val="none"/>
        </w:rPr>
        <w:t>指示灯。</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 xml:space="preserve">  </w:t>
      </w:r>
      <w:r>
        <w:rPr>
          <w:rFonts w:ascii="Times New Roman" w:hAnsi="宋体" w:cs="Times New Roman"/>
          <w:color w:val="auto"/>
          <w:kern w:val="0"/>
          <w:sz w:val="24"/>
          <w:szCs w:val="24"/>
          <w:highlight w:val="none"/>
        </w:rPr>
        <w:t xml:space="preserve"> </w:t>
      </w:r>
      <w:bookmarkStart w:id="406" w:name="_Toc1633287"/>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2</w:t>
      </w:r>
      <w:r>
        <w:rPr>
          <w:rFonts w:hint="eastAsia" w:ascii="Times New Roman" w:hAnsi="宋体" w:cs="Times New Roman"/>
          <w:color w:val="auto"/>
          <w:kern w:val="0"/>
          <w:sz w:val="24"/>
          <w:szCs w:val="24"/>
          <w:highlight w:val="none"/>
        </w:rPr>
        <w:t>）正常</w:t>
      </w:r>
      <w:r>
        <w:rPr>
          <w:rFonts w:ascii="Times New Roman" w:hAnsi="宋体" w:cs="Times New Roman"/>
          <w:color w:val="auto"/>
          <w:kern w:val="0"/>
          <w:sz w:val="24"/>
          <w:szCs w:val="24"/>
          <w:highlight w:val="none"/>
        </w:rPr>
        <w:t>照明</w:t>
      </w:r>
      <w:r>
        <w:rPr>
          <w:rFonts w:hint="eastAsia" w:ascii="Times New Roman" w:hAnsi="宋体" w:cs="Times New Roman"/>
          <w:color w:val="auto"/>
          <w:kern w:val="0"/>
          <w:sz w:val="24"/>
          <w:szCs w:val="24"/>
          <w:highlight w:val="none"/>
        </w:rPr>
        <w:t>灯具主要技术要求</w:t>
      </w:r>
      <w:bookmarkEnd w:id="406"/>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1）  LED高天棚灯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（a）</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光源： 240W  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≥20000lm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高纯铝；宽配光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高强度钢化玻璃或采用具有耐候性好、具备抗紫外线和抗黄化性能的透镜</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吊杆安装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2）</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LED高天棚灯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光源： 140W  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≥13000lm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高纯铝；宽配光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高强度钢化玻璃或采用具有耐候性好、具备抗紫外线和抗黄化性能的透镜</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吸顶安装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3）</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LED低天棚灯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50W  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高纯铝；宽配光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高强度钢化玻璃或采用具有耐候性好、具备抗紫外线和抗黄化性能的透镜</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IP20及以上</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吸顶或吊杆安装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4）防爆LED平台灯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30W、50WLED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≥2300lm（30W）、≥4000lm（50W）</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 xml:space="preserve"> 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高纯铝；宽配光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高强度钢化玻璃或采用具有耐候性好、具备抗紫外线和抗黄化性能的透镜</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IP66</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壁装或吊杆安装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5</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LED隧道灯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90W  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8000lm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高纯铝；宽配光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高强度钢化玻璃或采用具有耐候性好、具备抗紫外线和抗黄化性能的透镜</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采用安装支架壁装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6</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LED灯箱</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约80W左右</w:t>
      </w:r>
      <w:r>
        <w:rPr>
          <w:rFonts w:ascii="Times New Roman" w:hAnsi="Times New Roman" w:cs="Times New Roman"/>
          <w:color w:val="auto"/>
          <w:kern w:val="0"/>
          <w:sz w:val="24"/>
          <w:szCs w:val="20"/>
          <w:highlight w:val="none"/>
        </w:rPr>
        <w:t xml:space="preserve">  LED </w:t>
      </w:r>
      <w:r>
        <w:rPr>
          <w:rFonts w:hint="eastAsia" w:ascii="Times New Roman" w:hAnsi="Times New Roman" w:cs="Times New Roman"/>
          <w:color w:val="auto"/>
          <w:kern w:val="0"/>
          <w:sz w:val="24"/>
          <w:szCs w:val="20"/>
          <w:highlight w:val="none"/>
        </w:rPr>
        <w:t>（灯珠或灯管）</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≥7200lm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5700K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厚度≥0.5mm高强度钢板；粉体喷塑</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高纯氧化铝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进口乳白胶片</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嵌入式壁装（嵌入装修层中）</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k</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灯箱尺寸</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3000mm×600mm（高×宽）(最终尺寸待与装修方案一起确定）</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7</w:t>
      </w:r>
      <w:r>
        <w:rPr>
          <w:rFonts w:hint="eastAsia" w:ascii="Times New Roman" w:hAnsi="Times New Roman" w:cs="Times New Roman"/>
          <w:color w:val="auto"/>
          <w:kern w:val="0"/>
          <w:sz w:val="24"/>
          <w:szCs w:val="20"/>
          <w:highlight w:val="none"/>
        </w:rPr>
        <w:t>）嵌入式LED发光面板</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36W ，55W  LED </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≥2500lm（36W），</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≥3400lm（55W）</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光源要求：</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无边框全发光面36W</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光源为不可见的全间接照明方式</w:t>
      </w:r>
      <w:r>
        <w:rPr>
          <w:rFonts w:ascii="Times New Roman" w:hAnsi="Times New Roman" w:cs="Times New Roman"/>
          <w:color w:val="auto"/>
          <w:kern w:val="0"/>
          <w:sz w:val="24"/>
          <w:szCs w:val="20"/>
          <w:highlight w:val="none"/>
        </w:rPr>
        <w:t xml:space="preserve"> 55W</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嵌入式吸顶安装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重量：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≤10kg/套</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LED发光面板（36W）</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 600mm×600mm（长×宽）</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LED发光面板（55W）</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 1200mm×600mm（长×宽）</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8</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LED日光灯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32W </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LED </w:t>
      </w:r>
      <w:r>
        <w:rPr>
          <w:rFonts w:hint="eastAsia" w:ascii="Times New Roman" w:hAnsi="Times New Roman" w:cs="Times New Roman"/>
          <w:color w:val="auto"/>
          <w:kern w:val="0"/>
          <w:sz w:val="24"/>
          <w:szCs w:val="20"/>
          <w:highlight w:val="none"/>
        </w:rPr>
        <w:t>T8灯管</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2800lm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≥0.5mm高强度镀锌烤漆钢板</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高纯氧化铝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高透光工程塑料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（抗冲击、耐老化、耐高温）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安装支架壁装、吸顶安装或吊装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镀锌钢或不锈钢安装支架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安装连接杆件、安装配件等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k</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单管（</w:t>
      </w:r>
      <w:r>
        <w:rPr>
          <w:rFonts w:ascii="Times New Roman" w:hAnsi="Times New Roman" w:cs="Times New Roman"/>
          <w:color w:val="auto"/>
          <w:kern w:val="0"/>
          <w:sz w:val="24"/>
          <w:szCs w:val="20"/>
          <w:highlight w:val="none"/>
        </w:rPr>
        <w:t>1</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32</w:t>
      </w:r>
      <w:r>
        <w:rPr>
          <w:rFonts w:hint="eastAsia" w:ascii="Times New Roman" w:hAnsi="Times New Roman" w:cs="Times New Roman"/>
          <w:color w:val="auto"/>
          <w:kern w:val="0"/>
          <w:sz w:val="24"/>
          <w:szCs w:val="20"/>
          <w:highlight w:val="none"/>
        </w:rPr>
        <w:t>W）</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 1200mm×2</w:t>
      </w:r>
      <w:r>
        <w:rPr>
          <w:rFonts w:hint="eastAsia" w:ascii="Times New Roman" w:hAnsi="Times New Roman" w:cs="Times New Roman"/>
          <w:color w:val="auto"/>
          <w:kern w:val="0"/>
          <w:sz w:val="24"/>
          <w:szCs w:val="20"/>
          <w:highlight w:val="none"/>
        </w:rPr>
        <w:t>00mm（长×宽）</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9</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防水防尘型LED日光灯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2×16W </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LED </w:t>
      </w:r>
      <w:r>
        <w:rPr>
          <w:rFonts w:hint="eastAsia" w:ascii="Times New Roman" w:hAnsi="Times New Roman" w:cs="Times New Roman"/>
          <w:color w:val="auto"/>
          <w:kern w:val="0"/>
          <w:sz w:val="24"/>
          <w:szCs w:val="20"/>
          <w:highlight w:val="none"/>
        </w:rPr>
        <w:t>T8灯管</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2600lm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高纯氧化铝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高透光工程塑料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（抗冲击、耐老化、耐高温）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安装支架壁装、吸顶安装或吊装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镀锌钢或不锈钢安装支架、透光护罩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安装连接杆件、安装配件等</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10</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防爆型LED日光灯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2×16W </w:t>
      </w:r>
      <w:r>
        <w:rPr>
          <w:rFonts w:hint="eastAsia" w:ascii="Times New Roman" w:hAnsi="Times New Roman" w:cs="Times New Roman"/>
          <w:color w:val="auto"/>
          <w:kern w:val="0"/>
          <w:sz w:val="24"/>
          <w:szCs w:val="20"/>
          <w:highlight w:val="none"/>
        </w:rPr>
        <w:t xml:space="preserve"> ， LED T8灯管</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功率因数：≥0.95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光通量：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≥1</w:t>
      </w:r>
      <w:r>
        <w:rPr>
          <w:rFonts w:ascii="Times New Roman" w:hAnsi="Times New Roman" w:cs="Times New Roman"/>
          <w:color w:val="auto"/>
          <w:kern w:val="0"/>
          <w:sz w:val="24"/>
          <w:szCs w:val="20"/>
          <w:highlight w:val="none"/>
        </w:rPr>
        <w:t>000lm</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色温：</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6500K</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高纯氧化铝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高透光工程塑料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（抗冲击、耐老化、耐高温）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IP65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防爆等级：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Ⅱ类，2区</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寿命：</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50000小时</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j</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安装支架壁装、吸顶安装或吊装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k</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镀锌钢或不锈钢安装支架、透光护罩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安装连接杆件、安装配件等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l</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双管（2×1</w:t>
      </w:r>
      <w:r>
        <w:rPr>
          <w:rFonts w:ascii="Times New Roman" w:hAnsi="Times New Roman" w:cs="Times New Roman"/>
          <w:color w:val="auto"/>
          <w:kern w:val="0"/>
          <w:sz w:val="24"/>
          <w:szCs w:val="20"/>
          <w:highlight w:val="none"/>
        </w:rPr>
        <w:t>2</w:t>
      </w:r>
      <w:r>
        <w:rPr>
          <w:rFonts w:hint="eastAsia" w:ascii="Times New Roman" w:hAnsi="Times New Roman" w:cs="Times New Roman"/>
          <w:color w:val="auto"/>
          <w:kern w:val="0"/>
          <w:sz w:val="24"/>
          <w:szCs w:val="20"/>
          <w:highlight w:val="none"/>
        </w:rPr>
        <w:t>W）</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 xml:space="preserve"> 1200mm×300mm（长×宽）</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11</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节能吸顶灯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≥0.85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镇流器：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专用电子镇流器</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20W节能灯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高强度钢板；粉体喷塑</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高透光工程塑料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（抗冲击、耐老化、耐高温）</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IP54</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400mm×100mm（扁圆形；直径×厚）</w:t>
      </w:r>
    </w:p>
    <w:p>
      <w:pPr>
        <w:autoSpaceDE w:val="0"/>
        <w:autoSpaceDN w:val="0"/>
        <w:adjustRightInd w:val="0"/>
        <w:spacing w:line="480" w:lineRule="exact"/>
        <w:ind w:firstLine="480" w:firstLineChars="2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12</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筒灯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功率因数：</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≥0.85</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b</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镇流器：</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节能灯</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专用节能灯镇流器</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c</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光源：</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节能灯</w:t>
      </w:r>
      <w:r>
        <w:rPr>
          <w:rFonts w:ascii="Times New Roman" w:hAnsi="Times New Roman" w:cs="Times New Roman"/>
          <w:color w:val="auto"/>
          <w:kern w:val="0"/>
          <w:sz w:val="24"/>
          <w:szCs w:val="20"/>
          <w:highlight w:val="none"/>
        </w:rPr>
        <w:tab/>
      </w:r>
      <w:r>
        <w:rPr>
          <w:rFonts w:ascii="Times New Roman" w:hAnsi="Times New Roman" w:cs="Times New Roman"/>
          <w:color w:val="auto"/>
          <w:kern w:val="0"/>
          <w:sz w:val="24"/>
          <w:szCs w:val="20"/>
          <w:highlight w:val="none"/>
        </w:rPr>
        <w:t xml:space="preserve">16 </w:t>
      </w:r>
      <w:r>
        <w:rPr>
          <w:rFonts w:hint="eastAsia" w:ascii="Times New Roman" w:hAnsi="Times New Roman" w:cs="Times New Roman"/>
          <w:color w:val="auto"/>
          <w:kern w:val="0"/>
          <w:sz w:val="24"/>
          <w:szCs w:val="20"/>
          <w:highlight w:val="none"/>
        </w:rPr>
        <w:t>W节能灯</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d</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结构材质及性能：</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灯体</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高压铸铝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反射器</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高纯铝</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灯罩</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高强度磨砂玻璃或高透光工程塑料</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e</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防护等级：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IP20及以上</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f</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绝缘等级：</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Ⅰ级</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g</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安装方式：</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吊顶内嵌入式安装</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h</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附件：</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安装配件等</w:t>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i</w:t>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灯具外形尺寸：</w:t>
      </w:r>
      <w:r>
        <w:rPr>
          <w:rFonts w:ascii="Times New Roman" w:hAnsi="Times New Roman" w:cs="Times New Roman"/>
          <w:color w:val="auto"/>
          <w:kern w:val="0"/>
          <w:sz w:val="24"/>
          <w:szCs w:val="20"/>
          <w:highlight w:val="none"/>
        </w:rPr>
        <w:tab/>
      </w:r>
    </w:p>
    <w:p>
      <w:pPr>
        <w:autoSpaceDE w:val="0"/>
        <w:autoSpaceDN w:val="0"/>
        <w:adjustRightInd w:val="0"/>
        <w:spacing w:line="480" w:lineRule="exact"/>
        <w:ind w:firstLine="960" w:firstLineChars="400"/>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节能灯</w:t>
      </w:r>
      <w:r>
        <w:rPr>
          <w:rFonts w:ascii="Times New Roman" w:hAnsi="Times New Roman" w:cs="Times New Roman"/>
          <w:color w:val="auto"/>
          <w:kern w:val="0"/>
          <w:sz w:val="24"/>
          <w:szCs w:val="20"/>
          <w:highlight w:val="none"/>
        </w:rPr>
        <w:tab/>
      </w:r>
      <w:r>
        <w:rPr>
          <w:rFonts w:hint="eastAsia" w:ascii="Times New Roman" w:hAnsi="Times New Roman" w:cs="Times New Roman"/>
          <w:color w:val="auto"/>
          <w:kern w:val="0"/>
          <w:sz w:val="24"/>
          <w:szCs w:val="20"/>
          <w:highlight w:val="none"/>
        </w:rPr>
        <w:t>圆形，直径约200mm</w:t>
      </w:r>
    </w:p>
    <w:p>
      <w:pPr>
        <w:keepNext w:val="0"/>
        <w:keepLines w:val="0"/>
        <w:spacing w:line="360" w:lineRule="auto"/>
        <w:ind w:firstLine="0"/>
        <w:outlineLvl w:val="9"/>
        <w:rPr>
          <w:rFonts w:hint="eastAsia" w:ascii="Times New Roman" w:hAnsi="Times New Roman" w:cs="Times New Roman"/>
          <w:b/>
          <w:bCs/>
          <w:color w:val="auto"/>
          <w:kern w:val="0"/>
          <w:sz w:val="24"/>
          <w:szCs w:val="20"/>
          <w:highlight w:val="none"/>
        </w:rPr>
      </w:pPr>
      <w:r>
        <w:rPr>
          <w:rFonts w:hint="eastAsia" w:ascii="Times New Roman" w:hAnsi="Times New Roman" w:cs="Times New Roman"/>
          <w:b/>
          <w:bCs/>
          <w:color w:val="auto"/>
          <w:kern w:val="0"/>
          <w:sz w:val="24"/>
          <w:szCs w:val="20"/>
          <w:highlight w:val="none"/>
        </w:rPr>
        <w:t>16.2.3.5  安装要求</w:t>
      </w:r>
    </w:p>
    <w:p>
      <w:pPr>
        <w:autoSpaceDE w:val="0"/>
        <w:autoSpaceDN w:val="0"/>
        <w:adjustRightInd w:val="0"/>
        <w:spacing w:line="480" w:lineRule="exact"/>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照明配线主要采用穿管暗敷、穿管明敷和线槽明敷方式。具体的规格、数量以施工图纸为准。照明配线具体技术要求如下：</w:t>
      </w:r>
      <w:r>
        <w:rPr>
          <w:rFonts w:ascii="Times New Roman" w:hAnsi="宋体" w:cs="Times New Roman"/>
          <w:color w:val="auto"/>
          <w:kern w:val="0"/>
          <w:sz w:val="24"/>
          <w:szCs w:val="24"/>
          <w:highlight w:val="none"/>
        </w:rPr>
        <w:t xml:space="preserve">   </w:t>
      </w:r>
    </w:p>
    <w:p>
      <w:pPr>
        <w:autoSpaceDE w:val="0"/>
        <w:autoSpaceDN w:val="0"/>
        <w:adjustRightInd w:val="0"/>
        <w:spacing w:line="480" w:lineRule="exact"/>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 xml:space="preserve">    （1）照明配电线路以暗敷为主、明敷为辅的敷设方式。</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2</w:t>
      </w:r>
      <w:r>
        <w:rPr>
          <w:rFonts w:hint="eastAsia" w:ascii="Times New Roman" w:hAnsi="宋体" w:cs="Times New Roman"/>
          <w:color w:val="auto"/>
          <w:kern w:val="0"/>
          <w:sz w:val="24"/>
          <w:szCs w:val="24"/>
          <w:highlight w:val="none"/>
        </w:rPr>
        <w:t>）明配的电管、钢管应壁厚均匀、无劈裂、砂眼、棱刺和凹扁现象。应具有产品材质单。</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3</w:t>
      </w:r>
      <w:r>
        <w:rPr>
          <w:rFonts w:hint="eastAsia" w:ascii="Times New Roman" w:hAnsi="宋体" w:cs="Times New Roman"/>
          <w:color w:val="auto"/>
          <w:kern w:val="0"/>
          <w:sz w:val="24"/>
          <w:szCs w:val="24"/>
          <w:highlight w:val="none"/>
        </w:rPr>
        <w:t>）明配管应横平竖直，其允许偏差为：管路在</w:t>
      </w:r>
      <w:r>
        <w:rPr>
          <w:rFonts w:ascii="Times New Roman" w:hAnsi="宋体" w:cs="Times New Roman"/>
          <w:color w:val="auto"/>
          <w:kern w:val="0"/>
          <w:sz w:val="24"/>
          <w:szCs w:val="24"/>
          <w:highlight w:val="none"/>
        </w:rPr>
        <w:t>2m以内时偏差</w:t>
      </w:r>
      <w:r>
        <w:rPr>
          <w:rFonts w:hint="eastAsia" w:ascii="Times New Roman" w:hAnsi="宋体" w:cs="Times New Roman"/>
          <w:color w:val="auto"/>
          <w:kern w:val="0"/>
          <w:sz w:val="24"/>
          <w:szCs w:val="24"/>
          <w:highlight w:val="none"/>
        </w:rPr>
        <w:t>不大于</w:t>
      </w:r>
      <w:r>
        <w:rPr>
          <w:rFonts w:ascii="Times New Roman" w:hAnsi="宋体" w:cs="Times New Roman"/>
          <w:color w:val="auto"/>
          <w:kern w:val="0"/>
          <w:sz w:val="24"/>
          <w:szCs w:val="24"/>
          <w:highlight w:val="none"/>
        </w:rPr>
        <w:t>3mm，全长不应超过管子内</w:t>
      </w:r>
      <w:r>
        <w:rPr>
          <w:rFonts w:hint="eastAsia" w:ascii="Times New Roman" w:hAnsi="宋体" w:cs="Times New Roman"/>
          <w:color w:val="auto"/>
          <w:kern w:val="0"/>
          <w:sz w:val="24"/>
          <w:szCs w:val="24"/>
          <w:highlight w:val="none"/>
        </w:rPr>
        <w:t>径的</w:t>
      </w:r>
      <w:r>
        <w:rPr>
          <w:rFonts w:ascii="Times New Roman" w:hAnsi="宋体" w:cs="Times New Roman"/>
          <w:color w:val="auto"/>
          <w:kern w:val="0"/>
          <w:sz w:val="24"/>
          <w:szCs w:val="24"/>
          <w:highlight w:val="none"/>
        </w:rPr>
        <w:t>1/2。一律用膨胀螺栓、专用固定夹固定牢固，拐角处弯路一致、美观、防腐层完好。固定点间距、保护管弯曲半径及弯曲处的弯曲程度应符合规范要求</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4</w:t>
      </w:r>
      <w:r>
        <w:rPr>
          <w:rFonts w:hint="eastAsia" w:ascii="Times New Roman" w:hAnsi="宋体" w:cs="Times New Roman"/>
          <w:color w:val="auto"/>
          <w:kern w:val="0"/>
          <w:sz w:val="24"/>
          <w:szCs w:val="24"/>
          <w:highlight w:val="none"/>
        </w:rPr>
        <w:t>）暗敷照明管应完好、通畅无遗漏，深埋，防腐层完好。</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5</w:t>
      </w:r>
      <w:r>
        <w:rPr>
          <w:rFonts w:hint="eastAsia" w:ascii="Times New Roman" w:hAnsi="宋体" w:cs="Times New Roman"/>
          <w:color w:val="auto"/>
          <w:kern w:val="0"/>
          <w:sz w:val="24"/>
          <w:szCs w:val="24"/>
          <w:highlight w:val="none"/>
        </w:rPr>
        <w:t>）明管、暗管应按规范要求可靠接地。</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hint="eastAsia" w:ascii="Times New Roman" w:hAnsi="宋体" w:cs="Times New Roman"/>
          <w:color w:val="auto"/>
          <w:kern w:val="0"/>
          <w:sz w:val="24"/>
          <w:szCs w:val="24"/>
          <w:highlight w:val="none"/>
        </w:rPr>
        <w:t>（</w:t>
      </w:r>
      <w:r>
        <w:rPr>
          <w:rFonts w:ascii="Times New Roman" w:hAnsi="宋体" w:cs="Times New Roman"/>
          <w:color w:val="auto"/>
          <w:kern w:val="0"/>
          <w:sz w:val="24"/>
          <w:szCs w:val="24"/>
          <w:highlight w:val="none"/>
        </w:rPr>
        <w:t>6</w:t>
      </w:r>
      <w:r>
        <w:rPr>
          <w:rFonts w:hint="eastAsia" w:ascii="Times New Roman" w:hAnsi="宋体" w:cs="Times New Roman"/>
          <w:color w:val="auto"/>
          <w:kern w:val="0"/>
          <w:sz w:val="24"/>
          <w:szCs w:val="24"/>
          <w:highlight w:val="none"/>
        </w:rPr>
        <w:t>）应急照明配电线路应满足火灾时连续供电的需要，在敷设时应满足：明敷时（包括敷设在吊顶内），应穿金属导管或采用封闭式金属槽盒保护，金属导管或封闭式金属槽盒应采取防火保护措施；暗敷时，应穿管并敷设在不燃性结构内且保护层厚度不小于</w:t>
      </w:r>
      <w:r>
        <w:rPr>
          <w:rFonts w:ascii="Times New Roman" w:hAnsi="宋体" w:cs="Times New Roman"/>
          <w:color w:val="auto"/>
          <w:kern w:val="0"/>
          <w:sz w:val="24"/>
          <w:szCs w:val="24"/>
          <w:highlight w:val="none"/>
        </w:rPr>
        <w:t>30mm。</w:t>
      </w:r>
    </w:p>
    <w:p>
      <w:pPr>
        <w:autoSpaceDE w:val="0"/>
        <w:autoSpaceDN w:val="0"/>
        <w:adjustRightInd w:val="0"/>
        <w:spacing w:line="480" w:lineRule="exact"/>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16.2.3.6 各种插座型号及数量以施工图为准。</w:t>
      </w:r>
    </w:p>
    <w:p>
      <w:pPr>
        <w:pStyle w:val="76"/>
        <w:rPr>
          <w:rFonts w:hint="eastAsia" w:hAnsi="宋体"/>
          <w:color w:val="auto"/>
          <w:highlight w:val="none"/>
        </w:rPr>
      </w:pPr>
      <w:bookmarkStart w:id="407" w:name="_Toc522716136"/>
      <w:bookmarkStart w:id="408" w:name="_Toc524940541"/>
      <w:bookmarkStart w:id="409" w:name="_Toc522347955"/>
      <w:bookmarkStart w:id="410" w:name="_Toc522716374"/>
      <w:r>
        <w:rPr>
          <w:rFonts w:hAnsi="宋体"/>
          <w:color w:val="auto"/>
          <w:highlight w:val="none"/>
        </w:rPr>
        <w:t>16.2.3.7 各种灯开关灯开关型号及数量以施工图为准。</w:t>
      </w:r>
      <w:bookmarkEnd w:id="407"/>
      <w:bookmarkEnd w:id="408"/>
      <w:bookmarkEnd w:id="409"/>
      <w:bookmarkEnd w:id="410"/>
    </w:p>
    <w:p>
      <w:pPr>
        <w:keepNext/>
        <w:keepLines/>
        <w:spacing w:before="60" w:after="60" w:line="460" w:lineRule="exact"/>
        <w:outlineLvl w:val="2"/>
        <w:rPr>
          <w:rFonts w:ascii="Times New Roman" w:hAnsi="Times New Roman" w:eastAsia="黑体" w:cs="Times New Roman"/>
          <w:color w:val="auto"/>
          <w:kern w:val="0"/>
          <w:sz w:val="24"/>
          <w:szCs w:val="20"/>
          <w:highlight w:val="none"/>
        </w:rPr>
      </w:pPr>
      <w:bookmarkStart w:id="411" w:name="_Toc13247"/>
      <w:r>
        <w:rPr>
          <w:rFonts w:ascii="Times New Roman" w:hAnsi="Times New Roman" w:eastAsia="黑体" w:cs="Times New Roman"/>
          <w:color w:val="auto"/>
          <w:kern w:val="0"/>
          <w:sz w:val="24"/>
          <w:szCs w:val="20"/>
          <w:highlight w:val="none"/>
        </w:rPr>
        <w:t xml:space="preserve">16.2.4 </w:t>
      </w:r>
      <w:r>
        <w:rPr>
          <w:rFonts w:hint="eastAsia" w:ascii="Times New Roman" w:hAnsi="Times New Roman" w:eastAsia="黑体" w:cs="Times New Roman"/>
          <w:color w:val="auto"/>
          <w:kern w:val="0"/>
          <w:sz w:val="24"/>
          <w:szCs w:val="20"/>
          <w:highlight w:val="none"/>
        </w:rPr>
        <w:t xml:space="preserve"> 防雷接地工程</w:t>
      </w:r>
      <w:bookmarkEnd w:id="411"/>
    </w:p>
    <w:p>
      <w:pPr>
        <w:keepNext/>
        <w:keepLines/>
        <w:spacing w:line="460" w:lineRule="exact"/>
        <w:outlineLvl w:val="3"/>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16.2.4.1 总体说明</w:t>
      </w:r>
    </w:p>
    <w:p>
      <w:pPr>
        <w:spacing w:line="500" w:lineRule="atLeas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kern w:val="0"/>
          <w:sz w:val="24"/>
          <w:szCs w:val="24"/>
          <w:highlight w:val="none"/>
        </w:rPr>
        <w:t>本电站接地网主要由</w:t>
      </w:r>
      <w:r>
        <w:rPr>
          <w:rFonts w:hint="eastAsia" w:ascii="Times New Roman" w:hAnsi="Times New Roman" w:cs="Times New Roman"/>
          <w:color w:val="auto"/>
          <w:sz w:val="24"/>
          <w:szCs w:val="24"/>
          <w:highlight w:val="none"/>
        </w:rPr>
        <w:t>引水、尾水接地网，地下厂房洞室群接地网，220kV地面开关站接地网等区域地网组成。上、下库地网分别通过预留接地头与引水隧洞和尾水洞接地网与地下厂房洞室群连在一起；地面开关站通过高压电缆平洞与地下主变洞连在一起，最后形成一个大的接地网。</w:t>
      </w:r>
    </w:p>
    <w:p>
      <w:pPr>
        <w:widowControl/>
        <w:spacing w:line="500" w:lineRule="atLeast"/>
        <w:ind w:firstLine="480" w:firstLineChars="200"/>
        <w:rPr>
          <w:rFonts w:ascii="Times New Roman" w:hAnsi="Times New Roman" w:cs="Times New Roman"/>
          <w:color w:val="auto"/>
          <w:kern w:val="0"/>
          <w:sz w:val="24"/>
          <w:szCs w:val="24"/>
          <w:highlight w:val="none"/>
        </w:rPr>
      </w:pPr>
      <w:r>
        <w:rPr>
          <w:rFonts w:hint="eastAsia" w:ascii="Times New Roman" w:hAnsi="Times New Roman" w:cs="Times New Roman"/>
          <w:color w:val="auto"/>
          <w:kern w:val="0"/>
          <w:sz w:val="24"/>
          <w:szCs w:val="24"/>
          <w:highlight w:val="none"/>
        </w:rPr>
        <w:t>上述地网中，部分电站接地系统由其他承包人完成，具体下表。</w:t>
      </w:r>
    </w:p>
    <w:p>
      <w:pPr>
        <w:widowControl/>
        <w:spacing w:line="500" w:lineRule="atLeast"/>
        <w:ind w:firstLine="480" w:firstLineChars="200"/>
        <w:jc w:val="center"/>
        <w:rPr>
          <w:rFonts w:ascii="Times New Roman" w:hAnsi="Times New Roman" w:eastAsia="黑体" w:cs="Times New Roman"/>
          <w:color w:val="auto"/>
          <w:kern w:val="0"/>
          <w:sz w:val="24"/>
          <w:szCs w:val="24"/>
          <w:highlight w:val="none"/>
        </w:rPr>
      </w:pPr>
      <w:r>
        <w:rPr>
          <w:rFonts w:hint="eastAsia" w:ascii="Times New Roman" w:hAnsi="Times New Roman" w:eastAsia="黑体" w:cs="Times New Roman"/>
          <w:color w:val="auto"/>
          <w:kern w:val="0"/>
          <w:sz w:val="24"/>
          <w:szCs w:val="24"/>
          <w:highlight w:val="none"/>
        </w:rPr>
        <w:t>表</w:t>
      </w:r>
      <w:r>
        <w:rPr>
          <w:rFonts w:ascii="Times New Roman" w:hAnsi="Times New Roman" w:eastAsia="黑体" w:cs="Times New Roman"/>
          <w:b/>
          <w:color w:val="auto"/>
          <w:kern w:val="0"/>
          <w:sz w:val="24"/>
          <w:szCs w:val="24"/>
          <w:highlight w:val="none"/>
        </w:rPr>
        <w:t>16.2.4-1</w:t>
      </w:r>
      <w:r>
        <w:rPr>
          <w:rFonts w:hint="eastAsia" w:ascii="Times New Roman" w:hAnsi="Times New Roman" w:eastAsia="黑体" w:cs="Times New Roman"/>
          <w:color w:val="auto"/>
          <w:kern w:val="0"/>
          <w:sz w:val="24"/>
          <w:szCs w:val="24"/>
          <w:highlight w:val="none"/>
        </w:rPr>
        <w:t xml:space="preserve">  其他承包人负责施工的接地区域</w:t>
      </w:r>
    </w:p>
    <w:tbl>
      <w:tblPr>
        <w:tblStyle w:val="36"/>
        <w:tblW w:w="0" w:type="auto"/>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268"/>
        <w:gridCol w:w="1559"/>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序号</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敷设地点名称</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实施单位</w:t>
            </w:r>
          </w:p>
        </w:tc>
        <w:tc>
          <w:tcPr>
            <w:tcW w:w="3686" w:type="dxa"/>
            <w:tcMar>
              <w:left w:w="28" w:type="dxa"/>
              <w:right w:w="28" w:type="dxa"/>
            </w:tcMa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接地材料及敷设方式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1</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上库库区地网</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C1标</w:t>
            </w:r>
          </w:p>
        </w:tc>
        <w:tc>
          <w:tcPr>
            <w:tcW w:w="3686"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详见C1标图纸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2</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下库库区地网</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C2标</w:t>
            </w:r>
          </w:p>
        </w:tc>
        <w:tc>
          <w:tcPr>
            <w:tcW w:w="3686"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详见C2标图纸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3</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自流排水洞、通风洞、交通洞及部分施工支洞</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C3标</w:t>
            </w:r>
          </w:p>
        </w:tc>
        <w:tc>
          <w:tcPr>
            <w:tcW w:w="3686"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路面混凝土内暗敷</w:t>
            </w:r>
            <w:r>
              <w:rPr>
                <w:rFonts w:ascii="宋体" w:hAnsi="宋体" w:cs="等线"/>
                <w:color w:val="auto"/>
                <w:kern w:val="0"/>
                <w:szCs w:val="21"/>
                <w:highlight w:val="none"/>
              </w:rPr>
              <w:t>5</w:t>
            </w:r>
            <w:r>
              <w:rPr>
                <w:rFonts w:hint="eastAsia" w:ascii="宋体" w:hAnsi="宋体" w:cs="等线"/>
                <w:color w:val="auto"/>
                <w:kern w:val="0"/>
                <w:szCs w:val="21"/>
                <w:highlight w:val="none"/>
              </w:rPr>
              <w:t>0×6mm镀锌扁钢，利用混凝土内土建结构钢筋或人工暗敷</w:t>
            </w:r>
            <w:r>
              <w:rPr>
                <w:rFonts w:ascii="宋体" w:hAnsi="宋体" w:cs="等线"/>
                <w:color w:val="auto"/>
                <w:kern w:val="0"/>
                <w:szCs w:val="21"/>
                <w:highlight w:val="none"/>
              </w:rPr>
              <w:t>5</w:t>
            </w:r>
            <w:r>
              <w:rPr>
                <w:rFonts w:hint="eastAsia" w:ascii="宋体" w:hAnsi="宋体" w:cs="等线"/>
                <w:color w:val="auto"/>
                <w:kern w:val="0"/>
                <w:szCs w:val="21"/>
                <w:highlight w:val="none"/>
              </w:rPr>
              <w:t>0×6mm镀锌扁钢形成的防雷接地网格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4</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尾水隧洞、引水隧洞</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C3标</w:t>
            </w:r>
          </w:p>
        </w:tc>
        <w:tc>
          <w:tcPr>
            <w:tcW w:w="3686"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沿洞壁混凝土内暗敷</w:t>
            </w:r>
            <w:r>
              <w:rPr>
                <w:rFonts w:ascii="宋体" w:hAnsi="宋体" w:cs="等线"/>
                <w:color w:val="auto"/>
                <w:kern w:val="0"/>
                <w:szCs w:val="21"/>
                <w:highlight w:val="none"/>
              </w:rPr>
              <w:t>50</w:t>
            </w:r>
            <w:r>
              <w:rPr>
                <w:rFonts w:hint="eastAsia" w:ascii="宋体" w:hAnsi="宋体" w:cs="等线"/>
                <w:color w:val="auto"/>
                <w:kern w:val="0"/>
                <w:szCs w:val="21"/>
                <w:highlight w:val="none"/>
              </w:rPr>
              <w:t>×</w:t>
            </w:r>
            <w:r>
              <w:rPr>
                <w:rFonts w:ascii="宋体" w:hAnsi="宋体" w:cs="等线"/>
                <w:color w:val="auto"/>
                <w:kern w:val="0"/>
                <w:szCs w:val="21"/>
                <w:highlight w:val="none"/>
              </w:rPr>
              <w:t>5铜排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5</w:t>
            </w:r>
          </w:p>
        </w:tc>
        <w:tc>
          <w:tcPr>
            <w:tcW w:w="2268"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高压电缆洞</w:t>
            </w:r>
          </w:p>
        </w:tc>
        <w:tc>
          <w:tcPr>
            <w:tcW w:w="1559"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C3标</w:t>
            </w:r>
          </w:p>
        </w:tc>
        <w:tc>
          <w:tcPr>
            <w:tcW w:w="3686" w:type="dxa"/>
            <w:tcMar>
              <w:left w:w="28" w:type="dxa"/>
              <w:right w:w="28" w:type="dxa"/>
            </w:tcMar>
            <w:vAlign w:val="center"/>
          </w:tcPr>
          <w:p>
            <w:pPr>
              <w:widowControl/>
              <w:autoSpaceDE w:val="0"/>
              <w:autoSpaceDN w:val="0"/>
              <w:adjustRightInd w:val="0"/>
              <w:spacing w:before="156" w:beforeLines="50" w:after="156" w:afterLines="50" w:line="0" w:lineRule="atLeast"/>
              <w:jc w:val="center"/>
              <w:rPr>
                <w:rFonts w:hint="eastAsia" w:ascii="宋体" w:hAnsi="宋体" w:cs="等线"/>
                <w:color w:val="auto"/>
                <w:kern w:val="0"/>
                <w:szCs w:val="21"/>
                <w:highlight w:val="none"/>
              </w:rPr>
            </w:pPr>
            <w:r>
              <w:rPr>
                <w:rFonts w:hint="eastAsia" w:ascii="宋体" w:hAnsi="宋体" w:cs="等线"/>
                <w:color w:val="auto"/>
                <w:kern w:val="0"/>
                <w:szCs w:val="21"/>
                <w:highlight w:val="none"/>
              </w:rPr>
              <w:t>沿电缆洞混凝土内暗敷</w:t>
            </w:r>
            <w:r>
              <w:rPr>
                <w:rFonts w:ascii="宋体" w:hAnsi="宋体" w:cs="等线"/>
                <w:color w:val="auto"/>
                <w:kern w:val="0"/>
                <w:szCs w:val="21"/>
                <w:highlight w:val="none"/>
              </w:rPr>
              <w:t>50</w:t>
            </w:r>
            <w:r>
              <w:rPr>
                <w:rFonts w:hint="eastAsia" w:ascii="宋体" w:hAnsi="宋体" w:cs="等线"/>
                <w:color w:val="auto"/>
                <w:kern w:val="0"/>
                <w:szCs w:val="21"/>
                <w:highlight w:val="none"/>
              </w:rPr>
              <w:t>×</w:t>
            </w:r>
            <w:r>
              <w:rPr>
                <w:rFonts w:ascii="宋体" w:hAnsi="宋体" w:cs="等线"/>
                <w:color w:val="auto"/>
                <w:kern w:val="0"/>
                <w:szCs w:val="21"/>
                <w:highlight w:val="none"/>
              </w:rPr>
              <w:t>5铜排</w:t>
            </w:r>
          </w:p>
        </w:tc>
      </w:tr>
    </w:tbl>
    <w:p>
      <w:pPr>
        <w:widowControl/>
        <w:spacing w:line="360" w:lineRule="atLeast"/>
        <w:ind w:firstLine="420" w:firstLineChars="200"/>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备注：表中除主要为暗敷接地网，暗敷接地网均预留了与明敷接地网或设备等连接的</w:t>
      </w:r>
      <w:r>
        <w:rPr>
          <w:rFonts w:ascii="Times New Roman" w:hAnsi="Times New Roman" w:cs="Times New Roman"/>
          <w:color w:val="auto"/>
          <w:kern w:val="0"/>
          <w:szCs w:val="21"/>
          <w:highlight w:val="none"/>
        </w:rPr>
        <w:t>60×6</w:t>
      </w:r>
      <w:r>
        <w:rPr>
          <w:rFonts w:hint="eastAsia" w:ascii="Times New Roman" w:hAnsi="Times New Roman" w:cs="Times New Roman"/>
          <w:color w:val="auto"/>
          <w:kern w:val="0"/>
          <w:szCs w:val="21"/>
          <w:highlight w:val="none"/>
        </w:rPr>
        <w:t>mm镀锌扁钢引出头。</w:t>
      </w:r>
    </w:p>
    <w:p>
      <w:pPr>
        <w:widowControl/>
        <w:spacing w:line="360" w:lineRule="atLeast"/>
        <w:ind w:firstLine="420" w:firstLineChars="200"/>
        <w:rPr>
          <w:rFonts w:ascii="Times New Roman" w:hAnsi="Times New Roman" w:cs="Times New Roman"/>
          <w:color w:val="auto"/>
          <w:kern w:val="0"/>
          <w:szCs w:val="21"/>
          <w:highlight w:val="none"/>
        </w:rPr>
      </w:pPr>
    </w:p>
    <w:p>
      <w:pPr>
        <w:keepNext/>
        <w:keepLines/>
        <w:spacing w:line="460" w:lineRule="exact"/>
        <w:outlineLvl w:val="3"/>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t>16.2.4.2</w:t>
      </w:r>
      <w:r>
        <w:rPr>
          <w:rFonts w:ascii="Times New Roman" w:hAnsi="宋体" w:cs="Times New Roman"/>
          <w:color w:val="auto"/>
          <w:kern w:val="0"/>
          <w:sz w:val="24"/>
          <w:szCs w:val="24"/>
          <w:highlight w:val="none"/>
        </w:rPr>
        <w:t>本标范围</w:t>
      </w:r>
    </w:p>
    <w:p>
      <w:pPr>
        <w:spacing w:line="480" w:lineRule="exact"/>
        <w:ind w:firstLine="480"/>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防雷接地工程包括本标范围内建筑物及户外设备防雷、设备接地及有关接地装置的采购(制造</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工厂试验</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出厂验收</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包装</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运输</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保险</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交货</w:t>
      </w:r>
      <w:r>
        <w:rPr>
          <w:rFonts w:hint="eastAsia" w:ascii="MS Mincho" w:hAnsi="MS Mincho" w:eastAsia="MS Mincho" w:cs="Times New Roman"/>
          <w:color w:val="auto"/>
          <w:kern w:val="0"/>
          <w:sz w:val="24"/>
          <w:szCs w:val="20"/>
          <w:highlight w:val="none"/>
        </w:rPr>
        <w:t>､</w:t>
      </w:r>
      <w:r>
        <w:rPr>
          <w:rFonts w:hint="eastAsia" w:ascii="宋体" w:hAnsi="宋体" w:cs="Times New Roman"/>
          <w:color w:val="auto"/>
          <w:kern w:val="0"/>
          <w:sz w:val="24"/>
          <w:szCs w:val="20"/>
          <w:highlight w:val="none"/>
        </w:rPr>
        <w:t>现场服务和技术服务</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、预埋接地体的敷设和连接，主要工作范围包括：</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hint="eastAsia" w:ascii="Times New Roman" w:hAnsi="宋体" w:cs="Times New Roman"/>
          <w:color w:val="auto"/>
          <w:kern w:val="0"/>
          <w:sz w:val="24"/>
          <w:szCs w:val="24"/>
          <w:highlight w:val="none"/>
        </w:rPr>
        <w:t>除表</w:t>
      </w:r>
      <w:r>
        <w:rPr>
          <w:rFonts w:ascii="Times New Roman" w:hAnsi="宋体" w:cs="Times New Roman"/>
          <w:color w:val="auto"/>
          <w:kern w:val="0"/>
          <w:sz w:val="24"/>
          <w:szCs w:val="24"/>
          <w:highlight w:val="none"/>
        </w:rPr>
        <w:t>16.2.4-1所列的</w:t>
      </w:r>
      <w:r>
        <w:rPr>
          <w:rFonts w:hint="eastAsia" w:ascii="Times New Roman" w:hAnsi="Times New Roman" w:cs="Times New Roman"/>
          <w:color w:val="auto"/>
          <w:kern w:val="0"/>
          <w:sz w:val="24"/>
          <w:szCs w:val="24"/>
          <w:highlight w:val="none"/>
        </w:rPr>
        <w:t>由其他承包人完成的接地网外，其余整个电站的接地网的敷设（含暗敷和明敷）和设备的接地均含在本标的工作范围内。即</w:t>
      </w:r>
      <w:r>
        <w:rPr>
          <w:rFonts w:hint="eastAsia" w:ascii="Times New Roman" w:hAnsi="宋体" w:cs="Times New Roman"/>
          <w:color w:val="auto"/>
          <w:kern w:val="0"/>
          <w:sz w:val="24"/>
          <w:szCs w:val="24"/>
          <w:highlight w:val="none"/>
        </w:rPr>
        <w:t>主副厂房设备层各层及安装间、主变洞各层、母线洞，全厂暗敷、明敷接地网的材料采购和安装</w:t>
      </w:r>
      <w:r>
        <w:rPr>
          <w:rFonts w:ascii="Times New Roman" w:hAnsi="宋体" w:cs="Times New Roman"/>
          <w:color w:val="auto"/>
          <w:kern w:val="0"/>
          <w:sz w:val="24"/>
          <w:szCs w:val="24"/>
          <w:highlight w:val="none"/>
        </w:rPr>
        <w:t>(包括二次设备等电位接地网的材料采购、运输、制作和敷设)，还包括全厂明敷接地网与暗敷接地网的连接，全厂需要接地的所有设备、电缆架、构架、</w:t>
      </w:r>
      <w:r>
        <w:rPr>
          <w:rFonts w:hint="eastAsia" w:ascii="Times New Roman" w:hAnsi="Times New Roman"/>
          <w:color w:val="auto"/>
          <w:kern w:val="0"/>
          <w:sz w:val="24"/>
          <w:szCs w:val="24"/>
          <w:highlight w:val="none"/>
        </w:rPr>
        <w:t>楼梯扶手、栏杆、相关</w:t>
      </w:r>
      <w:r>
        <w:rPr>
          <w:rFonts w:hint="eastAsia" w:ascii="Times New Roman" w:hAnsi="宋体" w:cs="Times New Roman"/>
          <w:color w:val="auto"/>
          <w:kern w:val="0"/>
          <w:sz w:val="24"/>
          <w:szCs w:val="24"/>
          <w:highlight w:val="none"/>
        </w:rPr>
        <w:t>系统及其基础、预埋件等与接地网的连接</w:t>
      </w:r>
      <w:r>
        <w:rPr>
          <w:rFonts w:hint="eastAsia" w:ascii="Times New Roman" w:hAnsi="Times New Roman"/>
          <w:color w:val="auto"/>
          <w:kern w:val="0"/>
          <w:sz w:val="24"/>
          <w:szCs w:val="24"/>
          <w:highlight w:val="none"/>
        </w:rPr>
        <w:t>，本标应包含相关接地标识</w:t>
      </w:r>
      <w:r>
        <w:rPr>
          <w:rFonts w:hint="eastAsia" w:ascii="Times New Roman" w:hAnsi="宋体" w:cs="Times New Roman"/>
          <w:color w:val="auto"/>
          <w:kern w:val="0"/>
          <w:sz w:val="24"/>
          <w:szCs w:val="24"/>
          <w:highlight w:val="none"/>
        </w:rPr>
        <w:t>。其中主副厂房暗敷接地网材料主要采用镀锌扁钢，全厂明敷接地网材料主要采用铜绞线或铜排。</w:t>
      </w:r>
    </w:p>
    <w:p>
      <w:pPr>
        <w:adjustRightInd w:val="0"/>
        <w:snapToGrid w:val="0"/>
        <w:spacing w:line="480" w:lineRule="exact"/>
        <w:ind w:firstLine="482"/>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全厂主接地网的连接由本标承包人总负责(包括连通性试验)</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按监理人要求，进行接地网连通性测试并配合其他承包人进行检查验收；负责全厂接地电阻、接触电势、跨步电势和电位分布测量；本标承包人作为全厂接地的总协调人，负责整个接地系统的完善工作。全场接地电阻、接触电势与跨步电势等接地参数的测量由本标承包人另行委托有资质的第三方(应由发包人认可)</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完成，并对此单独报价。本标承包人需充分了解本工程枢纽情况，根据本工程现场实际情况，编制(制定)</w:t>
      </w:r>
      <w:r>
        <w:rPr>
          <w:rFonts w:ascii="Times New Roman" w:hAnsi="Times New Roman" w:cs="Times New Roman"/>
          <w:color w:val="auto"/>
          <w:kern w:val="0"/>
          <w:sz w:val="24"/>
          <w:szCs w:val="20"/>
          <w:highlight w:val="none"/>
        </w:rPr>
        <w:t xml:space="preserve"> </w:t>
      </w:r>
      <w:r>
        <w:rPr>
          <w:rFonts w:hint="eastAsia" w:ascii="Times New Roman" w:hAnsi="Times New Roman" w:cs="Times New Roman"/>
          <w:color w:val="auto"/>
          <w:kern w:val="0"/>
          <w:sz w:val="24"/>
          <w:szCs w:val="20"/>
          <w:highlight w:val="none"/>
        </w:rPr>
        <w:t>接地电阻测量工作方案，报监理人批准后，方可实施测量工作。接地电阻等测量工作所需各种接地线、接地极、材料及各种专用工器具、仪器设备等本标承包人自行配备。</w:t>
      </w:r>
    </w:p>
    <w:p>
      <w:pPr>
        <w:adjustRightInd w:val="0"/>
        <w:snapToGrid w:val="0"/>
        <w:spacing w:line="480" w:lineRule="exact"/>
        <w:ind w:firstLine="482"/>
        <w:rPr>
          <w:rFonts w:ascii="Times New Roman" w:hAnsi="Times New Roman" w:cs="Times New Roman"/>
          <w:color w:val="auto"/>
          <w:kern w:val="0"/>
          <w:sz w:val="24"/>
          <w:szCs w:val="20"/>
          <w:highlight w:val="none"/>
        </w:rPr>
      </w:pPr>
      <w:r>
        <w:rPr>
          <w:rFonts w:hint="eastAsia" w:ascii="Times New Roman" w:hAnsi="Times New Roman" w:cs="Times New Roman"/>
          <w:color w:val="auto"/>
          <w:kern w:val="0"/>
          <w:sz w:val="24"/>
          <w:szCs w:val="20"/>
          <w:highlight w:val="none"/>
        </w:rPr>
        <w:t>电站地网接地电阻：安装单位需采取措施，分片分阶段测量接地电阻，确保全站接地连网后接地电阻满足要求。接地电阻测量井的设置详见施工图纸。</w:t>
      </w:r>
    </w:p>
    <w:p>
      <w:pPr>
        <w:keepNext/>
        <w:keepLines/>
        <w:spacing w:before="60" w:after="60" w:line="460" w:lineRule="exact"/>
        <w:outlineLvl w:val="2"/>
        <w:rPr>
          <w:rFonts w:ascii="Times New Roman" w:hAnsi="Times New Roman" w:eastAsia="黑体" w:cs="Times New Roman"/>
          <w:color w:val="auto"/>
          <w:kern w:val="0"/>
          <w:sz w:val="24"/>
          <w:szCs w:val="20"/>
          <w:highlight w:val="none"/>
        </w:rPr>
      </w:pPr>
      <w:bookmarkStart w:id="412" w:name="_Toc7179"/>
      <w:bookmarkStart w:id="413" w:name="_Toc387821763"/>
      <w:r>
        <w:rPr>
          <w:rFonts w:ascii="Times New Roman" w:hAnsi="Times New Roman" w:eastAsia="黑体" w:cs="Times New Roman"/>
          <w:color w:val="auto"/>
          <w:kern w:val="0"/>
          <w:sz w:val="24"/>
          <w:szCs w:val="20"/>
          <w:highlight w:val="none"/>
        </w:rPr>
        <w:t xml:space="preserve">16.2.5  </w:t>
      </w:r>
      <w:r>
        <w:rPr>
          <w:rFonts w:hint="eastAsia" w:ascii="Times New Roman" w:hAnsi="Times New Roman" w:eastAsia="黑体" w:cs="Times New Roman"/>
          <w:color w:val="auto"/>
          <w:kern w:val="0"/>
          <w:sz w:val="24"/>
          <w:szCs w:val="20"/>
          <w:highlight w:val="none"/>
        </w:rPr>
        <w:t>动力、控制电缆的采购及敷设</w:t>
      </w:r>
      <w:bookmarkEnd w:id="412"/>
      <w:bookmarkEnd w:id="413"/>
    </w:p>
    <w:p>
      <w:pPr>
        <w:pStyle w:val="76"/>
        <w:rPr>
          <w:color w:val="auto"/>
          <w:highlight w:val="none"/>
        </w:rPr>
      </w:pPr>
      <w:r>
        <w:rPr>
          <w:rFonts w:hint="eastAsia"/>
          <w:color w:val="auto"/>
          <w:highlight w:val="none"/>
        </w:rPr>
        <w:t>为确保本标采购、敷设的电缆满足要求，由本标负责采购的电缆，承包人应在电缆使用前采购至现场，业主、监理、施工单位现场开展电缆取样并外送至第三方机构检验。未获得第三方检验合格报告的电缆不得使用。</w:t>
      </w:r>
    </w:p>
    <w:p>
      <w:pPr>
        <w:pStyle w:val="76"/>
        <w:rPr>
          <w:color w:val="auto"/>
          <w:highlight w:val="none"/>
        </w:rPr>
      </w:pPr>
      <w:r>
        <w:rPr>
          <w:rFonts w:hint="eastAsia"/>
          <w:color w:val="auto"/>
          <w:highlight w:val="none"/>
        </w:rPr>
        <w:t>项目执行过程中，在电缆敷设中或敷设完成期间，发包人根据现场实际适时开展电缆突击取样工作并外送至第三方机构检验。电缆检验不合格的，根据第三方检验报告情况并综合评估，采取退货返工、降级使用、扣除质保金等方式处理，由此产生的施工费、材料费等发包方不再支付并保留追究相关方责任的权利。</w:t>
      </w:r>
    </w:p>
    <w:p>
      <w:pPr>
        <w:pStyle w:val="76"/>
        <w:pBdr>
          <w:bottom w:val="none" w:color="auto" w:sz="0" w:space="0"/>
        </w:pBdr>
        <w:rPr>
          <w:rFonts w:hint="eastAsia"/>
          <w:color w:val="auto"/>
          <w:highlight w:val="none"/>
        </w:rPr>
      </w:pPr>
      <w:r>
        <w:rPr>
          <w:rFonts w:hint="eastAsia"/>
          <w:color w:val="auto"/>
          <w:highlight w:val="none"/>
        </w:rPr>
        <w:t>本标承包人负责本标施工范围内及全厂设备合同供货范围外所有的18kV、10kV、0.4kV动力电缆、控制、计算机及信号电缆的采购，全厂电缆敷设、连接工作，全厂电力电缆的第三方抽检试验工作。本标《工程量清单》中单价承包项目所用到的水泥、钢筋、砂石料、动力电缆由发包人招标确定相关的供应商供应，承包人须在本合同签订后且发包人确定供应商后30天内，与相关的供应商分别签定水泥、钢筋、砂石料、动力电缆供应合同（材料供应合同价格为发包人对材料供应商招标的中标价格）。</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电力电缆的采购范围包括：</w:t>
      </w:r>
    </w:p>
    <w:p>
      <w:pPr>
        <w:autoSpaceDE w:val="0"/>
        <w:autoSpaceDN w:val="0"/>
        <w:adjustRightInd w:val="0"/>
        <w:spacing w:line="480" w:lineRule="exact"/>
        <w:ind w:firstLine="720" w:firstLineChars="3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spacing w:val="4"/>
          <w:kern w:val="0"/>
          <w:sz w:val="24"/>
          <w:szCs w:val="24"/>
          <w:highlight w:val="none"/>
        </w:rPr>
        <w:t>除</w:t>
      </w:r>
      <w:r>
        <w:rPr>
          <w:rFonts w:hint="eastAsia" w:ascii="Times New Roman" w:hAnsi="Times New Roman" w:cs="Times New Roman"/>
          <w:color w:val="auto"/>
          <w:kern w:val="0"/>
          <w:sz w:val="24"/>
          <w:szCs w:val="24"/>
          <w:highlight w:val="none"/>
        </w:rPr>
        <w:t>主机、220kV高压标等设备采购</w:t>
      </w:r>
      <w:r>
        <w:rPr>
          <w:rFonts w:ascii="Times New Roman" w:hAnsi="宋体" w:cs="Times New Roman"/>
          <w:color w:val="auto"/>
          <w:spacing w:val="4"/>
          <w:kern w:val="0"/>
          <w:sz w:val="24"/>
          <w:szCs w:val="24"/>
          <w:highlight w:val="none"/>
        </w:rPr>
        <w:t>合同</w:t>
      </w:r>
      <w:r>
        <w:rPr>
          <w:rFonts w:hint="eastAsia" w:ascii="Times New Roman" w:hAnsi="宋体" w:cs="Times New Roman"/>
          <w:color w:val="auto"/>
          <w:spacing w:val="4"/>
          <w:kern w:val="0"/>
          <w:sz w:val="24"/>
          <w:szCs w:val="24"/>
          <w:highlight w:val="none"/>
        </w:rPr>
        <w:t>以及开关站配电系统</w:t>
      </w:r>
      <w:r>
        <w:rPr>
          <w:rFonts w:ascii="Times New Roman" w:hAnsi="宋体" w:cs="Times New Roman"/>
          <w:color w:val="auto"/>
          <w:spacing w:val="4"/>
          <w:kern w:val="0"/>
          <w:sz w:val="24"/>
          <w:szCs w:val="24"/>
          <w:highlight w:val="none"/>
        </w:rPr>
        <w:t>供货范围内的电缆之外，其余电缆均由本标承包人采购。</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ascii="Times New Roman" w:hAnsi="宋体" w:cs="Times New Roman"/>
          <w:color w:val="auto"/>
          <w:kern w:val="0"/>
          <w:sz w:val="24"/>
          <w:szCs w:val="24"/>
          <w:highlight w:val="none"/>
        </w:rPr>
        <w:t>地下厂房引至</w:t>
      </w:r>
      <w:r>
        <w:rPr>
          <w:rFonts w:hint="eastAsia" w:ascii="Times New Roman" w:hAnsi="宋体" w:cs="Times New Roman"/>
          <w:color w:val="auto"/>
          <w:kern w:val="0"/>
          <w:sz w:val="24"/>
          <w:szCs w:val="24"/>
          <w:highlight w:val="none"/>
        </w:rPr>
        <w:t>上库配电房、下库配电房、开关站、永久营地、</w:t>
      </w:r>
      <w:r>
        <w:rPr>
          <w:rFonts w:ascii="Times New Roman" w:hAnsi="宋体" w:cs="Times New Roman"/>
          <w:color w:val="auto"/>
          <w:kern w:val="0"/>
          <w:sz w:val="24"/>
          <w:szCs w:val="24"/>
          <w:highlight w:val="none"/>
        </w:rPr>
        <w:t>施工变电站</w:t>
      </w:r>
      <w:r>
        <w:rPr>
          <w:rFonts w:ascii="Times New Roman" w:hAnsi="Times New Roman" w:cs="Times New Roman"/>
          <w:color w:val="auto"/>
          <w:kern w:val="0"/>
          <w:sz w:val="24"/>
          <w:szCs w:val="24"/>
          <w:highlight w:val="none"/>
        </w:rPr>
        <w:t>等的10kV电缆的采购和敷设安装由本标承包人负责。</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ascii="Times New Roman" w:hAnsi="宋体" w:cs="Times New Roman"/>
          <w:color w:val="auto"/>
          <w:kern w:val="0"/>
          <w:sz w:val="24"/>
          <w:szCs w:val="24"/>
          <w:highlight w:val="none"/>
        </w:rPr>
        <w:t>控制、计算机</w:t>
      </w:r>
      <w:r>
        <w:rPr>
          <w:rFonts w:hint="eastAsia" w:ascii="Times New Roman" w:hAnsi="宋体" w:cs="Times New Roman"/>
          <w:color w:val="auto"/>
          <w:kern w:val="0"/>
          <w:sz w:val="24"/>
          <w:szCs w:val="24"/>
          <w:highlight w:val="none"/>
        </w:rPr>
        <w:t>、直流电源电缆</w:t>
      </w:r>
      <w:r>
        <w:rPr>
          <w:rFonts w:ascii="Times New Roman" w:hAnsi="宋体" w:cs="Times New Roman"/>
          <w:color w:val="auto"/>
          <w:kern w:val="0"/>
          <w:sz w:val="24"/>
          <w:szCs w:val="24"/>
          <w:highlight w:val="none"/>
        </w:rPr>
        <w:t>及信号电缆的采购范围详见</w:t>
      </w:r>
      <w:r>
        <w:rPr>
          <w:rFonts w:hint="eastAsia" w:ascii="Times New Roman" w:hAnsi="宋体" w:cs="Times New Roman"/>
          <w:color w:val="auto"/>
          <w:kern w:val="0"/>
          <w:sz w:val="24"/>
          <w:szCs w:val="24"/>
          <w:highlight w:val="none"/>
        </w:rPr>
        <w:t>5</w:t>
      </w:r>
      <w:r>
        <w:rPr>
          <w:rFonts w:ascii="Times New Roman" w:hAnsi="宋体" w:cs="Times New Roman"/>
          <w:color w:val="auto"/>
          <w:kern w:val="0"/>
          <w:sz w:val="24"/>
          <w:szCs w:val="24"/>
          <w:highlight w:val="none"/>
        </w:rPr>
        <w:t>第01章1.2.1.1、1.3.2.7。</w:t>
      </w:r>
    </w:p>
    <w:p>
      <w:pPr>
        <w:keepNext/>
        <w:keepLines/>
        <w:spacing w:before="60" w:after="60" w:line="480" w:lineRule="exact"/>
        <w:outlineLvl w:val="2"/>
        <w:rPr>
          <w:rFonts w:ascii="Times New Roman" w:hAnsi="Times New Roman" w:eastAsia="黑体" w:cs="Times New Roman"/>
          <w:color w:val="auto"/>
          <w:kern w:val="0"/>
          <w:sz w:val="24"/>
          <w:szCs w:val="20"/>
          <w:highlight w:val="none"/>
        </w:rPr>
      </w:pPr>
      <w:bookmarkStart w:id="414" w:name="_Toc387821764"/>
      <w:bookmarkStart w:id="415" w:name="_Toc20938"/>
      <w:r>
        <w:rPr>
          <w:rFonts w:ascii="Times New Roman" w:hAnsi="Times New Roman" w:eastAsia="黑体" w:cs="Times New Roman"/>
          <w:color w:val="auto"/>
          <w:kern w:val="0"/>
          <w:sz w:val="24"/>
          <w:szCs w:val="20"/>
          <w:highlight w:val="none"/>
        </w:rPr>
        <w:t xml:space="preserve">16.2.6  </w:t>
      </w:r>
      <w:r>
        <w:rPr>
          <w:rFonts w:hint="eastAsia" w:ascii="Times New Roman" w:hAnsi="Times New Roman" w:eastAsia="黑体" w:cs="Times New Roman"/>
          <w:color w:val="auto"/>
          <w:kern w:val="0"/>
          <w:sz w:val="24"/>
          <w:szCs w:val="20"/>
          <w:highlight w:val="none"/>
        </w:rPr>
        <w:t>电缆桥架的采购及其安装</w:t>
      </w:r>
      <w:bookmarkEnd w:id="414"/>
      <w:bookmarkEnd w:id="415"/>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本标承包人应负责其所有安装设备之间的连接电缆</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光缆</w:t>
      </w:r>
      <w:r>
        <w:rPr>
          <w:rFonts w:ascii="Times New Roman" w:hAnsi="Times New Roman" w:cs="Times New Roman"/>
          <w:color w:val="auto"/>
          <w:kern w:val="0"/>
          <w:sz w:val="24"/>
          <w:szCs w:val="24"/>
          <w:highlight w:val="none"/>
        </w:rPr>
        <w:t xml:space="preserve">) </w:t>
      </w:r>
      <w:r>
        <w:rPr>
          <w:rFonts w:ascii="Times New Roman" w:hAnsi="宋体" w:cs="Times New Roman"/>
          <w:color w:val="auto"/>
          <w:kern w:val="0"/>
          <w:sz w:val="24"/>
          <w:szCs w:val="24"/>
          <w:highlight w:val="none"/>
        </w:rPr>
        <w:t>桥架和电缆沟支架的采购和安装(含公路电缆沟内桥架) ，并负责其安装设备与其他承包人安装设备之间的连接电缆</w:t>
      </w:r>
      <w:r>
        <w:rPr>
          <w:rFonts w:ascii="Times New Roman" w:hAnsi="Times New Roman" w:cs="Times New Roman"/>
          <w:color w:val="auto"/>
          <w:kern w:val="0"/>
          <w:sz w:val="24"/>
          <w:szCs w:val="24"/>
          <w:highlight w:val="none"/>
        </w:rPr>
        <w:t>(</w:t>
      </w:r>
      <w:r>
        <w:rPr>
          <w:rFonts w:ascii="Times New Roman" w:hAnsi="宋体" w:cs="Times New Roman"/>
          <w:color w:val="auto"/>
          <w:kern w:val="0"/>
          <w:sz w:val="24"/>
          <w:szCs w:val="24"/>
          <w:highlight w:val="none"/>
        </w:rPr>
        <w:t>光缆</w:t>
      </w:r>
      <w:r>
        <w:rPr>
          <w:rFonts w:ascii="Times New Roman" w:hAnsi="Times New Roman" w:cs="Times New Roman"/>
          <w:color w:val="auto"/>
          <w:kern w:val="0"/>
          <w:sz w:val="24"/>
          <w:szCs w:val="24"/>
          <w:highlight w:val="none"/>
        </w:rPr>
        <w:t xml:space="preserve">) </w:t>
      </w:r>
      <w:r>
        <w:rPr>
          <w:rFonts w:ascii="Times New Roman" w:hAnsi="宋体" w:cs="Times New Roman"/>
          <w:color w:val="auto"/>
          <w:kern w:val="0"/>
          <w:sz w:val="24"/>
          <w:szCs w:val="24"/>
          <w:highlight w:val="none"/>
        </w:rPr>
        <w:t>桥架和电缆沟支架的采购和安装。</w:t>
      </w:r>
    </w:p>
    <w:p>
      <w:pPr>
        <w:autoSpaceDE w:val="0"/>
        <w:autoSpaceDN w:val="0"/>
        <w:adjustRightInd w:val="0"/>
        <w:spacing w:line="480" w:lineRule="exact"/>
        <w:ind w:firstLine="480" w:firstLineChars="200"/>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 xml:space="preserve">(1) </w:t>
      </w:r>
      <w:r>
        <w:rPr>
          <w:rFonts w:ascii="Times New Roman" w:hAnsi="宋体" w:cs="Times New Roman"/>
          <w:color w:val="auto"/>
          <w:kern w:val="0"/>
          <w:sz w:val="24"/>
          <w:szCs w:val="24"/>
          <w:highlight w:val="none"/>
        </w:rPr>
        <w:t>机坑内电缆桥架由主机供货商负责采购，由本标承包人负责安装。</w:t>
      </w:r>
    </w:p>
    <w:p>
      <w:pPr>
        <w:autoSpaceDE w:val="0"/>
        <w:autoSpaceDN w:val="0"/>
        <w:adjustRightInd w:val="0"/>
        <w:spacing w:line="480" w:lineRule="exact"/>
        <w:ind w:firstLine="480" w:firstLineChars="200"/>
        <w:rPr>
          <w:rFonts w:hint="eastAsia" w:ascii="Times New Roman" w:hAnsi="宋体" w:cs="Times New Roman"/>
          <w:color w:val="auto"/>
          <w:kern w:val="0"/>
          <w:sz w:val="24"/>
          <w:szCs w:val="24"/>
          <w:highlight w:val="none"/>
        </w:rPr>
      </w:pPr>
      <w:r>
        <w:rPr>
          <w:rFonts w:ascii="Times New Roman" w:hAnsi="Times New Roman" w:cs="Times New Roman"/>
          <w:color w:val="auto"/>
          <w:kern w:val="0"/>
          <w:sz w:val="24"/>
          <w:szCs w:val="24"/>
          <w:highlight w:val="none"/>
        </w:rPr>
        <w:t xml:space="preserve">(2) </w:t>
      </w:r>
      <w:r>
        <w:rPr>
          <w:rFonts w:hint="eastAsia" w:ascii="Times New Roman" w:hAnsi="宋体" w:cs="Times New Roman"/>
          <w:color w:val="auto"/>
          <w:kern w:val="0"/>
          <w:sz w:val="24"/>
          <w:szCs w:val="24"/>
          <w:highlight w:val="none"/>
        </w:rPr>
        <w:t>永久营地</w:t>
      </w:r>
      <w:r>
        <w:rPr>
          <w:rFonts w:ascii="Times New Roman" w:hAnsi="宋体" w:cs="Times New Roman"/>
          <w:color w:val="auto"/>
          <w:kern w:val="0"/>
          <w:sz w:val="24"/>
          <w:szCs w:val="24"/>
          <w:highlight w:val="none"/>
        </w:rPr>
        <w:t>电缆桥架由其他承包人负责。</w:t>
      </w:r>
    </w:p>
    <w:p>
      <w:pPr>
        <w:autoSpaceDE w:val="0"/>
        <w:autoSpaceDN w:val="0"/>
        <w:adjustRightInd w:val="0"/>
        <w:spacing w:line="480" w:lineRule="exact"/>
        <w:ind w:firstLine="480" w:firstLineChars="200"/>
        <w:rPr>
          <w:rFonts w:ascii="Times New Roman" w:hAnsi="Times New Roman" w:eastAsia="黑体" w:cs="Times New Roman"/>
          <w:color w:val="auto"/>
          <w:kern w:val="0"/>
          <w:sz w:val="24"/>
          <w:szCs w:val="24"/>
          <w:highlight w:val="none"/>
          <w:lang w:val="zh-CN"/>
        </w:rPr>
      </w:pPr>
      <w:r>
        <w:rPr>
          <w:rFonts w:ascii="Times New Roman" w:hAnsi="Times New Roman" w:cs="Times New Roman"/>
          <w:color w:val="auto"/>
          <w:kern w:val="0"/>
          <w:sz w:val="24"/>
          <w:szCs w:val="24"/>
          <w:highlight w:val="none"/>
        </w:rPr>
        <w:t>(3)</w:t>
      </w:r>
      <w:r>
        <w:rPr>
          <w:rFonts w:hint="eastAsia" w:ascii="Times New Roman" w:hAnsi="Times New Roman" w:cs="Times New Roman"/>
          <w:color w:val="auto"/>
          <w:kern w:val="0"/>
          <w:sz w:val="24"/>
          <w:szCs w:val="24"/>
          <w:highlight w:val="none"/>
        </w:rPr>
        <w:t>原则上母线层及水泵水轮机层上游侧等位置采用不锈钢电缆桥架，具体应用待结合施工图进一步确定。</w:t>
      </w:r>
    </w:p>
    <w:p>
      <w:pPr>
        <w:pStyle w:val="132"/>
        <w:rPr>
          <w:color w:val="auto"/>
          <w:highlight w:val="none"/>
        </w:rPr>
      </w:pPr>
      <w:bookmarkStart w:id="416" w:name="_Toc7122"/>
      <w:r>
        <w:rPr>
          <w:color w:val="auto"/>
          <w:highlight w:val="none"/>
        </w:rPr>
        <w:t>16.2.</w:t>
      </w:r>
      <w:r>
        <w:rPr>
          <w:color w:val="auto"/>
          <w:highlight w:val="none"/>
          <w:lang w:val="en-US"/>
        </w:rPr>
        <w:t>7</w:t>
      </w:r>
      <w:r>
        <w:rPr>
          <w:rFonts w:hint="eastAsia"/>
          <w:color w:val="auto"/>
          <w:highlight w:val="none"/>
        </w:rPr>
        <w:t xml:space="preserve">  防火封堵技术及施工要求</w:t>
      </w:r>
      <w:bookmarkEnd w:id="416"/>
    </w:p>
    <w:p>
      <w:pPr>
        <w:autoSpaceDE w:val="0"/>
        <w:autoSpaceDN w:val="0"/>
        <w:adjustRightInd w:val="0"/>
        <w:spacing w:line="480" w:lineRule="exact"/>
        <w:ind w:firstLine="480" w:firstLineChars="200"/>
        <w:rPr>
          <w:rFonts w:ascii="Times New Roman" w:hAnsi="宋体" w:cs="Times New Roman"/>
          <w:color w:val="auto"/>
          <w:kern w:val="0"/>
          <w:sz w:val="24"/>
          <w:szCs w:val="24"/>
          <w:highlight w:val="none"/>
        </w:rPr>
      </w:pPr>
      <w:r>
        <w:rPr>
          <w:rFonts w:ascii="Times New Roman" w:hAnsi="宋体" w:cs="Times New Roman"/>
          <w:color w:val="auto"/>
          <w:kern w:val="0"/>
          <w:sz w:val="24"/>
          <w:szCs w:val="24"/>
          <w:highlight w:val="none"/>
        </w:rPr>
        <w:t>本标范围内的防火隔板、模块化防火封堵材料、槽盒、电缆防火涂漆、防火封堵等防火材料由本标承包人负责采购和安装。无机防火隔板用于18kV、10kV及1kV及控制电缆桥架底部隔断，槽盒主要用于区域间的分隔。承包人应完成本工程用于电缆防火涂料采购、运输、保管及涂刷施工，各种电缆孔洞、电缆沟、母线穿墙孔洞和风、水管线穿墙孔洞等孔洞的防火堵料（含施工及机组调试临时封堵）的深化设计、采购、运输、保管及封堵施工。无机防火隔板按GB25970《不燃无机复合板》要求耐火时间为二级并满足国家GB23864《防火封堵材料》的要求，不低于被贯穿物的耐火时效。</w:t>
      </w:r>
    </w:p>
    <w:p>
      <w:pPr>
        <w:pStyle w:val="132"/>
        <w:rPr>
          <w:color w:val="auto"/>
          <w:highlight w:val="none"/>
        </w:rPr>
      </w:pPr>
      <w:bookmarkStart w:id="417" w:name="_Toc3446"/>
      <w:r>
        <w:rPr>
          <w:color w:val="auto"/>
          <w:highlight w:val="none"/>
        </w:rPr>
        <w:t>16.2.9 吊物孔盖板</w:t>
      </w:r>
      <w:bookmarkEnd w:id="417"/>
    </w:p>
    <w:p>
      <w:pPr>
        <w:pStyle w:val="76"/>
        <w:ind w:firstLine="0" w:firstLineChars="0"/>
        <w:jc w:val="center"/>
        <w:rPr>
          <w:color w:val="auto"/>
          <w:highlight w:val="none"/>
        </w:rPr>
      </w:pPr>
      <w:r>
        <w:rPr>
          <w:color w:val="auto"/>
          <w:highlight w:val="none"/>
        </w:rPr>
        <w:t>16.2.9-1  吊物孔盖板型式及数量</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08"/>
        <w:gridCol w:w="2036"/>
        <w:gridCol w:w="784"/>
        <w:gridCol w:w="693"/>
        <w:gridCol w:w="29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盖板型式</w:t>
            </w:r>
          </w:p>
        </w:tc>
        <w:tc>
          <w:tcPr>
            <w:tcW w:w="203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孔口尺寸</w:t>
            </w:r>
          </w:p>
        </w:tc>
        <w:tc>
          <w:tcPr>
            <w:tcW w:w="784"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单位</w:t>
            </w:r>
          </w:p>
        </w:tc>
        <w:tc>
          <w:tcPr>
            <w:tcW w:w="693"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数量</w:t>
            </w:r>
          </w:p>
        </w:tc>
        <w:tc>
          <w:tcPr>
            <w:tcW w:w="291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安装地点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宋体" w:hAnsi="宋体" w:eastAsia="宋体" w:cs="宋体"/>
                <w:i w:val="0"/>
                <w:strike w:val="0"/>
                <w:color w:val="auto"/>
                <w:sz w:val="21"/>
                <w:highlight w:val="none"/>
                <w:u w:val="none"/>
              </w:rPr>
              <w:t>省力钢盖板</w:t>
            </w:r>
          </w:p>
        </w:tc>
        <w:tc>
          <w:tcPr>
            <w:tcW w:w="203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4000mm×2300mm</w:t>
            </w:r>
          </w:p>
        </w:tc>
        <w:tc>
          <w:tcPr>
            <w:tcW w:w="784"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套</w:t>
            </w:r>
          </w:p>
        </w:tc>
        <w:tc>
          <w:tcPr>
            <w:tcW w:w="693"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9</w:t>
            </w:r>
          </w:p>
        </w:tc>
        <w:tc>
          <w:tcPr>
            <w:tcW w:w="2916" w:type="dxa"/>
            <w:vAlign w:val="center"/>
          </w:tcPr>
          <w:p>
            <w:pPr>
              <w:autoSpaceDE w:val="0"/>
              <w:autoSpaceDN w:val="0"/>
              <w:adjustRightInd w:val="0"/>
              <w:spacing w:line="240" w:lineRule="exact"/>
              <w:rPr>
                <w:rFonts w:ascii="Times New Roman" w:hAnsi="Times New Roman" w:eastAsia="新宋体" w:cs="Times New Roman"/>
                <w:color w:val="auto"/>
                <w:szCs w:val="42"/>
                <w:highlight w:val="none"/>
              </w:rPr>
            </w:pPr>
            <w:r>
              <w:rPr>
                <w:rFonts w:ascii="宋体" w:hAnsi="宋体" w:eastAsia="宋体" w:cs="宋体"/>
                <w:b w:val="0"/>
                <w:i w:val="0"/>
                <w:strike w:val="0"/>
                <w:color w:val="auto"/>
                <w:spacing w:val="0"/>
                <w:sz w:val="21"/>
                <w:highlight w:val="none"/>
                <w:u w:val="none"/>
              </w:rPr>
              <w:t>发电电动机层</w:t>
            </w:r>
            <w:r>
              <w:rPr>
                <w:rFonts w:ascii="Times New Roman" w:hAnsi="Times New Roman" w:eastAsia="新宋体" w:cs="Times New Roman"/>
                <w:color w:val="auto"/>
                <w:szCs w:val="42"/>
                <w:highlight w:val="none"/>
              </w:rPr>
              <w:t>～</w:t>
            </w:r>
            <w:r>
              <w:rPr>
                <w:rFonts w:ascii="宋体" w:hAnsi="宋体" w:eastAsia="宋体" w:cs="宋体"/>
                <w:b w:val="0"/>
                <w:i w:val="0"/>
                <w:strike w:val="0"/>
                <w:color w:val="auto"/>
                <w:spacing w:val="0"/>
                <w:sz w:val="21"/>
                <w:highlight w:val="none"/>
                <w:u w:val="none"/>
              </w:rPr>
              <w:t>水泵水轮机层机电设备吊物孔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hint="eastAsia" w:ascii="Times New Roman" w:hAnsi="Times New Roman" w:eastAsia="新宋体" w:cs="Times New Roman"/>
                <w:color w:val="auto"/>
                <w:szCs w:val="42"/>
                <w:highlight w:val="none"/>
              </w:rPr>
              <w:t>钢</w:t>
            </w:r>
            <w:r>
              <w:rPr>
                <w:rFonts w:ascii="Times New Roman" w:hAnsi="Times New Roman" w:eastAsia="新宋体" w:cs="Times New Roman"/>
                <w:color w:val="auto"/>
                <w:szCs w:val="42"/>
                <w:highlight w:val="none"/>
              </w:rPr>
              <w:t>盖板</w:t>
            </w:r>
          </w:p>
        </w:tc>
        <w:tc>
          <w:tcPr>
            <w:tcW w:w="203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6800mm×5200mm</w:t>
            </w:r>
          </w:p>
        </w:tc>
        <w:tc>
          <w:tcPr>
            <w:tcW w:w="784"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套</w:t>
            </w:r>
          </w:p>
        </w:tc>
        <w:tc>
          <w:tcPr>
            <w:tcW w:w="693"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8</w:t>
            </w:r>
          </w:p>
        </w:tc>
        <w:tc>
          <w:tcPr>
            <w:tcW w:w="2916" w:type="dxa"/>
            <w:vAlign w:val="center"/>
          </w:tcPr>
          <w:p>
            <w:pPr>
              <w:autoSpaceDE w:val="0"/>
              <w:autoSpaceDN w:val="0"/>
              <w:adjustRightInd w:val="0"/>
              <w:spacing w:line="240" w:lineRule="exact"/>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发电电动机层～母线层进水球阀吊物孔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pBdr>
                <w:bottom w:val="none" w:color="auto" w:sz="0" w:space="0"/>
              </w:pBdr>
              <w:autoSpaceDE/>
              <w:autoSpaceDN/>
              <w:adjustRightInd/>
              <w:spacing w:line="240" w:lineRule="auto"/>
              <w:jc w:val="center"/>
              <w:rPr>
                <w:rFonts w:ascii="Times New Roman" w:hAnsi="Times New Roman" w:eastAsia="新宋体" w:cs="Times New Roman"/>
                <w:color w:val="auto"/>
                <w:szCs w:val="42"/>
                <w:highlight w:val="none"/>
              </w:rPr>
            </w:pPr>
            <w:r>
              <w:rPr>
                <w:rFonts w:hint="eastAsia" w:ascii="Times New Roman" w:hAnsi="Times New Roman" w:eastAsia="新宋体" w:cs="Times New Roman"/>
                <w:color w:val="auto"/>
                <w:szCs w:val="42"/>
                <w:highlight w:val="none"/>
              </w:rPr>
              <w:t>钢</w:t>
            </w:r>
            <w:r>
              <w:rPr>
                <w:rFonts w:ascii="Times New Roman" w:hAnsi="Times New Roman" w:eastAsia="新宋体" w:cs="Times New Roman"/>
                <w:color w:val="auto"/>
                <w:szCs w:val="42"/>
                <w:highlight w:val="none"/>
              </w:rPr>
              <w:t>盖板</w:t>
            </w:r>
          </w:p>
        </w:tc>
        <w:tc>
          <w:tcPr>
            <w:tcW w:w="203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shd w:val="clear" w:color="auto" w:fill="FFFF00"/>
              </w:rPr>
            </w:pPr>
            <w:r>
              <w:rPr>
                <w:rFonts w:ascii="Times New Roman" w:hAnsi="Times New Roman" w:eastAsia="新宋体" w:cs="Times New Roman"/>
                <w:color w:val="auto"/>
                <w:szCs w:val="42"/>
                <w:highlight w:val="none"/>
              </w:rPr>
              <w:t>5200mm×2300mm</w:t>
            </w:r>
          </w:p>
        </w:tc>
        <w:tc>
          <w:tcPr>
            <w:tcW w:w="784"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shd w:val="clear" w:color="auto" w:fill="FFFF00"/>
              </w:rPr>
            </w:pPr>
            <w:r>
              <w:rPr>
                <w:rFonts w:ascii="Times New Roman" w:hAnsi="Times New Roman" w:eastAsia="新宋体" w:cs="Times New Roman"/>
                <w:color w:val="auto"/>
                <w:szCs w:val="42"/>
                <w:highlight w:val="none"/>
              </w:rPr>
              <w:t>套</w:t>
            </w:r>
          </w:p>
        </w:tc>
        <w:tc>
          <w:tcPr>
            <w:tcW w:w="693"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shd w:val="clear" w:color="auto" w:fill="FFFF00"/>
              </w:rPr>
            </w:pPr>
            <w:r>
              <w:rPr>
                <w:rFonts w:ascii="Times New Roman" w:hAnsi="Times New Roman" w:eastAsia="新宋体" w:cs="Times New Roman"/>
                <w:color w:val="auto"/>
                <w:szCs w:val="42"/>
                <w:highlight w:val="none"/>
              </w:rPr>
              <w:t>1</w:t>
            </w:r>
          </w:p>
        </w:tc>
        <w:tc>
          <w:tcPr>
            <w:tcW w:w="2916" w:type="dxa"/>
            <w:vAlign w:val="center"/>
          </w:tcPr>
          <w:p>
            <w:pPr>
              <w:autoSpaceDE w:val="0"/>
              <w:autoSpaceDN w:val="0"/>
              <w:adjustRightInd w:val="0"/>
              <w:spacing w:line="240" w:lineRule="exact"/>
              <w:rPr>
                <w:rFonts w:ascii="Times New Roman" w:hAnsi="Times New Roman" w:eastAsia="新宋体" w:cs="Times New Roman"/>
                <w:color w:val="auto"/>
                <w:szCs w:val="42"/>
                <w:highlight w:val="none"/>
                <w:shd w:val="clear" w:color="auto" w:fill="FFFF00"/>
              </w:rPr>
            </w:pPr>
            <w:r>
              <w:rPr>
                <w:rFonts w:ascii="Times New Roman" w:hAnsi="Times New Roman" w:eastAsia="新宋体" w:cs="Times New Roman"/>
                <w:color w:val="auto"/>
                <w:szCs w:val="42"/>
                <w:highlight w:val="none"/>
              </w:rPr>
              <w:t>副厂房空压机室吊物孔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autoSpaceDN/>
              <w:adjustRightInd/>
              <w:spacing w:line="240" w:lineRule="auto"/>
              <w:jc w:val="center"/>
              <w:rPr>
                <w:rFonts w:ascii="Times New Roman" w:hAnsi="Times New Roman" w:eastAsia="新宋体" w:cs="Times New Roman"/>
                <w:color w:val="auto"/>
                <w:szCs w:val="42"/>
                <w:highlight w:val="none"/>
              </w:rPr>
            </w:pPr>
            <w:r>
              <w:rPr>
                <w:rFonts w:hint="default" w:ascii="Times New Roman" w:hAnsi="Times New Roman" w:eastAsia="新宋体" w:cs="Times New Roman"/>
                <w:color w:val="auto"/>
                <w:szCs w:val="42"/>
                <w:highlight w:val="none"/>
                <w:shd w:val="clear" w:color="auto" w:fill="auto"/>
              </w:rPr>
              <w:t>省力钢盖板</w:t>
            </w:r>
          </w:p>
        </w:tc>
        <w:tc>
          <w:tcPr>
            <w:tcW w:w="2036"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2000mm×3000mm</w:t>
            </w:r>
          </w:p>
        </w:tc>
        <w:tc>
          <w:tcPr>
            <w:tcW w:w="784"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套</w:t>
            </w:r>
          </w:p>
        </w:tc>
        <w:tc>
          <w:tcPr>
            <w:tcW w:w="693"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1</w:t>
            </w:r>
          </w:p>
        </w:tc>
        <w:tc>
          <w:tcPr>
            <w:tcW w:w="2916" w:type="dxa"/>
            <w:vAlign w:val="center"/>
          </w:tcPr>
          <w:p>
            <w:pPr>
              <w:autoSpaceDE/>
              <w:autoSpaceDN/>
              <w:adjustRightInd/>
              <w:spacing w:line="240" w:lineRule="auto"/>
              <w:jc w:val="left"/>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开关站吊物孔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省力钢盖板</w:t>
            </w:r>
          </w:p>
        </w:tc>
        <w:tc>
          <w:tcPr>
            <w:tcW w:w="2036"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3000mm×2000mm</w:t>
            </w:r>
          </w:p>
        </w:tc>
        <w:tc>
          <w:tcPr>
            <w:tcW w:w="784"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套</w:t>
            </w:r>
          </w:p>
        </w:tc>
        <w:tc>
          <w:tcPr>
            <w:tcW w:w="693"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1</w:t>
            </w:r>
          </w:p>
        </w:tc>
        <w:tc>
          <w:tcPr>
            <w:tcW w:w="2916" w:type="dxa"/>
            <w:vAlign w:val="center"/>
          </w:tcPr>
          <w:p>
            <w:pPr>
              <w:autoSpaceDE/>
              <w:autoSpaceDN/>
              <w:adjustRightInd/>
              <w:spacing w:line="240" w:lineRule="auto"/>
              <w:jc w:val="left"/>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主变洞吊物孔，中部耐压试验场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钢</w:t>
            </w:r>
            <w:r>
              <w:rPr>
                <w:rFonts w:ascii="Times New Roman" w:hAnsi="Times New Roman" w:eastAsia="新宋体" w:cs="Times New Roman"/>
                <w:color w:val="auto"/>
                <w:szCs w:val="42"/>
                <w:highlight w:val="none"/>
                <w:shd w:val="clear" w:color="auto" w:fill="auto"/>
              </w:rPr>
              <w:t>盖板</w:t>
            </w:r>
          </w:p>
        </w:tc>
        <w:tc>
          <w:tcPr>
            <w:tcW w:w="2036"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5000mm×2000mm</w:t>
            </w:r>
          </w:p>
        </w:tc>
        <w:tc>
          <w:tcPr>
            <w:tcW w:w="784"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套</w:t>
            </w:r>
          </w:p>
        </w:tc>
        <w:tc>
          <w:tcPr>
            <w:tcW w:w="693"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1</w:t>
            </w:r>
          </w:p>
        </w:tc>
        <w:tc>
          <w:tcPr>
            <w:tcW w:w="2916" w:type="dxa"/>
            <w:vAlign w:val="center"/>
          </w:tcPr>
          <w:p>
            <w:pPr>
              <w:autoSpaceDE/>
              <w:autoSpaceDN/>
              <w:adjustRightInd/>
              <w:spacing w:line="240" w:lineRule="auto"/>
              <w:jc w:val="left"/>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主变洞吊物孔</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钢</w:t>
            </w:r>
            <w:r>
              <w:rPr>
                <w:rFonts w:ascii="Times New Roman" w:hAnsi="Times New Roman" w:eastAsia="新宋体" w:cs="Times New Roman"/>
                <w:color w:val="auto"/>
                <w:szCs w:val="42"/>
                <w:highlight w:val="none"/>
                <w:shd w:val="clear" w:color="auto" w:fill="auto"/>
              </w:rPr>
              <w:t>盖板</w:t>
            </w:r>
          </w:p>
        </w:tc>
        <w:tc>
          <w:tcPr>
            <w:tcW w:w="2036"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8000mm×3000mm</w:t>
            </w:r>
          </w:p>
        </w:tc>
        <w:tc>
          <w:tcPr>
            <w:tcW w:w="784"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套</w:t>
            </w:r>
          </w:p>
        </w:tc>
        <w:tc>
          <w:tcPr>
            <w:tcW w:w="693" w:type="dxa"/>
            <w:vAlign w:val="center"/>
          </w:tcPr>
          <w:p>
            <w:pPr>
              <w:autoSpaceDE/>
              <w:autoSpaceDN/>
              <w:adjustRightInd/>
              <w:spacing w:line="240" w:lineRule="auto"/>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1</w:t>
            </w:r>
          </w:p>
        </w:tc>
        <w:tc>
          <w:tcPr>
            <w:tcW w:w="2916" w:type="dxa"/>
            <w:vAlign w:val="center"/>
          </w:tcPr>
          <w:p>
            <w:pPr>
              <w:autoSpaceDE/>
              <w:autoSpaceDN/>
              <w:adjustRightInd/>
              <w:spacing w:line="240" w:lineRule="auto"/>
              <w:jc w:val="left"/>
              <w:rPr>
                <w:rFonts w:ascii="Times New Roman" w:hAnsi="Times New Roman" w:eastAsia="新宋体" w:cs="Times New Roman"/>
                <w:color w:val="auto"/>
                <w:szCs w:val="42"/>
                <w:highlight w:val="none"/>
                <w:shd w:val="clear" w:color="auto" w:fill="auto"/>
              </w:rPr>
            </w:pPr>
            <w:r>
              <w:rPr>
                <w:rFonts w:hint="default" w:ascii="Times New Roman" w:hAnsi="Times New Roman" w:eastAsia="新宋体" w:cs="Times New Roman"/>
                <w:color w:val="auto"/>
                <w:szCs w:val="42"/>
                <w:highlight w:val="none"/>
                <w:shd w:val="clear" w:color="auto" w:fill="auto"/>
              </w:rPr>
              <w:t>主变洞吊物孔</w:t>
            </w:r>
          </w:p>
        </w:tc>
      </w:tr>
    </w:tbl>
    <w:p>
      <w:pPr>
        <w:pStyle w:val="76"/>
        <w:ind w:leftChars="-135" w:hanging="283" w:hangingChars="118"/>
        <w:rPr>
          <w:color w:val="auto"/>
          <w:highlight w:val="none"/>
        </w:rPr>
      </w:pPr>
      <w:r>
        <w:rPr>
          <w:rFonts w:hint="eastAsia"/>
          <w:color w:val="auto"/>
          <w:highlight w:val="none"/>
        </w:rPr>
        <w:t>注：以上均为暂定数量及尺寸，详细开孔需求及尺寸以施工详图为准。</w:t>
      </w:r>
    </w:p>
    <w:p>
      <w:pPr>
        <w:pStyle w:val="76"/>
        <w:ind w:firstLine="0" w:firstLineChars="0"/>
        <w:jc w:val="center"/>
        <w:rPr>
          <w:color w:val="auto"/>
          <w:highlight w:val="none"/>
        </w:rPr>
      </w:pPr>
      <w:r>
        <w:rPr>
          <w:color w:val="auto"/>
          <w:highlight w:val="none"/>
        </w:rPr>
        <w:t>表1</w:t>
      </w:r>
      <w:r>
        <w:rPr>
          <w:rFonts w:hint="eastAsia"/>
          <w:color w:val="auto"/>
          <w:highlight w:val="none"/>
        </w:rPr>
        <w:t>6</w:t>
      </w:r>
      <w:r>
        <w:rPr>
          <w:color w:val="auto"/>
          <w:highlight w:val="none"/>
        </w:rPr>
        <w:t>.2.</w:t>
      </w:r>
      <w:r>
        <w:rPr>
          <w:rFonts w:hint="eastAsia"/>
          <w:color w:val="auto"/>
          <w:highlight w:val="none"/>
        </w:rPr>
        <w:t>9</w:t>
      </w:r>
      <w:r>
        <w:rPr>
          <w:color w:val="auto"/>
          <w:highlight w:val="none"/>
        </w:rPr>
        <w:t>-</w:t>
      </w:r>
      <w:r>
        <w:rPr>
          <w:rFonts w:hint="eastAsia"/>
          <w:color w:val="auto"/>
          <w:highlight w:val="none"/>
        </w:rPr>
        <w:t xml:space="preserve">2  </w:t>
      </w:r>
      <w:r>
        <w:rPr>
          <w:color w:val="auto"/>
          <w:highlight w:val="none"/>
        </w:rPr>
        <w:t>自制盖板分块数量限制表</w:t>
      </w:r>
    </w:p>
    <w:tbl>
      <w:tblPr>
        <w:tblStyle w:val="36"/>
        <w:tblW w:w="881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4086"/>
        <w:gridCol w:w="330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3" w:type="dxa"/>
            <w:vAlign w:val="center"/>
          </w:tcPr>
          <w:p>
            <w:pPr>
              <w:autoSpaceDE w:val="0"/>
              <w:autoSpaceDN w:val="0"/>
              <w:adjustRightInd w:val="0"/>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序号</w:t>
            </w:r>
          </w:p>
        </w:tc>
        <w:tc>
          <w:tcPr>
            <w:tcW w:w="4086" w:type="dxa"/>
            <w:vAlign w:val="center"/>
          </w:tcPr>
          <w:p>
            <w:pPr>
              <w:autoSpaceDE w:val="0"/>
              <w:autoSpaceDN w:val="0"/>
              <w:adjustRightInd w:val="0"/>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 xml:space="preserve">吊物孔尺寸(类别) </w:t>
            </w:r>
          </w:p>
        </w:tc>
        <w:tc>
          <w:tcPr>
            <w:tcW w:w="3303" w:type="dxa"/>
            <w:vAlign w:val="center"/>
          </w:tcPr>
          <w:p>
            <w:pPr>
              <w:autoSpaceDE w:val="0"/>
              <w:autoSpaceDN w:val="0"/>
              <w:adjustRightInd w:val="0"/>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分块数量限制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3" w:type="dxa"/>
            <w:vAlign w:val="center"/>
          </w:tcPr>
          <w:p>
            <w:pPr>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1</w:t>
            </w:r>
          </w:p>
        </w:tc>
        <w:tc>
          <w:tcPr>
            <w:tcW w:w="4086" w:type="dxa"/>
            <w:vAlign w:val="center"/>
          </w:tcPr>
          <w:p>
            <w:pPr>
              <w:autoSpaceDE w:val="0"/>
              <w:autoSpaceDN w:val="0"/>
              <w:adjustRightInd w:val="0"/>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42"/>
                <w:highlight w:val="none"/>
              </w:rPr>
              <w:t>6800mm×5200mm</w:t>
            </w:r>
          </w:p>
        </w:tc>
        <w:tc>
          <w:tcPr>
            <w:tcW w:w="3303" w:type="dxa"/>
            <w:vAlign w:val="center"/>
          </w:tcPr>
          <w:p>
            <w:pPr>
              <w:autoSpaceDE w:val="0"/>
              <w:autoSpaceDN w:val="0"/>
              <w:adjustRightInd w:val="0"/>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不少于4块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3" w:type="dxa"/>
            <w:vAlign w:val="center"/>
          </w:tcPr>
          <w:p>
            <w:pPr>
              <w:spacing w:line="240" w:lineRule="exact"/>
              <w:jc w:val="center"/>
              <w:rPr>
                <w:rFonts w:ascii="Times New Roman" w:hAnsi="Times New Roman" w:eastAsia="新宋体" w:cs="Times New Roman"/>
                <w:color w:val="auto"/>
                <w:szCs w:val="21"/>
                <w:highlight w:val="none"/>
              </w:rPr>
            </w:pPr>
            <w:r>
              <w:rPr>
                <w:rFonts w:ascii="Times New Roman" w:hAnsi="Times New Roman" w:eastAsia="新宋体" w:cs="Times New Roman"/>
                <w:color w:val="auto"/>
                <w:szCs w:val="21"/>
                <w:highlight w:val="none"/>
              </w:rPr>
              <w:t>2</w:t>
            </w:r>
          </w:p>
        </w:tc>
        <w:tc>
          <w:tcPr>
            <w:tcW w:w="4086"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rPr>
            </w:pPr>
            <w:r>
              <w:rPr>
                <w:rFonts w:ascii="Times New Roman" w:hAnsi="Times New Roman" w:eastAsia="新宋体" w:cs="Times New Roman"/>
                <w:color w:val="auto"/>
                <w:szCs w:val="42"/>
                <w:highlight w:val="none"/>
              </w:rPr>
              <w:t>5200mm×2300mm</w:t>
            </w:r>
          </w:p>
        </w:tc>
        <w:tc>
          <w:tcPr>
            <w:tcW w:w="3303" w:type="dxa"/>
            <w:vAlign w:val="center"/>
          </w:tcPr>
          <w:p>
            <w:pPr>
              <w:autoSpaceDE w:val="0"/>
              <w:autoSpaceDN w:val="0"/>
              <w:adjustRightInd w:val="0"/>
              <w:spacing w:line="240" w:lineRule="exact"/>
              <w:jc w:val="center"/>
              <w:rPr>
                <w:rFonts w:ascii="Times New Roman" w:hAnsi="Times New Roman" w:eastAsia="新宋体" w:cs="Times New Roman"/>
                <w:color w:val="auto"/>
                <w:szCs w:val="42"/>
                <w:highlight w:val="none"/>
                <w:shd w:val="clear" w:color="auto" w:fill="auto"/>
              </w:rPr>
            </w:pPr>
            <w:r>
              <w:rPr>
                <w:rFonts w:ascii="Times New Roman" w:hAnsi="Times New Roman" w:eastAsia="新宋体" w:cs="Times New Roman"/>
                <w:color w:val="auto"/>
                <w:szCs w:val="42"/>
                <w:highlight w:val="none"/>
                <w:shd w:val="clear" w:color="auto" w:fill="auto"/>
              </w:rPr>
              <w:t>不少于</w:t>
            </w:r>
            <w:r>
              <w:rPr>
                <w:rFonts w:hint="default" w:ascii="Times New Roman" w:hAnsi="Times New Roman" w:eastAsia="新宋体" w:cs="Times New Roman"/>
                <w:color w:val="auto"/>
                <w:szCs w:val="42"/>
                <w:highlight w:val="none"/>
                <w:shd w:val="clear" w:color="auto" w:fill="auto"/>
                <w:lang w:val="en-US" w:eastAsia="zh-CN"/>
              </w:rPr>
              <w:t>2</w:t>
            </w:r>
            <w:r>
              <w:rPr>
                <w:rFonts w:ascii="Times New Roman" w:hAnsi="Times New Roman" w:eastAsia="新宋体" w:cs="Times New Roman"/>
                <w:color w:val="auto"/>
                <w:szCs w:val="42"/>
                <w:highlight w:val="none"/>
                <w:shd w:val="clear" w:color="auto" w:fill="auto"/>
              </w:rPr>
              <w:t>块</w:t>
            </w:r>
          </w:p>
        </w:tc>
      </w:tr>
    </w:tbl>
    <w:p>
      <w:pPr>
        <w:pStyle w:val="132"/>
        <w:rPr>
          <w:color w:val="auto"/>
          <w:highlight w:val="none"/>
        </w:rPr>
      </w:pPr>
      <w:r>
        <w:rPr>
          <w:color w:val="auto"/>
          <w:highlight w:val="none"/>
        </w:rPr>
        <w:t>16.2.</w:t>
      </w:r>
      <w:r>
        <w:rPr>
          <w:color w:val="auto"/>
          <w:highlight w:val="none"/>
          <w:lang w:val="en-US"/>
        </w:rPr>
        <w:t>10</w:t>
      </w:r>
      <w:r>
        <w:rPr>
          <w:rFonts w:hint="eastAsia"/>
          <w:color w:val="auto"/>
          <w:highlight w:val="none"/>
        </w:rPr>
        <w:t xml:space="preserve"> 电梯</w:t>
      </w:r>
    </w:p>
    <w:p>
      <w:pPr>
        <w:pStyle w:val="76"/>
        <w:rPr>
          <w:color w:val="auto"/>
          <w:highlight w:val="none"/>
        </w:rPr>
      </w:pPr>
      <w:r>
        <w:rPr>
          <w:rFonts w:hint="eastAsia"/>
          <w:color w:val="auto"/>
          <w:szCs w:val="20"/>
          <w:highlight w:val="none"/>
        </w:rPr>
        <w:t>电梯的采购、安装（应具有相应资质）及现场试验应由本标完成。</w:t>
      </w:r>
      <w:r>
        <w:rPr>
          <w:rFonts w:hint="eastAsia"/>
          <w:color w:val="auto"/>
          <w:highlight w:val="none"/>
        </w:rPr>
        <w:t>电梯的报价应包含配电柜（带双电源切换装置和控制回路）、电线、空调、电缆、通信电缆、应急通话、预埋管、预埋件、梯井插座照明等所有与电梯安装工作相关内容和电梯的安装以及调试费用。</w:t>
      </w:r>
    </w:p>
    <w:p>
      <w:pPr>
        <w:pStyle w:val="76"/>
        <w:rPr>
          <w:color w:val="auto"/>
          <w:szCs w:val="20"/>
          <w:highlight w:val="none"/>
        </w:rPr>
      </w:pPr>
      <w:r>
        <w:rPr>
          <w:rFonts w:hint="eastAsia"/>
          <w:color w:val="auto"/>
          <w:szCs w:val="20"/>
          <w:highlight w:val="none"/>
        </w:rPr>
        <w:t>电站四台机组全部运行合格移交商运行后，承包人应将电梯移交给发包人。移交前承包人必须对电梯进行全面维护与刷漆，并由本标承包人申请、重新通过技术监督部门的质量检验合格后才能移交。</w:t>
      </w:r>
    </w:p>
    <w:p>
      <w:pPr>
        <w:pStyle w:val="76"/>
        <w:rPr>
          <w:color w:val="auto"/>
          <w:szCs w:val="20"/>
          <w:highlight w:val="none"/>
        </w:rPr>
      </w:pPr>
      <w:r>
        <w:rPr>
          <w:rFonts w:hint="eastAsia"/>
          <w:color w:val="auto"/>
          <w:szCs w:val="20"/>
          <w:highlight w:val="none"/>
        </w:rPr>
        <w:t>电梯应选用节能型电梯，电梯照明应涉及节能设计。</w:t>
      </w:r>
    </w:p>
    <w:p>
      <w:pPr>
        <w:pStyle w:val="67"/>
        <w:rPr>
          <w:rFonts w:hint="eastAsia"/>
          <w:color w:val="auto"/>
          <w:highlight w:val="none"/>
        </w:rPr>
      </w:pPr>
      <w:bookmarkStart w:id="418" w:name="_Toc522716382"/>
      <w:bookmarkStart w:id="419" w:name="_Toc522716144"/>
      <w:bookmarkStart w:id="420" w:name="_Toc524940554"/>
      <w:bookmarkStart w:id="421" w:name="_Toc522347963"/>
      <w:r>
        <w:rPr>
          <w:rFonts w:hint="eastAsia"/>
          <w:color w:val="auto"/>
          <w:highlight w:val="none"/>
        </w:rPr>
        <w:t>16.2.</w:t>
      </w:r>
      <w:r>
        <w:rPr>
          <w:rFonts w:hint="eastAsia"/>
          <w:color w:val="auto"/>
          <w:highlight w:val="none"/>
          <w:lang w:val="en-US"/>
        </w:rPr>
        <w:t>10</w:t>
      </w:r>
      <w:r>
        <w:rPr>
          <w:rFonts w:hint="eastAsia"/>
          <w:color w:val="auto"/>
          <w:highlight w:val="none"/>
        </w:rPr>
        <w:t>.1  电梯主要技术参数及要求</w:t>
      </w:r>
      <w:bookmarkEnd w:id="418"/>
      <w:bookmarkEnd w:id="419"/>
      <w:bookmarkEnd w:id="420"/>
      <w:bookmarkEnd w:id="421"/>
    </w:p>
    <w:p>
      <w:pPr>
        <w:pStyle w:val="76"/>
        <w:rPr>
          <w:color w:val="auto"/>
          <w:highlight w:val="none"/>
        </w:rPr>
      </w:pPr>
      <w:r>
        <w:rPr>
          <w:color w:val="auto"/>
          <w:highlight w:val="none"/>
        </w:rPr>
        <w:t xml:space="preserve">1) </w:t>
      </w:r>
      <w:r>
        <w:rPr>
          <w:rFonts w:hint="eastAsia"/>
          <w:color w:val="auto"/>
          <w:highlight w:val="none"/>
        </w:rPr>
        <w:t>地下副厂房消防疏散电梯</w:t>
      </w:r>
    </w:p>
    <w:p>
      <w:pPr>
        <w:pStyle w:val="76"/>
        <w:rPr>
          <w:color w:val="auto"/>
          <w:highlight w:val="none"/>
        </w:rPr>
      </w:pPr>
      <w:r>
        <w:rPr>
          <w:color w:val="auto"/>
          <w:highlight w:val="none"/>
        </w:rPr>
        <w:t xml:space="preserve">(1) </w:t>
      </w:r>
      <w:r>
        <w:rPr>
          <w:rFonts w:hint="eastAsia"/>
          <w:color w:val="auto"/>
          <w:highlight w:val="none"/>
        </w:rPr>
        <w:t>梯型：</w:t>
      </w:r>
      <w:r>
        <w:rPr>
          <w:rFonts w:hint="eastAsia" w:hAnsi="宋体"/>
          <w:color w:val="auto"/>
          <w:highlight w:val="none"/>
        </w:rPr>
        <w:t>Ⅱ</w:t>
      </w:r>
      <w:r>
        <w:rPr>
          <w:rFonts w:hint="eastAsia"/>
          <w:color w:val="auto"/>
          <w:highlight w:val="none"/>
        </w:rPr>
        <w:t>类</w:t>
      </w:r>
    </w:p>
    <w:p>
      <w:pPr>
        <w:pStyle w:val="76"/>
        <w:rPr>
          <w:color w:val="auto"/>
          <w:highlight w:val="none"/>
        </w:rPr>
      </w:pPr>
      <w:r>
        <w:rPr>
          <w:color w:val="auto"/>
          <w:highlight w:val="none"/>
        </w:rPr>
        <w:t xml:space="preserve">(2) </w:t>
      </w:r>
      <w:r>
        <w:rPr>
          <w:rFonts w:hint="eastAsia"/>
          <w:color w:val="auto"/>
          <w:highlight w:val="none"/>
        </w:rPr>
        <w:t>额定载重量：</w:t>
      </w:r>
      <w:r>
        <w:rPr>
          <w:color w:val="auto"/>
          <w:highlight w:val="none"/>
        </w:rPr>
        <w:t>1000kg(13</w:t>
      </w:r>
      <w:r>
        <w:rPr>
          <w:rFonts w:hint="eastAsia"/>
          <w:color w:val="auto"/>
          <w:highlight w:val="none"/>
        </w:rPr>
        <w:t>人</w:t>
      </w:r>
      <w:r>
        <w:rPr>
          <w:color w:val="auto"/>
          <w:highlight w:val="none"/>
        </w:rPr>
        <w:t>) ~1150kg(15</w:t>
      </w:r>
      <w:r>
        <w:rPr>
          <w:rFonts w:hint="eastAsia"/>
          <w:color w:val="auto"/>
          <w:highlight w:val="none"/>
        </w:rPr>
        <w:t>人</w:t>
      </w:r>
      <w:r>
        <w:rPr>
          <w:color w:val="auto"/>
          <w:highlight w:val="none"/>
        </w:rPr>
        <w:t xml:space="preserve">) </w:t>
      </w:r>
    </w:p>
    <w:p>
      <w:pPr>
        <w:pStyle w:val="76"/>
        <w:rPr>
          <w:color w:val="auto"/>
          <w:highlight w:val="none"/>
        </w:rPr>
      </w:pPr>
      <w:r>
        <w:rPr>
          <w:color w:val="auto"/>
          <w:highlight w:val="none"/>
        </w:rPr>
        <w:t xml:space="preserve">(3) </w:t>
      </w:r>
      <w:r>
        <w:rPr>
          <w:rFonts w:hint="eastAsia"/>
          <w:color w:val="auto"/>
          <w:highlight w:val="none"/>
        </w:rPr>
        <w:t>曳引机型式：无齿轮</w:t>
      </w:r>
    </w:p>
    <w:p>
      <w:pPr>
        <w:pStyle w:val="76"/>
        <w:rPr>
          <w:color w:val="auto"/>
          <w:highlight w:val="none"/>
        </w:rPr>
      </w:pPr>
      <w:r>
        <w:rPr>
          <w:color w:val="auto"/>
          <w:highlight w:val="none"/>
        </w:rPr>
        <w:t xml:space="preserve">(4) </w:t>
      </w:r>
      <w:r>
        <w:rPr>
          <w:rFonts w:hint="eastAsia"/>
          <w:color w:val="auto"/>
          <w:highlight w:val="none"/>
        </w:rPr>
        <w:t>驱动方式：交流变频变压调速</w:t>
      </w:r>
    </w:p>
    <w:p>
      <w:pPr>
        <w:pStyle w:val="76"/>
        <w:rPr>
          <w:color w:val="auto"/>
          <w:highlight w:val="none"/>
        </w:rPr>
      </w:pPr>
      <w:r>
        <w:rPr>
          <w:color w:val="auto"/>
          <w:highlight w:val="none"/>
        </w:rPr>
        <w:t xml:space="preserve">(5) </w:t>
      </w:r>
      <w:r>
        <w:rPr>
          <w:rFonts w:hint="eastAsia"/>
          <w:color w:val="auto"/>
          <w:highlight w:val="none"/>
        </w:rPr>
        <w:t>控制方式：微电脑集选控制</w:t>
      </w:r>
    </w:p>
    <w:p>
      <w:pPr>
        <w:pStyle w:val="76"/>
        <w:rPr>
          <w:color w:val="auto"/>
          <w:highlight w:val="none"/>
        </w:rPr>
      </w:pPr>
      <w:r>
        <w:rPr>
          <w:color w:val="auto"/>
          <w:highlight w:val="none"/>
        </w:rPr>
        <w:t xml:space="preserve">(6) </w:t>
      </w:r>
      <w:r>
        <w:rPr>
          <w:rFonts w:hint="eastAsia"/>
          <w:color w:val="auto"/>
          <w:highlight w:val="none"/>
        </w:rPr>
        <w:t>额定提升速度：</w:t>
      </w:r>
      <w:r>
        <w:rPr>
          <w:color w:val="auto"/>
          <w:highlight w:val="none"/>
        </w:rPr>
        <w:t>1.5m/s</w:t>
      </w:r>
    </w:p>
    <w:p>
      <w:pPr>
        <w:pStyle w:val="76"/>
        <w:rPr>
          <w:color w:val="auto"/>
          <w:highlight w:val="none"/>
        </w:rPr>
      </w:pPr>
      <w:r>
        <w:rPr>
          <w:color w:val="auto"/>
          <w:highlight w:val="none"/>
        </w:rPr>
        <w:t xml:space="preserve">(7) </w:t>
      </w:r>
      <w:r>
        <w:rPr>
          <w:rFonts w:hint="eastAsia"/>
          <w:color w:val="auto"/>
          <w:highlight w:val="none"/>
        </w:rPr>
        <w:t>电梯轿厢平层准确度达到±</w:t>
      </w:r>
      <w:r>
        <w:rPr>
          <w:color w:val="auto"/>
          <w:highlight w:val="none"/>
        </w:rPr>
        <w:t>15mm</w:t>
      </w:r>
      <w:r>
        <w:rPr>
          <w:rFonts w:hint="eastAsia"/>
          <w:color w:val="auto"/>
          <w:highlight w:val="none"/>
        </w:rPr>
        <w:t>之内</w:t>
      </w:r>
    </w:p>
    <w:p>
      <w:pPr>
        <w:pStyle w:val="76"/>
        <w:rPr>
          <w:color w:val="auto"/>
          <w:highlight w:val="none"/>
        </w:rPr>
      </w:pPr>
      <w:r>
        <w:rPr>
          <w:color w:val="auto"/>
          <w:highlight w:val="none"/>
        </w:rPr>
        <w:t xml:space="preserve">(8) </w:t>
      </w:r>
      <w:r>
        <w:rPr>
          <w:rFonts w:hint="eastAsia"/>
          <w:color w:val="auto"/>
          <w:highlight w:val="none"/>
        </w:rPr>
        <w:t>电梯提升高度、停层站数及基站见表</w:t>
      </w:r>
      <w:r>
        <w:rPr>
          <w:color w:val="auto"/>
          <w:highlight w:val="none"/>
        </w:rPr>
        <w:t>16.2.10-1</w:t>
      </w:r>
    </w:p>
    <w:p>
      <w:pPr>
        <w:pStyle w:val="76"/>
        <w:rPr>
          <w:color w:val="auto"/>
          <w:highlight w:val="none"/>
        </w:rPr>
      </w:pPr>
      <w:r>
        <w:rPr>
          <w:color w:val="auto"/>
          <w:highlight w:val="none"/>
        </w:rPr>
        <w:t xml:space="preserve">(9) </w:t>
      </w:r>
      <w:r>
        <w:rPr>
          <w:rFonts w:hint="eastAsia"/>
          <w:color w:val="auto"/>
          <w:highlight w:val="none"/>
        </w:rPr>
        <w:t>井道平面尺寸：</w:t>
      </w:r>
      <w:r>
        <w:rPr>
          <w:color w:val="auto"/>
          <w:highlight w:val="none"/>
        </w:rPr>
        <w:t xml:space="preserve"> 2400</w:t>
      </w:r>
      <w:r>
        <w:rPr>
          <w:rFonts w:hint="eastAsia"/>
          <w:color w:val="auto"/>
          <w:highlight w:val="none"/>
        </w:rPr>
        <w:t>×</w:t>
      </w:r>
      <w:r>
        <w:rPr>
          <w:color w:val="auto"/>
          <w:highlight w:val="none"/>
        </w:rPr>
        <w:t>1900mm(</w:t>
      </w:r>
      <w:r>
        <w:rPr>
          <w:rFonts w:hint="eastAsia"/>
          <w:color w:val="auto"/>
          <w:highlight w:val="none"/>
        </w:rPr>
        <w:t>净宽×净深</w:t>
      </w:r>
      <w:r>
        <w:rPr>
          <w:color w:val="auto"/>
          <w:highlight w:val="none"/>
        </w:rPr>
        <w:t xml:space="preserve">) </w:t>
      </w:r>
    </w:p>
    <w:p>
      <w:pPr>
        <w:pStyle w:val="76"/>
        <w:rPr>
          <w:color w:val="auto"/>
          <w:highlight w:val="none"/>
        </w:rPr>
      </w:pPr>
      <w:r>
        <w:rPr>
          <w:color w:val="auto"/>
          <w:highlight w:val="none"/>
        </w:rPr>
        <w:t xml:space="preserve">(10) </w:t>
      </w:r>
      <w:r>
        <w:rPr>
          <w:rFonts w:hint="eastAsia"/>
          <w:color w:val="auto"/>
          <w:highlight w:val="none"/>
        </w:rPr>
        <w:t>底坑深度：</w:t>
      </w:r>
      <w:r>
        <w:rPr>
          <w:color w:val="auto"/>
          <w:highlight w:val="none"/>
        </w:rPr>
        <w:t>1800mm</w:t>
      </w:r>
    </w:p>
    <w:p>
      <w:pPr>
        <w:pStyle w:val="76"/>
        <w:rPr>
          <w:color w:val="auto"/>
          <w:highlight w:val="none"/>
        </w:rPr>
      </w:pPr>
      <w:r>
        <w:rPr>
          <w:color w:val="auto"/>
          <w:highlight w:val="none"/>
        </w:rPr>
        <w:t>(11)</w:t>
      </w:r>
      <w:r>
        <w:rPr>
          <w:rFonts w:hint="eastAsia"/>
          <w:color w:val="auto"/>
          <w:highlight w:val="none"/>
        </w:rPr>
        <w:t>顶层高度：</w:t>
      </w:r>
      <w:r>
        <w:rPr>
          <w:color w:val="auto"/>
          <w:highlight w:val="none"/>
        </w:rPr>
        <w:t>4600mm</w:t>
      </w:r>
    </w:p>
    <w:p>
      <w:pPr>
        <w:pStyle w:val="76"/>
        <w:rPr>
          <w:color w:val="auto"/>
          <w:highlight w:val="none"/>
        </w:rPr>
      </w:pPr>
      <w:r>
        <w:rPr>
          <w:color w:val="auto"/>
          <w:highlight w:val="none"/>
        </w:rPr>
        <w:t xml:space="preserve">(12) </w:t>
      </w:r>
      <w:r>
        <w:rPr>
          <w:rFonts w:hint="eastAsia"/>
          <w:color w:val="auto"/>
          <w:highlight w:val="none"/>
        </w:rPr>
        <w:t>电梯背部井壁为混凝土结构。</w:t>
      </w:r>
    </w:p>
    <w:p>
      <w:pPr>
        <w:pStyle w:val="76"/>
        <w:rPr>
          <w:color w:val="auto"/>
          <w:highlight w:val="none"/>
        </w:rPr>
      </w:pPr>
      <w:r>
        <w:rPr>
          <w:color w:val="auto"/>
          <w:highlight w:val="none"/>
        </w:rPr>
        <w:t xml:space="preserve">(13) </w:t>
      </w:r>
      <w:r>
        <w:rPr>
          <w:rFonts w:hint="eastAsia"/>
          <w:color w:val="auto"/>
          <w:highlight w:val="none"/>
        </w:rPr>
        <w:t>轿厢门：电动式自动中分门，门机采用交流变频调速。</w:t>
      </w:r>
    </w:p>
    <w:p>
      <w:pPr>
        <w:pStyle w:val="76"/>
        <w:rPr>
          <w:color w:val="auto"/>
          <w:highlight w:val="none"/>
        </w:rPr>
      </w:pPr>
      <w:r>
        <w:rPr>
          <w:color w:val="auto"/>
          <w:highlight w:val="none"/>
        </w:rPr>
        <w:t xml:space="preserve">(14) </w:t>
      </w:r>
      <w:r>
        <w:rPr>
          <w:rFonts w:hint="eastAsia"/>
          <w:color w:val="auto"/>
          <w:highlight w:val="none"/>
        </w:rPr>
        <w:t>层门</w:t>
      </w:r>
      <w:r>
        <w:rPr>
          <w:color w:val="auto"/>
          <w:highlight w:val="none"/>
        </w:rPr>
        <w:t>(1100mm</w:t>
      </w:r>
      <w:r>
        <w:rPr>
          <w:rFonts w:hint="eastAsia"/>
          <w:color w:val="auto"/>
          <w:highlight w:val="none"/>
        </w:rPr>
        <w:t>宽×</w:t>
      </w:r>
      <w:r>
        <w:rPr>
          <w:color w:val="auto"/>
          <w:highlight w:val="none"/>
        </w:rPr>
        <w:t>2100mm</w:t>
      </w:r>
      <w:r>
        <w:rPr>
          <w:rFonts w:hint="eastAsia"/>
          <w:color w:val="auto"/>
          <w:highlight w:val="none"/>
        </w:rPr>
        <w:t>高</w:t>
      </w:r>
      <w:r>
        <w:rPr>
          <w:color w:val="auto"/>
          <w:highlight w:val="none"/>
        </w:rPr>
        <w:t xml:space="preserve">) </w:t>
      </w:r>
      <w:r>
        <w:rPr>
          <w:rFonts w:hint="eastAsia"/>
          <w:color w:val="auto"/>
          <w:highlight w:val="none"/>
        </w:rPr>
        <w:t>：中分门，由轿厢门拖动。</w:t>
      </w:r>
    </w:p>
    <w:p>
      <w:pPr>
        <w:pStyle w:val="76"/>
        <w:rPr>
          <w:color w:val="auto"/>
          <w:highlight w:val="none"/>
        </w:rPr>
      </w:pPr>
      <w:r>
        <w:rPr>
          <w:color w:val="auto"/>
          <w:highlight w:val="none"/>
        </w:rPr>
        <w:t xml:space="preserve">(15) </w:t>
      </w:r>
      <w:r>
        <w:rPr>
          <w:rFonts w:hint="eastAsia"/>
          <w:color w:val="auto"/>
          <w:highlight w:val="none"/>
        </w:rPr>
        <w:t>轿厢内设施：轿内操纵盘、照明、排风、报警、程控电话机、称重显示器、应急照明</w:t>
      </w:r>
      <w:r>
        <w:rPr>
          <w:color w:val="auto"/>
          <w:highlight w:val="none"/>
        </w:rPr>
        <w:t>(</w:t>
      </w:r>
      <w:r>
        <w:rPr>
          <w:rFonts w:hint="eastAsia"/>
          <w:color w:val="auto"/>
          <w:highlight w:val="none"/>
        </w:rPr>
        <w:t>照明时间不少于</w:t>
      </w:r>
      <w:r>
        <w:rPr>
          <w:color w:val="auto"/>
          <w:highlight w:val="none"/>
        </w:rPr>
        <w:t xml:space="preserve">60min) </w:t>
      </w:r>
      <w:r>
        <w:rPr>
          <w:rFonts w:hint="eastAsia"/>
          <w:color w:val="auto"/>
          <w:highlight w:val="none"/>
        </w:rPr>
        <w:t>、轿顶检修箱、报站钟、摄像头、井道内的检修照明等设施。</w:t>
      </w:r>
    </w:p>
    <w:p>
      <w:pPr>
        <w:adjustRightInd w:val="0"/>
        <w:spacing w:before="156" w:beforeLines="50" w:line="460" w:lineRule="exact"/>
        <w:jc w:val="center"/>
        <w:textAlignment w:val="baseline"/>
        <w:rPr>
          <w:rFonts w:ascii="Times New Roman" w:hAnsi="Times New Roman" w:eastAsia="黑体" w:cs="Times New Roman"/>
          <w:color w:val="auto"/>
          <w:kern w:val="44"/>
          <w:sz w:val="24"/>
          <w:szCs w:val="20"/>
          <w:highlight w:val="none"/>
        </w:rPr>
      </w:pPr>
      <w:r>
        <w:rPr>
          <w:rFonts w:hint="eastAsia" w:ascii="Times New Roman" w:hAnsi="Times New Roman" w:eastAsia="黑体" w:cs="Times New Roman"/>
          <w:color w:val="auto"/>
          <w:kern w:val="44"/>
          <w:sz w:val="24"/>
          <w:szCs w:val="20"/>
          <w:highlight w:val="none"/>
        </w:rPr>
        <w:t>表</w:t>
      </w:r>
      <w:r>
        <w:rPr>
          <w:rFonts w:ascii="Times New Roman" w:hAnsi="Times New Roman" w:eastAsia="黑体" w:cs="Times New Roman"/>
          <w:color w:val="auto"/>
          <w:kern w:val="44"/>
          <w:sz w:val="24"/>
          <w:szCs w:val="20"/>
          <w:highlight w:val="none"/>
        </w:rPr>
        <w:t>16.2.10-1</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7"/>
        <w:gridCol w:w="1196"/>
        <w:gridCol w:w="1005"/>
        <w:gridCol w:w="1105"/>
        <w:gridCol w:w="1295"/>
        <w:gridCol w:w="1204"/>
        <w:gridCol w:w="906"/>
        <w:gridCol w:w="110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97"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电梯</w:t>
            </w:r>
          </w:p>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名称</w:t>
            </w:r>
          </w:p>
        </w:tc>
        <w:tc>
          <w:tcPr>
            <w:tcW w:w="1196"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snapToGrid w:val="0"/>
                <w:color w:val="auto"/>
                <w:kern w:val="0"/>
                <w:szCs w:val="21"/>
                <w:highlight w:val="none"/>
              </w:rPr>
              <w:t>电梯数量</w:t>
            </w:r>
            <w:r>
              <w:rPr>
                <w:rFonts w:ascii="Times New Roman" w:hAnsi="Times New Roman" w:eastAsia="等线" w:cs="Times New Roman"/>
                <w:snapToGrid w:val="0"/>
                <w:color w:val="auto"/>
                <w:kern w:val="0"/>
                <w:szCs w:val="21"/>
                <w:highlight w:val="none"/>
              </w:rPr>
              <w:t>(</w:t>
            </w:r>
            <w:r>
              <w:rPr>
                <w:rFonts w:hint="eastAsia" w:ascii="Times New Roman" w:hAnsi="Times New Roman" w:eastAsia="等线" w:cs="Times New Roman"/>
                <w:snapToGrid w:val="0"/>
                <w:color w:val="auto"/>
                <w:kern w:val="0"/>
                <w:szCs w:val="21"/>
                <w:highlight w:val="none"/>
              </w:rPr>
              <w:t>台</w:t>
            </w:r>
            <w:r>
              <w:rPr>
                <w:rFonts w:ascii="Times New Roman" w:hAnsi="Times New Roman" w:eastAsia="等线" w:cs="Times New Roman"/>
                <w:snapToGrid w:val="0"/>
                <w:color w:val="auto"/>
                <w:kern w:val="0"/>
                <w:szCs w:val="21"/>
                <w:highlight w:val="none"/>
              </w:rPr>
              <w:t xml:space="preserve">) </w:t>
            </w:r>
          </w:p>
        </w:tc>
        <w:tc>
          <w:tcPr>
            <w:tcW w:w="1005" w:type="dxa"/>
            <w:vAlign w:val="center"/>
          </w:tcPr>
          <w:p>
            <w:pPr>
              <w:autoSpaceDE w:val="0"/>
              <w:autoSpaceDN w:val="0"/>
              <w:adjustRightInd w:val="0"/>
              <w:snapToGrid w:val="0"/>
              <w:jc w:val="center"/>
              <w:textAlignment w:val="bottom"/>
              <w:rPr>
                <w:rFonts w:ascii="Times New Roman" w:hAnsi="Times New Roman" w:eastAsia="等线" w:cs="Times New Roman"/>
                <w:snapToGrid w:val="0"/>
                <w:color w:val="auto"/>
                <w:kern w:val="0"/>
                <w:szCs w:val="21"/>
                <w:highlight w:val="none"/>
              </w:rPr>
            </w:pPr>
            <w:r>
              <w:rPr>
                <w:rFonts w:hint="eastAsia" w:ascii="Times New Roman" w:hAnsi="Times New Roman" w:eastAsia="等线" w:cs="Times New Roman"/>
                <w:snapToGrid w:val="0"/>
                <w:color w:val="auto"/>
                <w:kern w:val="0"/>
                <w:szCs w:val="21"/>
                <w:highlight w:val="none"/>
              </w:rPr>
              <w:t>提升高</w:t>
            </w:r>
          </w:p>
          <w:p>
            <w:pPr>
              <w:autoSpaceDE w:val="0"/>
              <w:autoSpaceDN w:val="0"/>
              <w:adjustRightInd w:val="0"/>
              <w:snapToGrid w:val="0"/>
              <w:jc w:val="center"/>
              <w:textAlignment w:val="bottom"/>
              <w:rPr>
                <w:rFonts w:ascii="Times New Roman" w:hAnsi="Times New Roman" w:eastAsia="等线" w:cs="Times New Roman"/>
                <w:snapToGrid w:val="0"/>
                <w:color w:val="auto"/>
                <w:kern w:val="0"/>
                <w:szCs w:val="21"/>
                <w:highlight w:val="none"/>
              </w:rPr>
            </w:pPr>
            <w:r>
              <w:rPr>
                <w:rFonts w:hint="eastAsia" w:ascii="Times New Roman" w:hAnsi="Times New Roman" w:eastAsia="等线" w:cs="Times New Roman"/>
                <w:snapToGrid w:val="0"/>
                <w:color w:val="auto"/>
                <w:kern w:val="0"/>
                <w:szCs w:val="21"/>
                <w:highlight w:val="none"/>
              </w:rPr>
              <w:t>度</w:t>
            </w:r>
            <w:r>
              <w:rPr>
                <w:rFonts w:ascii="Times New Roman" w:hAnsi="Times New Roman" w:eastAsia="等线" w:cs="Times New Roman"/>
                <w:snapToGrid w:val="0"/>
                <w:color w:val="auto"/>
                <w:kern w:val="0"/>
                <w:szCs w:val="21"/>
                <w:highlight w:val="none"/>
              </w:rPr>
              <w:t xml:space="preserve">(m) </w:t>
            </w:r>
          </w:p>
        </w:tc>
        <w:tc>
          <w:tcPr>
            <w:tcW w:w="1105" w:type="dxa"/>
            <w:vAlign w:val="center"/>
          </w:tcPr>
          <w:p>
            <w:pPr>
              <w:autoSpaceDE w:val="0"/>
              <w:autoSpaceDN w:val="0"/>
              <w:adjustRightInd w:val="0"/>
              <w:snapToGrid w:val="0"/>
              <w:jc w:val="center"/>
              <w:textAlignment w:val="bottom"/>
              <w:rPr>
                <w:rFonts w:ascii="Times New Roman" w:hAnsi="Times New Roman" w:eastAsia="等线" w:cs="Times New Roman"/>
                <w:snapToGrid w:val="0"/>
                <w:color w:val="auto"/>
                <w:kern w:val="0"/>
                <w:szCs w:val="21"/>
                <w:highlight w:val="none"/>
              </w:rPr>
            </w:pPr>
            <w:r>
              <w:rPr>
                <w:rFonts w:hint="eastAsia" w:ascii="Times New Roman" w:hAnsi="Times New Roman" w:eastAsia="等线" w:cs="Times New Roman"/>
                <w:snapToGrid w:val="0"/>
                <w:color w:val="auto"/>
                <w:kern w:val="0"/>
                <w:szCs w:val="21"/>
                <w:highlight w:val="none"/>
              </w:rPr>
              <w:t>提升速</w:t>
            </w:r>
          </w:p>
          <w:p>
            <w:pPr>
              <w:autoSpaceDE w:val="0"/>
              <w:autoSpaceDN w:val="0"/>
              <w:adjustRightInd w:val="0"/>
              <w:snapToGrid w:val="0"/>
              <w:jc w:val="center"/>
              <w:textAlignment w:val="bottom"/>
              <w:rPr>
                <w:rFonts w:ascii="Times New Roman" w:hAnsi="Times New Roman" w:eastAsia="等线" w:cs="Times New Roman"/>
                <w:snapToGrid w:val="0"/>
                <w:color w:val="auto"/>
                <w:kern w:val="0"/>
                <w:szCs w:val="21"/>
                <w:highlight w:val="none"/>
              </w:rPr>
            </w:pPr>
            <w:r>
              <w:rPr>
                <w:rFonts w:hint="eastAsia" w:ascii="Times New Roman" w:hAnsi="Times New Roman" w:eastAsia="等线" w:cs="Times New Roman"/>
                <w:snapToGrid w:val="0"/>
                <w:color w:val="auto"/>
                <w:kern w:val="0"/>
                <w:szCs w:val="21"/>
                <w:highlight w:val="none"/>
              </w:rPr>
              <w:t>度</w:t>
            </w:r>
            <w:r>
              <w:rPr>
                <w:rFonts w:ascii="Times New Roman" w:hAnsi="Times New Roman" w:eastAsia="等线" w:cs="Times New Roman"/>
                <w:snapToGrid w:val="0"/>
                <w:color w:val="auto"/>
                <w:kern w:val="0"/>
                <w:szCs w:val="21"/>
                <w:highlight w:val="none"/>
              </w:rPr>
              <w:t xml:space="preserve">(m/s) </w:t>
            </w:r>
          </w:p>
        </w:tc>
        <w:tc>
          <w:tcPr>
            <w:tcW w:w="1295" w:type="dxa"/>
            <w:vAlign w:val="center"/>
          </w:tcPr>
          <w:p>
            <w:pPr>
              <w:autoSpaceDE w:val="0"/>
              <w:autoSpaceDN w:val="0"/>
              <w:adjustRightInd w:val="0"/>
              <w:snapToGrid w:val="0"/>
              <w:jc w:val="center"/>
              <w:textAlignment w:val="bottom"/>
              <w:rPr>
                <w:rFonts w:ascii="Times New Roman" w:hAnsi="Times New Roman" w:eastAsia="等线" w:cs="Times New Roman"/>
                <w:snapToGrid w:val="0"/>
                <w:color w:val="auto"/>
                <w:kern w:val="0"/>
                <w:szCs w:val="21"/>
                <w:highlight w:val="none"/>
              </w:rPr>
            </w:pPr>
            <w:r>
              <w:rPr>
                <w:rFonts w:hint="eastAsia" w:ascii="Times New Roman" w:hAnsi="Times New Roman" w:eastAsia="等线" w:cs="Times New Roman"/>
                <w:snapToGrid w:val="0"/>
                <w:color w:val="auto"/>
                <w:kern w:val="0"/>
                <w:szCs w:val="21"/>
                <w:highlight w:val="none"/>
              </w:rPr>
              <w:t>底层端站高程</w:t>
            </w:r>
            <w:r>
              <w:rPr>
                <w:rFonts w:ascii="Times New Roman" w:hAnsi="Times New Roman" w:eastAsia="等线" w:cs="Times New Roman"/>
                <w:color w:val="auto"/>
                <w:szCs w:val="21"/>
                <w:highlight w:val="none"/>
              </w:rPr>
              <w:t xml:space="preserve">(m) </w:t>
            </w:r>
          </w:p>
        </w:tc>
        <w:tc>
          <w:tcPr>
            <w:tcW w:w="1204"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snapToGrid w:val="0"/>
                <w:color w:val="auto"/>
                <w:kern w:val="0"/>
                <w:szCs w:val="21"/>
                <w:highlight w:val="none"/>
              </w:rPr>
              <w:t>顶层端站高程</w:t>
            </w:r>
            <w:r>
              <w:rPr>
                <w:rFonts w:ascii="Times New Roman" w:hAnsi="Times New Roman" w:eastAsia="等线" w:cs="Times New Roman"/>
                <w:snapToGrid w:val="0"/>
                <w:color w:val="auto"/>
                <w:kern w:val="0"/>
                <w:szCs w:val="21"/>
                <w:highlight w:val="none"/>
              </w:rPr>
              <w:t xml:space="preserve">(m) </w:t>
            </w:r>
          </w:p>
        </w:tc>
        <w:tc>
          <w:tcPr>
            <w:tcW w:w="906"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站数</w:t>
            </w:r>
          </w:p>
        </w:tc>
        <w:tc>
          <w:tcPr>
            <w:tcW w:w="1104"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基站高</w:t>
            </w:r>
          </w:p>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程</w:t>
            </w:r>
            <w:r>
              <w:rPr>
                <w:rFonts w:ascii="Times New Roman" w:hAnsi="Times New Roman" w:eastAsia="等线" w:cs="Times New Roman"/>
                <w:color w:val="auto"/>
                <w:szCs w:val="21"/>
                <w:highlight w:val="none"/>
              </w:rPr>
              <w:t xml:space="preserve">(m)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997"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hint="eastAsia" w:ascii="Times New Roman" w:hAnsi="Times New Roman" w:eastAsia="等线" w:cs="Times New Roman"/>
                <w:color w:val="auto"/>
                <w:szCs w:val="21"/>
                <w:highlight w:val="none"/>
              </w:rPr>
              <w:t>地下厂房电梯</w:t>
            </w:r>
          </w:p>
        </w:tc>
        <w:tc>
          <w:tcPr>
            <w:tcW w:w="1196"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1</w:t>
            </w:r>
          </w:p>
        </w:tc>
        <w:tc>
          <w:tcPr>
            <w:tcW w:w="1005"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43.98</w:t>
            </w:r>
          </w:p>
        </w:tc>
        <w:tc>
          <w:tcPr>
            <w:tcW w:w="1105"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1.5</w:t>
            </w:r>
          </w:p>
        </w:tc>
        <w:tc>
          <w:tcPr>
            <w:tcW w:w="1295"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-16.10</w:t>
            </w:r>
          </w:p>
        </w:tc>
        <w:tc>
          <w:tcPr>
            <w:tcW w:w="1204"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27.88</w:t>
            </w:r>
          </w:p>
        </w:tc>
        <w:tc>
          <w:tcPr>
            <w:tcW w:w="906"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10</w:t>
            </w:r>
          </w:p>
        </w:tc>
        <w:tc>
          <w:tcPr>
            <w:tcW w:w="1104" w:type="dxa"/>
            <w:vAlign w:val="center"/>
          </w:tcPr>
          <w:p>
            <w:pPr>
              <w:autoSpaceDE w:val="0"/>
              <w:autoSpaceDN w:val="0"/>
              <w:adjustRightInd w:val="0"/>
              <w:snapToGrid w:val="0"/>
              <w:jc w:val="center"/>
              <w:textAlignment w:val="bottom"/>
              <w:rPr>
                <w:rFonts w:ascii="Times New Roman" w:hAnsi="Times New Roman" w:eastAsia="等线" w:cs="Times New Roman"/>
                <w:color w:val="auto"/>
                <w:szCs w:val="21"/>
                <w:highlight w:val="none"/>
              </w:rPr>
            </w:pPr>
            <w:r>
              <w:rPr>
                <w:rFonts w:ascii="Times New Roman" w:hAnsi="Times New Roman" w:eastAsia="等线" w:cs="Times New Roman"/>
                <w:color w:val="auto"/>
                <w:szCs w:val="21"/>
                <w:highlight w:val="none"/>
              </w:rPr>
              <w:t>10.50</w:t>
            </w:r>
          </w:p>
        </w:tc>
      </w:tr>
    </w:tbl>
    <w:p>
      <w:pPr>
        <w:spacing w:line="360" w:lineRule="exact"/>
        <w:rPr>
          <w:rFonts w:ascii="Times New Roman" w:hAnsi="Times New Roman" w:cs="Times New Roman"/>
          <w:color w:val="auto"/>
          <w:sz w:val="24"/>
          <w:szCs w:val="24"/>
          <w:highlight w:val="none"/>
        </w:rPr>
      </w:pPr>
      <w:r>
        <w:rPr>
          <w:rFonts w:ascii="Times New Roman" w:hAnsi="宋体" w:cs="Times New Roman"/>
          <w:color w:val="auto"/>
          <w:kern w:val="0"/>
          <w:sz w:val="24"/>
          <w:szCs w:val="21"/>
          <w:highlight w:val="none"/>
        </w:rPr>
        <w:t>注：</w:t>
      </w:r>
      <w:r>
        <w:rPr>
          <w:rFonts w:hint="eastAsia" w:ascii="Times New Roman" w:hAnsi="宋体" w:cs="Times New Roman"/>
          <w:color w:val="auto"/>
          <w:kern w:val="0"/>
          <w:sz w:val="24"/>
          <w:szCs w:val="21"/>
          <w:highlight w:val="none"/>
        </w:rPr>
        <w:t>电梯楼层设置。廊道层为</w:t>
      </w:r>
      <w:r>
        <w:rPr>
          <w:rFonts w:ascii="Times New Roman" w:hAnsi="宋体" w:cs="Times New Roman"/>
          <w:color w:val="auto"/>
          <w:kern w:val="0"/>
          <w:sz w:val="24"/>
          <w:szCs w:val="21"/>
          <w:highlight w:val="none"/>
        </w:rPr>
        <w:t>B1楼，蜗壳层为1楼、水机层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2楼、中间层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3楼、电缆层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3+）、发电机层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4楼、监控层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5楼、通信层</w:t>
      </w:r>
      <w:r>
        <w:rPr>
          <w:rFonts w:hint="eastAsia" w:ascii="Times New Roman" w:hAnsi="宋体" w:cs="Times New Roman"/>
          <w:color w:val="auto"/>
          <w:kern w:val="0"/>
          <w:sz w:val="24"/>
          <w:szCs w:val="21"/>
          <w:highlight w:val="none"/>
        </w:rPr>
        <w:t>为</w:t>
      </w:r>
      <w:r>
        <w:rPr>
          <w:rFonts w:ascii="Times New Roman" w:hAnsi="宋体" w:cs="Times New Roman"/>
          <w:color w:val="auto"/>
          <w:kern w:val="0"/>
          <w:sz w:val="24"/>
          <w:szCs w:val="21"/>
          <w:highlight w:val="none"/>
        </w:rPr>
        <w:t>6楼</w:t>
      </w:r>
      <w:r>
        <w:rPr>
          <w:rFonts w:hint="eastAsia" w:ascii="Times New Roman" w:hAnsi="宋体" w:cs="Times New Roman"/>
          <w:color w:val="auto"/>
          <w:kern w:val="0"/>
          <w:sz w:val="24"/>
          <w:szCs w:val="21"/>
          <w:highlight w:val="none"/>
        </w:rPr>
        <w:t>、空调设备层为</w:t>
      </w:r>
      <w:r>
        <w:rPr>
          <w:rFonts w:ascii="Times New Roman" w:hAnsi="宋体" w:cs="Times New Roman"/>
          <w:color w:val="auto"/>
          <w:kern w:val="0"/>
          <w:sz w:val="24"/>
          <w:szCs w:val="21"/>
          <w:highlight w:val="none"/>
        </w:rPr>
        <w:t>7</w:t>
      </w:r>
      <w:r>
        <w:rPr>
          <w:rFonts w:hint="eastAsia" w:ascii="Times New Roman" w:hAnsi="宋体" w:cs="Times New Roman"/>
          <w:color w:val="auto"/>
          <w:kern w:val="0"/>
          <w:sz w:val="24"/>
          <w:szCs w:val="21"/>
          <w:highlight w:val="none"/>
        </w:rPr>
        <w:t>楼。招标附图中停层站点高程可能微调（停靠楼层最终以发包人审定的为准）。</w:t>
      </w:r>
    </w:p>
    <w:p>
      <w:pPr>
        <w:pStyle w:val="76"/>
        <w:rPr>
          <w:color w:val="auto"/>
          <w:highlight w:val="none"/>
        </w:rPr>
      </w:pPr>
      <w:r>
        <w:rPr>
          <w:color w:val="auto"/>
          <w:highlight w:val="none"/>
        </w:rPr>
        <w:t xml:space="preserve">(16) </w:t>
      </w:r>
      <w:r>
        <w:rPr>
          <w:rFonts w:hint="eastAsia"/>
          <w:color w:val="auto"/>
          <w:highlight w:val="none"/>
        </w:rPr>
        <w:t>轿厢内操纵盘：包括数字式楼层显示器、方向指示器、紧急呼叫按钮、开/关门按钮、带应答灯选层按钮、超载报警灯、消防功能信号灯等。</w:t>
      </w:r>
    </w:p>
    <w:p>
      <w:pPr>
        <w:pStyle w:val="76"/>
        <w:rPr>
          <w:color w:val="auto"/>
          <w:highlight w:val="none"/>
        </w:rPr>
      </w:pPr>
      <w:r>
        <w:rPr>
          <w:color w:val="auto"/>
          <w:highlight w:val="none"/>
        </w:rPr>
        <w:t xml:space="preserve">(17) </w:t>
      </w:r>
      <w:r>
        <w:rPr>
          <w:rFonts w:hint="eastAsia"/>
          <w:color w:val="auto"/>
          <w:highlight w:val="none"/>
        </w:rPr>
        <w:t>厅门呼梯按钮：包括数字式楼层显示器、方向指示器、带应答灯按钮。</w:t>
      </w:r>
    </w:p>
    <w:p>
      <w:pPr>
        <w:pStyle w:val="76"/>
        <w:rPr>
          <w:color w:val="auto"/>
          <w:highlight w:val="none"/>
        </w:rPr>
      </w:pPr>
      <w:r>
        <w:rPr>
          <w:color w:val="auto"/>
          <w:highlight w:val="none"/>
        </w:rPr>
        <w:t xml:space="preserve">(18) </w:t>
      </w:r>
      <w:r>
        <w:rPr>
          <w:rFonts w:hint="eastAsia"/>
          <w:color w:val="auto"/>
          <w:highlight w:val="none"/>
        </w:rPr>
        <w:t>投标人所提供的设备应充分考虑电梯在大行程、单井道中运行产生的“活塞效应”问题，从设备的结构方面予以改善，消除“活塞效应”现象。</w:t>
      </w:r>
    </w:p>
    <w:p>
      <w:pPr>
        <w:pStyle w:val="76"/>
        <w:rPr>
          <w:color w:val="auto"/>
          <w:highlight w:val="none"/>
        </w:rPr>
      </w:pPr>
      <w:r>
        <w:rPr>
          <w:color w:val="auto"/>
          <w:szCs w:val="20"/>
          <w:highlight w:val="none"/>
        </w:rPr>
        <w:t xml:space="preserve">(19) </w:t>
      </w:r>
      <w:r>
        <w:rPr>
          <w:rFonts w:hint="eastAsia"/>
          <w:color w:val="auto"/>
          <w:szCs w:val="20"/>
          <w:highlight w:val="none"/>
        </w:rPr>
        <w:t>此电梯为无机房电梯，</w:t>
      </w:r>
      <w:r>
        <w:rPr>
          <w:rFonts w:hint="eastAsia"/>
          <w:color w:val="auto"/>
          <w:highlight w:val="none"/>
        </w:rPr>
        <w:t>为保证电梯供电电源的可靠性，买方提供2回380V/220V的三相交流动力电源到投标人提供的电梯配电柜，投标人应在配电柜内设置双电源切换装置和控制回路，以保证2回电梯电源的手动切换和故障时的自动(主/备)切换。</w:t>
      </w:r>
    </w:p>
    <w:p>
      <w:pPr>
        <w:pStyle w:val="76"/>
        <w:rPr>
          <w:color w:val="auto"/>
          <w:highlight w:val="none"/>
        </w:rPr>
      </w:pPr>
      <w:r>
        <w:rPr>
          <w:rFonts w:hint="eastAsia"/>
          <w:color w:val="auto"/>
          <w:highlight w:val="none"/>
        </w:rPr>
        <w:t>配电柜内应单独设置电梯曳引机电源开关，与轿厢照明、通风、报警、机房和井道照明、轿顶和底坑电源插座分开供电，配电柜内还必须设置2个检修回路及至机房空调的动力回路。</w:t>
      </w:r>
    </w:p>
    <w:p>
      <w:pPr>
        <w:pStyle w:val="76"/>
        <w:rPr>
          <w:color w:val="auto"/>
          <w:highlight w:val="none"/>
        </w:rPr>
      </w:pPr>
      <w:r>
        <w:rPr>
          <w:rFonts w:hint="eastAsia"/>
          <w:color w:val="auto"/>
          <w:highlight w:val="none"/>
        </w:rPr>
        <w:t>在电站投运之前，买方提供的永久电源尚未形成，电梯运行所需的电源由投标人在施工电源处引接。</w:t>
      </w:r>
    </w:p>
    <w:p>
      <w:pPr>
        <w:pStyle w:val="132"/>
        <w:rPr>
          <w:color w:val="auto"/>
          <w:highlight w:val="none"/>
          <w:lang w:val="en-US"/>
        </w:rPr>
      </w:pPr>
      <w:bookmarkStart w:id="422" w:name="_Toc11746"/>
      <w:r>
        <w:rPr>
          <w:color w:val="auto"/>
          <w:highlight w:val="none"/>
        </w:rPr>
        <w:t>16.2.</w:t>
      </w:r>
      <w:r>
        <w:rPr>
          <w:color w:val="auto"/>
          <w:highlight w:val="none"/>
          <w:lang w:val="en-US"/>
        </w:rPr>
        <w:t>11</w:t>
      </w:r>
      <w:r>
        <w:rPr>
          <w:color w:val="auto"/>
          <w:highlight w:val="none"/>
        </w:rPr>
        <w:t xml:space="preserve"> </w:t>
      </w:r>
      <w:r>
        <w:rPr>
          <w:rFonts w:hint="eastAsia"/>
          <w:color w:val="auto"/>
          <w:highlight w:val="none"/>
          <w:lang w:val="en-US"/>
        </w:rPr>
        <w:t>地下厂房安装间电子显示屏系统</w:t>
      </w:r>
      <w:bookmarkEnd w:id="422"/>
    </w:p>
    <w:p>
      <w:pPr>
        <w:pStyle w:val="76"/>
        <w:rPr>
          <w:color w:val="auto"/>
          <w:highlight w:val="none"/>
        </w:rPr>
      </w:pPr>
      <w:r>
        <w:rPr>
          <w:rFonts w:hint="eastAsia"/>
          <w:color w:val="auto"/>
          <w:highlight w:val="none"/>
        </w:rPr>
        <w:t>电子显示屏系统的采购、安装及现场试验应由本标完成。</w:t>
      </w:r>
    </w:p>
    <w:p>
      <w:pPr>
        <w:pStyle w:val="76"/>
        <w:rPr>
          <w:rFonts w:hint="eastAsia" w:ascii="宋体" w:hAnsi="宋体"/>
          <w:color w:val="auto"/>
          <w:highlight w:val="none"/>
        </w:rPr>
      </w:pPr>
      <w:r>
        <w:rPr>
          <w:rFonts w:hint="eastAsia" w:ascii="宋体" w:hAnsi="宋体"/>
          <w:color w:val="auto"/>
          <w:highlight w:val="none"/>
        </w:rPr>
        <w:t>承包人应负责现场</w:t>
      </w:r>
      <w:r>
        <w:rPr>
          <w:rFonts w:hint="eastAsia" w:ascii="宋体" w:hAnsi="宋体"/>
          <w:color w:val="auto"/>
          <w:highlight w:val="none"/>
          <w:shd w:val="clear" w:color="auto" w:fill="FFFFFF"/>
        </w:rPr>
        <w:t>勘测</w:t>
      </w:r>
      <w:r>
        <w:rPr>
          <w:rFonts w:hint="eastAsia" w:ascii="宋体" w:hAnsi="宋体"/>
          <w:color w:val="auto"/>
          <w:highlight w:val="none"/>
        </w:rPr>
        <w:t>、实施方案制定、设备材料的采购运输、现场仓储、现场安装调试、验收测试、现场培训、技术支持和售后服务等。</w:t>
      </w:r>
    </w:p>
    <w:p>
      <w:pPr>
        <w:pStyle w:val="76"/>
        <w:rPr>
          <w:color w:val="auto"/>
          <w:highlight w:val="none"/>
        </w:rPr>
      </w:pPr>
      <w:r>
        <w:rPr>
          <w:rFonts w:hint="eastAsia"/>
          <w:color w:val="auto"/>
          <w:highlight w:val="none"/>
        </w:rPr>
        <w:t>电子显示屏系统主要技术参数：</w:t>
      </w:r>
    </w:p>
    <w:p>
      <w:pPr>
        <w:pStyle w:val="76"/>
        <w:numPr>
          <w:ilvl w:val="0"/>
          <w:numId w:val="9"/>
        </w:numPr>
        <w:rPr>
          <w:color w:val="auto"/>
          <w:highlight w:val="none"/>
        </w:rPr>
      </w:pPr>
      <w:r>
        <w:rPr>
          <w:rFonts w:hint="eastAsia"/>
          <w:color w:val="auto"/>
          <w:highlight w:val="none"/>
        </w:rPr>
        <w:t>小点距LED屏</w:t>
      </w:r>
    </w:p>
    <w:p>
      <w:pPr>
        <w:pStyle w:val="76"/>
        <w:ind w:firstLine="480" w:firstLineChars="200"/>
        <w:rPr>
          <w:rFonts w:hint="eastAsia" w:ascii="宋体" w:hAnsi="宋体"/>
          <w:color w:val="auto"/>
          <w:highlight w:val="none"/>
        </w:rPr>
      </w:pPr>
      <w:r>
        <w:rPr>
          <w:rFonts w:ascii="宋体" w:hAnsi="宋体"/>
          <w:color w:val="auto"/>
          <w:highlight w:val="none"/>
        </w:rPr>
        <w:t xml:space="preserve"> 尺寸要求：宽≥4800mm ，高≥3840mm，为适应整体效果，分辨率宽≥3040，高≥2432，整屏面积≥18.43㎡；</w:t>
      </w:r>
    </w:p>
    <w:p>
      <w:pPr>
        <w:pStyle w:val="76"/>
        <w:ind w:firstLine="480" w:firstLineChars="200"/>
        <w:rPr>
          <w:rFonts w:hint="eastAsia" w:ascii="宋体" w:hAnsi="宋体"/>
          <w:color w:val="auto"/>
          <w:highlight w:val="none"/>
        </w:rPr>
      </w:pPr>
      <w:r>
        <w:rPr>
          <w:rFonts w:hint="eastAsia" w:ascii="宋体" w:hAnsi="宋体"/>
          <w:color w:val="auto"/>
          <w:highlight w:val="none"/>
        </w:rPr>
        <w:t>像素间距：≤</w:t>
      </w:r>
      <w:r>
        <w:rPr>
          <w:rFonts w:ascii="宋体" w:hAnsi="宋体"/>
          <w:color w:val="auto"/>
          <w:highlight w:val="none"/>
        </w:rPr>
        <w:t>1.57mm；</w:t>
      </w:r>
    </w:p>
    <w:p>
      <w:pPr>
        <w:pStyle w:val="76"/>
        <w:ind w:firstLine="480" w:firstLineChars="200"/>
        <w:rPr>
          <w:color w:val="auto"/>
          <w:highlight w:val="none"/>
        </w:rPr>
      </w:pPr>
      <w:r>
        <w:rPr>
          <w:rFonts w:hint="eastAsia" w:ascii="宋体" w:hAnsi="宋体"/>
          <w:color w:val="auto"/>
          <w:highlight w:val="none"/>
        </w:rPr>
        <w:t>像素结构：</w:t>
      </w:r>
      <w:r>
        <w:rPr>
          <w:rFonts w:ascii="宋体" w:hAnsi="宋体"/>
          <w:color w:val="auto"/>
          <w:highlight w:val="none"/>
        </w:rPr>
        <w:t>SMD三合一。</w:t>
      </w:r>
    </w:p>
    <w:p>
      <w:pPr>
        <w:pStyle w:val="76"/>
        <w:numPr>
          <w:ilvl w:val="0"/>
          <w:numId w:val="9"/>
        </w:numPr>
        <w:ind w:firstLine="480" w:firstLineChars="200"/>
        <w:rPr>
          <w:color w:val="auto"/>
          <w:highlight w:val="none"/>
        </w:rPr>
      </w:pPr>
      <w:r>
        <w:rPr>
          <w:rFonts w:hint="eastAsia"/>
          <w:color w:val="auto"/>
          <w:highlight w:val="none"/>
        </w:rPr>
        <w:t>屏体控制系统</w:t>
      </w:r>
    </w:p>
    <w:p>
      <w:pPr>
        <w:pStyle w:val="76"/>
        <w:ind w:firstLine="480" w:firstLineChars="200"/>
        <w:rPr>
          <w:rFonts w:hint="eastAsia" w:ascii="宋体" w:hAnsi="宋体"/>
          <w:color w:val="auto"/>
          <w:highlight w:val="none"/>
        </w:rPr>
      </w:pPr>
      <w:r>
        <w:rPr>
          <w:rFonts w:hint="eastAsia" w:ascii="宋体" w:hAnsi="宋体"/>
          <w:color w:val="auto"/>
          <w:highlight w:val="none"/>
        </w:rPr>
        <w:t>屏体控制系统包含发送卡、接收卡等信号环路双备份，</w:t>
      </w:r>
      <w:r>
        <w:rPr>
          <w:rFonts w:ascii="宋体" w:hAnsi="宋体"/>
          <w:color w:val="auto"/>
          <w:highlight w:val="none"/>
        </w:rPr>
        <w:t xml:space="preserve">LED播控软件，并支持HDMI </w:t>
      </w:r>
      <w:r>
        <w:rPr>
          <w:rFonts w:hint="eastAsia" w:ascii="宋体" w:hAnsi="宋体"/>
          <w:color w:val="auto"/>
          <w:highlight w:val="none"/>
        </w:rPr>
        <w:t>和</w:t>
      </w:r>
      <w:r>
        <w:rPr>
          <w:rFonts w:ascii="宋体" w:hAnsi="宋体"/>
          <w:color w:val="auto"/>
          <w:highlight w:val="none"/>
        </w:rPr>
        <w:t>DVI视频信号输入及HDMI信号LOOP输出。</w:t>
      </w:r>
    </w:p>
    <w:p>
      <w:pPr>
        <w:pStyle w:val="76"/>
        <w:numPr>
          <w:ilvl w:val="0"/>
          <w:numId w:val="9"/>
        </w:numPr>
        <w:ind w:firstLine="480" w:firstLineChars="200"/>
        <w:rPr>
          <w:rFonts w:hint="eastAsia" w:ascii="宋体" w:hAnsi="宋体"/>
          <w:color w:val="auto"/>
          <w:highlight w:val="none"/>
        </w:rPr>
      </w:pPr>
      <w:r>
        <w:rPr>
          <w:rFonts w:ascii="宋体" w:hAnsi="宋体"/>
          <w:color w:val="auto"/>
          <w:highlight w:val="none"/>
        </w:rPr>
        <w:t>PLC配电箱</w:t>
      </w:r>
    </w:p>
    <w:p>
      <w:pPr>
        <w:pStyle w:val="76"/>
        <w:ind w:firstLine="480" w:firstLineChars="200"/>
        <w:rPr>
          <w:rFonts w:hint="eastAsia" w:ascii="宋体" w:hAnsi="宋体"/>
          <w:color w:val="auto"/>
          <w:highlight w:val="none"/>
        </w:rPr>
      </w:pPr>
      <w:r>
        <w:rPr>
          <w:rFonts w:ascii="宋体" w:hAnsi="宋体"/>
          <w:color w:val="auto"/>
          <w:highlight w:val="none"/>
        </w:rPr>
        <w:t>PLC网络智能配电、具有过压、过流、短路、断路等保护功能，最高功耗15kW。</w:t>
      </w:r>
    </w:p>
    <w:p>
      <w:pPr>
        <w:pStyle w:val="76"/>
        <w:ind w:firstLine="480" w:firstLineChars="200"/>
        <w:rPr>
          <w:rFonts w:hint="eastAsia" w:ascii="宋体" w:hAnsi="宋体"/>
          <w:color w:val="auto"/>
          <w:highlight w:val="none"/>
        </w:rPr>
      </w:pPr>
      <w:r>
        <w:rPr>
          <w:rFonts w:hint="eastAsia" w:ascii="宋体" w:hAnsi="宋体"/>
          <w:color w:val="auto"/>
          <w:highlight w:val="none"/>
        </w:rPr>
        <w:t>输入工作电压：</w:t>
      </w:r>
      <w:r>
        <w:rPr>
          <w:rFonts w:ascii="宋体" w:hAnsi="宋体"/>
          <w:color w:val="auto"/>
          <w:highlight w:val="none"/>
        </w:rPr>
        <w:t>AC220V/380V±10％，50Hz（三相五线制）双浪涌保护、具备信号防雷功能。</w:t>
      </w:r>
    </w:p>
    <w:p>
      <w:pPr>
        <w:pStyle w:val="76"/>
        <w:numPr>
          <w:ilvl w:val="0"/>
          <w:numId w:val="9"/>
        </w:numPr>
        <w:ind w:firstLine="480" w:firstLineChars="200"/>
        <w:rPr>
          <w:rFonts w:hint="eastAsia" w:ascii="宋体" w:hAnsi="宋体"/>
          <w:color w:val="auto"/>
          <w:highlight w:val="none"/>
        </w:rPr>
      </w:pPr>
      <w:r>
        <w:rPr>
          <w:rFonts w:hint="eastAsia" w:ascii="宋体" w:hAnsi="宋体"/>
          <w:color w:val="auto"/>
          <w:highlight w:val="none"/>
        </w:rPr>
        <w:t>安装结构及包边</w:t>
      </w:r>
    </w:p>
    <w:p>
      <w:pPr>
        <w:pStyle w:val="76"/>
        <w:ind w:firstLine="480" w:firstLineChars="200"/>
        <w:rPr>
          <w:rFonts w:hint="eastAsia" w:ascii="宋体" w:hAnsi="宋体"/>
          <w:color w:val="auto"/>
          <w:highlight w:val="none"/>
        </w:rPr>
      </w:pPr>
      <w:r>
        <w:rPr>
          <w:rFonts w:hint="eastAsia" w:ascii="宋体" w:hAnsi="宋体"/>
          <w:color w:val="auto"/>
          <w:highlight w:val="none"/>
        </w:rPr>
        <w:t>安装支撑屏体的结构</w:t>
      </w:r>
      <w:r>
        <w:rPr>
          <w:rFonts w:ascii="宋体" w:hAnsi="宋体"/>
          <w:color w:val="auto"/>
          <w:highlight w:val="none"/>
        </w:rPr>
        <w:t>,现场定制、国标镀锌方通钢结构、电源自然散热，包边装饰等。</w:t>
      </w:r>
    </w:p>
    <w:p>
      <w:pPr>
        <w:pStyle w:val="76"/>
        <w:numPr>
          <w:ilvl w:val="0"/>
          <w:numId w:val="9"/>
        </w:numPr>
        <w:ind w:firstLine="480" w:firstLineChars="200"/>
        <w:rPr>
          <w:rFonts w:hint="eastAsia" w:ascii="宋体" w:hAnsi="宋体"/>
          <w:color w:val="auto"/>
          <w:highlight w:val="none"/>
        </w:rPr>
      </w:pPr>
      <w:r>
        <w:rPr>
          <w:rFonts w:hint="eastAsia" w:ascii="宋体" w:hAnsi="宋体"/>
          <w:color w:val="auto"/>
          <w:highlight w:val="none"/>
        </w:rPr>
        <w:t>安装辅材</w:t>
      </w:r>
    </w:p>
    <w:p>
      <w:pPr>
        <w:pStyle w:val="76"/>
        <w:ind w:firstLine="480" w:firstLineChars="200"/>
        <w:rPr>
          <w:rFonts w:hint="eastAsia" w:ascii="宋体" w:hAnsi="宋体" w:cs="宋体"/>
          <w:color w:val="auto"/>
          <w:highlight w:val="none"/>
        </w:rPr>
      </w:pPr>
      <w:r>
        <w:rPr>
          <w:rFonts w:hint="eastAsia" w:ascii="宋体" w:hAnsi="宋体" w:cs="宋体"/>
          <w:color w:val="auto"/>
          <w:highlight w:val="none"/>
        </w:rPr>
        <w:t>包含</w:t>
      </w:r>
      <w:r>
        <w:rPr>
          <w:rFonts w:ascii="宋体" w:hAnsi="宋体" w:cs="宋体"/>
          <w:color w:val="auto"/>
          <w:highlight w:val="none"/>
        </w:rPr>
        <w:t>DVI线缆、网线、电源线等</w:t>
      </w:r>
      <w:r>
        <w:rPr>
          <w:rFonts w:hint="eastAsia" w:ascii="宋体" w:hAnsi="宋体" w:cs="宋体"/>
          <w:color w:val="auto"/>
          <w:highlight w:val="none"/>
        </w:rPr>
        <w:t>安装需要的数据线，安装插座、磁吸工具等。</w:t>
      </w:r>
    </w:p>
    <w:p>
      <w:pPr>
        <w:rPr>
          <w:color w:val="auto"/>
          <w:highlight w:val="none"/>
        </w:rPr>
      </w:pPr>
      <w:bookmarkStart w:id="423" w:name="_Toc6650"/>
      <w:bookmarkStart w:id="424" w:name="_Toc19352"/>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rPr>
      </w:pPr>
      <w:r>
        <w:rPr>
          <w:rFonts w:hint="eastAsia"/>
          <w:color w:val="auto"/>
          <w:highlight w:val="none"/>
        </w:rPr>
        <w:t>第18章</w:t>
      </w:r>
      <w:r>
        <w:rPr>
          <w:color w:val="auto"/>
          <w:highlight w:val="none"/>
        </w:rPr>
        <w:t xml:space="preserve">  </w:t>
      </w:r>
      <w:r>
        <w:rPr>
          <w:rFonts w:hint="eastAsia"/>
          <w:color w:val="auto"/>
          <w:highlight w:val="none"/>
        </w:rPr>
        <w:t>混凝土工程</w:t>
      </w:r>
      <w:bookmarkEnd w:id="423"/>
      <w:bookmarkEnd w:id="424"/>
    </w:p>
    <w:p>
      <w:pPr>
        <w:pStyle w:val="5"/>
        <w:spacing w:before="0" w:after="0" w:line="360" w:lineRule="auto"/>
        <w:rPr>
          <w:color w:val="auto"/>
          <w:highlight w:val="none"/>
        </w:rPr>
      </w:pPr>
      <w:r>
        <w:rPr>
          <w:rFonts w:ascii="宋体" w:hAnsi="宋体" w:cs="宋体"/>
          <w:color w:val="auto"/>
          <w:sz w:val="24"/>
          <w:highlight w:val="none"/>
        </w:rPr>
        <w:t>18.2混凝土生产</w:t>
      </w:r>
    </w:p>
    <w:p>
      <w:pPr>
        <w:spacing w:line="360" w:lineRule="auto"/>
        <w:ind w:firstLine="480" w:firstLineChars="200"/>
        <w:rPr>
          <w:color w:val="auto"/>
          <w:highlight w:val="none"/>
        </w:rPr>
      </w:pPr>
      <w:r>
        <w:rPr>
          <w:rFonts w:ascii="宋体" w:hAnsi="宋体" w:cs="宋体"/>
          <w:color w:val="auto"/>
          <w:sz w:val="24"/>
          <w:highlight w:val="none"/>
        </w:rPr>
        <w:t>本技术条款18.2.2节增加内容：</w:t>
      </w:r>
    </w:p>
    <w:p>
      <w:pPr>
        <w:pStyle w:val="6"/>
        <w:spacing w:before="0" w:after="0" w:line="360" w:lineRule="auto"/>
        <w:rPr>
          <w:color w:val="auto"/>
          <w:highlight w:val="none"/>
        </w:rPr>
      </w:pPr>
      <w:r>
        <w:rPr>
          <w:rFonts w:ascii="宋体" w:hAnsi="宋体" w:cs="宋体"/>
          <w:color w:val="auto"/>
          <w:sz w:val="24"/>
          <w:highlight w:val="none"/>
        </w:rPr>
        <w:t>18.2.2混凝土指标要求和配合比设计</w:t>
      </w:r>
    </w:p>
    <w:p>
      <w:pPr>
        <w:spacing w:line="360" w:lineRule="auto"/>
        <w:ind w:firstLine="480" w:firstLineChars="200"/>
        <w:jc w:val="left"/>
        <w:rPr>
          <w:color w:val="auto"/>
          <w:highlight w:val="none"/>
        </w:rPr>
      </w:pPr>
      <w:r>
        <w:rPr>
          <w:rFonts w:ascii="宋体" w:hAnsi="宋体" w:cs="宋体"/>
          <w:color w:val="auto"/>
          <w:sz w:val="24"/>
          <w:highlight w:val="none"/>
        </w:rPr>
        <w:t>Sika Grout214水泥相关参数技术要求如下：</w:t>
      </w:r>
    </w:p>
    <w:p>
      <w:pPr>
        <w:spacing w:line="360" w:lineRule="auto"/>
        <w:ind w:firstLine="480" w:firstLineChars="200"/>
        <w:jc w:val="left"/>
        <w:rPr>
          <w:color w:val="auto"/>
          <w:highlight w:val="none"/>
        </w:rPr>
      </w:pPr>
      <w:r>
        <w:rPr>
          <w:rFonts w:ascii="宋体" w:hAnsi="宋体" w:cs="宋体"/>
          <w:color w:val="auto"/>
          <w:sz w:val="24"/>
          <w:highlight w:val="none"/>
        </w:rPr>
        <w:t>① 竖向膨胀率%：1d≥0.02；</w:t>
      </w:r>
    </w:p>
    <w:p>
      <w:pPr>
        <w:spacing w:line="360" w:lineRule="auto"/>
        <w:ind w:firstLine="480" w:firstLineChars="200"/>
        <w:jc w:val="left"/>
        <w:rPr>
          <w:color w:val="auto"/>
          <w:highlight w:val="none"/>
        </w:rPr>
      </w:pPr>
      <w:r>
        <w:rPr>
          <w:rFonts w:ascii="宋体" w:hAnsi="宋体" w:cs="宋体"/>
          <w:color w:val="auto"/>
          <w:sz w:val="24"/>
          <w:highlight w:val="none"/>
        </w:rPr>
        <w:t>② 抗压强度Mpa：1d≥22,3d ≥38，28d ≥55；</w:t>
      </w:r>
    </w:p>
    <w:p>
      <w:pPr>
        <w:spacing w:line="360" w:lineRule="auto"/>
        <w:ind w:firstLine="480" w:firstLineChars="200"/>
        <w:jc w:val="left"/>
        <w:rPr>
          <w:color w:val="auto"/>
          <w:highlight w:val="none"/>
        </w:rPr>
      </w:pPr>
      <w:r>
        <w:rPr>
          <w:rFonts w:ascii="宋体" w:hAnsi="宋体" w:cs="宋体"/>
          <w:color w:val="auto"/>
          <w:sz w:val="24"/>
          <w:highlight w:val="none"/>
        </w:rPr>
        <w:t>③流动度(mm)≥240；</w:t>
      </w:r>
    </w:p>
    <w:p>
      <w:pPr>
        <w:spacing w:line="360" w:lineRule="auto"/>
        <w:ind w:firstLine="480" w:firstLineChars="200"/>
        <w:jc w:val="left"/>
        <w:rPr>
          <w:color w:val="auto"/>
          <w:highlight w:val="none"/>
        </w:rPr>
      </w:pPr>
      <w:r>
        <w:rPr>
          <w:rFonts w:ascii="宋体" w:hAnsi="宋体" w:cs="宋体"/>
          <w:color w:val="auto"/>
          <w:sz w:val="24"/>
          <w:highlight w:val="none"/>
        </w:rPr>
        <w:t>④ 钢筋粘结强度(MPa) :圆钢≥6，螺纹钢≥13。</w:t>
      </w:r>
    </w:p>
    <w:p>
      <w:pPr>
        <w:pStyle w:val="62"/>
        <w:rPr>
          <w:color w:val="auto"/>
          <w:highlight w:val="none"/>
        </w:rPr>
      </w:pPr>
      <w:r>
        <w:rPr>
          <w:color w:val="auto"/>
          <w:highlight w:val="none"/>
        </w:rPr>
        <w:t>18.3模板</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本技术条款18.3.2节增加内容：</w:t>
      </w:r>
    </w:p>
    <w:p>
      <w:pPr>
        <w:pStyle w:val="132"/>
        <w:rPr>
          <w:color w:val="auto"/>
          <w:highlight w:val="none"/>
          <w:lang w:val="en-US"/>
        </w:rPr>
      </w:pPr>
      <w:r>
        <w:rPr>
          <w:color w:val="auto"/>
          <w:highlight w:val="none"/>
          <w:lang w:val="en-US"/>
        </w:rPr>
        <w:t>18.3.2模板的设计、制作和安装</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（9）主厂房内要求免装修部位(板、梁、柱、墙体) 需采用悬臂钢模板支架配以高质量的面板(如芬兰面板) ，以确保混凝土浇筑成型后达到清水混凝土的相应外观要求。</w:t>
      </w:r>
    </w:p>
    <w:p>
      <w:pPr>
        <w:adjustRightInd w:val="0"/>
        <w:snapToGrid w:val="0"/>
        <w:spacing w:line="480" w:lineRule="exact"/>
        <w:ind w:firstLine="480" w:firstLineChars="200"/>
        <w:rPr>
          <w:rFonts w:ascii="Times New Roman" w:hAnsi="Times New Roman" w:cs="Times New Roman"/>
          <w:color w:val="auto"/>
          <w:sz w:val="24"/>
          <w:szCs w:val="24"/>
          <w:highlight w:val="none"/>
        </w:rPr>
      </w:pPr>
      <w:bookmarkStart w:id="425" w:name="_Toc17693"/>
      <w:r>
        <w:rPr>
          <w:rFonts w:hint="eastAsia" w:ascii="Times New Roman" w:hAnsi="Times New Roman" w:cs="Times New Roman"/>
          <w:color w:val="auto"/>
          <w:sz w:val="24"/>
          <w:szCs w:val="24"/>
          <w:highlight w:val="none"/>
        </w:rPr>
        <w:t>（10）机组段混凝土浇筑应至少配置两套相同的定制钢模板。</w:t>
      </w:r>
    </w:p>
    <w:p>
      <w:pPr>
        <w:pStyle w:val="62"/>
        <w:rPr>
          <w:color w:val="auto"/>
          <w:highlight w:val="none"/>
        </w:rPr>
      </w:pPr>
      <w:r>
        <w:rPr>
          <w:color w:val="auto"/>
          <w:highlight w:val="none"/>
        </w:rPr>
        <w:t>18.5普通混凝土（含钢筋混凝土）</w:t>
      </w:r>
      <w:bookmarkEnd w:id="425"/>
    </w:p>
    <w:p>
      <w:pPr>
        <w:spacing w:line="360" w:lineRule="auto"/>
        <w:ind w:firstLine="480" w:firstLineChars="200"/>
        <w:rPr>
          <w:color w:val="auto"/>
          <w:highlight w:val="none"/>
        </w:rPr>
      </w:pPr>
      <w:r>
        <w:rPr>
          <w:rFonts w:ascii="宋体" w:hAnsi="宋体" w:cs="宋体"/>
          <w:color w:val="auto"/>
          <w:sz w:val="24"/>
          <w:highlight w:val="none"/>
        </w:rPr>
        <w:t>本技术条款18.5.2节增加内容：</w:t>
      </w:r>
    </w:p>
    <w:p>
      <w:pPr>
        <w:pStyle w:val="6"/>
        <w:spacing w:before="0" w:after="0" w:line="360" w:lineRule="auto"/>
        <w:rPr>
          <w:color w:val="auto"/>
          <w:highlight w:val="none"/>
        </w:rPr>
      </w:pPr>
      <w:r>
        <w:rPr>
          <w:rFonts w:ascii="宋体" w:hAnsi="宋体" w:cs="宋体"/>
          <w:color w:val="auto"/>
          <w:sz w:val="24"/>
          <w:highlight w:val="none"/>
        </w:rPr>
        <w:t>18.5.2混凝土浇筑</w:t>
      </w:r>
    </w:p>
    <w:p>
      <w:pPr>
        <w:spacing w:line="360" w:lineRule="auto"/>
        <w:ind w:firstLine="480" w:firstLineChars="200"/>
        <w:rPr>
          <w:color w:val="auto"/>
          <w:highlight w:val="none"/>
        </w:rPr>
      </w:pPr>
      <w:r>
        <w:rPr>
          <w:rFonts w:ascii="宋体" w:hAnsi="宋体" w:cs="宋体"/>
          <w:color w:val="auto"/>
          <w:sz w:val="24"/>
          <w:highlight w:val="none"/>
        </w:rPr>
        <w:t>18.5.2.1  蜗壳外围混凝土施工</w:t>
      </w:r>
    </w:p>
    <w:p>
      <w:pPr>
        <w:spacing w:line="360" w:lineRule="auto"/>
        <w:ind w:firstLine="480" w:firstLineChars="200"/>
        <w:rPr>
          <w:color w:val="auto"/>
          <w:highlight w:val="none"/>
        </w:rPr>
      </w:pPr>
      <w:r>
        <w:rPr>
          <w:rFonts w:ascii="宋体" w:hAnsi="宋体" w:cs="宋体"/>
          <w:color w:val="auto"/>
          <w:sz w:val="24"/>
          <w:highlight w:val="none"/>
        </w:rPr>
        <w:t>本工程蜗壳采用保温保压方案，混凝土浇筑应满足如下要求：</w:t>
      </w:r>
    </w:p>
    <w:p>
      <w:pPr>
        <w:spacing w:line="360" w:lineRule="auto"/>
        <w:ind w:firstLine="480" w:firstLineChars="200"/>
        <w:rPr>
          <w:color w:val="auto"/>
          <w:highlight w:val="none"/>
        </w:rPr>
      </w:pPr>
      <w:r>
        <w:rPr>
          <w:rFonts w:ascii="宋体" w:hAnsi="宋体" w:cs="宋体"/>
          <w:color w:val="auto"/>
          <w:sz w:val="24"/>
          <w:highlight w:val="none"/>
        </w:rPr>
        <w:t>(1) 在蜗壳焊接及其焊缝检查的后期，安装蜗壳闷头和座环密封环，检查合格后，开始蜗壳充水，并按施工图要求加压和保压及排水。</w:t>
      </w:r>
    </w:p>
    <w:p>
      <w:pPr>
        <w:spacing w:line="360" w:lineRule="auto"/>
        <w:ind w:firstLine="480" w:firstLineChars="200"/>
        <w:rPr>
          <w:color w:val="auto"/>
          <w:highlight w:val="none"/>
        </w:rPr>
      </w:pPr>
      <w:r>
        <w:rPr>
          <w:rFonts w:ascii="宋体" w:hAnsi="宋体" w:cs="宋体"/>
          <w:color w:val="auto"/>
          <w:sz w:val="24"/>
          <w:highlight w:val="none"/>
        </w:rPr>
        <w:t>(2) 本标承包人应根据施工图要求，或根据现场条件进行加压、保压设备布置，报请监理人批准。</w:t>
      </w:r>
    </w:p>
    <w:p>
      <w:pPr>
        <w:spacing w:line="360" w:lineRule="auto"/>
        <w:ind w:firstLine="480" w:firstLineChars="200"/>
        <w:rPr>
          <w:color w:val="auto"/>
          <w:highlight w:val="none"/>
        </w:rPr>
      </w:pPr>
      <w:r>
        <w:rPr>
          <w:rFonts w:ascii="宋体" w:hAnsi="宋体" w:cs="宋体"/>
          <w:color w:val="auto"/>
          <w:sz w:val="24"/>
          <w:highlight w:val="none"/>
        </w:rPr>
        <w:t>(3) 蜗壳保压浇筑混凝土施工技术要求</w:t>
      </w:r>
    </w:p>
    <w:p>
      <w:pPr>
        <w:spacing w:line="360" w:lineRule="auto"/>
        <w:ind w:firstLine="480" w:firstLineChars="200"/>
        <w:rPr>
          <w:color w:val="auto"/>
          <w:highlight w:val="none"/>
        </w:rPr>
      </w:pPr>
      <w:r>
        <w:rPr>
          <w:rFonts w:ascii="宋体" w:hAnsi="宋体" w:cs="宋体"/>
          <w:color w:val="auto"/>
          <w:sz w:val="24"/>
          <w:highlight w:val="none"/>
        </w:rPr>
        <w:t>1) 蜗壳底部鞍形支墩二期混凝土应浇捣密实，并且蜗壳受力均匀，待这一批鞍形支墩底部混凝土达到28d龄期后，才能进行蜗壳的充水加压。</w:t>
      </w:r>
    </w:p>
    <w:p>
      <w:pPr>
        <w:spacing w:line="360" w:lineRule="auto"/>
        <w:ind w:firstLine="480" w:firstLineChars="200"/>
        <w:rPr>
          <w:color w:val="auto"/>
          <w:highlight w:val="none"/>
        </w:rPr>
      </w:pPr>
      <w:r>
        <w:rPr>
          <w:rFonts w:ascii="宋体" w:hAnsi="宋体" w:cs="宋体"/>
          <w:color w:val="auto"/>
          <w:sz w:val="24"/>
          <w:highlight w:val="none"/>
        </w:rPr>
        <w:t>2) 在浇筑蜗壳二期混凝土以前，应将一期混凝土中的插筋恢复原有的形状和长度，与蜗壳周围的钢筋进行绑扎联接。</w:t>
      </w:r>
    </w:p>
    <w:p>
      <w:pPr>
        <w:spacing w:line="360" w:lineRule="auto"/>
        <w:ind w:firstLine="480" w:firstLineChars="200"/>
        <w:rPr>
          <w:color w:val="auto"/>
          <w:highlight w:val="none"/>
        </w:rPr>
      </w:pPr>
      <w:r>
        <w:rPr>
          <w:rFonts w:ascii="宋体" w:hAnsi="宋体" w:cs="宋体"/>
          <w:color w:val="auto"/>
          <w:sz w:val="24"/>
          <w:highlight w:val="none"/>
        </w:rPr>
        <w:t>3) 为保证混凝土浇质量，同时避免浇混凝土时对蜗壳产生较大的不均匀扰动，对蜗壳底部混凝土(第二层以下，包括第二层) 可取消对角两块同时浇筑的限制。但混凝土垂直上升浇筑速度应控制在0.2m/h～0.4m/h。第三层开始仍应对角两块同时浇筑。</w:t>
      </w:r>
    </w:p>
    <w:p>
      <w:pPr>
        <w:spacing w:line="360" w:lineRule="auto"/>
        <w:ind w:firstLine="480" w:firstLineChars="200"/>
        <w:rPr>
          <w:color w:val="auto"/>
          <w:highlight w:val="none"/>
        </w:rPr>
      </w:pPr>
      <w:r>
        <w:rPr>
          <w:rFonts w:ascii="宋体" w:hAnsi="宋体" w:cs="宋体"/>
          <w:color w:val="auto"/>
          <w:sz w:val="24"/>
          <w:highlight w:val="none"/>
        </w:rPr>
        <w:t>4) 保压浇混凝土60d后，可对基础环下二期混凝土按施工图要求进行保压灌浆。</w:t>
      </w:r>
    </w:p>
    <w:p>
      <w:pPr>
        <w:spacing w:line="360" w:lineRule="auto"/>
        <w:ind w:firstLine="480" w:firstLineChars="200"/>
        <w:rPr>
          <w:color w:val="auto"/>
          <w:highlight w:val="none"/>
        </w:rPr>
      </w:pPr>
      <w:r>
        <w:rPr>
          <w:rFonts w:ascii="宋体" w:hAnsi="宋体" w:cs="宋体"/>
          <w:color w:val="auto"/>
          <w:sz w:val="24"/>
          <w:highlight w:val="none"/>
        </w:rPr>
        <w:t>5) 给蜗壳充水以及保压浇筑混凝土时，蜗壳内断面平均水温应控制在18℃±2℃范围内。蜗壳内平均水温不得低于16℃，不得高于20℃。冬季浇筑混凝土时蜗壳内水体应采取加温保温措施。</w:t>
      </w:r>
    </w:p>
    <w:p>
      <w:pPr>
        <w:spacing w:line="360" w:lineRule="auto"/>
        <w:ind w:firstLine="480" w:firstLineChars="200"/>
        <w:rPr>
          <w:color w:val="auto"/>
          <w:highlight w:val="none"/>
        </w:rPr>
      </w:pPr>
      <w:r>
        <w:rPr>
          <w:rFonts w:ascii="宋体" w:hAnsi="宋体" w:cs="宋体"/>
          <w:color w:val="auto"/>
          <w:sz w:val="24"/>
          <w:highlight w:val="none"/>
        </w:rPr>
        <w:t>(4) 蜗壳周边自密实混凝土施工要求</w:t>
      </w:r>
    </w:p>
    <w:p>
      <w:pPr>
        <w:spacing w:line="360" w:lineRule="auto"/>
        <w:ind w:firstLine="480" w:firstLineChars="200"/>
        <w:rPr>
          <w:color w:val="auto"/>
          <w:highlight w:val="none"/>
        </w:rPr>
      </w:pPr>
      <w:r>
        <w:rPr>
          <w:rFonts w:ascii="宋体" w:hAnsi="宋体" w:cs="宋体"/>
          <w:color w:val="auto"/>
          <w:sz w:val="24"/>
          <w:highlight w:val="none"/>
        </w:rPr>
        <w:t>1) 在蜗壳周围回填混凝土以前，应清除外表面的浮锈及其它有害物质，所有的土石和垃圾应从蜗壳周围清走，并在浇筑混凝土之前一直保持清洁。</w:t>
      </w:r>
    </w:p>
    <w:p>
      <w:pPr>
        <w:spacing w:line="360" w:lineRule="auto"/>
        <w:ind w:firstLine="480" w:firstLineChars="200"/>
        <w:rPr>
          <w:color w:val="auto"/>
          <w:highlight w:val="none"/>
        </w:rPr>
      </w:pPr>
      <w:r>
        <w:rPr>
          <w:rFonts w:ascii="宋体" w:hAnsi="宋体" w:cs="宋体"/>
          <w:color w:val="auto"/>
          <w:sz w:val="24"/>
          <w:highlight w:val="none"/>
        </w:rPr>
        <w:t>2) 本标承包人应妥善地采用许可的钢托架或其他许可的钢材或混凝土支撑蜗壳，不许在现场将支座焊接在蜗壳外壁上。</w:t>
      </w:r>
    </w:p>
    <w:p>
      <w:pPr>
        <w:spacing w:line="360" w:lineRule="auto"/>
        <w:ind w:firstLine="480" w:firstLineChars="200"/>
        <w:rPr>
          <w:color w:val="auto"/>
          <w:highlight w:val="none"/>
        </w:rPr>
      </w:pPr>
      <w:r>
        <w:rPr>
          <w:rFonts w:ascii="宋体" w:hAnsi="宋体" w:cs="宋体"/>
          <w:color w:val="auto"/>
          <w:sz w:val="24"/>
          <w:highlight w:val="none"/>
        </w:rPr>
        <w:t>3) 泵送时应考虑自密实混凝土的性能、构件形状，根据试验结果和施工实际确定自密实混凝土的浇筑速度。</w:t>
      </w:r>
    </w:p>
    <w:p>
      <w:pPr>
        <w:spacing w:line="360" w:lineRule="auto"/>
        <w:ind w:firstLine="480" w:firstLineChars="200"/>
        <w:rPr>
          <w:color w:val="auto"/>
          <w:highlight w:val="none"/>
        </w:rPr>
      </w:pPr>
      <w:r>
        <w:rPr>
          <w:rFonts w:ascii="宋体" w:hAnsi="宋体" w:cs="宋体"/>
          <w:color w:val="auto"/>
          <w:sz w:val="24"/>
          <w:highlight w:val="none"/>
        </w:rPr>
        <w:t>4) 应均匀进料上升。</w:t>
      </w:r>
    </w:p>
    <w:p>
      <w:pPr>
        <w:spacing w:line="360" w:lineRule="auto"/>
        <w:ind w:firstLine="480" w:firstLineChars="200"/>
        <w:rPr>
          <w:color w:val="auto"/>
          <w:highlight w:val="none"/>
        </w:rPr>
      </w:pPr>
      <w:r>
        <w:rPr>
          <w:rFonts w:ascii="宋体" w:hAnsi="宋体" w:cs="宋体"/>
          <w:color w:val="auto"/>
          <w:sz w:val="24"/>
          <w:highlight w:val="none"/>
        </w:rPr>
        <w:t>5) 为防止钢材扭曲变形，混凝土结构应均匀浇筑。</w:t>
      </w:r>
    </w:p>
    <w:p>
      <w:pPr>
        <w:spacing w:line="360" w:lineRule="auto"/>
        <w:ind w:firstLine="480" w:firstLineChars="200"/>
        <w:rPr>
          <w:color w:val="auto"/>
          <w:highlight w:val="none"/>
        </w:rPr>
      </w:pPr>
      <w:r>
        <w:rPr>
          <w:rFonts w:ascii="宋体" w:hAnsi="宋体" w:cs="宋体"/>
          <w:color w:val="auto"/>
          <w:sz w:val="24"/>
          <w:highlight w:val="none"/>
        </w:rPr>
        <w:t>6) 自密实混凝土的泵送和浇筑应保持连续性，当因停泵时间过长，混凝土不能达到要求的工作性时，应及时清除泵和泵管中的混凝土，重新浇筑。</w:t>
      </w:r>
    </w:p>
    <w:p>
      <w:pPr>
        <w:spacing w:line="360" w:lineRule="auto"/>
        <w:ind w:firstLine="480" w:firstLineChars="200"/>
        <w:rPr>
          <w:color w:val="auto"/>
          <w:highlight w:val="none"/>
        </w:rPr>
      </w:pPr>
      <w:r>
        <w:rPr>
          <w:rFonts w:ascii="宋体" w:hAnsi="宋体" w:cs="宋体"/>
          <w:color w:val="auto"/>
          <w:sz w:val="24"/>
          <w:highlight w:val="none"/>
        </w:rPr>
        <w:t>7) 自密实混凝土正式施工前，应选择合适部位进行非生产性试验，以确定合理的施工工艺和施工参数。</w:t>
      </w:r>
    </w:p>
    <w:p>
      <w:pPr>
        <w:spacing w:line="360" w:lineRule="auto"/>
        <w:ind w:firstLine="480" w:firstLineChars="200"/>
        <w:rPr>
          <w:color w:val="auto"/>
          <w:highlight w:val="none"/>
        </w:rPr>
      </w:pPr>
      <w:r>
        <w:rPr>
          <w:rFonts w:ascii="宋体" w:hAnsi="宋体" w:cs="宋体"/>
          <w:color w:val="auto"/>
          <w:sz w:val="24"/>
          <w:highlight w:val="none"/>
        </w:rPr>
        <w:t>18.5.2.2  二期混凝土施工</w:t>
      </w:r>
    </w:p>
    <w:p>
      <w:pPr>
        <w:spacing w:line="360" w:lineRule="auto"/>
        <w:ind w:firstLine="480" w:firstLineChars="200"/>
        <w:rPr>
          <w:color w:val="auto"/>
          <w:highlight w:val="none"/>
        </w:rPr>
      </w:pPr>
      <w:r>
        <w:rPr>
          <w:rFonts w:ascii="宋体" w:hAnsi="宋体" w:cs="宋体"/>
          <w:color w:val="auto"/>
          <w:sz w:val="24"/>
          <w:highlight w:val="none"/>
        </w:rPr>
        <w:t>二期混凝土适用范围为闸门槽二期混凝土、厂房蜗壳外围钢筋混凝土、锥管周围混凝土、桥机轨道预留混凝土以及施工图纸、技术文件中要求预留的孔洞、槽沟等回填混凝土。</w:t>
      </w:r>
    </w:p>
    <w:p>
      <w:pPr>
        <w:spacing w:line="360" w:lineRule="auto"/>
        <w:ind w:firstLine="480" w:firstLineChars="200"/>
        <w:rPr>
          <w:color w:val="auto"/>
          <w:highlight w:val="none"/>
        </w:rPr>
      </w:pPr>
      <w:r>
        <w:rPr>
          <w:rFonts w:ascii="宋体" w:hAnsi="宋体" w:cs="宋体"/>
          <w:color w:val="auto"/>
          <w:sz w:val="24"/>
          <w:highlight w:val="none"/>
        </w:rPr>
        <w:t>二期混凝土主要浇筑要求：</w:t>
      </w:r>
    </w:p>
    <w:p>
      <w:pPr>
        <w:spacing w:line="360" w:lineRule="auto"/>
        <w:ind w:firstLine="480" w:firstLineChars="200"/>
        <w:rPr>
          <w:color w:val="auto"/>
          <w:highlight w:val="none"/>
        </w:rPr>
      </w:pPr>
      <w:r>
        <w:rPr>
          <w:rFonts w:ascii="宋体" w:hAnsi="宋体" w:cs="宋体"/>
          <w:color w:val="auto"/>
          <w:sz w:val="24"/>
          <w:highlight w:val="none"/>
        </w:rPr>
        <w:t>(1) 本标承包人在混凝土浇筑前应制订二期混凝土的施工程序、施工工艺报监理人审批。应选协调混凝土供应单位采用用收缩性较小的原材料和混凝土配合比，并经监理人批准。</w:t>
      </w:r>
    </w:p>
    <w:p>
      <w:pPr>
        <w:spacing w:line="360" w:lineRule="auto"/>
        <w:ind w:firstLine="480" w:firstLineChars="200"/>
        <w:rPr>
          <w:color w:val="auto"/>
          <w:highlight w:val="none"/>
        </w:rPr>
      </w:pPr>
      <w:r>
        <w:rPr>
          <w:rFonts w:ascii="宋体" w:hAnsi="宋体" w:cs="宋体"/>
          <w:color w:val="auto"/>
          <w:sz w:val="24"/>
          <w:highlight w:val="none"/>
        </w:rPr>
        <w:t>(2) 二期混凝土多在狭窄部位或钢筋较密、埋件多的部位进行浇筑，一般采用坍落度较大的二级配。在浇筑前应将结构面的老混凝土用高压水风砂枪冲毛至露粗砂(或凿毛) 、冲洗干净，保持湿润，并保证模板安装质量，控制模板的安装误差在允许范围内。在二期混凝土浇筑过程中，应配备小型振捣机具，避免漏振，并要求控制混凝土的上升速度，以保证钢筋和金属埋件不产生位移，模板不走样。</w:t>
      </w:r>
    </w:p>
    <w:p>
      <w:pPr>
        <w:adjustRightInd w:val="0"/>
        <w:snapToGrid w:val="0"/>
        <w:spacing w:line="480" w:lineRule="exact"/>
        <w:ind w:firstLine="440" w:firstLineChars="200"/>
        <w:rPr>
          <w:rFonts w:ascii="Times New Roman" w:hAnsi="Times New Roman" w:cs="Times New Roman"/>
          <w:color w:val="auto"/>
          <w:sz w:val="24"/>
          <w:szCs w:val="24"/>
          <w:highlight w:val="none"/>
        </w:rPr>
      </w:pPr>
      <w:r>
        <w:rPr>
          <w:rFonts w:ascii="宋体" w:hAnsi="宋体" w:cs="宋体"/>
          <w:color w:val="auto"/>
          <w:sz w:val="22"/>
          <w:highlight w:val="none"/>
        </w:rPr>
        <w:t>(3) 体积较大的二期混凝土，浇筑层厚按1.5～2.5m控制，对于结构厚度较小(≤2.5m) 的二期混凝土浇筑层厚为3～5m(经试验论证后也可加大层厚，需报监理人批准) 。采用吊罐浇筑二期混凝土时，应采取有效措施防止吊罐碰撞而使埋件产生位移。</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本技术条款18.5.3节增加内容：</w:t>
      </w:r>
    </w:p>
    <w:p>
      <w:pPr>
        <w:pStyle w:val="132"/>
        <w:rPr>
          <w:color w:val="auto"/>
          <w:highlight w:val="none"/>
          <w:lang w:val="en-US"/>
        </w:rPr>
      </w:pPr>
      <w:r>
        <w:rPr>
          <w:color w:val="auto"/>
          <w:highlight w:val="none"/>
          <w:lang w:val="en-US"/>
        </w:rPr>
        <w:t>18.5.3混凝土温度控制措施</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18.5.3.1  说明</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 本条适用于按施工图纸所示或监理人指示具有温度控制要求的地下厂房系统主厂房下部大体积结构混凝土浇筑。本标承包人根据施工图纸所示的建筑物分缝、分块尺寸进行混凝土浇筑，大体积混凝土在浇筑过程中应做好养护和保温工作。</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 本标承包人应根据施工图纸所示的有关温度控制要求，编制相关措施，报送监理人审批。在施工中应通过试验建立混凝土出机口温度与现场浇筑温度之间的关系，并采取有效措施减少混凝土运输过程中的温升。</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 高温季节浇筑混凝土，出机口温度20℃～22℃。</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 尾水管混凝土、蜗壳混凝土温控要求：11～3月，出机口温度≤20°C,混凝土允许最高温度为38°C；4～10月，出机口温度≤22°C，混凝土允许最高温度为40°C。</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w:t>
      </w:r>
      <w:r>
        <w:rPr>
          <w:rFonts w:hint="eastAsia" w:ascii="Times New Roman" w:hAnsi="Times New Roman" w:cs="Times New Roman"/>
          <w:color w:val="auto"/>
          <w:sz w:val="24"/>
          <w:szCs w:val="24"/>
          <w:highlight w:val="none"/>
        </w:rPr>
        <w:t>8</w:t>
      </w:r>
      <w:r>
        <w:rPr>
          <w:rFonts w:ascii="Times New Roman" w:hAnsi="Times New Roman" w:cs="Times New Roman"/>
          <w:color w:val="auto"/>
          <w:sz w:val="24"/>
          <w:szCs w:val="24"/>
          <w:highlight w:val="none"/>
        </w:rPr>
        <w:t>.5.3</w:t>
      </w:r>
      <w:r>
        <w:rPr>
          <w:rFonts w:hint="eastAsia" w:ascii="Times New Roman" w:hAnsi="Times New Roman" w:cs="Times New Roman"/>
          <w:color w:val="auto"/>
          <w:sz w:val="24"/>
          <w:szCs w:val="24"/>
          <w:highlight w:val="none"/>
        </w:rPr>
        <w:t xml:space="preserve">.2  </w:t>
      </w:r>
      <w:r>
        <w:rPr>
          <w:rFonts w:ascii="Times New Roman" w:hAnsi="Times New Roman" w:cs="Times New Roman"/>
          <w:color w:val="auto"/>
          <w:sz w:val="24"/>
          <w:szCs w:val="24"/>
          <w:highlight w:val="none"/>
        </w:rPr>
        <w:t>温度控制</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 温度控制标准</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 混凝土基础容许温差见表18.5.3-1。</w:t>
      </w:r>
    </w:p>
    <w:p>
      <w:pPr>
        <w:pStyle w:val="71"/>
        <w:jc w:val="right"/>
        <w:rPr>
          <w:rFonts w:hint="eastAsia" w:ascii="宋体" w:hAnsi="宋体" w:eastAsia="宋体" w:cs="宋体"/>
          <w:color w:val="auto"/>
          <w:sz w:val="21"/>
          <w:szCs w:val="21"/>
          <w:highlight w:val="none"/>
          <w:lang w:val="en-US"/>
        </w:rPr>
      </w:pPr>
      <w:r>
        <w:rPr>
          <w:rFonts w:hint="eastAsia" w:ascii="宋体" w:hAnsi="宋体" w:eastAsia="宋体" w:cs="宋体"/>
          <w:color w:val="auto"/>
          <w:highlight w:val="none"/>
          <w:lang w:val="en-US"/>
        </w:rPr>
        <w:t xml:space="preserve">             </w:t>
      </w:r>
      <w:r>
        <w:rPr>
          <w:color w:val="auto"/>
          <w:highlight w:val="none"/>
          <w:lang w:val="en-US"/>
        </w:rPr>
        <w:t xml:space="preserve"> 表18.5.3-1  混凝土基础容许温差表</w:t>
      </w:r>
      <w:r>
        <w:rPr>
          <w:rFonts w:ascii="宋体" w:hAnsi="宋体" w:eastAsia="宋体" w:cs="宋体"/>
          <w:color w:val="auto"/>
          <w:highlight w:val="none"/>
          <w:lang w:val="en-US"/>
        </w:rPr>
        <w:t xml:space="preserve">  </w:t>
      </w:r>
      <w:r>
        <w:rPr>
          <w:rFonts w:hint="eastAsia" w:ascii="宋体" w:hAnsi="宋体" w:eastAsia="宋体" w:cs="宋体"/>
          <w:color w:val="auto"/>
          <w:highlight w:val="none"/>
          <w:lang w:val="en-US"/>
        </w:rPr>
        <w:t xml:space="preserve">  </w:t>
      </w:r>
      <w:r>
        <w:rPr>
          <w:rFonts w:ascii="宋体" w:hAnsi="宋体" w:eastAsia="宋体" w:cs="宋体"/>
          <w:color w:val="auto"/>
          <w:highlight w:val="none"/>
          <w:lang w:val="en-US"/>
        </w:rPr>
        <w:t xml:space="preserve"> </w:t>
      </w:r>
      <w:r>
        <w:rPr>
          <w:rFonts w:hint="eastAsia" w:ascii="宋体" w:hAnsi="宋体" w:eastAsia="宋体" w:cs="宋体"/>
          <w:color w:val="auto"/>
          <w:highlight w:val="none"/>
          <w:lang w:val="en-US"/>
        </w:rPr>
        <w:t xml:space="preserve"> </w:t>
      </w:r>
      <w:r>
        <w:rPr>
          <w:rFonts w:ascii="宋体" w:hAnsi="宋体" w:eastAsia="宋体" w:cs="宋体"/>
          <w:color w:val="auto"/>
          <w:highlight w:val="none"/>
          <w:lang w:val="en-US"/>
        </w:rPr>
        <w:t xml:space="preserve">     </w:t>
      </w:r>
      <w:r>
        <w:rPr>
          <w:rFonts w:ascii="宋体" w:hAnsi="宋体" w:eastAsia="宋体" w:cs="宋体"/>
          <w:color w:val="auto"/>
          <w:sz w:val="21"/>
          <w:szCs w:val="21"/>
          <w:highlight w:val="none"/>
          <w:lang w:val="en-US"/>
        </w:rPr>
        <w:t xml:space="preserve"> 单位：℃</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3632"/>
        <w:gridCol w:w="2601"/>
        <w:gridCol w:w="260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3632" w:type="dxa"/>
            <w:vMerge w:val="restart"/>
            <w:vAlign w:val="center"/>
          </w:tcPr>
          <w:p>
            <w:pPr>
              <w:adjustRightInd w:val="0"/>
              <w:snapToGrid w:val="0"/>
              <w:jc w:val="center"/>
              <w:textAlignment w:val="baseline"/>
              <w:rPr>
                <w:color w:val="auto"/>
                <w:szCs w:val="21"/>
                <w:highlight w:val="none"/>
              </w:rPr>
            </w:pPr>
            <w:r>
              <w:rPr>
                <w:color w:val="auto"/>
                <w:kern w:val="0"/>
                <w:szCs w:val="21"/>
                <w:highlight w:val="none"/>
                <w:lang w:bidi="ar"/>
              </w:rPr>
              <w:t>控  制  范  围</w:t>
            </w:r>
          </w:p>
        </w:tc>
        <w:tc>
          <w:tcPr>
            <w:tcW w:w="5204" w:type="dxa"/>
            <w:gridSpan w:val="2"/>
            <w:vAlign w:val="center"/>
          </w:tcPr>
          <w:p>
            <w:pPr>
              <w:adjustRightInd w:val="0"/>
              <w:snapToGrid w:val="0"/>
              <w:jc w:val="center"/>
              <w:textAlignment w:val="baseline"/>
              <w:rPr>
                <w:color w:val="auto"/>
                <w:szCs w:val="21"/>
                <w:highlight w:val="none"/>
              </w:rPr>
            </w:pPr>
            <w:r>
              <w:rPr>
                <w:color w:val="auto"/>
                <w:kern w:val="0"/>
                <w:szCs w:val="21"/>
                <w:highlight w:val="none"/>
                <w:lang w:bidi="ar"/>
              </w:rPr>
              <w:t>浇筑块长边尺寸L</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3632" w:type="dxa"/>
            <w:vMerge w:val="continue"/>
            <w:vAlign w:val="center"/>
          </w:tcPr>
          <w:p>
            <w:pPr>
              <w:adjustRightInd w:val="0"/>
              <w:snapToGrid w:val="0"/>
              <w:jc w:val="center"/>
              <w:rPr>
                <w:color w:val="auto"/>
                <w:szCs w:val="21"/>
                <w:highlight w:val="none"/>
              </w:rPr>
            </w:pPr>
          </w:p>
        </w:tc>
        <w:tc>
          <w:tcPr>
            <w:tcW w:w="2601"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碾压混凝土</w:t>
            </w:r>
          </w:p>
        </w:tc>
        <w:tc>
          <w:tcPr>
            <w:tcW w:w="2603"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常态混凝土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3632"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基础强约束区(0～0.2)L</w:t>
            </w:r>
          </w:p>
        </w:tc>
        <w:tc>
          <w:tcPr>
            <w:tcW w:w="2601"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14</w:t>
            </w:r>
          </w:p>
        </w:tc>
        <w:tc>
          <w:tcPr>
            <w:tcW w:w="2603"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3632"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基础弱约束区(0.2～0.4)L</w:t>
            </w:r>
          </w:p>
        </w:tc>
        <w:tc>
          <w:tcPr>
            <w:tcW w:w="2601"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16</w:t>
            </w:r>
          </w:p>
        </w:tc>
        <w:tc>
          <w:tcPr>
            <w:tcW w:w="2603"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3632"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非基础约束区&gt;0.4L</w:t>
            </w:r>
          </w:p>
        </w:tc>
        <w:tc>
          <w:tcPr>
            <w:tcW w:w="2601" w:type="dxa"/>
            <w:vAlign w:val="center"/>
          </w:tcPr>
          <w:p>
            <w:pPr>
              <w:adjustRightInd w:val="0"/>
              <w:snapToGrid w:val="0"/>
              <w:jc w:val="center"/>
              <w:textAlignment w:val="baseline"/>
              <w:rPr>
                <w:color w:val="auto"/>
                <w:szCs w:val="21"/>
                <w:highlight w:val="none"/>
              </w:rPr>
            </w:pPr>
            <w:r>
              <w:rPr>
                <w:color w:val="auto"/>
                <w:kern w:val="0"/>
                <w:szCs w:val="21"/>
                <w:highlight w:val="none"/>
                <w:lang w:bidi="ar"/>
              </w:rPr>
              <w:t>19</w:t>
            </w:r>
          </w:p>
        </w:tc>
        <w:tc>
          <w:tcPr>
            <w:tcW w:w="2603" w:type="dxa"/>
            <w:vAlign w:val="center"/>
          </w:tcPr>
          <w:p>
            <w:pPr>
              <w:adjustRightInd w:val="0"/>
              <w:snapToGrid w:val="0"/>
              <w:jc w:val="center"/>
              <w:textAlignment w:val="baseline"/>
              <w:rPr>
                <w:color w:val="auto"/>
                <w:szCs w:val="21"/>
                <w:highlight w:val="none"/>
              </w:rPr>
            </w:pPr>
            <w:r>
              <w:rPr>
                <w:color w:val="auto"/>
                <w:szCs w:val="21"/>
                <w:highlight w:val="none"/>
                <w:lang w:bidi="ar"/>
              </w:rPr>
              <w:t>20</w:t>
            </w:r>
          </w:p>
        </w:tc>
      </w:tr>
    </w:tbl>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 施工图纸无规定时，碾压及常态混凝土浇筑温度不大于22℃，碾压及常态混凝土浇筑过程中内外温差不大于20℃。</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 在间歇时间超过28d的老混凝土面上继续浇筑时，老混凝土面上1/4L范围内的新浇筑混凝土按新老混凝土温差控制，温差控制标准为：碾压混凝土不大于13℃，常态混凝土不大于15℃。</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 在施工过程中，各浇筑块应均匀上升，相邻块高差不应超过10.00m，如因施工需要可予适当放宽时，应由承包人经过充分论证，并提交监理人批准后执行。</w:t>
      </w:r>
    </w:p>
    <w:p>
      <w:pPr>
        <w:adjustRightInd w:val="0"/>
        <w:spacing w:line="360" w:lineRule="auto"/>
        <w:ind w:firstLine="482" w:firstLineChars="200"/>
        <w:rPr>
          <w:rFonts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(2) 主要温控措施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 混凝土拌和和出机口温度要求及相应措施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优化混凝土配合比设计，改善混凝土性能，提高混凝土抗裂能力。</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4月～10月期间，骨料从料场至料仓运输过程中应对骨料运输车辆进行遮阳保温，骨料在堆料场的堆存时间应不小于7d。</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降低骨料温度，如：①成品料仓和进料仓设置凉棚，控制混凝土骨料的含水率小于6%，堆料高度不低于6.00m；②粗骨料设置喷水装置，减小气温变化对骨料温度的影响，喷水量一般不超过1mm/h。</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d) 水泥罐、粉煤灰罐均应采取遮阳、淋水降温措施。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e) 混凝土拌和时采用制冷水或加冰屑降低混凝土浇筑温度。</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 混凝土入仓温度要求及相应措施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加强施工管理，减少转运次数，缩短运输时间，避免混凝土运输车在受料斗长时间等候。</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禁止采用尾气设于车厢的汽车运输混凝土，并要求运输车辆车厢冲洗时间间隔不大于2小时。</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混凝土运输车必须设置防晒、防雨设备。</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d) 在4～10月等温度较高时运输混凝土时，应对运输车辆采取隔热措施，以减少运输过程中的温度回升。</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 混凝土浇筑温度要求及措施</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卸入仓面的混凝土应及时平仓、碾压和振捣。</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在4～10月等温度较高时应尽可能利用早、晚或夜间气温较低时段加大混凝土浇筑强度，碾压混凝土从拌和到碾压必须在2h内完成。</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当浇筑仓内气温高于浇筑温度时，应采用机械设备进行仓面喷雾，直至混凝土终凝，不得采用人工喷雾。</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d) 喷雾应能覆盖整个仓面，喷嘴按形成雾状设计，雾滴直径应达到40～80μm，喷雾时应防止仓面积水。</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e) 喷雾后浇筑仓内气温较外界气温应至少降低4℃。</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f) 4～10月等温度较高时混凝土振捣密实后仓面宜立即覆盖等效热交换系数β≤10.89kJ/(m2.h.℃)的保温材料进行隔热，夜间揭开以利散热；若遇气温骤降，应立即覆盖保温材料进行保温，直至上层混凝土开始铺料时才能逐步揭开，并且要求上层混凝土覆盖时间不超过5小时。11月～次年3月应对混凝土表面进行保温，保温材料为聚苯乙烯泡沫塑料板，其λ＝0.16kJ/(m2.h.℃)，β＝5kJ/(m2.h.℃)，保温材料厚度为3cm。</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 高温季节控制混凝土浇筑温度与出机口温度之差小于5℃。</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h) 禁止使用早强水泥。</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i) 尽量避免使用泵送混凝土，布料机、吊罐等方案不可行时才可采用泵送。</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j) 洞口应设置保温帘。</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k) 机窝混凝土应采用布料机入仓。</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 通水冷却</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水管间距为1.00m，排拒为1.50m(双排时为3.00m)。冷却蛇形管距离上、下游混凝土表面1.00～1.50m埋设，距施工缝、永久缝0.75～1.50m，距孔洞的边缘为0.75～1.50m，单根水管长度不大于200.00m，蛇形布置，单根冷却蛇形管冷却水流量控制在1.00～1.50m</w:t>
      </w:r>
      <w:r>
        <w:rPr>
          <w:rFonts w:hint="eastAsia" w:ascii="Times New Roman" w:hAnsi="Times New Roman" w:cs="Times New Roman"/>
          <w:color w:val="auto"/>
          <w:sz w:val="24"/>
          <w:szCs w:val="24"/>
          <w:highlight w:val="none"/>
          <w:vertAlign w:val="superscript"/>
        </w:rPr>
        <w:t>3</w:t>
      </w:r>
      <w:r>
        <w:rPr>
          <w:rFonts w:hint="eastAsia" w:ascii="Times New Roman" w:hAnsi="Times New Roman" w:cs="Times New Roman"/>
          <w:color w:val="auto"/>
          <w:sz w:val="24"/>
          <w:szCs w:val="24"/>
          <w:highlight w:val="none"/>
        </w:rPr>
        <w:t>/h，水流方向每24～48h变换一次。</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进出口处水管水平间距和垂直间距一般不小于1.00m，并对管口妥善保护，防止堵塞。混凝土降温速度每天不大于1℃。</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应建立冷却通水智能控制系统，系统构成包括：服务器、客户端、局域网、温度采集装置、无线控制终端、电动阀门和测控管理软件。温度自动采集装置测得混凝土的温度，传输给测控服务器，服务器中的测控管理软件运行，产生控制指令，通过无线局域网传输至无线控制终端，控制终端控制电动阀门的开合，实现对冷却水流的控制。冷却通水智能控制系统需满足：统能够在复杂施工环境下长时间稳定工作、混凝土温度能够在预设温度过程线的导引下逐步下降、混凝土温度控制能够满足设计和施工要求。智能控制系统可更加及时、准确、安全可靠地完成原本人工操作的繁琐的冷却通水工作。</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 混凝土养护及表面保护</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a) 新浇混凝土终凝后开始养护，养护时间不少于28d(上部覆盖混凝土除外)。</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b) 对上、下游混凝土面及暴露的侧面采用淋水养护。</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c) 仓面应采用喷雾和覆盖保水材料(水雾范围外)等有效措施，使仓面保持湿润状态。</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d) 选择保护效果好且便于施工的表面保护材料。</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e) 对长期暴露面和体形结构较复杂的闸墩等建筑物，其顶(侧)面应长期覆盖等效热交换系数β≤5kJ/(m2.h.℃)的持水保温材料。</w:t>
      </w:r>
    </w:p>
    <w:p>
      <w:pPr>
        <w:adjustRightInd w:val="0"/>
        <w:spacing w:line="360" w:lineRule="auto"/>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f) 对混凝土内的各种孔洞、廊道等应采取有效措施，防止空气流动。</w:t>
      </w:r>
    </w:p>
    <w:p>
      <w:pPr>
        <w:adjustRightInd w:val="0"/>
        <w:snapToGrid w:val="0"/>
        <w:spacing w:line="480" w:lineRule="exact"/>
        <w:ind w:firstLine="480" w:firstLineChars="20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 周转使用的保温材料，必须保持清洁、干燥，以保证不降低保温标准。</w:t>
      </w:r>
    </w:p>
    <w:p>
      <w:pPr>
        <w:pStyle w:val="62"/>
        <w:rPr>
          <w:rFonts w:hint="default" w:eastAsia="黑体"/>
          <w:color w:val="auto"/>
          <w:highlight w:val="none"/>
          <w:lang w:val="en-US" w:eastAsia="zh-CN"/>
        </w:rPr>
      </w:pPr>
      <w:r>
        <w:rPr>
          <w:color w:val="auto"/>
          <w:highlight w:val="none"/>
        </w:rPr>
        <w:t>18.</w:t>
      </w:r>
      <w:r>
        <w:rPr>
          <w:rFonts w:hint="eastAsia"/>
          <w:color w:val="auto"/>
          <w:highlight w:val="none"/>
          <w:lang w:val="en-US" w:eastAsia="zh-CN"/>
        </w:rPr>
        <w:t>7清水混凝土</w:t>
      </w:r>
    </w:p>
    <w:p>
      <w:pPr>
        <w:spacing w:line="360" w:lineRule="auto"/>
        <w:ind w:firstLine="480" w:firstLineChars="200"/>
        <w:rPr>
          <w:color w:val="auto"/>
          <w:highlight w:val="none"/>
        </w:rPr>
      </w:pPr>
      <w:r>
        <w:rPr>
          <w:rFonts w:ascii="宋体" w:hAnsi="宋体" w:cs="宋体"/>
          <w:color w:val="auto"/>
          <w:sz w:val="24"/>
          <w:highlight w:val="none"/>
        </w:rPr>
        <w:t>本技术条款增加内容：</w:t>
      </w:r>
    </w:p>
    <w:p>
      <w:pPr>
        <w:spacing w:line="360" w:lineRule="auto"/>
        <w:ind w:firstLine="480" w:firstLineChars="200"/>
        <w:rPr>
          <w:color w:val="auto"/>
          <w:highlight w:val="none"/>
        </w:rPr>
      </w:pPr>
      <w:r>
        <w:rPr>
          <w:rFonts w:hint="eastAsia" w:ascii="宋体" w:hAnsi="宋体" w:cs="宋体"/>
          <w:color w:val="auto"/>
          <w:sz w:val="24"/>
          <w:highlight w:val="none"/>
          <w:lang w:val="en-US" w:eastAsia="zh-CN"/>
        </w:rPr>
        <w:t>招标工程量清单及本技术条款所述“普通清水混凝土”，是指混凝土表面设有规律的明缝、蝉缝、倒角等，达到普通清水混凝土质量验收标准的混凝土。</w:t>
      </w:r>
      <w:r>
        <w:rPr>
          <w:rFonts w:hint="eastAsia" w:ascii="宋体" w:hAnsi="宋体" w:cs="宋体"/>
          <w:color w:val="auto"/>
          <w:sz w:val="24"/>
          <w:highlight w:val="none"/>
        </w:rPr>
        <w:t>清水混凝土施工按照《清水混凝土应用技术规程》JGJ169及《南方电网抽水蓄能电站清水混凝土应用导则》执行</w:t>
      </w:r>
      <w:r>
        <w:rPr>
          <w:rFonts w:hint="eastAsia" w:ascii="宋体" w:hAnsi="宋体" w:cs="宋体"/>
          <w:color w:val="auto"/>
          <w:sz w:val="24"/>
          <w:highlight w:val="none"/>
          <w:lang w:eastAsia="zh-CN"/>
        </w:rPr>
        <w:t>。</w:t>
      </w: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50"/>
        <w:rPr>
          <w:color w:val="auto"/>
          <w:highlight w:val="none"/>
          <w:shd w:val="clear" w:color="auto" w:fill="FFFFFF"/>
        </w:rPr>
      </w:pPr>
      <w:bookmarkStart w:id="426" w:name="_Toc127395762"/>
      <w:bookmarkStart w:id="427" w:name="_Toc23579"/>
      <w:bookmarkStart w:id="428" w:name="_Toc29825"/>
      <w:r>
        <w:rPr>
          <w:rFonts w:hint="eastAsia"/>
          <w:color w:val="auto"/>
          <w:highlight w:val="none"/>
          <w:shd w:val="clear" w:color="auto" w:fill="FFFFFF"/>
        </w:rPr>
        <w:t>第</w:t>
      </w:r>
      <w:r>
        <w:rPr>
          <w:rFonts w:hint="eastAsia"/>
          <w:color w:val="auto"/>
          <w:highlight w:val="none"/>
          <w:shd w:val="clear" w:color="auto" w:fill="FFFFFF"/>
          <w:lang w:val="en-US"/>
        </w:rPr>
        <w:t>20</w:t>
      </w:r>
      <w:r>
        <w:rPr>
          <w:rFonts w:hint="eastAsia"/>
          <w:color w:val="auto"/>
          <w:highlight w:val="none"/>
          <w:shd w:val="clear" w:color="auto" w:fill="FFFFFF"/>
        </w:rPr>
        <w:t>章</w:t>
      </w:r>
      <w:r>
        <w:rPr>
          <w:color w:val="auto"/>
          <w:highlight w:val="none"/>
          <w:shd w:val="clear" w:color="auto" w:fill="FFFFFF"/>
        </w:rPr>
        <w:t xml:space="preserve">  </w:t>
      </w:r>
      <w:bookmarkEnd w:id="426"/>
      <w:bookmarkEnd w:id="427"/>
      <w:bookmarkEnd w:id="428"/>
      <w:r>
        <w:rPr>
          <w:color w:val="auto"/>
          <w:highlight w:val="none"/>
          <w:shd w:val="clear" w:color="auto" w:fill="FFFFFF"/>
        </w:rPr>
        <w:t>房屋建筑及附属工程</w:t>
      </w:r>
    </w:p>
    <w:p>
      <w:pPr>
        <w:snapToGrid/>
        <w:spacing w:before="0" w:after="120" w:line="360" w:lineRule="auto"/>
        <w:ind w:left="0" w:right="0" w:rightChars="0" w:firstLine="482" w:firstLineChars="200"/>
        <w:jc w:val="both"/>
        <w:rPr>
          <w:color w:val="auto"/>
          <w:highlight w:val="none"/>
        </w:rPr>
      </w:pPr>
      <w:r>
        <w:rPr>
          <w:rFonts w:ascii="新宋体" w:hAnsi="新宋体" w:eastAsia="新宋体" w:cs="新宋体"/>
          <w:b/>
          <w:i w:val="0"/>
          <w:strike w:val="0"/>
          <w:color w:val="auto"/>
          <w:sz w:val="24"/>
          <w:highlight w:val="none"/>
          <w:u w:val="none"/>
        </w:rPr>
        <w:t>本技术条款第</w:t>
      </w:r>
      <w:r>
        <w:rPr>
          <w:rFonts w:ascii="MS Sans Serif" w:hAnsi="MS Sans Serif" w:eastAsia="MS Sans Serif" w:cs="MS Sans Serif"/>
          <w:b/>
          <w:i w:val="0"/>
          <w:strike w:val="0"/>
          <w:color w:val="auto"/>
          <w:sz w:val="24"/>
          <w:highlight w:val="none"/>
          <w:u w:val="none"/>
        </w:rPr>
        <w:t>20</w:t>
      </w:r>
      <w:r>
        <w:rPr>
          <w:rFonts w:ascii="新宋体" w:hAnsi="新宋体" w:eastAsia="新宋体" w:cs="新宋体"/>
          <w:b/>
          <w:i w:val="0"/>
          <w:strike w:val="0"/>
          <w:color w:val="auto"/>
          <w:sz w:val="24"/>
          <w:highlight w:val="none"/>
          <w:u w:val="none"/>
        </w:rPr>
        <w:t>章增加内容：</w:t>
      </w:r>
    </w:p>
    <w:p>
      <w:pPr>
        <w:snapToGrid w:val="0"/>
        <w:spacing w:before="60" w:after="60" w:line="480" w:lineRule="exact"/>
        <w:jc w:val="both"/>
        <w:rPr>
          <w:color w:val="auto"/>
          <w:highlight w:val="none"/>
        </w:rPr>
      </w:pPr>
      <w:r>
        <w:rPr>
          <w:rFonts w:ascii="Times New Roman" w:hAnsi="Times New Roman" w:eastAsia="Times New Roman" w:cs="Times New Roman"/>
          <w:i w:val="0"/>
          <w:strike w:val="0"/>
          <w:color w:val="auto"/>
          <w:sz w:val="24"/>
          <w:highlight w:val="none"/>
          <w:u w:val="none"/>
        </w:rPr>
        <w:t>20.1.4</w:t>
      </w:r>
      <w:r>
        <w:rPr>
          <w:rFonts w:ascii="黑体" w:hAnsi="黑体" w:eastAsia="黑体" w:cs="黑体"/>
          <w:i w:val="0"/>
          <w:strike w:val="0"/>
          <w:color w:val="auto"/>
          <w:sz w:val="24"/>
          <w:highlight w:val="none"/>
          <w:u w:val="none"/>
        </w:rPr>
        <w:t>引用标准新增</w:t>
      </w:r>
    </w:p>
    <w:p>
      <w:pPr>
        <w:snapToGrid w:val="0"/>
        <w:spacing w:before="0" w:after="0" w:line="460" w:lineRule="exact"/>
        <w:ind w:left="0" w:right="0" w:firstLine="424" w:firstLineChars="177"/>
        <w:jc w:val="left"/>
        <w:rPr>
          <w:color w:val="auto"/>
          <w:highlight w:val="none"/>
        </w:rPr>
      </w:pPr>
      <w:r>
        <w:rPr>
          <w:rFonts w:ascii="宋体" w:hAnsi="宋体" w:eastAsia="宋体" w:cs="宋体"/>
          <w:i w:val="0"/>
          <w:strike w:val="0"/>
          <w:color w:val="auto"/>
          <w:sz w:val="24"/>
          <w:highlight w:val="none"/>
          <w:u w:val="none"/>
        </w:rPr>
        <w:t xml:space="preserve"> </w:t>
      </w:r>
      <w:r>
        <w:rPr>
          <w:rFonts w:ascii="Times New Roman" w:hAnsi="Times New Roman" w:eastAsia="Times New Roman" w:cs="Times New Roman"/>
          <w:i w:val="0"/>
          <w:strike w:val="0"/>
          <w:color w:val="auto"/>
          <w:sz w:val="24"/>
          <w:highlight w:val="none"/>
          <w:u w:val="none"/>
        </w:rPr>
        <w:t>(12)</w:t>
      </w:r>
      <w:r>
        <w:rPr>
          <w:rFonts w:ascii="宋体" w:hAnsi="宋体" w:eastAsia="宋体" w:cs="宋体"/>
          <w:i w:val="0"/>
          <w:strike w:val="0"/>
          <w:color w:val="auto"/>
          <w:sz w:val="24"/>
          <w:highlight w:val="none"/>
          <w:u w:val="none"/>
        </w:rPr>
        <w:t>《建筑防火通用规范》</w:t>
      </w:r>
      <w:r>
        <w:rPr>
          <w:rFonts w:ascii="Times New Roman" w:hAnsi="Times New Roman" w:eastAsia="Times New Roman" w:cs="Times New Roman"/>
          <w:i w:val="0"/>
          <w:strike w:val="0"/>
          <w:color w:val="auto"/>
          <w:sz w:val="24"/>
          <w:highlight w:val="none"/>
          <w:u w:val="none"/>
        </w:rPr>
        <w:t>GB55037-2022</w:t>
      </w:r>
      <w:r>
        <w:rPr>
          <w:rFonts w:ascii="宋体" w:hAnsi="宋体" w:eastAsia="宋体" w:cs="宋体"/>
          <w:i w:val="0"/>
          <w:strike w:val="0"/>
          <w:color w:val="auto"/>
          <w:sz w:val="24"/>
          <w:highlight w:val="none"/>
          <w:u w:val="none"/>
        </w:rPr>
        <w:t>；</w:t>
      </w:r>
    </w:p>
    <w:p>
      <w:pPr>
        <w:snapToGrid w:val="0"/>
        <w:spacing w:before="60" w:after="60" w:line="480" w:lineRule="exact"/>
        <w:jc w:val="both"/>
        <w:rPr>
          <w:color w:val="auto"/>
          <w:highlight w:val="none"/>
        </w:rPr>
      </w:pPr>
      <w:r>
        <w:rPr>
          <w:rFonts w:ascii="黑体" w:hAnsi="黑体" w:eastAsia="黑体" w:cs="黑体"/>
          <w:i w:val="0"/>
          <w:strike w:val="0"/>
          <w:color w:val="auto"/>
          <w:sz w:val="24"/>
          <w:highlight w:val="none"/>
          <w:u w:val="none"/>
        </w:rPr>
        <w:t>新增</w:t>
      </w:r>
      <w:r>
        <w:rPr>
          <w:rFonts w:ascii="Times New Roman" w:hAnsi="Times New Roman" w:eastAsia="Times New Roman" w:cs="Times New Roman"/>
          <w:i w:val="0"/>
          <w:strike w:val="0"/>
          <w:color w:val="auto"/>
          <w:sz w:val="24"/>
          <w:highlight w:val="none"/>
          <w:u w:val="none"/>
        </w:rPr>
        <w:t>20.1.5</w:t>
      </w:r>
      <w:r>
        <w:rPr>
          <w:rFonts w:ascii="黑体" w:hAnsi="黑体" w:eastAsia="黑体" w:cs="黑体"/>
          <w:i w:val="0"/>
          <w:strike w:val="0"/>
          <w:color w:val="auto"/>
          <w:sz w:val="24"/>
          <w:highlight w:val="none"/>
          <w:u w:val="none"/>
        </w:rPr>
        <w:t>装修内容和做法一览表</w:t>
      </w:r>
    </w:p>
    <w:p>
      <w:pPr>
        <w:snapToGrid/>
        <w:spacing w:before="0" w:after="120" w:line="360" w:lineRule="auto"/>
        <w:ind w:left="0" w:right="0" w:rightChars="0" w:firstLine="480" w:firstLineChars="200"/>
        <w:jc w:val="both"/>
        <w:rPr>
          <w:color w:val="auto"/>
          <w:highlight w:val="none"/>
        </w:rPr>
      </w:pPr>
      <w:r>
        <w:rPr>
          <w:rFonts w:ascii="宋体" w:hAnsi="宋体" w:eastAsia="宋体" w:cs="宋体"/>
          <w:b w:val="0"/>
          <w:i w:val="0"/>
          <w:strike w:val="0"/>
          <w:color w:val="auto"/>
          <w:sz w:val="24"/>
          <w:highlight w:val="none"/>
          <w:u w:val="none"/>
        </w:rPr>
        <w:t>本标施工区域内各部位的装修内容及做法详见以下装修做法一览表</w:t>
      </w:r>
    </w:p>
    <w:p>
      <w:pPr>
        <w:snapToGrid/>
        <w:spacing w:line="240" w:lineRule="auto"/>
        <w:rPr>
          <w:color w:val="auto"/>
          <w:highlight w:val="none"/>
        </w:rPr>
      </w:pPr>
    </w:p>
    <w:p>
      <w:pPr>
        <w:snapToGrid w:val="0"/>
        <w:spacing w:before="0" w:after="0" w:line="460" w:lineRule="exact"/>
        <w:ind w:left="0" w:right="0" w:firstLine="424" w:firstLineChars="177"/>
        <w:jc w:val="center"/>
        <w:rPr>
          <w:color w:val="auto"/>
          <w:highlight w:val="none"/>
        </w:rPr>
      </w:pPr>
      <w:r>
        <w:rPr>
          <w:rFonts w:ascii="宋体" w:hAnsi="宋体" w:eastAsia="宋体" w:cs="宋体"/>
          <w:b w:val="0"/>
          <w:i w:val="0"/>
          <w:strike w:val="0"/>
          <w:color w:val="auto"/>
          <w:sz w:val="24"/>
          <w:highlight w:val="none"/>
          <w:u w:val="none"/>
        </w:rPr>
        <w:t>表20.1.5-1  地下厂房主要部位装修一览表</w:t>
      </w:r>
    </w:p>
    <w:tbl>
      <w:tblPr>
        <w:tblStyle w:val="37"/>
        <w:tblW w:w="14745" w:type="dxa"/>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900"/>
        <w:gridCol w:w="293"/>
        <w:gridCol w:w="892"/>
        <w:gridCol w:w="485"/>
        <w:gridCol w:w="1525"/>
        <w:gridCol w:w="644"/>
        <w:gridCol w:w="2176"/>
        <w:gridCol w:w="1028"/>
        <w:gridCol w:w="1207"/>
        <w:gridCol w:w="1139"/>
        <w:gridCol w:w="736"/>
        <w:gridCol w:w="614"/>
        <w:gridCol w:w="1666"/>
        <w:gridCol w:w="134"/>
        <w:gridCol w:w="1306"/>
      </w:tblGrid>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blHeader/>
          <w:jc w:val="center"/>
        </w:trPr>
        <w:tc>
          <w:tcPr>
            <w:tcW w:w="1193"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bookmarkStart w:id="429" w:name="OLE_LINK5"/>
            <w:bookmarkStart w:id="430" w:name="OLE_LINK6"/>
            <w:r>
              <w:rPr>
                <w:rFonts w:hint="eastAsia" w:ascii="宋体" w:hAnsi="宋体" w:eastAsia="宋体" w:cs="宋体"/>
                <w:b w:val="0"/>
                <w:i w:val="0"/>
                <w:strike w:val="0"/>
                <w:color w:val="auto"/>
                <w:spacing w:val="0"/>
                <w:sz w:val="22"/>
                <w:szCs w:val="22"/>
                <w:highlight w:val="none"/>
                <w:u w:val="none"/>
              </w:rPr>
              <w:t>装修</w:t>
            </w:r>
          </w:p>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部位</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高程</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房间名称</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地面作法</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墙面作法</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踢脚作法</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顶棚作法</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备注</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800" w:hRule="atLeast"/>
          <w:tblHeader/>
          <w:jc w:val="center"/>
        </w:trPr>
        <w:tc>
          <w:tcPr>
            <w:tcW w:w="1193"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w:t>
            </w:r>
          </w:p>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厂</w:t>
            </w:r>
          </w:p>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房</w:t>
            </w:r>
          </w:p>
        </w:tc>
        <w:tc>
          <w:tcPr>
            <w:tcW w:w="1377"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529.000m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发电电动机层</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主机间和安装间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lang w:eastAsia="zh-CN"/>
              </w:rPr>
            </w:pPr>
            <w:r>
              <w:rPr>
                <w:rFonts w:hint="eastAsia" w:ascii="宋体" w:hAnsi="宋体" w:eastAsia="宋体" w:cs="宋体"/>
                <w:b w:val="0"/>
                <w:i w:val="0"/>
                <w:strike w:val="0"/>
                <w:color w:val="auto"/>
                <w:spacing w:val="0"/>
                <w:sz w:val="22"/>
                <w:szCs w:val="22"/>
                <w:highlight w:val="none"/>
                <w:u w:val="none"/>
                <w:lang w:val="en-US" w:eastAsia="zh-CN"/>
              </w:rPr>
              <w:t>25厚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r>
              <w:rPr>
                <w:rFonts w:hint="eastAsia" w:ascii="宋体" w:hAnsi="宋体" w:eastAsia="宋体" w:cs="宋体"/>
                <w:b w:val="0"/>
                <w:i w:val="0"/>
                <w:strike w:val="0"/>
                <w:color w:val="auto"/>
                <w:spacing w:val="0"/>
                <w:sz w:val="22"/>
                <w:szCs w:val="22"/>
                <w:highlight w:val="none"/>
                <w:u w:val="none"/>
              </w:rPr>
              <w:t>两侧500mm宽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机罩弧形地面</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黑金沙、酒红色花岗岩</w:t>
            </w:r>
          </w:p>
        </w:tc>
        <w:tc>
          <w:tcPr>
            <w:tcW w:w="2346"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lang w:val="en-US" w:eastAsia="zh-CN"/>
              </w:rPr>
            </w:pPr>
            <w:r>
              <w:rPr>
                <w:rFonts w:hint="eastAsia" w:ascii="宋体" w:hAnsi="宋体" w:eastAsia="宋体" w:cs="宋体"/>
                <w:b w:val="0"/>
                <w:i w:val="0"/>
                <w:strike w:val="0"/>
                <w:color w:val="auto"/>
                <w:spacing w:val="0"/>
                <w:sz w:val="22"/>
                <w:szCs w:val="22"/>
                <w:highlight w:val="none"/>
                <w:u w:val="none"/>
              </w:rPr>
              <w:t>蜂窝板铝扣板墙面</w:t>
            </w:r>
            <w:r>
              <w:rPr>
                <w:rFonts w:hint="eastAsia" w:ascii="宋体" w:hAnsi="宋体" w:eastAsia="宋体" w:cs="宋体"/>
                <w:b w:val="0"/>
                <w:i w:val="0"/>
                <w:strike w:val="0"/>
                <w:color w:val="auto"/>
                <w:spacing w:val="0"/>
                <w:sz w:val="22"/>
                <w:szCs w:val="22"/>
                <w:highlight w:val="none"/>
                <w:u w:val="none"/>
                <w:lang w:val="en-US" w:eastAsia="zh-CN"/>
              </w:rPr>
              <w:t>+</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1300mm~1650m高</w:t>
            </w:r>
            <w:r>
              <w:rPr>
                <w:rFonts w:hint="eastAsia" w:ascii="宋体" w:hAnsi="宋体" w:eastAsia="宋体" w:cs="宋体"/>
                <w:b w:val="0"/>
                <w:i w:val="0"/>
                <w:strike w:val="0"/>
                <w:color w:val="auto"/>
                <w:spacing w:val="0"/>
                <w:sz w:val="22"/>
                <w:szCs w:val="22"/>
                <w:highlight w:val="none"/>
                <w:u w:val="none"/>
              </w:rPr>
              <w:t>黑金沙花岗岩墙裙</w:t>
            </w:r>
          </w:p>
        </w:tc>
        <w:tc>
          <w:tcPr>
            <w:tcW w:w="1350"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球形网架结构屋面</w:t>
            </w:r>
          </w:p>
        </w:tc>
        <w:tc>
          <w:tcPr>
            <w:tcW w:w="1306" w:type="dxa"/>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不锈钢腰线高150</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2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厂房</w:t>
            </w:r>
            <w:r>
              <w:rPr>
                <w:rFonts w:hint="eastAsia" w:ascii="宋体" w:hAnsi="宋体" w:eastAsia="宋体" w:cs="宋体"/>
                <w:b w:val="0"/>
                <w:i w:val="0"/>
                <w:strike w:val="0"/>
                <w:color w:val="auto"/>
                <w:spacing w:val="0"/>
                <w:sz w:val="22"/>
                <w:szCs w:val="22"/>
                <w:highlight w:val="none"/>
                <w:u w:val="none"/>
              </w:rPr>
              <w:t>主变交通洞</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lang w:eastAsia="zh-CN"/>
              </w:rPr>
            </w:pPr>
            <w:r>
              <w:rPr>
                <w:rFonts w:hint="eastAsia" w:ascii="宋体" w:hAnsi="宋体" w:eastAsia="宋体" w:cs="宋体"/>
                <w:b w:val="0"/>
                <w:i w:val="0"/>
                <w:strike w:val="0"/>
                <w:color w:val="auto"/>
                <w:spacing w:val="0"/>
                <w:sz w:val="22"/>
                <w:szCs w:val="22"/>
                <w:highlight w:val="none"/>
                <w:u w:val="none"/>
                <w:lang w:val="en-US" w:eastAsia="zh-CN"/>
              </w:rPr>
              <w:t>25厚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r>
              <w:rPr>
                <w:rFonts w:hint="eastAsia" w:ascii="宋体" w:hAnsi="宋体" w:eastAsia="宋体" w:cs="宋体"/>
                <w:b w:val="0"/>
                <w:i w:val="0"/>
                <w:strike w:val="0"/>
                <w:color w:val="auto"/>
                <w:spacing w:val="0"/>
                <w:sz w:val="22"/>
                <w:szCs w:val="22"/>
                <w:highlight w:val="none"/>
                <w:u w:val="none"/>
              </w:rPr>
              <w:t>两侧500宽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tc>
        <w:tc>
          <w:tcPr>
            <w:tcW w:w="2346"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蜂窝铝扣板顶棚</w:t>
            </w:r>
          </w:p>
        </w:tc>
        <w:tc>
          <w:tcPr>
            <w:tcW w:w="1306" w:type="dxa"/>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522.500m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中间层</w:t>
            </w:r>
          </w:p>
        </w:tc>
        <w:tc>
          <w:tcPr>
            <w:tcW w:w="3204"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花岗岩石材地面</w:t>
            </w:r>
          </w:p>
        </w:tc>
        <w:tc>
          <w:tcPr>
            <w:tcW w:w="2346"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无机硅透明保护涂料墙面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1350"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w:t>
            </w:r>
          </w:p>
        </w:tc>
        <w:tc>
          <w:tcPr>
            <w:tcW w:w="1800"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40"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516.200m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水泵水轮机层</w:t>
            </w:r>
          </w:p>
        </w:tc>
        <w:tc>
          <w:tcPr>
            <w:tcW w:w="3204"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2346"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508.300m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蜗壳层</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花岗岩石材地面</w:t>
            </w:r>
          </w:p>
        </w:tc>
        <w:tc>
          <w:tcPr>
            <w:tcW w:w="2346"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空气处理机房</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w:t>
            </w:r>
            <w:r>
              <w:rPr>
                <w:rFonts w:hint="eastAsia" w:ascii="宋体" w:hAnsi="宋体" w:eastAsia="宋体" w:cs="宋体"/>
                <w:b w:val="0"/>
                <w:i w:val="0"/>
                <w:strike w:val="0"/>
                <w:color w:val="auto"/>
                <w:spacing w:val="0"/>
                <w:sz w:val="22"/>
                <w:szCs w:val="22"/>
                <w:highlight w:val="none"/>
                <w:u w:val="none"/>
              </w:rPr>
              <w:t>成品防滑玻化梯砖楼面</w:t>
            </w:r>
          </w:p>
        </w:tc>
        <w:tc>
          <w:tcPr>
            <w:tcW w:w="2346"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501.400m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尾水管层</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w:t>
            </w:r>
            <w:r>
              <w:rPr>
                <w:rFonts w:hint="eastAsia" w:ascii="宋体" w:hAnsi="宋体" w:eastAsia="宋体" w:cs="宋体"/>
                <w:b w:val="0"/>
                <w:i w:val="0"/>
                <w:strike w:val="0"/>
                <w:color w:val="auto"/>
                <w:spacing w:val="0"/>
                <w:sz w:val="22"/>
                <w:szCs w:val="22"/>
                <w:highlight w:val="none"/>
                <w:u w:val="none"/>
              </w:rPr>
              <w:t>成品防滑玻化梯砖楼面</w:t>
            </w:r>
          </w:p>
        </w:tc>
        <w:tc>
          <w:tcPr>
            <w:tcW w:w="2346"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12"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T3、T4楼梯间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r>
              <w:rPr>
                <w:rFonts w:hint="eastAsia" w:ascii="宋体" w:hAnsi="宋体" w:eastAsia="宋体" w:cs="宋体"/>
                <w:b w:val="0"/>
                <w:i w:val="0"/>
                <w:strike w:val="0"/>
                <w:color w:val="auto"/>
                <w:spacing w:val="0"/>
                <w:sz w:val="22"/>
                <w:szCs w:val="22"/>
                <w:highlight w:val="none"/>
                <w:u w:val="none"/>
              </w:rPr>
              <w:t>两侧</w:t>
            </w:r>
            <w:r>
              <w:rPr>
                <w:rFonts w:hint="eastAsia" w:ascii="宋体" w:hAnsi="宋体" w:eastAsia="宋体" w:cs="宋体"/>
                <w:b w:val="0"/>
                <w:i w:val="0"/>
                <w:strike w:val="0"/>
                <w:color w:val="auto"/>
                <w:spacing w:val="0"/>
                <w:sz w:val="22"/>
                <w:szCs w:val="22"/>
                <w:highlight w:val="none"/>
                <w:u w:val="none"/>
                <w:lang w:val="en-US" w:eastAsia="zh-CN"/>
              </w:rPr>
              <w:t>150</w:t>
            </w:r>
            <w:r>
              <w:rPr>
                <w:rFonts w:hint="eastAsia" w:ascii="宋体" w:hAnsi="宋体" w:eastAsia="宋体" w:cs="宋体"/>
                <w:b w:val="0"/>
                <w:i w:val="0"/>
                <w:strike w:val="0"/>
                <w:color w:val="auto"/>
                <w:spacing w:val="0"/>
                <w:sz w:val="22"/>
                <w:szCs w:val="22"/>
                <w:highlight w:val="none"/>
                <w:u w:val="none"/>
              </w:rPr>
              <w:t>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主变洞（含母线洞）</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522.500m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走道、母线洞</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环氧彩砂自流平地面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both"/>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529.000m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eastAsia="宋体" w:cs="宋体"/>
                <w:b w:val="0"/>
                <w:i w:val="0"/>
                <w:strike w:val="0"/>
                <w:color w:val="auto"/>
                <w:spacing w:val="0"/>
                <w:sz w:val="22"/>
                <w:szCs w:val="22"/>
                <w:highlight w:val="none"/>
                <w:u w:val="none"/>
              </w:rPr>
              <w:t>主变回车场</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lang w:val="en-US" w:eastAsia="zh-CN"/>
              </w:rPr>
            </w:pPr>
            <w:r>
              <w:rPr>
                <w:rFonts w:hint="eastAsia" w:ascii="宋体" w:hAnsi="宋体" w:eastAsia="宋体" w:cs="宋体"/>
                <w:b w:val="0"/>
                <w:i w:val="0"/>
                <w:strike w:val="0"/>
                <w:color w:val="auto"/>
                <w:spacing w:val="0"/>
                <w:sz w:val="22"/>
                <w:szCs w:val="22"/>
                <w:highlight w:val="none"/>
                <w:u w:val="none"/>
                <w:lang w:val="en-US" w:eastAsia="zh-CN"/>
              </w:rPr>
              <w:t>25厚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两侧500宽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蜂窝板铝扣板墙面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黑金沙花岗岩墙裙</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干挂黑金沙花岗岩墙裙</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蜂窝铝扣板顶棚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不锈钢腰线高150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雨淋阀室（4间）、高压厂用变室（2间）、高压开关柜室、SFC输入变室、SFC输出变室、工具间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环氧彩砂自流平地面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150高黑金沙石材</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绝缘油处理设备室、交流励磁变压器室、工具间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150高黑金沙石材</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61"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主变压器室(4间)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细石混凝土楼面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主变运输廊道</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25厚</w:t>
            </w:r>
            <w:r>
              <w:rPr>
                <w:rFonts w:hint="eastAsia" w:ascii="宋体" w:hAnsi="宋体" w:eastAsia="宋体" w:cs="宋体"/>
                <w:b w:val="0"/>
                <w:i w:val="0"/>
                <w:strike w:val="0"/>
                <w:color w:val="auto"/>
                <w:spacing w:val="0"/>
                <w:sz w:val="22"/>
                <w:szCs w:val="22"/>
                <w:highlight w:val="none"/>
                <w:u w:val="none"/>
              </w:rPr>
              <w:t>花岗岩石材地面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150高黑金沙石材</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铝单板顶棚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检修通道</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清水混凝土涂料墙面、无机涂料墙面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清水混凝土涂料顶棚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120" w:after="120" w:line="36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lang w:val="en-US" w:eastAsia="zh-CN"/>
              </w:rPr>
            </w:pPr>
            <w:r>
              <w:rPr>
                <w:rFonts w:hint="eastAsia" w:ascii="宋体" w:hAnsi="宋体" w:eastAsia="宋体" w:cs="宋体"/>
                <w:b w:val="0"/>
                <w:i w:val="0"/>
                <w:strike w:val="0"/>
                <w:color w:val="auto"/>
                <w:spacing w:val="0"/>
                <w:sz w:val="22"/>
                <w:szCs w:val="22"/>
                <w:highlight w:val="none"/>
                <w:u w:val="none"/>
                <w:lang w:val="en-US" w:eastAsia="zh-CN"/>
              </w:rPr>
              <w:t>文化展厅</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lang w:val="en-US" w:eastAsia="zh-CN"/>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150高黑金沙石材</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120" w:after="120" w:line="360" w:lineRule="auto"/>
              <w:ind w:left="0" w:leftChars="0" w:right="0" w:rightChars="0" w:firstLine="0" w:firstLineChars="0"/>
              <w:jc w:val="left"/>
              <w:rPr>
                <w:rFonts w:hint="eastAsia" w:ascii="宋体" w:hAnsi="宋体" w:eastAsia="宋体" w:cs="宋体"/>
                <w:b/>
                <w:i w:val="0"/>
                <w:strike w:val="0"/>
                <w:color w:val="auto"/>
                <w:spacing w:val="0"/>
                <w:sz w:val="22"/>
                <w:szCs w:val="22"/>
                <w:highlight w:val="none"/>
                <w:u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537.000m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电抗器室（4间）、SFC盘柜室、主变洞配电柜、耐压试验场</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环氧彩砂自流平地面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走道</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环氧彩砂自流平地面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白色</w:t>
            </w:r>
            <w:r>
              <w:rPr>
                <w:rFonts w:hint="eastAsia" w:ascii="宋体" w:hAnsi="宋体" w:eastAsia="宋体" w:cs="宋体"/>
                <w:b w:val="0"/>
                <w:i w:val="0"/>
                <w:strike w:val="0"/>
                <w:color w:val="auto"/>
                <w:spacing w:val="0"/>
                <w:sz w:val="22"/>
                <w:szCs w:val="22"/>
                <w:highlight w:val="none"/>
                <w:u w:val="none"/>
              </w:rPr>
              <w:t>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541.800m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主变排风机房、母线排风机房、主变排风洞</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细石混凝土楼面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白水泥墙面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544.100m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通风层、</w:t>
            </w:r>
            <w:r>
              <w:rPr>
                <w:rFonts w:hint="eastAsia" w:ascii="宋体" w:hAnsi="宋体" w:eastAsia="宋体" w:cs="宋体"/>
                <w:b w:val="0"/>
                <w:i w:val="0"/>
                <w:strike w:val="0"/>
                <w:color w:val="auto"/>
                <w:spacing w:val="0"/>
                <w:sz w:val="22"/>
                <w:szCs w:val="22"/>
                <w:highlight w:val="none"/>
                <w:u w:val="none"/>
              </w:rPr>
              <w:t>踏步</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APP卷材防水楼面+</w:t>
            </w: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T6、T7楼梯间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r>
              <w:rPr>
                <w:rFonts w:hint="eastAsia" w:ascii="宋体" w:hAnsi="宋体" w:eastAsia="宋体" w:cs="宋体"/>
                <w:b w:val="0"/>
                <w:i w:val="0"/>
                <w:strike w:val="0"/>
                <w:color w:val="auto"/>
                <w:spacing w:val="0"/>
                <w:sz w:val="22"/>
                <w:szCs w:val="22"/>
                <w:highlight w:val="none"/>
                <w:u w:val="none"/>
              </w:rPr>
              <w:t>两侧</w:t>
            </w:r>
            <w:r>
              <w:rPr>
                <w:rFonts w:hint="eastAsia" w:ascii="宋体" w:hAnsi="宋体" w:eastAsia="宋体" w:cs="宋体"/>
                <w:b w:val="0"/>
                <w:i w:val="0"/>
                <w:strike w:val="0"/>
                <w:color w:val="auto"/>
                <w:spacing w:val="0"/>
                <w:sz w:val="22"/>
                <w:szCs w:val="22"/>
                <w:highlight w:val="none"/>
                <w:u w:val="none"/>
                <w:lang w:val="en-US" w:eastAsia="zh-CN"/>
              </w:rPr>
              <w:t>150</w:t>
            </w:r>
            <w:r>
              <w:rPr>
                <w:rFonts w:hint="eastAsia" w:ascii="宋体" w:hAnsi="宋体" w:eastAsia="宋体" w:cs="宋体"/>
                <w:b w:val="0"/>
                <w:i w:val="0"/>
                <w:strike w:val="0"/>
                <w:color w:val="auto"/>
                <w:spacing w:val="0"/>
                <w:sz w:val="22"/>
                <w:szCs w:val="22"/>
                <w:highlight w:val="none"/>
                <w:u w:val="none"/>
              </w:rPr>
              <w:t>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无机硅透明保护涂料顶棚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主变洞洞顶</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shd w:val="clear" w:color="auto" w:fill="FFFFFF"/>
              </w:rPr>
            </w:pPr>
            <w:r>
              <w:rPr>
                <w:rFonts w:hint="eastAsia" w:ascii="宋体" w:hAnsi="宋体" w:eastAsia="宋体" w:cs="宋体"/>
                <w:b w:val="0"/>
                <w:i w:val="0"/>
                <w:strike w:val="0"/>
                <w:color w:val="auto"/>
                <w:spacing w:val="0"/>
                <w:sz w:val="22"/>
                <w:szCs w:val="22"/>
                <w:highlight w:val="none"/>
                <w:u w:val="none"/>
                <w:shd w:val="clear" w:color="auto" w:fill="FFFFFF"/>
              </w:rPr>
              <w:t>根据洞室渗水情况增加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主变洞顶拱电动葫芦处</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铝条板顶棚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both"/>
              <w:rPr>
                <w:rFonts w:hint="eastAsia" w:ascii="宋体" w:hAnsi="宋体" w:eastAsia="宋体" w:cs="宋体"/>
                <w:color w:val="auto"/>
                <w:sz w:val="22"/>
                <w:szCs w:val="22"/>
                <w:highlight w:val="none"/>
                <w:shd w:val="clear" w:color="auto" w:fill="FFFFFF"/>
              </w:rPr>
            </w:pPr>
            <w:r>
              <w:rPr>
                <w:rFonts w:hint="eastAsia" w:ascii="宋体" w:hAnsi="宋体" w:eastAsia="宋体" w:cs="宋体"/>
                <w:b w:val="0"/>
                <w:i w:val="0"/>
                <w:strike w:val="0"/>
                <w:color w:val="auto"/>
                <w:spacing w:val="0"/>
                <w:sz w:val="22"/>
                <w:szCs w:val="22"/>
                <w:highlight w:val="none"/>
                <w:u w:val="none"/>
                <w:shd w:val="clear" w:color="auto" w:fill="FFFFFF"/>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blHeader/>
          <w:jc w:val="center"/>
        </w:trPr>
        <w:tc>
          <w:tcPr>
            <w:tcW w:w="1193"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rFonts w:hint="eastAsia" w:ascii="宋体" w:hAnsi="宋体" w:eastAsia="宋体" w:cs="宋体"/>
                <w:b w:val="0"/>
                <w:i w:val="0"/>
                <w:strike w:val="0"/>
                <w:color w:val="auto"/>
                <w:spacing w:val="0"/>
                <w:sz w:val="22"/>
                <w:szCs w:val="22"/>
                <w:highlight w:val="none"/>
                <w:u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lang w:val="en-US" w:eastAsia="zh-CN"/>
              </w:rPr>
            </w:pPr>
          </w:p>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lang w:val="en-US" w:eastAsia="zh-CN"/>
              </w:rPr>
            </w:pPr>
            <w:r>
              <w:rPr>
                <w:rFonts w:hint="eastAsia" w:ascii="宋体" w:hAnsi="宋体" w:eastAsia="宋体" w:cs="宋体"/>
                <w:b w:val="0"/>
                <w:i w:val="0"/>
                <w:strike w:val="0"/>
                <w:color w:val="auto"/>
                <w:spacing w:val="0"/>
                <w:sz w:val="22"/>
                <w:szCs w:val="22"/>
                <w:highlight w:val="none"/>
                <w:u w:val="none"/>
                <w:lang w:val="en-US" w:eastAsia="zh-CN"/>
              </w:rPr>
              <w:t>消防水泵房</w:t>
            </w:r>
          </w:p>
          <w:p>
            <w:pPr>
              <w:snapToGrid/>
              <w:spacing w:before="0" w:after="0" w:line="240" w:lineRule="auto"/>
              <w:ind w:left="0" w:leftChars="0" w:right="0" w:rightChars="0" w:firstLine="0" w:firstLineChars="0"/>
              <w:jc w:val="both"/>
              <w:rPr>
                <w:rFonts w:hint="eastAsia" w:ascii="宋体" w:hAnsi="宋体" w:eastAsia="宋体" w:cs="宋体"/>
                <w:b w:val="0"/>
                <w:i w:val="0"/>
                <w:strike w:val="0"/>
                <w:color w:val="auto"/>
                <w:spacing w:val="0"/>
                <w:sz w:val="22"/>
                <w:szCs w:val="22"/>
                <w:highlight w:val="none"/>
                <w:u w:val="none"/>
                <w:lang w:val="en-US" w:eastAsia="zh-CN"/>
              </w:rPr>
            </w:pPr>
          </w:p>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lang w:val="en-US" w:eastAsia="zh-CN"/>
              </w:rPr>
            </w:pPr>
          </w:p>
        </w:tc>
        <w:tc>
          <w:tcPr>
            <w:tcW w:w="3204"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lang w:val="en-US" w:eastAsia="zh-CN"/>
              </w:rPr>
              <w:t>白色</w:t>
            </w:r>
            <w:r>
              <w:rPr>
                <w:rFonts w:hint="eastAsia" w:ascii="宋体" w:hAnsi="宋体" w:eastAsia="宋体" w:cs="宋体"/>
                <w:b w:val="0"/>
                <w:i w:val="0"/>
                <w:strike w:val="0"/>
                <w:color w:val="auto"/>
                <w:spacing w:val="0"/>
                <w:sz w:val="22"/>
                <w:szCs w:val="22"/>
                <w:highlight w:val="none"/>
                <w:u w:val="none"/>
              </w:rPr>
              <w:t>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白色无机涂料顶棚</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blHeader/>
          <w:jc w:val="center"/>
        </w:trPr>
        <w:tc>
          <w:tcPr>
            <w:tcW w:w="1193"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副</w:t>
            </w:r>
          </w:p>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厂</w:t>
            </w:r>
          </w:p>
          <w:p>
            <w:pPr>
              <w:snapToGrid/>
              <w:spacing w:before="0" w:after="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房</w:t>
            </w:r>
          </w:p>
          <w:p>
            <w:pPr>
              <w:snapToGrid/>
              <w:spacing w:before="0" w:after="0" w:line="240" w:lineRule="auto"/>
              <w:ind w:left="0" w:leftChars="0" w:right="0" w:right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501.400m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油污水处理设备室、污水处理室</w:t>
            </w:r>
          </w:p>
        </w:tc>
        <w:tc>
          <w:tcPr>
            <w:tcW w:w="3204"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贴铝塑板/白色无机涂料墙面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80"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508.300m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空压机室、透平油库、烘箱室</w:t>
            </w:r>
          </w:p>
        </w:tc>
        <w:tc>
          <w:tcPr>
            <w:tcW w:w="3204"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2346"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516.200m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空调设备间、机械工具间</w:t>
            </w:r>
          </w:p>
        </w:tc>
        <w:tc>
          <w:tcPr>
            <w:tcW w:w="3204"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2346"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522.500m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厂用变室、自动化工具间、电气工具间</w:t>
            </w:r>
          </w:p>
        </w:tc>
        <w:tc>
          <w:tcPr>
            <w:tcW w:w="3204"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2346"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526.000m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电缆层、风机房</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529.000m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二次盘柜室、400kv厂用变室、10kv厂用变室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jc w:val="left"/>
              <w:rPr>
                <w:rFonts w:hint="eastAsia" w:ascii="宋体" w:hAnsi="宋体" w:eastAsia="宋体" w:cs="宋体"/>
                <w:color w:val="auto"/>
                <w:sz w:val="22"/>
                <w:szCs w:val="22"/>
                <w:highlight w:val="none"/>
              </w:rPr>
            </w:pPr>
          </w:p>
        </w:tc>
        <w:tc>
          <w:tcPr>
            <w:tcW w:w="1350"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800"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534.400m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中控室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防火玻璃墙、白色无机涂料墙面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铝合金吸音板吊顶</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计算机室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抗静电地板</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（内置橡塑保温棉）</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彩钢板墙面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（内置岩棉保温）</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铝扣板天花</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（内置橡塑保温棉）</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cs="宋体"/>
                <w:b w:val="0"/>
                <w:i w:val="0"/>
                <w:strike w:val="0"/>
                <w:color w:val="auto"/>
                <w:spacing w:val="0"/>
                <w:sz w:val="22"/>
                <w:szCs w:val="22"/>
                <w:highlight w:val="none"/>
                <w:u w:val="none"/>
                <w:lang w:val="en-US" w:eastAsia="zh-CN"/>
              </w:rPr>
              <w:t>由信通标负责</w:t>
            </w: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自动化调试室、会议室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银白色铝合金穿孔吸音板吊顶600mm×600mm×1.0mm</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运行工作票室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竹纤维饰面板</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石膏板“回”型吊顶</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540.400m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通信机房</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抗静电地板</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（内置橡塑保温棉）</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彩钢板墙面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（内置岩棉保温）</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铝扣板天花</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（内置橡塑保温棉）</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cs="宋体"/>
                <w:b w:val="0"/>
                <w:i w:val="0"/>
                <w:strike w:val="0"/>
                <w:color w:val="auto"/>
                <w:spacing w:val="0"/>
                <w:sz w:val="22"/>
                <w:szCs w:val="22"/>
                <w:highlight w:val="none"/>
                <w:u w:val="none"/>
                <w:lang w:val="en-US" w:eastAsia="zh-CN"/>
              </w:rPr>
              <w:t>由信通标负责</w:t>
            </w: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直流系统及UPS盘柜室、直流配电盘室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1.5m以下：耐酸地砖墙裙；</w:t>
            </w:r>
          </w:p>
          <w:p>
            <w:pPr>
              <w:snapToGrid/>
              <w:spacing w:before="0" w:after="0" w:line="240" w:lineRule="auto"/>
              <w:ind w:left="0" w:leftChars="0" w:right="0" w:rightChars="0" w:firstLine="0" w:firstLineChars="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1.5m以上：白色无机涂料墙面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运行工具间、办公室、工具间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10厚成品抛光</w:t>
            </w:r>
            <w:r>
              <w:rPr>
                <w:rFonts w:hint="eastAsia" w:ascii="宋体" w:hAnsi="宋体" w:eastAsia="宋体" w:cs="宋体"/>
                <w:b w:val="0"/>
                <w:i w:val="0"/>
                <w:strike w:val="0"/>
                <w:color w:val="auto"/>
                <w:spacing w:val="0"/>
                <w:sz w:val="22"/>
                <w:szCs w:val="22"/>
                <w:highlight w:val="none"/>
                <w:u w:val="none"/>
              </w:rPr>
              <w:t>玻化砖</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545.800m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空调设备层、工具间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水泥砂浆踢脚150高</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EPS蓄电池室、直流系统蓄电池室</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20厚</w:t>
            </w:r>
            <w:r>
              <w:rPr>
                <w:rFonts w:hint="eastAsia" w:ascii="宋体" w:hAnsi="宋体" w:eastAsia="宋体" w:cs="宋体"/>
                <w:b w:val="0"/>
                <w:i w:val="0"/>
                <w:strike w:val="0"/>
                <w:color w:val="auto"/>
                <w:spacing w:val="0"/>
                <w:sz w:val="22"/>
                <w:szCs w:val="22"/>
                <w:highlight w:val="none"/>
                <w:u w:val="none"/>
              </w:rPr>
              <w:t>耐酸地砖楼面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1、1.5m以下：耐酸瓷砖墙面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2、1.5m以上：白色无机涂料墙面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548.800m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排风层、风机房</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10厚成品</w:t>
            </w:r>
            <w:r>
              <w:rPr>
                <w:rFonts w:hint="eastAsia" w:ascii="宋体" w:hAnsi="宋体" w:eastAsia="宋体" w:cs="宋体"/>
                <w:b w:val="0"/>
                <w:i w:val="0"/>
                <w:strike w:val="0"/>
                <w:color w:val="auto"/>
                <w:spacing w:val="0"/>
                <w:sz w:val="22"/>
                <w:szCs w:val="22"/>
                <w:highlight w:val="none"/>
                <w:u w:val="none"/>
              </w:rPr>
              <w:t>防滑玻化砖楼面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水泥砂浆踢脚150高</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6"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522.500m、529.000m、534.400m、540.400m</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卫生间（共4层）</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防滑防水玻化砖楼面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300mm×300mm×10mm</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1.2m高黑金沙石材裙墙；</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仿大理石通体砖</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银白色铝合金方板吊顶</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T1、T2楼梯间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花岗岩石材地面</w:t>
            </w:r>
            <w:r>
              <w:rPr>
                <w:rFonts w:hint="eastAsia" w:ascii="宋体" w:hAnsi="宋体" w:eastAsia="宋体" w:cs="宋体"/>
                <w:b w:val="0"/>
                <w:i w:val="0"/>
                <w:strike w:val="0"/>
                <w:color w:val="auto"/>
                <w:spacing w:val="0"/>
                <w:sz w:val="22"/>
                <w:szCs w:val="22"/>
                <w:highlight w:val="none"/>
                <w:u w:val="none"/>
                <w:lang w:val="en-US" w:eastAsia="zh-CN"/>
              </w:rPr>
              <w:t>;</w:t>
            </w:r>
            <w:r>
              <w:rPr>
                <w:rFonts w:hint="eastAsia" w:ascii="宋体" w:hAnsi="宋体" w:eastAsia="宋体" w:cs="宋体"/>
                <w:b w:val="0"/>
                <w:i w:val="0"/>
                <w:strike w:val="0"/>
                <w:color w:val="auto"/>
                <w:spacing w:val="0"/>
                <w:sz w:val="22"/>
                <w:szCs w:val="22"/>
                <w:highlight w:val="none"/>
                <w:u w:val="none"/>
              </w:rPr>
              <w:t>两侧</w:t>
            </w:r>
            <w:r>
              <w:rPr>
                <w:rFonts w:hint="eastAsia" w:ascii="宋体" w:hAnsi="宋体" w:eastAsia="宋体" w:cs="宋体"/>
                <w:b w:val="0"/>
                <w:i w:val="0"/>
                <w:strike w:val="0"/>
                <w:color w:val="auto"/>
                <w:spacing w:val="0"/>
                <w:sz w:val="22"/>
                <w:szCs w:val="22"/>
                <w:highlight w:val="none"/>
                <w:u w:val="none"/>
                <w:lang w:val="en-US" w:eastAsia="zh-CN"/>
              </w:rPr>
              <w:t>150</w:t>
            </w:r>
            <w:r>
              <w:rPr>
                <w:rFonts w:hint="eastAsia" w:ascii="宋体" w:hAnsi="宋体" w:eastAsia="宋体" w:cs="宋体"/>
                <w:b w:val="0"/>
                <w:i w:val="0"/>
                <w:strike w:val="0"/>
                <w:color w:val="auto"/>
                <w:spacing w:val="0"/>
                <w:sz w:val="22"/>
                <w:szCs w:val="22"/>
                <w:highlight w:val="none"/>
                <w:u w:val="none"/>
              </w:rPr>
              <w:t>宽</w:t>
            </w: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黑金沙波打线</w:t>
            </w:r>
            <w:r>
              <w:rPr>
                <w:rFonts w:hint="eastAsia" w:ascii="宋体" w:hAnsi="宋体" w:eastAsia="宋体" w:cs="宋体"/>
                <w:b w:val="0"/>
                <w:i w:val="0"/>
                <w:strike w:val="0"/>
                <w:color w:val="auto"/>
                <w:spacing w:val="0"/>
                <w:sz w:val="22"/>
                <w:szCs w:val="22"/>
                <w:highlight w:val="none"/>
                <w:u w:val="none"/>
                <w:lang w:eastAsia="zh-CN"/>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黑金沙花岗岩踢脚高150</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成品不锈钢</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防滑条</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电梯前室、走道</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18厚</w:t>
            </w:r>
            <w:r>
              <w:rPr>
                <w:rFonts w:hint="eastAsia" w:ascii="宋体" w:hAnsi="宋体" w:eastAsia="宋体" w:cs="宋体"/>
                <w:b w:val="0"/>
                <w:i w:val="0"/>
                <w:strike w:val="0"/>
                <w:color w:val="auto"/>
                <w:spacing w:val="0"/>
                <w:sz w:val="22"/>
                <w:szCs w:val="22"/>
                <w:highlight w:val="none"/>
                <w:u w:val="none"/>
              </w:rPr>
              <w:t>芝麻白花岗岩</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浅色大理石通体砖墙面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同墙面</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白色无机涂料顶棚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7" w:hRule="atLeast"/>
          <w:tblHeader/>
          <w:jc w:val="center"/>
        </w:trPr>
        <w:tc>
          <w:tcPr>
            <w:tcW w:w="1193"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尾闸室、尾闸室至球阀层闭锁廊道、尾闸室至主变室廊道</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尾闸室、尾闸室至球阀层闭锁廊道、尾闸室至主变室廊道</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w:t>
            </w:r>
            <w:r>
              <w:rPr>
                <w:rFonts w:hint="eastAsia" w:ascii="宋体" w:hAnsi="宋体" w:eastAsia="宋体" w:cs="宋体"/>
                <w:b w:val="0"/>
                <w:i w:val="0"/>
                <w:strike w:val="0"/>
                <w:color w:val="auto"/>
                <w:spacing w:val="0"/>
                <w:sz w:val="22"/>
                <w:szCs w:val="22"/>
                <w:highlight w:val="none"/>
                <w:u w:val="none"/>
              </w:rPr>
              <w:t>防滑玻化砖楼面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lang w:eastAsia="zh-CN"/>
              </w:rPr>
            </w:pPr>
            <w:r>
              <w:rPr>
                <w:rFonts w:hint="eastAsia" w:ascii="宋体" w:hAnsi="宋体" w:eastAsia="宋体" w:cs="宋体"/>
                <w:b w:val="0"/>
                <w:i w:val="0"/>
                <w:strike w:val="0"/>
                <w:color w:val="auto"/>
                <w:spacing w:val="0"/>
                <w:sz w:val="22"/>
                <w:szCs w:val="22"/>
                <w:highlight w:val="none"/>
                <w:u w:val="none"/>
                <w:lang w:val="en-US" w:eastAsia="zh-CN"/>
              </w:rPr>
              <w:t>不装修</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b w:val="0"/>
                <w:i w:val="0"/>
                <w:strike w:val="0"/>
                <w:color w:val="auto"/>
                <w:spacing w:val="0"/>
                <w:sz w:val="22"/>
                <w:szCs w:val="22"/>
                <w:highlight w:val="none"/>
                <w:u w:val="none"/>
                <w:lang w:val="en-US" w:eastAsia="zh-CN"/>
              </w:rPr>
              <w:t>不装修</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顶拱卡布隆板雨棚（仅尾闸室）</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b w:val="0"/>
                <w:i w:val="0"/>
                <w:strike w:val="0"/>
                <w:color w:val="auto"/>
                <w:spacing w:val="0"/>
                <w:sz w:val="22"/>
                <w:szCs w:val="22"/>
                <w:highlight w:val="none"/>
                <w:u w:val="none"/>
              </w:rPr>
              <w:t>进厂交通洞洞口</w:t>
            </w:r>
            <w:r>
              <w:rPr>
                <w:rFonts w:hint="eastAsia" w:ascii="宋体" w:hAnsi="宋体" w:eastAsia="宋体" w:cs="宋体"/>
                <w:b w:val="0"/>
                <w:i w:val="0"/>
                <w:strike w:val="0"/>
                <w:color w:val="auto"/>
                <w:spacing w:val="0"/>
                <w:sz w:val="22"/>
                <w:szCs w:val="22"/>
                <w:highlight w:val="none"/>
                <w:u w:val="none"/>
                <w:lang w:val="en-US" w:eastAsia="zh-CN"/>
              </w:rPr>
              <w:t>门卫室</w:t>
            </w:r>
          </w:p>
        </w:tc>
        <w:tc>
          <w:tcPr>
            <w:tcW w:w="1377" w:type="dxa"/>
            <w:gridSpan w:val="2"/>
            <w:vMerge w:val="restart"/>
            <w:tcBorders>
              <w:top w:val="single" w:color="000000" w:sz="6" w:space="0"/>
              <w:left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b w:val="0"/>
                <w:i w:val="0"/>
                <w:strike w:val="0"/>
                <w:color w:val="auto"/>
                <w:spacing w:val="0"/>
                <w:sz w:val="22"/>
                <w:szCs w:val="22"/>
                <w:highlight w:val="none"/>
                <w:u w:val="none"/>
              </w:rPr>
            </w:pPr>
            <w:r>
              <w:rPr>
                <w:rFonts w:hint="eastAsia" w:ascii="宋体" w:hAnsi="宋体" w:eastAsia="宋体" w:cs="宋体"/>
                <w:b w:val="0"/>
                <w:i w:val="0"/>
                <w:strike w:val="0"/>
                <w:color w:val="auto"/>
                <w:spacing w:val="0"/>
                <w:sz w:val="22"/>
                <w:szCs w:val="22"/>
                <w:highlight w:val="none"/>
                <w:u w:val="none"/>
              </w:rPr>
              <w:t> </w:t>
            </w:r>
          </w:p>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储藏室、门卫室、走</w:t>
            </w:r>
            <w:r>
              <w:rPr>
                <w:rFonts w:hint="eastAsia" w:ascii="宋体" w:hAnsi="宋体" w:eastAsia="宋体" w:cs="宋体"/>
                <w:color w:val="auto"/>
                <w:sz w:val="22"/>
                <w:szCs w:val="22"/>
                <w:highlight w:val="none"/>
                <w:lang w:val="en-US" w:eastAsia="zh-CN"/>
              </w:rPr>
              <w:t>道、保安会议室、机房</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lang w:val="en-US" w:eastAsia="zh-CN"/>
              </w:rPr>
              <w:t>10厚</w:t>
            </w:r>
            <w:r>
              <w:rPr>
                <w:rFonts w:hint="eastAsia" w:ascii="宋体" w:hAnsi="宋体" w:cs="宋体"/>
                <w:b w:val="0"/>
                <w:i w:val="0"/>
                <w:strike w:val="0"/>
                <w:color w:val="auto"/>
                <w:spacing w:val="0"/>
                <w:sz w:val="22"/>
                <w:szCs w:val="22"/>
                <w:highlight w:val="none"/>
                <w:u w:val="none"/>
                <w:lang w:val="en-US" w:eastAsia="zh-CN"/>
              </w:rPr>
              <w:t>防滑</w:t>
            </w:r>
            <w:r>
              <w:rPr>
                <w:rFonts w:hint="eastAsia" w:ascii="宋体" w:hAnsi="宋体" w:eastAsia="宋体" w:cs="宋体"/>
                <w:b w:val="0"/>
                <w:i w:val="0"/>
                <w:strike w:val="0"/>
                <w:color w:val="auto"/>
                <w:spacing w:val="0"/>
                <w:sz w:val="22"/>
                <w:szCs w:val="22"/>
                <w:highlight w:val="none"/>
                <w:u w:val="none"/>
              </w:rPr>
              <w:t>玻化砖楼面</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无机涂料墙面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玻化砖踢脚</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无机涂料</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55" w:hRule="atLeast"/>
          <w:tblHeader/>
          <w:jc w:val="center"/>
        </w:trPr>
        <w:tc>
          <w:tcPr>
            <w:tcW w:w="1193"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rFonts w:hint="eastAsia" w:ascii="宋体" w:hAnsi="宋体" w:eastAsia="宋体" w:cs="宋体"/>
                <w:color w:val="auto"/>
                <w:sz w:val="22"/>
                <w:szCs w:val="22"/>
                <w:highlight w:val="none"/>
              </w:rPr>
            </w:pPr>
          </w:p>
        </w:tc>
        <w:tc>
          <w:tcPr>
            <w:tcW w:w="1377" w:type="dxa"/>
            <w:gridSpan w:val="2"/>
            <w:vMerge w:val="continue"/>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卫生间</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10</w:t>
            </w:r>
            <w:r>
              <w:rPr>
                <w:rFonts w:hint="eastAsia" w:ascii="宋体" w:hAnsi="宋体" w:cs="宋体"/>
                <w:b w:val="0"/>
                <w:i w:val="0"/>
                <w:strike w:val="0"/>
                <w:color w:val="auto"/>
                <w:spacing w:val="0"/>
                <w:sz w:val="22"/>
                <w:szCs w:val="22"/>
                <w:highlight w:val="none"/>
                <w:u w:val="none"/>
                <w:lang w:val="en-US" w:eastAsia="zh-CN"/>
              </w:rPr>
              <w:t>厚</w:t>
            </w:r>
            <w:r>
              <w:rPr>
                <w:rFonts w:hint="eastAsia" w:ascii="宋体" w:hAnsi="宋体" w:eastAsia="宋体" w:cs="宋体"/>
                <w:b w:val="0"/>
                <w:i w:val="0"/>
                <w:strike w:val="0"/>
                <w:color w:val="auto"/>
                <w:spacing w:val="0"/>
                <w:sz w:val="22"/>
                <w:szCs w:val="22"/>
                <w:highlight w:val="none"/>
                <w:u w:val="none"/>
              </w:rPr>
              <w:t>防滑</w:t>
            </w:r>
            <w:r>
              <w:rPr>
                <w:rFonts w:hint="eastAsia" w:ascii="宋体" w:hAnsi="宋体" w:cs="宋体"/>
                <w:b w:val="0"/>
                <w:i w:val="0"/>
                <w:strike w:val="0"/>
                <w:color w:val="auto"/>
                <w:spacing w:val="0"/>
                <w:sz w:val="22"/>
                <w:szCs w:val="22"/>
                <w:highlight w:val="none"/>
                <w:u w:val="none"/>
                <w:lang w:val="en-US" w:eastAsia="zh-CN"/>
              </w:rPr>
              <w:t>通体</w:t>
            </w:r>
            <w:r>
              <w:rPr>
                <w:rFonts w:hint="eastAsia" w:ascii="宋体" w:hAnsi="宋体" w:eastAsia="宋体" w:cs="宋体"/>
                <w:b w:val="0"/>
                <w:i w:val="0"/>
                <w:strike w:val="0"/>
                <w:color w:val="auto"/>
                <w:spacing w:val="0"/>
                <w:sz w:val="22"/>
                <w:szCs w:val="22"/>
                <w:highlight w:val="none"/>
                <w:u w:val="none"/>
              </w:rPr>
              <w:t>砖楼面</w:t>
            </w:r>
          </w:p>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rPr>
            </w:pP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b w:val="0"/>
                <w:i w:val="0"/>
                <w:strike w:val="0"/>
                <w:color w:val="auto"/>
                <w:spacing w:val="0"/>
                <w:sz w:val="22"/>
                <w:szCs w:val="22"/>
                <w:highlight w:val="none"/>
                <w:u w:val="none"/>
              </w:rPr>
              <w:t>10</w:t>
            </w:r>
            <w:r>
              <w:rPr>
                <w:rFonts w:hint="eastAsia" w:ascii="宋体" w:hAnsi="宋体" w:cs="宋体"/>
                <w:b w:val="0"/>
                <w:i w:val="0"/>
                <w:strike w:val="0"/>
                <w:color w:val="auto"/>
                <w:spacing w:val="0"/>
                <w:sz w:val="22"/>
                <w:szCs w:val="22"/>
                <w:highlight w:val="none"/>
                <w:u w:val="none"/>
                <w:lang w:val="en-US" w:eastAsia="zh-CN"/>
              </w:rPr>
              <w:t>厚</w:t>
            </w:r>
            <w:r>
              <w:rPr>
                <w:rFonts w:hint="eastAsia" w:ascii="宋体" w:hAnsi="宋体" w:eastAsia="宋体" w:cs="宋体"/>
                <w:b w:val="0"/>
                <w:i w:val="0"/>
                <w:strike w:val="0"/>
                <w:color w:val="auto"/>
                <w:spacing w:val="0"/>
                <w:sz w:val="22"/>
                <w:szCs w:val="22"/>
                <w:highlight w:val="none"/>
                <w:u w:val="none"/>
              </w:rPr>
              <w:t>仿大理石通体砖</w:t>
            </w:r>
            <w:r>
              <w:rPr>
                <w:rFonts w:hint="eastAsia" w:ascii="宋体" w:hAnsi="宋体" w:cs="宋体"/>
                <w:b w:val="0"/>
                <w:i w:val="0"/>
                <w:strike w:val="0"/>
                <w:color w:val="auto"/>
                <w:spacing w:val="0"/>
                <w:sz w:val="22"/>
                <w:szCs w:val="22"/>
                <w:highlight w:val="none"/>
                <w:u w:val="none"/>
                <w:lang w:val="en-US" w:eastAsia="zh-CN"/>
              </w:rPr>
              <w:t>墙面</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b w:val="0"/>
                <w:i w:val="0"/>
                <w:strike w:val="0"/>
                <w:color w:val="auto"/>
                <w:spacing w:val="0"/>
                <w:sz w:val="22"/>
                <w:szCs w:val="22"/>
                <w:highlight w:val="none"/>
                <w:u w:val="none"/>
                <w:lang w:val="en-US" w:eastAsia="zh-CN"/>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lang w:eastAsia="zh-CN"/>
              </w:rPr>
            </w:pPr>
            <w:r>
              <w:rPr>
                <w:rFonts w:hint="eastAsia" w:ascii="宋体" w:hAnsi="宋体" w:eastAsia="宋体" w:cs="宋体"/>
                <w:b w:val="0"/>
                <w:i w:val="0"/>
                <w:strike w:val="0"/>
                <w:color w:val="auto"/>
                <w:spacing w:val="0"/>
                <w:sz w:val="22"/>
                <w:szCs w:val="22"/>
                <w:highlight w:val="none"/>
                <w:u w:val="none"/>
              </w:rPr>
              <w:t>银白色铝合金方板吊顶</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进厂交通洞</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 </w:t>
            </w: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进厂交通洞</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shd w:val="clear" w:color="auto" w:fill="FFFFFF"/>
              </w:rPr>
            </w:pPr>
            <w:r>
              <w:rPr>
                <w:rFonts w:hint="eastAsia" w:ascii="宋体" w:hAnsi="宋体" w:eastAsia="宋体" w:cs="宋体"/>
                <w:b w:val="0"/>
                <w:i w:val="0"/>
                <w:strike w:val="0"/>
                <w:color w:val="auto"/>
                <w:spacing w:val="0"/>
                <w:sz w:val="22"/>
                <w:szCs w:val="22"/>
                <w:highlight w:val="none"/>
                <w:u w:val="none"/>
                <w:shd w:val="clear" w:color="auto" w:fill="FFFFFF"/>
              </w:rPr>
              <w:t>根据洞室渗水情况增加</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tblHeader/>
          <w:jc w:val="center"/>
        </w:trPr>
        <w:tc>
          <w:tcPr>
            <w:tcW w:w="1193"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高压电缆出线洞</w:t>
            </w:r>
          </w:p>
        </w:tc>
        <w:tc>
          <w:tcPr>
            <w:tcW w:w="1377"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p>
        </w:tc>
        <w:tc>
          <w:tcPr>
            <w:tcW w:w="2169"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高压电缆出线洞</w:t>
            </w:r>
          </w:p>
        </w:tc>
        <w:tc>
          <w:tcPr>
            <w:tcW w:w="3204"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2346"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35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w:t>
            </w:r>
          </w:p>
        </w:tc>
        <w:tc>
          <w:tcPr>
            <w:tcW w:w="180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i w:val="0"/>
                <w:strike w:val="0"/>
                <w:color w:val="auto"/>
                <w:spacing w:val="0"/>
                <w:sz w:val="22"/>
                <w:szCs w:val="22"/>
                <w:highlight w:val="none"/>
                <w:u w:val="none"/>
              </w:rPr>
              <w:t>顶拱卡布隆板雨棚</w:t>
            </w:r>
          </w:p>
        </w:tc>
        <w:tc>
          <w:tcPr>
            <w:tcW w:w="13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rFonts w:hint="eastAsia" w:ascii="宋体" w:hAnsi="宋体" w:eastAsia="宋体" w:cs="宋体"/>
                <w:color w:val="auto"/>
                <w:sz w:val="22"/>
                <w:szCs w:val="22"/>
                <w:highlight w:val="none"/>
                <w:shd w:val="clear" w:color="auto" w:fill="FFFFFF"/>
              </w:rPr>
            </w:pPr>
            <w:r>
              <w:rPr>
                <w:rFonts w:hint="eastAsia" w:ascii="宋体" w:hAnsi="宋体" w:eastAsia="宋体" w:cs="宋体"/>
                <w:b w:val="0"/>
                <w:i w:val="0"/>
                <w:strike w:val="0"/>
                <w:color w:val="auto"/>
                <w:spacing w:val="0"/>
                <w:sz w:val="22"/>
                <w:szCs w:val="22"/>
                <w:highlight w:val="none"/>
                <w:u w:val="none"/>
                <w:shd w:val="clear" w:color="auto" w:fill="FFFFFF"/>
              </w:rPr>
              <w:t>根据洞室渗水情况增加</w:t>
            </w:r>
          </w:p>
        </w:tc>
      </w:tr>
      <w:bookmarkEnd w:id="429"/>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jc w:val="center"/>
        </w:trPr>
        <w:tc>
          <w:tcPr>
            <w:tcW w:w="90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装修</w:t>
            </w:r>
            <w:bookmarkEnd w:id="430"/>
          </w:p>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部位</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高程</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房间名称</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地面作法</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墙面作法</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踢脚作法</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顶棚作法</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备注</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800"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主</w:t>
            </w:r>
          </w:p>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厂</w:t>
            </w:r>
          </w:p>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房</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529.000m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发电电动机层</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主机间和安装间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花岗岩石材地面（芝麻白1000X1000X25）、</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机罩弧形地面（黑金沙、酒红色花岗岩1000X1000X18）</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both"/>
              <w:rPr>
                <w:color w:val="auto"/>
                <w:highlight w:val="none"/>
              </w:rPr>
            </w:pPr>
            <w:r>
              <w:rPr>
                <w:rFonts w:ascii="宋体" w:hAnsi="宋体" w:eastAsia="宋体" w:cs="宋体"/>
                <w:b w:val="0"/>
                <w:i w:val="0"/>
                <w:strike w:val="0"/>
                <w:color w:val="auto"/>
                <w:spacing w:val="0"/>
                <w:sz w:val="21"/>
                <w:highlight w:val="none"/>
                <w:u w:val="none"/>
              </w:rPr>
              <w:t>蜂窝板铝扣板墙面</w:t>
            </w:r>
          </w:p>
          <w:p>
            <w:pPr>
              <w:snapToGrid/>
              <w:spacing w:before="120" w:after="120" w:line="360" w:lineRule="auto"/>
              <w:ind w:left="0" w:leftChars="0" w:firstLine="0" w:firstLineChars="0"/>
              <w:jc w:val="both"/>
              <w:rPr>
                <w:color w:val="auto"/>
                <w:highlight w:val="none"/>
              </w:rPr>
            </w:pPr>
            <w:r>
              <w:rPr>
                <w:rFonts w:ascii="宋体" w:hAnsi="宋体" w:eastAsia="宋体" w:cs="宋体"/>
                <w:b w:val="0"/>
                <w:i w:val="0"/>
                <w:strike w:val="0"/>
                <w:color w:val="auto"/>
                <w:spacing w:val="0"/>
                <w:sz w:val="21"/>
                <w:highlight w:val="none"/>
                <w:u w:val="none"/>
              </w:rPr>
              <w:t>黑金沙花岗岩墙裙</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球形网架结构屋面</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不锈钢腰线高150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2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529.000m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主变交通洞</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花岗岩石材地面（芝麻白、黑金沙）1000X1000X25</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蜂窝板铝扣板墙面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干挂黑金沙花岗岩墙裙</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蜂窝铝扣板顶棚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不锈钢腰线高150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522.500m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中间层</w:t>
            </w:r>
          </w:p>
        </w:tc>
        <w:tc>
          <w:tcPr>
            <w:tcW w:w="282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花岗岩石材地面（芝麻白）1000X1000X18抗静电地板</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（内置橡塑保温棉）</w:t>
            </w:r>
          </w:p>
        </w:tc>
        <w:tc>
          <w:tcPr>
            <w:tcW w:w="223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清水混凝土涂料墙面、仿清水混凝土涂料墙面</w:t>
            </w:r>
          </w:p>
        </w:tc>
        <w:tc>
          <w:tcPr>
            <w:tcW w:w="187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40"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516.200m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水泵水轮机层</w:t>
            </w:r>
          </w:p>
        </w:tc>
        <w:tc>
          <w:tcPr>
            <w:tcW w:w="282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3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508.300m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蜗壳层</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花岗岩石材地面（芝麻白）1000X1000X18</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空气处理机房</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浅黄色成品防滑玻化梯砖楼面800X800X10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501.400m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尾水管层</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浅黄色成品防滑玻化梯砖楼面800X800X10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39"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消防水泵室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浅黄色成品防滑玻化梯砖楼面800X800X10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仿清水混凝土涂料墙面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12"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T3、T4楼梯间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xml:space="preserve">(休息平台为600X600X18,梯段为600X300X18。)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成品不锈钢踢脚板</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带防滑槽，槽内嵌铜条,两条防滑槽，槽内嵌1cm*1cm铜条，铜条突出2mm）。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踢脚板高200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主变洞（含母线洞）</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522.500m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走道、母线洞</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环氧彩砂自流平地面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both"/>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529.000m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主变回车场</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银白色铝合金穿孔吸音板吊顶600mm×600mm×1.0mm</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蜂窝板铝扣板墙面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干挂黑金沙花岗岩墙裙</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蜂窝铝扣板顶棚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不锈钢腰线高150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雨淋阀室（4间）、高压厂用变室（2间）、高压开关柜室、SFC输入变室、SFC输出变室、工具间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环氧彩砂自流平地面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仿清水混凝土涂料墙面、无机涂料墙面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绝缘油处理设备室、交流励磁变压器室、工具间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浅黄色防滑玻化砖楼面800X800X10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仿清水混凝土涂料墙面、无机涂料墙面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61"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主变压器室(4间)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细细石混凝土楼面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主变运输廊道</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花岗岩石材地面（芝麻白）</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1000X1000X25</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铝条板顶棚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检修通道</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浅黄色防滑玻化砖楼面800X800X10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清水混凝土涂料墙面、无机涂料墙面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 </w:t>
            </w:r>
          </w:p>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p>
            <w:pPr>
              <w:snapToGrid/>
              <w:spacing w:before="120" w:after="120" w:line="360" w:lineRule="auto"/>
              <w:ind w:left="0" w:leftChars="0" w:right="0" w:rightChars="0" w:firstLine="0" w:firstLineChars="0"/>
              <w:jc w:val="left"/>
              <w:rPr>
                <w:color w:val="auto"/>
                <w:highlight w:val="none"/>
              </w:rPr>
            </w:pPr>
            <w:r>
              <w:rPr>
                <w:rFonts w:ascii="宋体" w:hAnsi="宋体" w:eastAsia="宋体" w:cs="宋体"/>
                <w:b/>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537.000m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电抗器室（4间）、SFC盘柜室、主变洞配电柜、耐压试验场</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环氧彩砂自流平地面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走道</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环氧彩砂自流平地面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541.800m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主变排风机房、母线排风机房、主变排风洞</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APP卷材防水楼面+防滑玻化砖：800X800X10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白水泥墙面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成品踢脚高150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544.100m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踏步</w:t>
            </w:r>
          </w:p>
        </w:tc>
        <w:tc>
          <w:tcPr>
            <w:tcW w:w="282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APP卷材防水楼面+防滑玻化砖：800X800X10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成品不锈钢踢脚板</w:t>
            </w:r>
          </w:p>
        </w:tc>
        <w:tc>
          <w:tcPr>
            <w:tcW w:w="228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踏步面上留出8宽，防滑槽2道(净距20),不锈钢挡板高150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387"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主变洞通风设备层</w:t>
            </w:r>
          </w:p>
        </w:tc>
        <w:tc>
          <w:tcPr>
            <w:tcW w:w="282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白水泥墙面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228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T6、T7楼梯间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30厚花岗岩石材地面（芝麻白）</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(休息平台为600X600X30,梯段为600X300X30。)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仿清水混凝土涂料墙面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清水混凝土涂料顶棚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带防滑槽，槽内嵌铜条,两条防滑槽，槽内嵌1cm*1cm铜条，铜条突出2mm）。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踢脚板高200</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主变洞洞顶</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shd w:val="clear" w:color="auto" w:fill="FFFFFF"/>
              </w:rPr>
            </w:pPr>
            <w:r>
              <w:rPr>
                <w:rFonts w:ascii="宋体" w:hAnsi="宋体" w:eastAsia="宋体" w:cs="宋体"/>
                <w:b w:val="0"/>
                <w:i w:val="0"/>
                <w:strike w:val="0"/>
                <w:color w:val="auto"/>
                <w:spacing w:val="0"/>
                <w:sz w:val="22"/>
                <w:highlight w:val="none"/>
                <w:u w:val="none"/>
                <w:shd w:val="clear" w:color="auto" w:fill="FFFFFF"/>
              </w:rPr>
              <w:t>根据洞室渗水情况增加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1"/>
                <w:highlight w:val="none"/>
                <w:u w:val="none"/>
              </w:rPr>
              <w:t>主变洞顶拱电动葫芦处</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铝条板顶棚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both"/>
              <w:rPr>
                <w:color w:val="auto"/>
                <w:highlight w:val="none"/>
                <w:shd w:val="clear" w:color="auto" w:fill="FFFFFF"/>
              </w:rPr>
            </w:pPr>
            <w:r>
              <w:rPr>
                <w:rFonts w:ascii="宋体" w:hAnsi="宋体" w:eastAsia="宋体" w:cs="宋体"/>
                <w:b w:val="0"/>
                <w:i w:val="0"/>
                <w:strike w:val="0"/>
                <w:color w:val="auto"/>
                <w:spacing w:val="0"/>
                <w:sz w:val="22"/>
                <w:highlight w:val="none"/>
                <w:u w:val="none"/>
                <w:shd w:val="clear" w:color="auto" w:fill="FFFFFF"/>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副</w:t>
            </w:r>
          </w:p>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厂</w:t>
            </w:r>
          </w:p>
          <w:p>
            <w:pPr>
              <w:snapToGrid/>
              <w:spacing w:before="0" w:after="0" w:line="240" w:lineRule="auto"/>
              <w:ind w:left="0" w:right="0"/>
              <w:jc w:val="center"/>
              <w:rPr>
                <w:color w:val="auto"/>
                <w:highlight w:val="none"/>
              </w:rPr>
            </w:pPr>
            <w:r>
              <w:rPr>
                <w:rFonts w:ascii="宋体" w:hAnsi="宋体" w:eastAsia="宋体" w:cs="宋体"/>
                <w:b w:val="0"/>
                <w:i w:val="0"/>
                <w:strike w:val="0"/>
                <w:color w:val="auto"/>
                <w:spacing w:val="0"/>
                <w:sz w:val="22"/>
                <w:highlight w:val="none"/>
                <w:u w:val="none"/>
              </w:rPr>
              <w:t>房</w:t>
            </w:r>
          </w:p>
          <w:p>
            <w:pPr>
              <w:snapToGrid/>
              <w:spacing w:before="0" w:after="0" w:line="240" w:lineRule="auto"/>
              <w:ind w:left="0" w:leftChars="0" w:right="0" w:right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501.400m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油污水处理设备室、污水处理室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防滑玻化砖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300mm×300mm×10mm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铝塑板墙面</w:t>
            </w:r>
          </w:p>
        </w:tc>
        <w:tc>
          <w:tcPr>
            <w:tcW w:w="187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80"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508.300m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空压机室、透平油库、烘箱室</w:t>
            </w:r>
          </w:p>
        </w:tc>
        <w:tc>
          <w:tcPr>
            <w:tcW w:w="282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防滑玻化砖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516.200m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空调设备间、机械工具间</w:t>
            </w:r>
          </w:p>
        </w:tc>
        <w:tc>
          <w:tcPr>
            <w:tcW w:w="282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3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522.500m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厂用变室、自动化工具间、电气工具间</w:t>
            </w:r>
          </w:p>
        </w:tc>
        <w:tc>
          <w:tcPr>
            <w:tcW w:w="282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3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银白色铝合金穿孔吸音板吊顶600mm×600mm×1.0mm</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526.000m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电缆层、风机房</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529.000m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二次盘柜室、400kv厂用变室、10kv厂用变室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87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280"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534.400m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中控室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防火玻璃墙、白色无机涂料墙面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银白色铝合金穿孔吸音板吊顶600mm×600mm×1.0mm</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计算机室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抗静电地板</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（内置橡塑保温棉）</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彩钢板墙面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（内置岩棉保温）</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铝扣板天花</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（内置橡塑保温棉）</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会议室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银白色铝合金穿孔吸音板吊顶600mm×600mm×1.0mm</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运行工作票室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竹纤维饰面板</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石膏板“回”型吊顶</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540.400m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通信机房、直流系统及UPS盘柜室、直流配电盘室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抗静电地板</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（内置橡塑保温棉）</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彩钢板墙面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（内置岩棉保温）</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铝扣板天花</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（内置橡塑保温棉）</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运行工具间、办公室、工具间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抛光玻化砖</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800mm×800mm×10mm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545.800m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空调设备层、工具间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APP卷材防水楼面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EPS蓄电池室、直流系统蓄电池室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耐酸地砖楼面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200mm×200mm×20mm</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1、1.5m以下：耐酸瓷砖墙面</w:t>
            </w:r>
          </w:p>
          <w:p>
            <w:pPr>
              <w:snapToGrid/>
              <w:spacing w:before="0" w:after="0" w:line="240" w:lineRule="auto"/>
              <w:ind w:left="0" w:leftChars="0" w:right="0" w:rightChars="0" w:firstLine="0" w:firstLineChars="0"/>
              <w:jc w:val="left"/>
              <w:rPr>
                <w:color w:val="auto"/>
                <w:highlight w:val="none"/>
              </w:rPr>
            </w:pPr>
            <w:r>
              <w:rPr>
                <w:rFonts w:ascii="宋体" w:hAnsi="宋体" w:eastAsia="宋体" w:cs="宋体"/>
                <w:b w:val="0"/>
                <w:i w:val="0"/>
                <w:strike w:val="0"/>
                <w:color w:val="auto"/>
                <w:spacing w:val="0"/>
                <w:sz w:val="22"/>
                <w:highlight w:val="none"/>
                <w:u w:val="none"/>
              </w:rPr>
              <w:t>2、1.5m以上：白色无机涂料墙面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548.800m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排风层、风机房</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APP卷材防水楼面</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522.500m、529.000m、534.400m、540.400m</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卫生间（共4层）</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防滑防水玻化砖楼面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300mm×300mm×10mm</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白色玻化砖墙面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600mm×300mm、</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1200mm高墙裙</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银白色铝合金方板吊顶300mmX300mm×0.8</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T1、T2楼梯间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芝麻白花岗岩</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600mm×600mm×30mm</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黑金沙花岗岩踢脚高150</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白色无机涂料顶棚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成品不锈钢</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防滑条</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电梯前室、走道</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芝麻白花岗岩</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600mm×600mm×30mm</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浅色大理石通体砖墙面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600X600×1.0银白色铝合金穿孔吸音板吊顶</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7" w:hRule="atLeast"/>
          <w:jc w:val="center"/>
        </w:trPr>
        <w:tc>
          <w:tcPr>
            <w:tcW w:w="90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color w:val="auto"/>
                <w:highlight w:val="none"/>
              </w:rPr>
            </w:pPr>
            <w:r>
              <w:rPr>
                <w:rFonts w:ascii="宋体" w:hAnsi="宋体" w:eastAsia="宋体" w:cs="宋体"/>
                <w:b w:val="0"/>
                <w:i w:val="0"/>
                <w:strike w:val="0"/>
                <w:color w:val="auto"/>
                <w:spacing w:val="0"/>
                <w:sz w:val="22"/>
                <w:highlight w:val="none"/>
                <w:u w:val="none"/>
              </w:rPr>
              <w:t>尾闸室、尾闸室至球阀层闭锁廊道、尾闸室至主变室廊道</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尾闸室、尾闸室至球阀层闭锁廊道、尾闸室至主变室廊道</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浅黄色防滑玻化砖楼面800X800X10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（仅尾闸室）</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color w:val="auto"/>
                <w:highlight w:val="none"/>
              </w:rPr>
            </w:pPr>
            <w:r>
              <w:rPr>
                <w:rFonts w:ascii="宋体" w:hAnsi="宋体" w:eastAsia="宋体" w:cs="宋体"/>
                <w:b w:val="0"/>
                <w:i w:val="0"/>
                <w:strike w:val="0"/>
                <w:color w:val="auto"/>
                <w:spacing w:val="0"/>
                <w:sz w:val="22"/>
                <w:highlight w:val="none"/>
                <w:u w:val="none"/>
              </w:rPr>
              <w:t>进厂交通洞洞口门楼</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警传室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浅黄色防滑玻化砖楼面800X800X10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玻化砖踢脚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休息室</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浅黄色防滑玻化砖楼面800X800X10</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无机涂料墙面</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玻化砖踢脚</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无机涂料</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line="240" w:lineRule="auto"/>
              <w:rPr>
                <w:color w:val="auto"/>
                <w:highlight w:val="none"/>
              </w:rPr>
            </w:pP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卫生间</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浅米色300×300×10厚防滑玻化砖</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陶瓷防水墙面（10厚浅米色600X300X10玻化砖）</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同墙面</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铝合金方板吊顶300×300×0.8mm</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color w:val="auto"/>
                <w:highlight w:val="none"/>
              </w:rPr>
            </w:pPr>
            <w:r>
              <w:rPr>
                <w:rFonts w:ascii="宋体" w:hAnsi="宋体" w:eastAsia="宋体" w:cs="宋体"/>
                <w:b w:val="0"/>
                <w:i w:val="0"/>
                <w:strike w:val="0"/>
                <w:color w:val="auto"/>
                <w:spacing w:val="0"/>
                <w:sz w:val="22"/>
                <w:highlight w:val="none"/>
                <w:u w:val="none"/>
              </w:rPr>
              <w:t>进厂交通洞</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进厂交通洞</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 </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shd w:val="clear" w:color="auto" w:fill="FFFFFF"/>
              </w:rPr>
            </w:pPr>
            <w:r>
              <w:rPr>
                <w:rFonts w:ascii="宋体" w:hAnsi="宋体" w:eastAsia="宋体" w:cs="宋体"/>
                <w:b w:val="0"/>
                <w:i w:val="0"/>
                <w:strike w:val="0"/>
                <w:color w:val="auto"/>
                <w:spacing w:val="0"/>
                <w:sz w:val="22"/>
                <w:highlight w:val="none"/>
                <w:u w:val="none"/>
                <w:shd w:val="clear" w:color="auto" w:fill="FFFFFF"/>
              </w:rPr>
              <w:t>根据洞室渗水情况增加</w:t>
            </w:r>
          </w:p>
        </w:tc>
      </w:tr>
      <w:tr>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94" w:hRule="atLeast"/>
          <w:jc w:val="center"/>
        </w:trPr>
        <w:tc>
          <w:tcPr>
            <w:tcW w:w="90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jc w:val="center"/>
              <w:rPr>
                <w:color w:val="auto"/>
                <w:highlight w:val="none"/>
              </w:rPr>
            </w:pPr>
            <w:r>
              <w:rPr>
                <w:rFonts w:ascii="宋体" w:hAnsi="宋体" w:eastAsia="宋体" w:cs="宋体"/>
                <w:b w:val="0"/>
                <w:i w:val="0"/>
                <w:strike w:val="0"/>
                <w:color w:val="auto"/>
                <w:spacing w:val="0"/>
                <w:sz w:val="22"/>
                <w:highlight w:val="none"/>
                <w:u w:val="none"/>
              </w:rPr>
              <w:t>高压电缆出线洞</w:t>
            </w:r>
          </w:p>
        </w:tc>
        <w:tc>
          <w:tcPr>
            <w:tcW w:w="118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p>
        </w:tc>
        <w:tc>
          <w:tcPr>
            <w:tcW w:w="201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高压电缆出线洞</w:t>
            </w:r>
          </w:p>
        </w:tc>
        <w:tc>
          <w:tcPr>
            <w:tcW w:w="282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3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1875"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w:t>
            </w:r>
          </w:p>
        </w:tc>
        <w:tc>
          <w:tcPr>
            <w:tcW w:w="228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rPr>
            </w:pPr>
            <w:r>
              <w:rPr>
                <w:rFonts w:ascii="宋体" w:hAnsi="宋体" w:eastAsia="宋体" w:cs="宋体"/>
                <w:b w:val="0"/>
                <w:i w:val="0"/>
                <w:strike w:val="0"/>
                <w:color w:val="auto"/>
                <w:spacing w:val="0"/>
                <w:sz w:val="22"/>
                <w:highlight w:val="none"/>
                <w:u w:val="none"/>
              </w:rPr>
              <w:t>顶拱彩钢瓦雨棚</w:t>
            </w:r>
          </w:p>
        </w:tc>
        <w:tc>
          <w:tcPr>
            <w:tcW w:w="144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napToGrid/>
              <w:spacing w:before="0" w:after="0" w:line="240" w:lineRule="auto"/>
              <w:ind w:left="0" w:leftChars="0" w:right="0" w:rightChars="0" w:firstLine="0" w:firstLineChars="0"/>
              <w:jc w:val="center"/>
              <w:rPr>
                <w:color w:val="auto"/>
                <w:highlight w:val="none"/>
                <w:shd w:val="clear" w:color="auto" w:fill="FFFFFF"/>
              </w:rPr>
            </w:pPr>
            <w:r>
              <w:rPr>
                <w:rFonts w:ascii="宋体" w:hAnsi="宋体" w:eastAsia="宋体" w:cs="宋体"/>
                <w:b w:val="0"/>
                <w:i w:val="0"/>
                <w:strike w:val="0"/>
                <w:color w:val="auto"/>
                <w:spacing w:val="0"/>
                <w:sz w:val="22"/>
                <w:highlight w:val="none"/>
                <w:u w:val="none"/>
                <w:shd w:val="clear" w:color="auto" w:fill="FFFFFF"/>
              </w:rPr>
              <w:t>根据洞室渗水情况增加</w:t>
            </w:r>
          </w:p>
        </w:tc>
      </w:tr>
    </w:tbl>
    <w:p>
      <w:pPr>
        <w:snapToGrid w:val="0"/>
        <w:spacing w:before="0" w:after="0" w:line="460" w:lineRule="exact"/>
        <w:ind w:right="0"/>
        <w:jc w:val="left"/>
        <w:rPr>
          <w:color w:val="auto"/>
          <w:highlight w:val="none"/>
        </w:rPr>
      </w:pPr>
      <w:r>
        <w:rPr>
          <w:rFonts w:ascii="宋体" w:hAnsi="宋体" w:eastAsia="宋体" w:cs="宋体"/>
          <w:i w:val="0"/>
          <w:strike w:val="0"/>
          <w:color w:val="auto"/>
          <w:sz w:val="22"/>
          <w:highlight w:val="none"/>
          <w:u w:val="none"/>
        </w:rPr>
        <w:t>注：1、以上房间作法均为暂定作法，最终工程量及各房间作法以施工图为准。</w:t>
      </w:r>
    </w:p>
    <w:p>
      <w:pPr>
        <w:snapToGrid w:val="0"/>
        <w:spacing w:before="0" w:after="0" w:line="460" w:lineRule="exact"/>
        <w:ind w:left="0" w:right="0" w:firstLine="389" w:firstLineChars="177"/>
        <w:jc w:val="left"/>
        <w:rPr>
          <w:color w:val="auto"/>
          <w:highlight w:val="none"/>
        </w:rPr>
      </w:pPr>
      <w:r>
        <w:rPr>
          <w:rFonts w:ascii="宋体" w:hAnsi="宋体" w:eastAsia="宋体" w:cs="宋体"/>
          <w:i w:val="0"/>
          <w:strike w:val="0"/>
          <w:color w:val="auto"/>
          <w:sz w:val="22"/>
          <w:highlight w:val="none"/>
          <w:u w:val="none"/>
        </w:rPr>
        <w:t>2、详细作法见图纸及工程量清单。</w:t>
      </w:r>
    </w:p>
    <w:p>
      <w:pPr>
        <w:rPr>
          <w:color w:val="auto"/>
          <w:highlight w:val="none"/>
        </w:rPr>
        <w:sectPr>
          <w:pgSz w:w="16838" w:h="11906" w:orient="landscape"/>
          <w:pgMar w:top="1800" w:right="1440" w:bottom="1800" w:left="1440" w:header="851" w:footer="992" w:gutter="0"/>
          <w:cols w:space="720" w:num="1"/>
          <w:docGrid w:type="lines" w:linePitch="312" w:charSpace="0"/>
        </w:sectPr>
      </w:pPr>
    </w:p>
    <w:p>
      <w:pPr>
        <w:pStyle w:val="50"/>
        <w:rPr>
          <w:color w:val="auto"/>
          <w:highlight w:val="none"/>
        </w:rPr>
      </w:pPr>
      <w:bookmarkStart w:id="431" w:name="_Toc8986"/>
      <w:bookmarkStart w:id="432" w:name="_Toc8600"/>
      <w:bookmarkStart w:id="433" w:name="_Toc6987"/>
      <w:bookmarkStart w:id="434" w:name="_Toc7166"/>
      <w:bookmarkStart w:id="435" w:name="_Toc10360"/>
      <w:bookmarkStart w:id="436" w:name="_Toc4705"/>
      <w:bookmarkStart w:id="437" w:name="_Toc23506"/>
      <w:r>
        <w:rPr>
          <w:color w:val="auto"/>
          <w:highlight w:val="none"/>
        </w:rPr>
        <w:t>第2</w:t>
      </w:r>
      <w:r>
        <w:rPr>
          <w:rFonts w:hint="eastAsia"/>
          <w:color w:val="auto"/>
          <w:highlight w:val="none"/>
        </w:rPr>
        <w:t>2</w:t>
      </w:r>
      <w:r>
        <w:rPr>
          <w:color w:val="auto"/>
          <w:highlight w:val="none"/>
        </w:rPr>
        <w:t>章</w:t>
      </w:r>
      <w:r>
        <w:rPr>
          <w:rFonts w:hint="eastAsia"/>
          <w:color w:val="auto"/>
          <w:highlight w:val="none"/>
        </w:rPr>
        <w:t xml:space="preserve">  </w:t>
      </w:r>
      <w:r>
        <w:rPr>
          <w:color w:val="auto"/>
          <w:highlight w:val="none"/>
        </w:rPr>
        <w:t>压力钢管安装</w:t>
      </w:r>
      <w:bookmarkEnd w:id="431"/>
      <w:bookmarkEnd w:id="432"/>
      <w:bookmarkEnd w:id="433"/>
      <w:bookmarkEnd w:id="434"/>
      <w:bookmarkEnd w:id="435"/>
      <w:bookmarkEnd w:id="436"/>
      <w:bookmarkEnd w:id="437"/>
    </w:p>
    <w:p>
      <w:pPr>
        <w:pStyle w:val="32"/>
        <w:autoSpaceDE w:val="0"/>
        <w:autoSpaceDN w:val="0"/>
        <w:spacing w:after="0" w:line="360" w:lineRule="auto"/>
        <w:ind w:firstLine="480" w:firstLineChars="200"/>
        <w:rPr>
          <w:color w:val="auto"/>
          <w:sz w:val="24"/>
          <w:szCs w:val="24"/>
          <w:highlight w:val="none"/>
        </w:rPr>
      </w:pPr>
      <w:bookmarkStart w:id="438" w:name="_Toc273"/>
      <w:r>
        <w:rPr>
          <w:rFonts w:hint="eastAsia"/>
          <w:color w:val="auto"/>
          <w:sz w:val="24"/>
          <w:szCs w:val="24"/>
          <w:highlight w:val="none"/>
        </w:rPr>
        <w:t>本技术条款22.1.2节增加内容：</w:t>
      </w:r>
    </w:p>
    <w:p>
      <w:pPr>
        <w:autoSpaceDE w:val="0"/>
        <w:autoSpaceDN w:val="0"/>
        <w:spacing w:line="360" w:lineRule="auto"/>
        <w:outlineLvl w:val="1"/>
        <w:rPr>
          <w:b/>
          <w:bCs/>
          <w:color w:val="auto"/>
          <w:sz w:val="24"/>
          <w:szCs w:val="24"/>
          <w:highlight w:val="none"/>
        </w:rPr>
      </w:pPr>
      <w:bookmarkStart w:id="439" w:name="_Toc6619"/>
      <w:r>
        <w:rPr>
          <w:rFonts w:hint="eastAsia"/>
          <w:b/>
          <w:bCs/>
          <w:color w:val="auto"/>
          <w:sz w:val="24"/>
          <w:szCs w:val="24"/>
          <w:highlight w:val="none"/>
        </w:rPr>
        <w:t>22.1一般规定</w:t>
      </w:r>
      <w:bookmarkEnd w:id="438"/>
      <w:bookmarkEnd w:id="439"/>
    </w:p>
    <w:p>
      <w:pPr>
        <w:autoSpaceDE w:val="0"/>
        <w:autoSpaceDN w:val="0"/>
        <w:spacing w:line="360" w:lineRule="auto"/>
        <w:outlineLvl w:val="2"/>
        <w:rPr>
          <w:rFonts w:hint="eastAsia"/>
          <w:color w:val="auto"/>
          <w:sz w:val="24"/>
          <w:szCs w:val="24"/>
          <w:highlight w:val="none"/>
        </w:rPr>
      </w:pPr>
      <w:r>
        <w:rPr>
          <w:rFonts w:hint="eastAsia"/>
          <w:color w:val="auto"/>
          <w:sz w:val="24"/>
          <w:szCs w:val="24"/>
          <w:highlight w:val="none"/>
        </w:rPr>
        <w:t>22.1.2承包人责任</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承包人应指派持有上岗证的合格焊工和无损检测人员，进行焊接和检验工作，并应按本章第22.4.3条规定，进行焊接工艺评定。</w:t>
      </w:r>
    </w:p>
    <w:p>
      <w:pPr>
        <w:pStyle w:val="32"/>
        <w:autoSpaceDE w:val="0"/>
        <w:autoSpaceDN w:val="0"/>
        <w:spacing w:after="0" w:line="360" w:lineRule="auto"/>
        <w:ind w:firstLine="480" w:firstLineChars="200"/>
        <w:rPr>
          <w:color w:val="auto"/>
          <w:sz w:val="24"/>
          <w:szCs w:val="24"/>
          <w:highlight w:val="none"/>
        </w:rPr>
      </w:pPr>
      <w:bookmarkStart w:id="440" w:name="_Toc27624"/>
      <w:r>
        <w:rPr>
          <w:rFonts w:hint="eastAsia"/>
          <w:color w:val="auto"/>
          <w:sz w:val="24"/>
          <w:szCs w:val="24"/>
          <w:highlight w:val="none"/>
        </w:rPr>
        <w:t>本技术条款22.2节增加内容：</w:t>
      </w:r>
    </w:p>
    <w:p>
      <w:pPr>
        <w:autoSpaceDE w:val="0"/>
        <w:autoSpaceDN w:val="0"/>
        <w:spacing w:line="360" w:lineRule="auto"/>
        <w:outlineLvl w:val="1"/>
        <w:rPr>
          <w:b/>
          <w:bCs/>
          <w:color w:val="auto"/>
          <w:sz w:val="24"/>
          <w:szCs w:val="24"/>
          <w:highlight w:val="none"/>
        </w:rPr>
      </w:pPr>
      <w:bookmarkStart w:id="441" w:name="_Toc14520"/>
      <w:r>
        <w:rPr>
          <w:rFonts w:hint="eastAsia"/>
          <w:b/>
          <w:bCs/>
          <w:color w:val="auto"/>
          <w:sz w:val="24"/>
          <w:szCs w:val="24"/>
          <w:highlight w:val="none"/>
        </w:rPr>
        <w:t>22.2材料和外购连接件</w:t>
      </w:r>
      <w:bookmarkEnd w:id="440"/>
      <w:bookmarkEnd w:id="441"/>
    </w:p>
    <w:p>
      <w:pPr>
        <w:autoSpaceDE w:val="0"/>
        <w:autoSpaceDN w:val="0"/>
        <w:spacing w:line="360" w:lineRule="auto"/>
        <w:outlineLvl w:val="2"/>
        <w:rPr>
          <w:color w:val="auto"/>
          <w:sz w:val="24"/>
          <w:szCs w:val="24"/>
          <w:highlight w:val="none"/>
        </w:rPr>
      </w:pPr>
      <w:r>
        <w:rPr>
          <w:rFonts w:hint="eastAsia"/>
          <w:color w:val="auto"/>
          <w:sz w:val="24"/>
          <w:szCs w:val="24"/>
          <w:highlight w:val="none"/>
        </w:rPr>
        <w:t>22.2.4涂装材料</w:t>
      </w:r>
    </w:p>
    <w:p>
      <w:pPr>
        <w:pStyle w:val="32"/>
        <w:autoSpaceDE w:val="0"/>
        <w:autoSpaceDN w:val="0"/>
        <w:spacing w:after="0" w:line="360" w:lineRule="auto"/>
        <w:ind w:firstLine="480" w:firstLineChars="200"/>
        <w:rPr>
          <w:color w:val="auto"/>
          <w:sz w:val="24"/>
          <w:szCs w:val="24"/>
          <w:highlight w:val="none"/>
        </w:rPr>
      </w:pPr>
      <w:bookmarkStart w:id="442" w:name="_Toc2719"/>
      <w:r>
        <w:rPr>
          <w:rFonts w:hint="eastAsia"/>
          <w:color w:val="auto"/>
          <w:sz w:val="24"/>
          <w:szCs w:val="24"/>
          <w:highlight w:val="none"/>
        </w:rPr>
        <w:t>(3)涂装材料</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1) 钢管外防腐采用无机改性水泥浆，厚度不小于500μm；内防腐采用超厚浆型无溶剂耐磨环氧(底、面涂层厚度均不小于400μm)，喷涂施工应遵循相应规程规范及厂家的有关规定。</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2) 涂料的化学性能、粘结强度和耐久性等应满足相关规范、规定的要求。</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3) 每批到货的涂料应附有制造厂的产品质量证明书和使用说明书。说明书内容应包括涂料特性、配比、使用设备、干硬时间、再涂时间、养护、运输和保管办法等。</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(4)</w:t>
      </w:r>
      <w:r>
        <w:rPr>
          <w:rFonts w:hint="eastAsia"/>
          <w:color w:val="auto"/>
          <w:sz w:val="24"/>
          <w:szCs w:val="24"/>
          <w:highlight w:val="none"/>
        </w:rPr>
        <w:tab/>
      </w:r>
      <w:r>
        <w:rPr>
          <w:rFonts w:hint="eastAsia"/>
          <w:color w:val="auto"/>
          <w:sz w:val="24"/>
          <w:szCs w:val="24"/>
          <w:highlight w:val="none"/>
        </w:rPr>
        <w:t>涂装材料运抵工地后，承包人应按监理人指示进行抽样检验，并将检验成果及产品质量证明书和使用说明书提交监理人。</w:t>
      </w:r>
    </w:p>
    <w:bookmarkEnd w:id="442"/>
    <w:p>
      <w:pPr>
        <w:autoSpaceDE w:val="0"/>
        <w:autoSpaceDN w:val="0"/>
        <w:spacing w:line="360" w:lineRule="auto"/>
        <w:outlineLvl w:val="1"/>
        <w:rPr>
          <w:b/>
          <w:bCs/>
          <w:color w:val="auto"/>
          <w:sz w:val="24"/>
          <w:szCs w:val="24"/>
          <w:highlight w:val="none"/>
        </w:rPr>
      </w:pPr>
      <w:bookmarkStart w:id="443" w:name="_Toc2171"/>
      <w:bookmarkStart w:id="444" w:name="_Toc29270"/>
      <w:r>
        <w:rPr>
          <w:rFonts w:hint="eastAsia"/>
          <w:b/>
          <w:bCs/>
          <w:color w:val="auto"/>
          <w:sz w:val="24"/>
          <w:szCs w:val="24"/>
          <w:highlight w:val="none"/>
        </w:rPr>
        <w:t>22.4焊接</w:t>
      </w:r>
      <w:bookmarkEnd w:id="443"/>
      <w:bookmarkEnd w:id="444"/>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本技术条款22.4.1节增加内容：</w:t>
      </w:r>
    </w:p>
    <w:p>
      <w:pPr>
        <w:autoSpaceDE w:val="0"/>
        <w:autoSpaceDN w:val="0"/>
        <w:spacing w:line="360" w:lineRule="auto"/>
        <w:outlineLvl w:val="2"/>
        <w:rPr>
          <w:color w:val="auto"/>
          <w:sz w:val="24"/>
          <w:szCs w:val="24"/>
          <w:highlight w:val="none"/>
        </w:rPr>
      </w:pPr>
      <w:r>
        <w:rPr>
          <w:rFonts w:hint="eastAsia"/>
          <w:color w:val="auto"/>
          <w:sz w:val="24"/>
          <w:szCs w:val="24"/>
          <w:highlight w:val="none"/>
        </w:rPr>
        <w:t>22.4.1焊工和无损检测人员资格</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（4）自动焊焊工应经过专业的技能培训，熟悉自动焊设备操作流程，熟悉焊丝和保护气体使用要求及焊接工艺参数特点，现场考核后上岗。</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（5）装配定位操作工培训上岗，压力钢管装配定位尺寸、参数应满足自动焊允许范围。</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（6）所有操作人员应熟悉焊接施工相关的钢管装配要求、焊接工艺文件等，能够按照焊接工艺文件要求进行施工。</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本技术条款22.4.2节增加内容：</w:t>
      </w:r>
    </w:p>
    <w:p>
      <w:pPr>
        <w:autoSpaceDE w:val="0"/>
        <w:autoSpaceDN w:val="0"/>
        <w:spacing w:line="360" w:lineRule="auto"/>
        <w:outlineLvl w:val="2"/>
        <w:rPr>
          <w:color w:val="auto"/>
          <w:sz w:val="24"/>
          <w:szCs w:val="24"/>
          <w:highlight w:val="none"/>
        </w:rPr>
      </w:pPr>
      <w:r>
        <w:rPr>
          <w:rFonts w:hint="eastAsia"/>
          <w:color w:val="auto"/>
          <w:sz w:val="24"/>
          <w:szCs w:val="24"/>
          <w:highlight w:val="none"/>
        </w:rPr>
        <w:t>22.4.2焊接工艺评定</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 xml:space="preserve">（9）自动焊设备应包含自动焊接专机的小车、焊接导轨、送丝机构、气体输送系统等。 </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（10）焊接电源应具备漏电保护功能。</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（11）自动焊用焊丝的熔敷金属力学性能不应低于相应母材标准的下限值或应满足设计文件要求。</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（12）焊接动力输送电缆和控制信号输送电缆长度应根据施工场地条件进行选配。</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（13）应充分考虑安装现场环境对自动焊行走、操作空间的影响，采取必要措施保证自动焊接质量。</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（14）提交压力钢管焊接工艺评定报告。</w:t>
      </w:r>
    </w:p>
    <w:p>
      <w:pPr>
        <w:pStyle w:val="32"/>
        <w:autoSpaceDE w:val="0"/>
        <w:autoSpaceDN w:val="0"/>
        <w:spacing w:after="0" w:line="360" w:lineRule="auto"/>
        <w:ind w:firstLine="480" w:firstLineChars="200"/>
        <w:rPr>
          <w:color w:val="auto"/>
          <w:sz w:val="24"/>
          <w:szCs w:val="24"/>
          <w:highlight w:val="none"/>
        </w:rPr>
      </w:pPr>
      <w:r>
        <w:rPr>
          <w:rFonts w:hint="eastAsia"/>
          <w:color w:val="auto"/>
          <w:sz w:val="24"/>
          <w:szCs w:val="24"/>
          <w:highlight w:val="none"/>
        </w:rPr>
        <w:t>本技术条款22.4.4节增加内容：</w:t>
      </w:r>
    </w:p>
    <w:p>
      <w:pPr>
        <w:autoSpaceDE w:val="0"/>
        <w:autoSpaceDN w:val="0"/>
        <w:spacing w:line="360" w:lineRule="auto"/>
        <w:outlineLvl w:val="2"/>
        <w:rPr>
          <w:color w:val="auto"/>
          <w:sz w:val="24"/>
          <w:szCs w:val="24"/>
          <w:highlight w:val="none"/>
        </w:rPr>
      </w:pPr>
      <w:r>
        <w:rPr>
          <w:rFonts w:hint="eastAsia"/>
          <w:color w:val="auto"/>
          <w:sz w:val="24"/>
          <w:szCs w:val="24"/>
          <w:highlight w:val="none"/>
        </w:rPr>
        <w:t>22.4.4</w:t>
      </w:r>
      <w:r>
        <w:rPr>
          <w:rFonts w:ascii="Times New Roman" w:hAnsi="Times New Roman" w:eastAsia="黑体"/>
          <w:color w:val="auto"/>
          <w:kern w:val="0"/>
          <w:sz w:val="24"/>
          <w:szCs w:val="24"/>
          <w:highlight w:val="none"/>
        </w:rPr>
        <w:t>生产性施焊</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（9）对装配对口间隙不满足自动焊要求的坡口，可采用手工焊条电弧焊进行打底修整。</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（10）每层焊道可采用单道布置，每层焊道的厚度不应大于5 mm。</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（11）每层焊道接头与前一层焊道接头错开的间距应大于或等于 30 mm。</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（12）道间温度不宜过高，道间温度应小于或等于230 ℃。</w:t>
      </w:r>
    </w:p>
    <w:p>
      <w:pPr>
        <w:pStyle w:val="130"/>
        <w:tabs>
          <w:tab w:val="left" w:pos="1029"/>
        </w:tabs>
        <w:autoSpaceDE w:val="0"/>
        <w:autoSpaceDN w:val="0"/>
        <w:spacing w:line="360" w:lineRule="auto"/>
        <w:ind w:firstLine="480"/>
        <w:rPr>
          <w:color w:val="auto"/>
          <w:sz w:val="24"/>
          <w:highlight w:val="none"/>
        </w:rPr>
      </w:pPr>
      <w:r>
        <w:rPr>
          <w:rFonts w:hint="eastAsia"/>
          <w:color w:val="auto"/>
          <w:sz w:val="24"/>
          <w:highlight w:val="none"/>
        </w:rPr>
        <w:t>（13）对于双面焊焊接坡口，背面焊接前应从背面进行清根，清根后的凹槽应形成开口角度大于或等于10°的U 形坡口。</w:t>
      </w:r>
    </w:p>
    <w:p>
      <w:pPr>
        <w:rPr>
          <w:color w:val="auto"/>
          <w:highlight w:val="none"/>
        </w:rPr>
      </w:pPr>
    </w:p>
    <w:p>
      <w:pPr>
        <w:rPr>
          <w:rFonts w:hint="eastAsia"/>
          <w:color w:val="auto"/>
          <w:highlight w:val="none"/>
        </w:rPr>
      </w:pPr>
      <w:r>
        <w:rPr>
          <w:rFonts w:hint="eastAsia"/>
          <w:color w:val="auto"/>
          <w:highlight w:val="none"/>
        </w:rPr>
        <w:br w:type="page"/>
      </w:r>
    </w:p>
    <w:p>
      <w:pPr>
        <w:pStyle w:val="50"/>
        <w:rPr>
          <w:color w:val="auto"/>
          <w:highlight w:val="none"/>
          <w:lang w:val="en-US"/>
        </w:rPr>
      </w:pPr>
      <w:r>
        <w:rPr>
          <w:rFonts w:hint="eastAsia"/>
          <w:color w:val="auto"/>
          <w:highlight w:val="none"/>
        </w:rPr>
        <w:t>第</w:t>
      </w:r>
      <w:r>
        <w:rPr>
          <w:rFonts w:hint="eastAsia"/>
          <w:color w:val="auto"/>
          <w:highlight w:val="none"/>
          <w:lang w:val="en-US"/>
        </w:rPr>
        <w:t>27</w:t>
      </w:r>
      <w:r>
        <w:rPr>
          <w:rFonts w:hint="eastAsia"/>
          <w:color w:val="auto"/>
          <w:highlight w:val="none"/>
        </w:rPr>
        <w:t>章</w:t>
      </w:r>
      <w:r>
        <w:rPr>
          <w:color w:val="auto"/>
          <w:highlight w:val="none"/>
        </w:rPr>
        <w:t xml:space="preserve">  </w:t>
      </w:r>
      <w:r>
        <w:rPr>
          <w:rFonts w:hint="eastAsia"/>
          <w:color w:val="auto"/>
          <w:highlight w:val="none"/>
          <w:lang w:val="en-US"/>
        </w:rPr>
        <w:t>其他</w:t>
      </w:r>
    </w:p>
    <w:p>
      <w:pPr>
        <w:pStyle w:val="5"/>
        <w:spacing w:before="0" w:after="0" w:line="360" w:lineRule="auto"/>
        <w:rPr>
          <w:color w:val="auto"/>
          <w:highlight w:val="none"/>
        </w:rPr>
      </w:pPr>
      <w:bookmarkStart w:id="445" w:name="_Toc9709"/>
      <w:bookmarkEnd w:id="445"/>
      <w:r>
        <w:rPr>
          <w:rFonts w:ascii="宋体" w:hAnsi="宋体" w:cs="宋体"/>
          <w:color w:val="auto"/>
          <w:sz w:val="24"/>
          <w:highlight w:val="none"/>
        </w:rPr>
        <w:t>27.1土方明挖计量和支付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1）表土剥离工程量按平面投影面积*清挖厚度（0.3m，工程量清单另有约定的，按其约定为准）计算，以立方米（m³）为单位计量，按《工程量清单》所列项目单价支付。单价中包括准备工作、表土的挖装、运至监理人指定的堆放区并加以保护、处理等费用。</w:t>
      </w:r>
    </w:p>
    <w:p>
      <w:pPr>
        <w:tabs>
          <w:tab w:val="left" w:pos="1029"/>
        </w:tabs>
        <w:spacing w:line="360" w:lineRule="auto"/>
        <w:ind w:firstLine="480" w:firstLineChars="200"/>
        <w:rPr>
          <w:color w:val="auto"/>
          <w:highlight w:val="none"/>
        </w:rPr>
      </w:pPr>
      <w:r>
        <w:rPr>
          <w:rFonts w:ascii="宋体" w:hAnsi="宋体" w:cs="宋体"/>
          <w:color w:val="auto"/>
          <w:sz w:val="24"/>
          <w:highlight w:val="none"/>
        </w:rPr>
        <w:t>（2）土方开挖按不同工程项目以及施工图纸所示的不同区域，以立方米（m³）为单位计量，按《工程量清单》所列项目单价支付。单价中包括准备工作、土方的挖装运卸，边坡整治、施工期临时排水、基础和边坡面的检查和验收，以及将开挖可利用或废弃的土方运至监理人指定的堆放区并加以保护、处理等费用。</w:t>
      </w:r>
    </w:p>
    <w:p>
      <w:pPr>
        <w:tabs>
          <w:tab w:val="left" w:pos="1029"/>
        </w:tabs>
        <w:spacing w:line="360" w:lineRule="auto"/>
        <w:ind w:firstLine="480" w:firstLineChars="200"/>
        <w:rPr>
          <w:color w:val="auto"/>
          <w:highlight w:val="none"/>
        </w:rPr>
      </w:pPr>
      <w:r>
        <w:rPr>
          <w:rFonts w:ascii="宋体" w:hAnsi="宋体" w:cs="宋体"/>
          <w:color w:val="auto"/>
          <w:sz w:val="24"/>
          <w:highlight w:val="none"/>
        </w:rPr>
        <w:t>土方明挖开始前，承包人应按监理人的指示测量开挖区的地形和计量剖面，报监理人复核签认，并应按施工图纸所示或监理人批准的开挖线进行工程量的计量。若承包人提交的工程量与设计工程量差值超过10%时，则需经监理人复测和设计单位复核同意后方可作为收方依据：若承包人提交的工程量与监理确认的复测结果差值不超过5%时，按双方计算量的平均值进行计量；若差值超出此范围，按联合测量结果进行计量。</w:t>
      </w:r>
    </w:p>
    <w:p>
      <w:pPr>
        <w:tabs>
          <w:tab w:val="left" w:pos="1029"/>
        </w:tabs>
        <w:spacing w:line="360" w:lineRule="auto"/>
        <w:ind w:firstLine="480" w:firstLineChars="200"/>
        <w:rPr>
          <w:color w:val="auto"/>
          <w:highlight w:val="none"/>
        </w:rPr>
      </w:pPr>
      <w:r>
        <w:rPr>
          <w:rFonts w:ascii="宋体" w:hAnsi="宋体" w:cs="宋体"/>
          <w:color w:val="auto"/>
          <w:sz w:val="24"/>
          <w:highlight w:val="none"/>
        </w:rPr>
        <w:t>（3）经监理人确认的地质原因和气象原因引起的土方超挖，包括由此增加的支护和回填量，均应按监理人签认的工程量，并按工程量清单中相应项目的单价进行支付。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（4）由于承包人施工措施不当引起的超挖或施工所需的附加开挖及由此对应的清理、回填处理等费用，由承包人自理，发包人不另行支付。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（5）本章第7.2.1条植被清理工作所需的费用，以及树木砍伐的费用包括在工程量清单相应的土方明挖项目单价中，发包人不另行支付。</w:t>
      </w:r>
    </w:p>
    <w:p>
      <w:pPr>
        <w:pStyle w:val="5"/>
        <w:spacing w:before="0" w:after="0" w:line="360" w:lineRule="auto"/>
        <w:rPr>
          <w:color w:val="auto"/>
          <w:highlight w:val="none"/>
        </w:rPr>
      </w:pPr>
      <w:r>
        <w:rPr>
          <w:rFonts w:ascii="宋体" w:hAnsi="宋体" w:cs="宋体"/>
          <w:color w:val="auto"/>
          <w:sz w:val="24"/>
          <w:highlight w:val="none"/>
        </w:rPr>
        <w:t>27.2石方明挖计量和支付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1）石方明挖和（或）槽挖应以监理人确认的现场实测的地形、土石分界线和断面测量成果，以及施工图纸所示建筑物轮廓尺寸或监理人批准的开挖线为准，以立方米（m³）为单位计量，按《工程量清单》所列项目单价支付。单价中包括准备工作、场地清理、钻孔、爆破、装车、运输、卸车、堆存、检测、爆破试验、施工期临时排水、地基清理及平整、基础和边坡面的检查和验收，以及将开挖可利用或废弃的石方运至监理人指定的堆放区等费用。</w:t>
      </w:r>
    </w:p>
    <w:p>
      <w:pPr>
        <w:tabs>
          <w:tab w:val="left" w:pos="1029"/>
        </w:tabs>
        <w:spacing w:line="360" w:lineRule="auto"/>
        <w:ind w:firstLine="480" w:firstLineChars="200"/>
        <w:rPr>
          <w:color w:val="auto"/>
          <w:highlight w:val="none"/>
        </w:rPr>
      </w:pPr>
      <w:r>
        <w:rPr>
          <w:rFonts w:ascii="宋体" w:hAnsi="宋体" w:cs="宋体"/>
          <w:color w:val="auto"/>
          <w:sz w:val="24"/>
          <w:highlight w:val="none"/>
        </w:rPr>
        <w:t>石方明挖开始前，承包人应按监理人的指示测量开挖区的地形和计量剖面，报监理人复核签认，并应按施工图纸所示或监理人批准的开挖线进行工程量的计量。若承包人提交的工程量与设计工程量差值超过10%时，则需经监理人复测和设计单位复核同意后方可作为收方依据：若承包人提交的工程量与监理确认的复测结果差值不超过5%时，按双方计算量的平均值进行计量；若差值超出此范围，按联合测量结果进行计量。</w:t>
      </w:r>
    </w:p>
    <w:p>
      <w:pPr>
        <w:tabs>
          <w:tab w:val="left" w:pos="1029"/>
        </w:tabs>
        <w:spacing w:line="360" w:lineRule="auto"/>
        <w:ind w:firstLine="480" w:firstLineChars="200"/>
        <w:rPr>
          <w:color w:val="auto"/>
          <w:highlight w:val="none"/>
        </w:rPr>
      </w:pPr>
      <w:r>
        <w:rPr>
          <w:rFonts w:ascii="宋体" w:hAnsi="宋体" w:cs="宋体"/>
          <w:color w:val="auto"/>
          <w:sz w:val="24"/>
          <w:highlight w:val="none"/>
        </w:rPr>
        <w:t>（2）经发包人、设计人、监理人确认的地质原因引起的石方超挖，按监理人签认的工程量，并按相应部位石方明挖直接费+税金进行计价与支付。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（3）由于承包人施工措施不当引起的超挖或施工所需的附加开挖及由此对应的清理、回填处理等费用，由承包人自理，发包人不另行支付。</w:t>
      </w:r>
    </w:p>
    <w:p>
      <w:pPr>
        <w:tabs>
          <w:tab w:val="left" w:pos="1029"/>
        </w:tabs>
        <w:spacing w:line="360" w:lineRule="auto"/>
        <w:ind w:firstLine="480" w:firstLineChars="200"/>
        <w:rPr>
          <w:color w:val="auto"/>
          <w:highlight w:val="none"/>
        </w:rPr>
      </w:pPr>
      <w:r>
        <w:rPr>
          <w:rFonts w:ascii="宋体" w:hAnsi="宋体" w:cs="宋体"/>
          <w:color w:val="auto"/>
          <w:sz w:val="24"/>
          <w:highlight w:val="none"/>
        </w:rPr>
        <w:t>（4）基础清理不单独计量，所需费用包含在工程量清单相应石方开挖项目单价中。</w:t>
      </w:r>
    </w:p>
    <w:p>
      <w:pPr>
        <w:tabs>
          <w:tab w:val="left" w:pos="1029"/>
        </w:tabs>
        <w:spacing w:line="360" w:lineRule="auto"/>
        <w:ind w:firstLine="480" w:firstLineChars="200"/>
        <w:rPr>
          <w:color w:val="auto"/>
          <w:highlight w:val="none"/>
        </w:rPr>
      </w:pPr>
      <w:r>
        <w:rPr>
          <w:rFonts w:ascii="宋体" w:hAnsi="宋体" w:cs="宋体"/>
          <w:color w:val="auto"/>
          <w:sz w:val="24"/>
          <w:highlight w:val="none"/>
        </w:rPr>
        <w:t>（5）承包人应积极配合现场设计人员进行地质编录，为其提供照明、测量数据（桩号、高程等）、交通等便利条件，确保现场地质编录人员的安全，该项工作发生的费用应包括在工程量清单相应的石方明挖项目单价中，发包人不另行支付。</w:t>
      </w:r>
    </w:p>
    <w:p>
      <w:pPr>
        <w:pStyle w:val="5"/>
        <w:autoSpaceDE w:val="0"/>
        <w:autoSpaceDN w:val="0"/>
        <w:spacing w:line="360" w:lineRule="auto"/>
        <w:ind w:firstLineChars="200"/>
        <w:rPr>
          <w:rFonts w:ascii="宋体" w:hAnsi="宋体" w:eastAsia="宋体" w:cs="宋体"/>
          <w:color w:val="auto"/>
          <w:sz w:val="24"/>
          <w:highlight w:val="none"/>
        </w:rPr>
      </w:pPr>
      <w:r>
        <w:rPr>
          <w:rFonts w:ascii="宋体" w:hAnsi="宋体" w:cs="宋体"/>
          <w:color w:val="auto"/>
          <w:sz w:val="24"/>
          <w:highlight w:val="none"/>
        </w:rPr>
        <w:t>27.3土石方填筑计量和支付</w:t>
      </w:r>
    </w:p>
    <w:p>
      <w:pPr>
        <w:tabs>
          <w:tab w:val="left" w:pos="1029"/>
        </w:tabs>
        <w:autoSpaceDE w:val="0"/>
        <w:autoSpaceDN w:val="0"/>
        <w:spacing w:line="360" w:lineRule="auto"/>
        <w:ind w:firstLine="720" w:firstLineChars="300"/>
        <w:rPr>
          <w:rFonts w:ascii="宋体" w:hAnsi="宋体" w:eastAsia="宋体" w:cs="宋体"/>
          <w:color w:val="auto"/>
          <w:sz w:val="24"/>
          <w:szCs w:val="22"/>
          <w:highlight w:val="none"/>
        </w:rPr>
      </w:pPr>
      <w:r>
        <w:rPr>
          <w:rFonts w:ascii="宋体" w:hAnsi="宋体" w:eastAsia="宋体" w:cs="宋体"/>
          <w:color w:val="auto"/>
          <w:sz w:val="24"/>
          <w:highlight w:val="none"/>
        </w:rPr>
        <w:t>填筑工程量按施工图纸所示建筑物轮廓尺寸或监理人确认的各种填筑体的压实方量，以立方米（m³）为单位计量，按《工程量清单》所列项目单价支付。单价中包括石料加工、周转、装料、运料、卸料、铺筑、压实、质检等费用。</w:t>
      </w:r>
    </w:p>
    <w:p>
      <w:pPr>
        <w:pStyle w:val="3"/>
        <w:outlineLvl w:val="9"/>
        <w:rPr>
          <w:color w:val="auto"/>
          <w:highlight w:val="none"/>
        </w:rPr>
      </w:pPr>
    </w:p>
    <w:p>
      <w:pPr>
        <w:rPr>
          <w:color w:val="auto"/>
          <w:highlight w:val="none"/>
        </w:rPr>
      </w:pPr>
    </w:p>
    <w:p>
      <w:pPr>
        <w:rPr>
          <w:color w:val="auto"/>
          <w:highlight w:val="none"/>
        </w:rPr>
        <w:sectPr>
          <w:pgSz w:w="11906" w:h="16838"/>
          <w:pgMar w:top="1440" w:right="1800" w:bottom="1440" w:left="1800" w:header="851" w:footer="992" w:gutter="0"/>
          <w:cols w:space="720" w:num="1"/>
          <w:docGrid w:type="lines" w:linePitch="312" w:charSpace="0"/>
        </w:sectPr>
      </w:pPr>
    </w:p>
    <w:p>
      <w:pPr>
        <w:pStyle w:val="3"/>
        <w:jc w:val="left"/>
        <w:rPr>
          <w:color w:val="auto"/>
          <w:highlight w:val="none"/>
        </w:rPr>
      </w:pPr>
      <w:r>
        <w:rPr>
          <w:rFonts w:hint="eastAsia"/>
          <w:color w:val="auto"/>
          <w:highlight w:val="none"/>
        </w:rPr>
        <w:t>附表</w:t>
      </w:r>
    </w:p>
    <w:p>
      <w:pPr>
        <w:pStyle w:val="76"/>
        <w:ind w:firstLine="0" w:firstLineChars="0"/>
        <w:jc w:val="center"/>
        <w:outlineLvl w:val="1"/>
        <w:rPr>
          <w:b/>
          <w:bCs/>
          <w:color w:val="auto"/>
          <w:highlight w:val="none"/>
        </w:rPr>
      </w:pPr>
      <w:r>
        <w:rPr>
          <w:b/>
          <w:bCs/>
          <w:color w:val="auto"/>
          <w:highlight w:val="none"/>
        </w:rPr>
        <w:t>附表7.2-1 技术供水系统主要设备、阀门、管路、自动化元件清单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ind w:left="0" w:firstLine="0"/>
              <w:jc w:val="both"/>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名称</w:t>
            </w:r>
          </w:p>
        </w:tc>
        <w:tc>
          <w:tcPr>
            <w:tcW w:w="3025"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规格及参数</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单位</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离心泵</w:t>
            </w:r>
          </w:p>
        </w:tc>
        <w:tc>
          <w:tcPr>
            <w:tcW w:w="3025"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Q=~1390m³/s，H=~45m</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台</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全自动滤水器及其控制箱、排污阀、压力表、差压变送器等</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Q=~1390m</w:t>
            </w:r>
            <w:r>
              <w:rPr>
                <w:rFonts w:ascii="Times New Roman" w:hAnsi="Times New Roman" w:cs="Times New Roman"/>
                <w:color w:val="auto"/>
                <w:kern w:val="0"/>
                <w:sz w:val="20"/>
                <w:szCs w:val="20"/>
                <w:highlight w:val="none"/>
                <w:vertAlign w:val="superscript"/>
              </w:rPr>
              <w:t>3</w:t>
            </w:r>
            <w:r>
              <w:rPr>
                <w:rFonts w:ascii="Times New Roman" w:hAnsi="Times New Roman" w:cs="Times New Roman"/>
                <w:color w:val="auto"/>
                <w:kern w:val="0"/>
                <w:sz w:val="20"/>
                <w:szCs w:val="20"/>
                <w:highlight w:val="none"/>
              </w:rPr>
              <w:t>/h PN2.5MPa DN400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台</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全自动滤水器及其控制箱、排污阀、压力表、差压变送器等</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Q=~750m</w:t>
            </w:r>
            <w:r>
              <w:rPr>
                <w:rFonts w:ascii="Times New Roman" w:hAnsi="Times New Roman" w:cs="Times New Roman"/>
                <w:color w:val="auto"/>
                <w:kern w:val="0"/>
                <w:sz w:val="20"/>
                <w:szCs w:val="20"/>
                <w:highlight w:val="none"/>
                <w:vertAlign w:val="superscript"/>
              </w:rPr>
              <w:t>3</w:t>
            </w:r>
            <w:r>
              <w:rPr>
                <w:rFonts w:ascii="Times New Roman" w:hAnsi="Times New Roman" w:cs="Times New Roman"/>
                <w:color w:val="auto"/>
                <w:kern w:val="0"/>
                <w:sz w:val="20"/>
                <w:szCs w:val="20"/>
                <w:highlight w:val="none"/>
              </w:rPr>
              <w:t>/h PN2.5MPa DN300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台</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压力表</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Y-150,压力范围0-2.5MPa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压力变送器</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压力范围0-2.5MPa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温度计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适配DN400管路,量程0-50℃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压力表</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Y-150,范围0-2.5MPa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压力变送器</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范围0-2.5MPa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温度计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适配DN150管路,量程0-50℃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示流信号器</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电磁流量计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  流量~1400m</w:t>
            </w:r>
            <w:r>
              <w:rPr>
                <w:rFonts w:ascii="Times New Roman" w:hAnsi="Times New Roman" w:cs="Times New Roman"/>
                <w:color w:val="auto"/>
                <w:kern w:val="0"/>
                <w:sz w:val="20"/>
                <w:szCs w:val="20"/>
                <w:highlight w:val="none"/>
                <w:vertAlign w:val="superscript"/>
              </w:rPr>
              <w:t>3</w:t>
            </w:r>
            <w:r>
              <w:rPr>
                <w:rFonts w:ascii="Times New Roman" w:hAnsi="Times New Roman" w:cs="Times New Roman"/>
                <w:color w:val="auto"/>
                <w:kern w:val="0"/>
                <w:sz w:val="20"/>
                <w:szCs w:val="20"/>
                <w:highlight w:val="none"/>
              </w:rPr>
              <w:t>/h</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不锈钢减压阀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不锈钢安全阀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碳钢球阀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DN125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不锈钢减压阀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不锈钢安全阀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不锈钢排气阀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   PN100</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不锈钢球阀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不锈钢排气阀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不锈钢电动三偏心金属密封蝶阀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不锈钢止回阀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不锈钢节流阀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不锈钢三偏心金属密封蝶阀</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   PN25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自动流量温控调节阀</w:t>
            </w:r>
          </w:p>
        </w:tc>
        <w:tc>
          <w:tcPr>
            <w:tcW w:w="3025"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  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DN400，φ406×10，PN2.5MPa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DN400，φ406×10管用，PN2.5MPa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不锈钢管帽</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DN400，φ406×10管用，PN2.5MPa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不锈钢等径三通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DN400，φ406×10管用，PN2.5MPa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DN400/DN25  Φ406×10/Φ33.7×3</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DN400/DN65  Φ406×10/Φ73×4</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DN400/DN350  Φ406×10/φ355×8</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DN400/DN200  Φ406×10/Φ219.1×6</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DN400/DN100  Φ406×10/Φ114×5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DN400/DN80  Φ406×10/Φ88.9×5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DN400，PN2.5MPa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i w:val="0"/>
                <w:strike w:val="0"/>
                <w:color w:val="auto"/>
                <w:spacing w:val="0"/>
                <w:sz w:val="20"/>
                <w:highlight w:val="none"/>
                <w:u w:val="none"/>
              </w:rPr>
              <w:t>DN350，φ355×8，PN2.5MPa管用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DN350，φ55×8，PN2.5MPa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不锈钢管帽</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DN350，φ355×8，PN2.5MPa管用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，φ323.9×8，PN2.5MPa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碳钢无缝钢管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，φ323.9×8，PN2.5MPa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1680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，φ323.9×8管用，PN2.5MPa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不锈钢等径三通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，φ323.9×8管用，PN2.5MPa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DN300/DN200  Φ323.9×8/Φ219.1×6</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DN300/DN250  Φ323.9×8/273×6</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DN300/DN100  Φ323.9×8/Φ114×5</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DN300 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DN200，φ219.1×6，PN2.5MPa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DN200，φ219.1×6，PN2.5MPa管用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不锈钢管帽</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DN200，φ219.1×6，PN2.5MPa管用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DN200 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DN150，Φ168.3×5，PN2.5MPa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DN150，Φ168.3×5，PN2.5MPa管用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不锈钢异径三通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DN150/DN65，Φ168.3×5/Φ73×4，PN2.5MPa管用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不锈钢大小头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DN150/DN80，Φ168.3×5/Φ88.9×5，PN2.5MPa管用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DN150，Φ168.3×5，PN2.5MPa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DN100，φ114×5，PN2.5MPa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DN100，φ114×5，PN2.5MPa管用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DN100 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DN80，φ88.9×5，PN2.5MPa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DN80，φ88.9×5，PN2.5MPa管用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DN80，φ88.9×5，PN2.5MPa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不锈钢等径三通</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DN80，φ88.9×5，PN2.5MPa管用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DN65，φ73×4，PN2.5MPa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DN65，φ73×4，PN2.5MPa管用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DN65，φ73×4，PN2.5MPa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DN50，φ60.3×4，PN2.5MPa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DN50，φ60.3×4，PN2.5MPa管用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不锈钢突面板式平焊法兰</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DN50，φ60.3×4，PN2.5MPa I系列</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DN25，φ33.7×3，PN2.5MPa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DN25，φ33.7×3，PN2.5MPa管用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DN15，φ21.3×3，PN2.5MPa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DN15，φ21.3×3，PN2.5MPa管用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不锈钢无缝钢管</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DN10，φ</w:t>
            </w:r>
            <w:r>
              <w:rPr>
                <w:rFonts w:ascii="Times New Roman" w:hAnsi="Times New Roman" w:cs="Times New Roman"/>
                <w:color w:val="auto"/>
                <w:sz w:val="20"/>
                <w:szCs w:val="20"/>
                <w:highlight w:val="none"/>
              </w:rPr>
              <w:t>17.</w:t>
            </w:r>
            <w:r>
              <w:rPr>
                <w:rFonts w:ascii="Times New Roman" w:hAnsi="Times New Roman" w:cs="Times New Roman"/>
                <w:color w:val="auto"/>
                <w:kern w:val="0"/>
                <w:sz w:val="20"/>
                <w:szCs w:val="20"/>
                <w:highlight w:val="none"/>
              </w:rPr>
              <w:t>2×3，PN2.5MPa</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m</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不锈钢90°短半径弯头</w:t>
            </w:r>
          </w:p>
        </w:tc>
        <w:tc>
          <w:tcPr>
            <w:tcW w:w="3025" w:type="dxa"/>
            <w:vAlign w:val="center"/>
          </w:tcPr>
          <w:p>
            <w:pPr>
              <w:widowControl/>
              <w:jc w:val="left"/>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DN10，φ17.2×3，PN2.5MPa管用</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个</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电气控制柜</w:t>
            </w:r>
          </w:p>
        </w:tc>
        <w:tc>
          <w:tcPr>
            <w:tcW w:w="3025"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　</w:t>
            </w: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各种规格管架及支撑</w:t>
            </w:r>
          </w:p>
        </w:tc>
        <w:tc>
          <w:tcPr>
            <w:tcW w:w="3025" w:type="dxa"/>
            <w:vAlign w:val="center"/>
          </w:tcPr>
          <w:p>
            <w:pPr>
              <w:widowControl/>
              <w:rPr>
                <w:rFonts w:ascii="Times New Roman" w:hAnsi="Times New Roman" w:cs="Times New Roman"/>
                <w:color w:val="auto"/>
                <w:kern w:val="0"/>
                <w:sz w:val="20"/>
                <w:szCs w:val="20"/>
                <w:highlight w:val="none"/>
              </w:rPr>
            </w:pP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技术供水系统调试(分部调试)</w:t>
            </w:r>
          </w:p>
        </w:tc>
        <w:tc>
          <w:tcPr>
            <w:tcW w:w="3025" w:type="dxa"/>
            <w:vAlign w:val="center"/>
          </w:tcPr>
          <w:p>
            <w:pPr>
              <w:widowControl/>
              <w:rPr>
                <w:rFonts w:ascii="Times New Roman" w:hAnsi="Times New Roman" w:cs="Times New Roman"/>
                <w:color w:val="auto"/>
                <w:kern w:val="0"/>
                <w:sz w:val="20"/>
                <w:szCs w:val="20"/>
                <w:highlight w:val="none"/>
              </w:rPr>
            </w:pP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9" w:type="dxa"/>
            <w:vAlign w:val="center"/>
          </w:tcPr>
          <w:p>
            <w:pPr>
              <w:pStyle w:val="93"/>
              <w:widowControl/>
              <w:numPr>
                <w:ilvl w:val="0"/>
                <w:numId w:val="10"/>
              </w:numPr>
              <w:ind w:firstLineChars="0"/>
              <w:jc w:val="center"/>
              <w:rPr>
                <w:rFonts w:ascii="Times New Roman" w:hAnsi="Times New Roman" w:cs="Times New Roman"/>
                <w:color w:val="auto"/>
                <w:kern w:val="0"/>
                <w:sz w:val="20"/>
                <w:szCs w:val="20"/>
                <w:highlight w:val="none"/>
              </w:rPr>
            </w:pPr>
          </w:p>
        </w:tc>
        <w:tc>
          <w:tcPr>
            <w:tcW w:w="2502" w:type="dxa"/>
            <w:vAlign w:val="center"/>
          </w:tcPr>
          <w:p>
            <w:pPr>
              <w:widowControl/>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其他未列明但必须包含项目</w:t>
            </w:r>
          </w:p>
        </w:tc>
        <w:tc>
          <w:tcPr>
            <w:tcW w:w="3025" w:type="dxa"/>
            <w:vAlign w:val="center"/>
          </w:tcPr>
          <w:p>
            <w:pPr>
              <w:widowControl/>
              <w:rPr>
                <w:rFonts w:ascii="Times New Roman" w:hAnsi="Times New Roman" w:cs="Times New Roman"/>
                <w:color w:val="auto"/>
                <w:kern w:val="0"/>
                <w:sz w:val="20"/>
                <w:szCs w:val="20"/>
                <w:highlight w:val="none"/>
              </w:rPr>
            </w:pPr>
          </w:p>
        </w:tc>
        <w:tc>
          <w:tcPr>
            <w:tcW w:w="886"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项</w:t>
            </w:r>
          </w:p>
        </w:tc>
        <w:tc>
          <w:tcPr>
            <w:tcW w:w="899" w:type="dxa"/>
            <w:vAlign w:val="center"/>
          </w:tcPr>
          <w:p>
            <w:pPr>
              <w:widowControl/>
              <w:jc w:val="center"/>
              <w:rPr>
                <w:rFonts w:ascii="Times New Roman" w:hAnsi="Times New Roman" w:cs="Times New Roman"/>
                <w:color w:val="auto"/>
                <w:kern w:val="0"/>
                <w:sz w:val="20"/>
                <w:szCs w:val="20"/>
                <w:highlight w:val="none"/>
              </w:rPr>
            </w:pPr>
            <w:r>
              <w:rPr>
                <w:rFonts w:ascii="Times New Roman" w:hAnsi="Times New Roman" w:cs="Times New Roman"/>
                <w:color w:val="auto"/>
                <w:kern w:val="0"/>
                <w:sz w:val="20"/>
                <w:szCs w:val="20"/>
                <w:highlight w:val="none"/>
              </w:rPr>
              <w:t>1</w:t>
            </w:r>
          </w:p>
        </w:tc>
      </w:tr>
    </w:tbl>
    <w:p>
      <w:pPr>
        <w:pStyle w:val="76"/>
        <w:ind w:firstLine="0" w:firstLineChars="0"/>
        <w:jc w:val="center"/>
        <w:outlineLvl w:val="1"/>
        <w:rPr>
          <w:b/>
          <w:bCs/>
          <w:color w:val="auto"/>
          <w:highlight w:val="none"/>
        </w:rPr>
      </w:pPr>
      <w:r>
        <w:rPr>
          <w:color w:val="auto"/>
          <w:highlight w:val="none"/>
        </w:rPr>
        <w:br w:type="page"/>
      </w:r>
      <w:r>
        <w:rPr>
          <w:b/>
          <w:bCs/>
          <w:color w:val="auto"/>
          <w:highlight w:val="none"/>
        </w:rPr>
        <w:t>附表7.2-</w:t>
      </w:r>
      <w:r>
        <w:rPr>
          <w:rFonts w:hint="eastAsia"/>
          <w:b/>
          <w:bCs/>
          <w:color w:val="auto"/>
          <w:highlight w:val="none"/>
        </w:rPr>
        <w:t>2</w:t>
      </w:r>
      <w:r>
        <w:rPr>
          <w:b/>
          <w:bCs/>
          <w:color w:val="auto"/>
          <w:highlight w:val="none"/>
        </w:rPr>
        <w:t xml:space="preserve"> </w:t>
      </w:r>
      <w:r>
        <w:rPr>
          <w:rFonts w:hint="eastAsia"/>
          <w:b/>
          <w:bCs/>
          <w:color w:val="auto"/>
          <w:highlight w:val="none"/>
        </w:rPr>
        <w:t>中压气系统</w:t>
      </w:r>
      <w:r>
        <w:rPr>
          <w:b/>
          <w:bCs/>
          <w:color w:val="auto"/>
          <w:highlight w:val="none"/>
        </w:rPr>
        <w:t>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中压空压机及单体控制柜</w:t>
            </w:r>
          </w:p>
        </w:tc>
        <w:tc>
          <w:tcPr>
            <w:tcW w:w="3025"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Q≥10m</w:t>
            </w:r>
            <w:r>
              <w:rPr>
                <w:rFonts w:ascii="Times New Roman" w:hAnsi="Times New Roman" w:cs="Times New Roman"/>
                <w:color w:val="auto"/>
                <w:szCs w:val="21"/>
                <w:highlight w:val="none"/>
                <w:vertAlign w:val="superscript"/>
              </w:rPr>
              <w:t>3</w:t>
            </w:r>
            <w:r>
              <w:rPr>
                <w:rFonts w:ascii="Times New Roman" w:hAnsi="Times New Roman" w:cs="Times New Roman"/>
                <w:color w:val="auto"/>
                <w:szCs w:val="21"/>
                <w:highlight w:val="none"/>
              </w:rPr>
              <w:t xml:space="preserve">/min  </w:t>
            </w:r>
            <w:r>
              <w:rPr>
                <w:rFonts w:hint="eastAsia" w:ascii="Times New Roman" w:hAnsi="Times New Roman" w:cs="Times New Roman"/>
                <w:color w:val="auto"/>
                <w:szCs w:val="21"/>
                <w:highlight w:val="none"/>
              </w:rPr>
              <w:t>P≥8.5MPa</w:t>
            </w:r>
          </w:p>
        </w:tc>
        <w:tc>
          <w:tcPr>
            <w:tcW w:w="88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台套</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中压空压机及其气水分离器、压力表等</w:t>
            </w:r>
          </w:p>
        </w:tc>
        <w:tc>
          <w:tcPr>
            <w:tcW w:w="3025"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Q＝10.0m</w:t>
            </w:r>
            <w:r>
              <w:rPr>
                <w:rFonts w:ascii="Times New Roman" w:hAnsi="Times New Roman" w:cs="Times New Roman"/>
                <w:color w:val="auto"/>
                <w:szCs w:val="21"/>
                <w:highlight w:val="none"/>
                <w:vertAlign w:val="superscript"/>
              </w:rPr>
              <w:t>3</w:t>
            </w:r>
            <w:r>
              <w:rPr>
                <w:rFonts w:ascii="Times New Roman" w:hAnsi="Times New Roman" w:cs="Times New Roman"/>
                <w:color w:val="auto"/>
                <w:szCs w:val="21"/>
                <w:highlight w:val="none"/>
              </w:rPr>
              <w:t xml:space="preserve">/min </w:t>
            </w:r>
            <w:r>
              <w:rPr>
                <w:rFonts w:hint="eastAsia" w:ascii="Times New Roman" w:hAnsi="Times New Roman" w:cs="Times New Roman"/>
                <w:color w:val="auto"/>
                <w:szCs w:val="21"/>
                <w:highlight w:val="none"/>
              </w:rPr>
              <w:t>，P=8.5MPa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低压储气罐及其安全阀、排污阀、压力表、压力变送器等</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V＝4.0m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，P＝0.8MPa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中压储气罐及其安全阀、排污阀、压力表、压力变送器等</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V＝4.0m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，P=8.4MPa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中压储气罐及其安全阀、排污阀、压力表、压力变送器等</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V＝10.0m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，P=8.4MPa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压力表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Y-150,范围0-8MPa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压力表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Y-150,范围0-8MPa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低压仪表阀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M20×1.5/(1/2")，PN1.6MPa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中压仪表阀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M20×1.5/(1/2")，PN10.0MPa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电磁空气阀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不锈钢止回阀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不锈钢止回阀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不锈钢电动球阀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不锈钢安全阀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DN50   PN100</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不锈钢减压阀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 xml:space="preserve">DN50   </w:t>
            </w:r>
            <w:r>
              <w:rPr>
                <w:rFonts w:hint="eastAsia" w:ascii="Times New Roman" w:hAnsi="Times New Roman" w:cs="Times New Roman"/>
                <w:color w:val="auto"/>
                <w:szCs w:val="21"/>
                <w:highlight w:val="none"/>
              </w:rPr>
              <w:t>PN100，减压比约8/0.8</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DN20   PN25</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DN15，φ</w:t>
            </w:r>
            <w:r>
              <w:rPr>
                <w:rFonts w:ascii="Times New Roman" w:hAnsi="Times New Roman" w:cs="Times New Roman"/>
                <w:color w:val="auto"/>
                <w:szCs w:val="21"/>
                <w:highlight w:val="none"/>
              </w:rPr>
              <w:t>21.3</w:t>
            </w:r>
            <w:r>
              <w:rPr>
                <w:rFonts w:hint="eastAsia" w:ascii="Times New Roman" w:hAnsi="Times New Roman" w:cs="Times New Roman"/>
                <w:color w:val="auto"/>
                <w:szCs w:val="21"/>
                <w:highlight w:val="none"/>
              </w:rPr>
              <w:t>×4.5，PN10.0MPa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DN15，φ</w:t>
            </w:r>
            <w:r>
              <w:rPr>
                <w:rFonts w:ascii="Times New Roman" w:hAnsi="Times New Roman" w:cs="Times New Roman"/>
                <w:color w:val="auto"/>
                <w:szCs w:val="21"/>
                <w:highlight w:val="none"/>
              </w:rPr>
              <w:t>21.3</w:t>
            </w:r>
            <w:r>
              <w:rPr>
                <w:rFonts w:hint="eastAsia" w:ascii="Times New Roman" w:hAnsi="Times New Roman" w:cs="Times New Roman"/>
                <w:color w:val="auto"/>
                <w:szCs w:val="21"/>
                <w:highlight w:val="none"/>
              </w:rPr>
              <w:t>×4.5，PN10.0MPa管用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不锈钢环连接面对焊法兰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DN15，φ</w:t>
            </w:r>
            <w:r>
              <w:rPr>
                <w:rFonts w:ascii="Times New Roman" w:hAnsi="Times New Roman" w:cs="Times New Roman"/>
                <w:color w:val="auto"/>
                <w:szCs w:val="21"/>
                <w:highlight w:val="none"/>
              </w:rPr>
              <w:t>21.3</w:t>
            </w:r>
            <w:r>
              <w:rPr>
                <w:rFonts w:hint="eastAsia" w:ascii="Times New Roman" w:hAnsi="Times New Roman" w:cs="Times New Roman"/>
                <w:color w:val="auto"/>
                <w:szCs w:val="21"/>
                <w:highlight w:val="none"/>
              </w:rPr>
              <w:t>×4.5，PN10.0MPa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DN20，Φ25×3，PN2.5MPa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DN20，Φ25×3，PN2.5MPa管用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DN20，Φ25×3，PN2.5MPa管用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DN25，φ</w:t>
            </w:r>
            <w:r>
              <w:rPr>
                <w:rFonts w:ascii="Times New Roman" w:hAnsi="Times New Roman" w:cs="Times New Roman"/>
                <w:color w:val="auto"/>
                <w:szCs w:val="21"/>
                <w:highlight w:val="none"/>
              </w:rPr>
              <w:t>33.7</w:t>
            </w:r>
            <w:r>
              <w:rPr>
                <w:rFonts w:hint="eastAsia" w:ascii="Times New Roman" w:hAnsi="Times New Roman" w:cs="Times New Roman"/>
                <w:color w:val="auto"/>
                <w:szCs w:val="21"/>
                <w:highlight w:val="none"/>
              </w:rPr>
              <w:t>×4.5，PN10.0MPa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DN25，φ</w:t>
            </w:r>
            <w:r>
              <w:rPr>
                <w:rFonts w:ascii="Times New Roman" w:hAnsi="Times New Roman" w:cs="Times New Roman"/>
                <w:color w:val="auto"/>
                <w:szCs w:val="21"/>
                <w:highlight w:val="none"/>
              </w:rPr>
              <w:t>33.7</w:t>
            </w:r>
            <w:r>
              <w:rPr>
                <w:rFonts w:hint="eastAsia" w:ascii="Times New Roman" w:hAnsi="Times New Roman" w:cs="Times New Roman"/>
                <w:color w:val="auto"/>
                <w:szCs w:val="21"/>
                <w:highlight w:val="none"/>
              </w:rPr>
              <w:t>×4.5，PN10.0MPa管用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不锈钢环连接面对焊法兰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DN25，φ</w:t>
            </w:r>
            <w:r>
              <w:rPr>
                <w:rFonts w:ascii="Times New Roman" w:hAnsi="Times New Roman" w:cs="Times New Roman"/>
                <w:color w:val="auto"/>
                <w:szCs w:val="21"/>
                <w:highlight w:val="none"/>
              </w:rPr>
              <w:t>33.7</w:t>
            </w:r>
            <w:r>
              <w:rPr>
                <w:rFonts w:hint="eastAsia" w:ascii="Times New Roman" w:hAnsi="Times New Roman" w:cs="Times New Roman"/>
                <w:color w:val="auto"/>
                <w:szCs w:val="21"/>
                <w:highlight w:val="none"/>
              </w:rPr>
              <w:t>×4.5，PN10.0MPa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伸缩节</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不锈钢环连接面对焊法兰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伸缩节</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×8，PN10.0MPa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×8，PN10.0MPa管用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不锈钢环连接面对焊法兰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×8，PN10.0MPa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不锈钢环连接面对焊法兰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伸缩节</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现地电气控制柜</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r>
              <w:rPr>
                <w:rFonts w:hint="eastAsia" w:ascii="Times New Roman" w:hAnsi="Times New Roman" w:cs="Times New Roman"/>
                <w:color w:val="auto"/>
                <w:szCs w:val="21"/>
                <w:highlight w:val="none"/>
              </w:rPr>
              <w:t>台单机启动柜及联动控制柜</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系统内电缆</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各种规格管夹及支撑</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中压气系统各种规格的管夹及支撑</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中压气系统调试</w:t>
            </w: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rPr>
              <w:t>分部调试</w:t>
            </w:r>
            <w:r>
              <w:rPr>
                <w:rFonts w:ascii="Times New Roman" w:hAnsi="Times New Roman" w:cs="Times New Roman"/>
                <w:color w:val="auto"/>
                <w:szCs w:val="21"/>
                <w:highlight w:val="none"/>
              </w:rPr>
              <w:t>)</w:t>
            </w:r>
          </w:p>
        </w:tc>
        <w:tc>
          <w:tcPr>
            <w:tcW w:w="3025" w:type="dxa"/>
            <w:vAlign w:val="center"/>
          </w:tcPr>
          <w:p>
            <w:pPr>
              <w:widowControl/>
              <w:jc w:val="left"/>
              <w:rPr>
                <w:rFonts w:ascii="Times New Roman" w:hAnsi="Times New Roman" w:cs="Times New Roman"/>
                <w:color w:val="auto"/>
                <w:szCs w:val="21"/>
                <w:highlight w:val="none"/>
              </w:rPr>
            </w:pPr>
          </w:p>
        </w:tc>
        <w:tc>
          <w:tcPr>
            <w:tcW w:w="88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1"/>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szCs w:val="21"/>
                <w:highlight w:val="none"/>
              </w:rPr>
            </w:pPr>
          </w:p>
        </w:tc>
        <w:tc>
          <w:tcPr>
            <w:tcW w:w="88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bl>
    <w:p>
      <w:pPr>
        <w:rPr>
          <w:color w:val="auto"/>
          <w:highlight w:val="none"/>
        </w:rPr>
      </w:pPr>
      <w:r>
        <w:rPr>
          <w:color w:val="auto"/>
          <w:highlight w:val="none"/>
        </w:rPr>
        <w:br w:type="page"/>
      </w:r>
    </w:p>
    <w:p>
      <w:pPr>
        <w:pStyle w:val="76"/>
        <w:ind w:firstLine="0" w:firstLineChars="0"/>
        <w:jc w:val="center"/>
        <w:outlineLvl w:val="1"/>
        <w:rPr>
          <w:color w:val="auto"/>
          <w:highlight w:val="none"/>
        </w:rPr>
      </w:pPr>
      <w:r>
        <w:rPr>
          <w:color w:val="auto"/>
          <w:highlight w:val="none"/>
        </w:rPr>
        <w:t>附表7.2-</w:t>
      </w:r>
      <w:r>
        <w:rPr>
          <w:rFonts w:hint="eastAsia"/>
          <w:color w:val="auto"/>
          <w:highlight w:val="none"/>
        </w:rPr>
        <w:t>3</w:t>
      </w:r>
      <w:r>
        <w:rPr>
          <w:color w:val="auto"/>
          <w:highlight w:val="none"/>
        </w:rPr>
        <w:t xml:space="preserve"> </w:t>
      </w:r>
      <w:r>
        <w:rPr>
          <w:rFonts w:hint="eastAsia"/>
          <w:color w:val="auto"/>
          <w:highlight w:val="none"/>
        </w:rPr>
        <w:t>水力量测系统</w:t>
      </w:r>
      <w:r>
        <w:rPr>
          <w:color w:val="auto"/>
          <w:highlight w:val="none"/>
        </w:rPr>
        <w:t>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上水库水位量测装置</w:t>
            </w:r>
          </w:p>
        </w:tc>
        <w:tc>
          <w:tcPr>
            <w:tcW w:w="3025"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投入式，0m～50m，精度±10mm</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下水库水位量测装置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投入式，0m～40m，精度±10mm</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上水库水位量测装置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投入式，0m～50m，精度±10mm，带开关量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下水库水位量测装置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投入式，0m～40m，精度±10mm，带开关量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水库水温量测装置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投入式，0℃～50℃，精度1%</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上水库闸门平压用水位量测装置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投入式，0m～70m，精度±10mm</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下水库闸门平压用水位量测装置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投入式，0m～60m，精度±10mm</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拦污栅压差用水位量测装置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投入式，0m～50m，精度±10mm</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水淹厂房报警装置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套筒式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差压变送器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尾闸水压测量压力变送器及相关埋管、明管、管件、管架等</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接线盒、电缆等</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尾水调压室水位量测装置</w:t>
            </w:r>
          </w:p>
        </w:tc>
        <w:tc>
          <w:tcPr>
            <w:tcW w:w="3025" w:type="dxa"/>
            <w:vAlign w:val="center"/>
          </w:tcPr>
          <w:p>
            <w:pPr>
              <w:widowControl/>
              <w:jc w:val="lef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投入式，0m～90m，精度±10mm</w:t>
            </w:r>
          </w:p>
        </w:tc>
        <w:tc>
          <w:tcPr>
            <w:tcW w:w="88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水力测量系统(分部调试)</w:t>
            </w:r>
          </w:p>
        </w:tc>
        <w:tc>
          <w:tcPr>
            <w:tcW w:w="3025" w:type="dxa"/>
            <w:vAlign w:val="center"/>
          </w:tcPr>
          <w:p>
            <w:pPr>
              <w:widowControl/>
              <w:jc w:val="left"/>
              <w:rPr>
                <w:rFonts w:ascii="Times New Roman" w:hAnsi="Times New Roman" w:cs="Times New Roman"/>
                <w:color w:val="auto"/>
                <w:szCs w:val="21"/>
                <w:highlight w:val="none"/>
              </w:rPr>
            </w:pPr>
          </w:p>
        </w:tc>
        <w:tc>
          <w:tcPr>
            <w:tcW w:w="886" w:type="dxa"/>
            <w:vAlign w:val="center"/>
          </w:tcPr>
          <w:p>
            <w:pPr>
              <w:widowControl/>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2"/>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szCs w:val="21"/>
                <w:highlight w:val="none"/>
              </w:rPr>
            </w:pPr>
          </w:p>
        </w:tc>
        <w:tc>
          <w:tcPr>
            <w:tcW w:w="886" w:type="dxa"/>
            <w:vAlign w:val="center"/>
          </w:tcPr>
          <w:p>
            <w:pPr>
              <w:widowControl/>
              <w:jc w:val="center"/>
              <w:rPr>
                <w:rFonts w:ascii="Times New Roman" w:hAnsi="Times New Roman" w:cs="Times New Roman"/>
                <w:color w:val="auto"/>
                <w:szCs w:val="21"/>
                <w:highlight w:val="none"/>
              </w:rPr>
            </w:pPr>
            <w:r>
              <w:rPr>
                <w:rFonts w:hint="eastAsia" w:cs="Times New Roman"/>
                <w:color w:val="auto"/>
                <w:sz w:val="18"/>
                <w:szCs w:val="18"/>
                <w:highlight w:val="none"/>
              </w:rPr>
              <w:t>项</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 w:val="18"/>
                <w:szCs w:val="18"/>
                <w:highlight w:val="none"/>
              </w:rPr>
              <w:t>1</w:t>
            </w:r>
          </w:p>
        </w:tc>
      </w:tr>
    </w:tbl>
    <w:p>
      <w:pPr>
        <w:pStyle w:val="76"/>
        <w:ind w:firstLine="0" w:firstLineChars="0"/>
        <w:jc w:val="center"/>
        <w:outlineLvl w:val="1"/>
        <w:rPr>
          <w:b/>
          <w:bCs/>
          <w:color w:val="auto"/>
          <w:highlight w:val="none"/>
        </w:rPr>
      </w:pPr>
      <w:r>
        <w:rPr>
          <w:color w:val="auto"/>
          <w:highlight w:val="none"/>
        </w:rPr>
        <w:br w:type="page"/>
      </w:r>
      <w:r>
        <w:rPr>
          <w:b/>
          <w:bCs/>
          <w:color w:val="auto"/>
          <w:highlight w:val="none"/>
        </w:rPr>
        <w:t>附表7.2-</w:t>
      </w:r>
      <w:r>
        <w:rPr>
          <w:rFonts w:hint="eastAsia"/>
          <w:b/>
          <w:bCs/>
          <w:color w:val="auto"/>
          <w:highlight w:val="none"/>
        </w:rPr>
        <w:t>4</w:t>
      </w:r>
      <w:r>
        <w:rPr>
          <w:b/>
          <w:bCs/>
          <w:color w:val="auto"/>
          <w:highlight w:val="none"/>
        </w:rPr>
        <w:t xml:space="preserve"> </w:t>
      </w:r>
      <w:r>
        <w:rPr>
          <w:rFonts w:hint="eastAsia"/>
          <w:b/>
          <w:bCs/>
          <w:color w:val="auto"/>
          <w:highlight w:val="none"/>
        </w:rPr>
        <w:t>油系统</w:t>
      </w:r>
      <w:r>
        <w:rPr>
          <w:b/>
          <w:bCs/>
          <w:color w:val="auto"/>
          <w:highlight w:val="none"/>
        </w:rPr>
        <w:t>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   PN25</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DN65   PN25</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不锈钢验油阀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   PN25</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机组轴承透平油罐</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V=30m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屋内立式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调速器透平油罐</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V=10m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屋内立式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透平油真空滤油机</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Q=150l/min</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板式滤纸式压力滤油机</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Q=200l/min</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手推式齿轮油泵（带滤芯、漏油托盘）</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Q=12m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/h，P=0.36MPa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滤纸烘箱</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不锈钢快速活接头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DN65，PN1.0MPa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透平油软管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 xml:space="preserve">DN65 PN1.0MPa  </w:t>
            </w:r>
            <w:r>
              <w:rPr>
                <w:rFonts w:hint="eastAsia" w:ascii="Times New Roman" w:hAnsi="Times New Roman" w:cs="Times New Roman"/>
                <w:color w:val="auto"/>
                <w:szCs w:val="21"/>
                <w:highlight w:val="none"/>
              </w:rPr>
              <w:t>L=5m带活接头</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绝缘油真空滤油机</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 xml:space="preserve">Q=150l/min </w:t>
            </w:r>
            <w:r>
              <w:rPr>
                <w:rFonts w:hint="eastAsia" w:ascii="Times New Roman" w:hAnsi="Times New Roman" w:cs="Times New Roman"/>
                <w:color w:val="auto"/>
                <w:szCs w:val="21"/>
                <w:highlight w:val="none"/>
              </w:rPr>
              <w:t>P≤0.5MPa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移动式绝缘油箱</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V=25m</w:t>
            </w:r>
            <w:r>
              <w:rPr>
                <w:rFonts w:ascii="Times New Roman" w:hAnsi="Times New Roman" w:cs="Times New Roman"/>
                <w:color w:val="auto"/>
                <w:szCs w:val="21"/>
                <w:highlight w:val="none"/>
                <w:vertAlign w:val="superscript"/>
              </w:rPr>
              <w:t>3</w:t>
            </w:r>
            <w:r>
              <w:rPr>
                <w:rFonts w:hint="eastAsia" w:ascii="Times New Roman" w:hAnsi="Times New Roman" w:cs="Times New Roman"/>
                <w:color w:val="auto"/>
                <w:szCs w:val="21"/>
                <w:highlight w:val="none"/>
              </w:rPr>
              <w:t>屋内卧式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DN65，φ</w:t>
            </w:r>
            <w:r>
              <w:rPr>
                <w:rFonts w:ascii="Times New Roman" w:hAnsi="Times New Roman" w:cs="Times New Roman"/>
                <w:color w:val="auto"/>
                <w:szCs w:val="21"/>
                <w:highlight w:val="none"/>
              </w:rPr>
              <w:t>73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DN65，φ</w:t>
            </w:r>
            <w:r>
              <w:rPr>
                <w:rFonts w:ascii="Times New Roman" w:hAnsi="Times New Roman" w:cs="Times New Roman"/>
                <w:color w:val="auto"/>
                <w:szCs w:val="21"/>
                <w:highlight w:val="none"/>
              </w:rPr>
              <w:t>73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DN65，φ</w:t>
            </w:r>
            <w:r>
              <w:rPr>
                <w:rFonts w:ascii="Times New Roman" w:hAnsi="Times New Roman" w:cs="Times New Roman"/>
                <w:color w:val="auto"/>
                <w:szCs w:val="21"/>
                <w:highlight w:val="none"/>
              </w:rPr>
              <w:t>73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DN65，φ</w:t>
            </w:r>
            <w:r>
              <w:rPr>
                <w:rFonts w:ascii="Times New Roman" w:hAnsi="Times New Roman" w:cs="Times New Roman"/>
                <w:color w:val="auto"/>
                <w:szCs w:val="21"/>
                <w:highlight w:val="none"/>
              </w:rPr>
              <w:t>73</w:t>
            </w:r>
            <w:r>
              <w:rPr>
                <w:rFonts w:hint="eastAsia" w:ascii="Times New Roman" w:hAnsi="Times New Roman" w:cs="Times New Roman"/>
                <w:color w:val="auto"/>
                <w:szCs w:val="21"/>
                <w:highlight w:val="none"/>
              </w:rPr>
              <w:t>×4，PN2.5MPa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DN15，φ</w:t>
            </w:r>
            <w:r>
              <w:rPr>
                <w:rFonts w:ascii="Times New Roman" w:hAnsi="Times New Roman" w:cs="Times New Roman"/>
                <w:color w:val="auto"/>
                <w:szCs w:val="21"/>
                <w:highlight w:val="none"/>
              </w:rPr>
              <w:t>21.3</w:t>
            </w:r>
            <w:r>
              <w:rPr>
                <w:rFonts w:hint="eastAsia" w:ascii="Times New Roman" w:hAnsi="Times New Roman" w:cs="Times New Roman"/>
                <w:color w:val="auto"/>
                <w:szCs w:val="21"/>
                <w:highlight w:val="none"/>
              </w:rPr>
              <w:t>×3，PN2.5MPa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各种规格管夹及支撑</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透平油系统各种规格的管夹及支撑</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各系统设备透平油化验费</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3"/>
              </w:numPr>
              <w:ind w:firstLineChars="0"/>
              <w:jc w:val="center"/>
              <w:rPr>
                <w:rFonts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rPr>
              <w:t>　</w:t>
            </w: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bl>
    <w:p>
      <w:pPr>
        <w:pStyle w:val="76"/>
        <w:ind w:firstLine="0" w:firstLineChars="0"/>
        <w:jc w:val="center"/>
        <w:rPr>
          <w:color w:val="auto"/>
          <w:highlight w:val="none"/>
        </w:rPr>
      </w:pPr>
    </w:p>
    <w:p>
      <w:pPr>
        <w:pStyle w:val="76"/>
        <w:ind w:firstLine="0" w:firstLineChars="0"/>
        <w:jc w:val="center"/>
        <w:outlineLvl w:val="1"/>
        <w:rPr>
          <w:b/>
          <w:bCs/>
          <w:color w:val="auto"/>
          <w:highlight w:val="none"/>
        </w:rPr>
      </w:pPr>
      <w:r>
        <w:rPr>
          <w:color w:val="auto"/>
          <w:highlight w:val="none"/>
        </w:rPr>
        <w:br w:type="page"/>
      </w:r>
      <w:r>
        <w:rPr>
          <w:b/>
          <w:bCs/>
          <w:color w:val="auto"/>
          <w:highlight w:val="none"/>
        </w:rPr>
        <w:t>附表7.2-</w:t>
      </w:r>
      <w:r>
        <w:rPr>
          <w:rFonts w:hint="eastAsia"/>
          <w:b/>
          <w:bCs/>
          <w:color w:val="auto"/>
          <w:highlight w:val="none"/>
        </w:rPr>
        <w:t>5</w:t>
      </w:r>
      <w:r>
        <w:rPr>
          <w:b/>
          <w:bCs/>
          <w:color w:val="auto"/>
          <w:highlight w:val="none"/>
        </w:rPr>
        <w:t xml:space="preserve"> </w:t>
      </w:r>
      <w:r>
        <w:rPr>
          <w:rFonts w:hint="eastAsia"/>
          <w:b/>
          <w:bCs/>
          <w:color w:val="auto"/>
          <w:highlight w:val="none"/>
        </w:rPr>
        <w:t>排水系统</w:t>
      </w:r>
      <w:r>
        <w:rPr>
          <w:b/>
          <w:bCs/>
          <w:color w:val="auto"/>
          <w:highlight w:val="none"/>
        </w:rPr>
        <w:t>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压力钢管排水针形阀</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DN200, 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不锈钢金属硬密封球阀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不锈钢金属硬密封球阀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DN8</w:t>
            </w:r>
            <w:r>
              <w:rPr>
                <w:rFonts w:hint="eastAsia" w:ascii="Times New Roman" w:hAnsi="Times New Roman" w:cs="Times New Roman"/>
                <w:color w:val="auto"/>
                <w:szCs w:val="21"/>
                <w:highlight w:val="none"/>
              </w:rPr>
              <w:t>0，PN10.0MPa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机组检修排水不锈钢闸阀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焊接式快速接头</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 xml:space="preserve"> G 1/4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xml:space="preserve"> 套 </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不锈钢异径三通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DN200/DN50，Φ2</w:t>
            </w:r>
            <w:r>
              <w:rPr>
                <w:rFonts w:ascii="Times New Roman" w:hAnsi="Times New Roman" w:cs="Times New Roman"/>
                <w:color w:val="auto"/>
                <w:szCs w:val="21"/>
                <w:highlight w:val="none"/>
              </w:rPr>
              <w:t>19.1×14/Φ60.3</w:t>
            </w:r>
            <w:r>
              <w:rPr>
                <w:rFonts w:hint="eastAsia" w:ascii="Times New Roman" w:hAnsi="Times New Roman" w:cs="Times New Roman"/>
                <w:color w:val="auto"/>
                <w:szCs w:val="21"/>
                <w:highlight w:val="none"/>
              </w:rPr>
              <w:t>×6，PN10.0MPa管用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DN300，φ</w:t>
            </w:r>
            <w:r>
              <w:rPr>
                <w:rFonts w:ascii="Times New Roman" w:hAnsi="Times New Roman" w:cs="Times New Roman"/>
                <w:color w:val="auto"/>
                <w:szCs w:val="21"/>
                <w:highlight w:val="none"/>
              </w:rPr>
              <w:t>323.9×8</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DN300，φ</w:t>
            </w:r>
            <w:r>
              <w:rPr>
                <w:rFonts w:ascii="Times New Roman" w:hAnsi="Times New Roman" w:cs="Times New Roman"/>
                <w:color w:val="auto"/>
                <w:szCs w:val="21"/>
                <w:highlight w:val="none"/>
              </w:rPr>
              <w:t>323.9×8</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压力钢管排水针形阀</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DN200, 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不锈钢金属硬密封球阀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不锈钢金属硬密封球阀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DN8</w:t>
            </w:r>
            <w:r>
              <w:rPr>
                <w:rFonts w:hint="eastAsia" w:ascii="Times New Roman" w:hAnsi="Times New Roman" w:cs="Times New Roman"/>
                <w:color w:val="auto"/>
                <w:szCs w:val="21"/>
                <w:highlight w:val="none"/>
              </w:rPr>
              <w:t>0，PN10.0MPa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机组检修排水不锈钢闸阀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焊接式快速接头</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 xml:space="preserve"> G 1/4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xml:space="preserve"> 套 </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不锈钢突面板式平焊法兰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DN400，φ</w:t>
            </w:r>
            <w:r>
              <w:rPr>
                <w:rFonts w:ascii="Times New Roman" w:hAnsi="Times New Roman" w:cs="Times New Roman"/>
                <w:color w:val="auto"/>
                <w:szCs w:val="21"/>
                <w:highlight w:val="none"/>
              </w:rPr>
              <w:t>406×10</w:t>
            </w:r>
            <w:r>
              <w:rPr>
                <w:rFonts w:hint="eastAsia" w:ascii="Times New Roman" w:hAnsi="Times New Roman" w:cs="Times New Roman"/>
                <w:color w:val="auto"/>
                <w:szCs w:val="21"/>
                <w:highlight w:val="none"/>
              </w:rPr>
              <w:t>，PN2.5MPa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不锈钢异径三通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DN200/DN50，Φ2</w:t>
            </w:r>
            <w:r>
              <w:rPr>
                <w:rFonts w:ascii="Times New Roman" w:hAnsi="Times New Roman" w:cs="Times New Roman"/>
                <w:color w:val="auto"/>
                <w:szCs w:val="21"/>
                <w:highlight w:val="none"/>
              </w:rPr>
              <w:t>19.1×14/Φ60.3</w:t>
            </w:r>
            <w:r>
              <w:rPr>
                <w:rFonts w:hint="eastAsia" w:ascii="Times New Roman" w:hAnsi="Times New Roman" w:cs="Times New Roman"/>
                <w:color w:val="auto"/>
                <w:szCs w:val="21"/>
                <w:highlight w:val="none"/>
              </w:rPr>
              <w:t>×6，PN10.0MPa管用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219.1×14</w:t>
            </w:r>
            <w:r>
              <w:rPr>
                <w:rFonts w:hint="eastAsia" w:ascii="Times New Roman" w:hAnsi="Times New Roman" w:cs="Times New Roman"/>
                <w:color w:val="auto"/>
                <w:szCs w:val="21"/>
                <w:highlight w:val="none"/>
              </w:rPr>
              <w:t>，PN10.0MPa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DN80，φ</w:t>
            </w:r>
            <w:r>
              <w:rPr>
                <w:rFonts w:ascii="Times New Roman" w:hAnsi="Times New Roman" w:cs="Times New Roman"/>
                <w:color w:val="auto"/>
                <w:szCs w:val="21"/>
                <w:highlight w:val="none"/>
              </w:rPr>
              <w:t>88.9</w:t>
            </w:r>
            <w:r>
              <w:rPr>
                <w:rFonts w:hint="eastAsia" w:ascii="Times New Roman" w:hAnsi="Times New Roman" w:cs="Times New Roman"/>
                <w:color w:val="auto"/>
                <w:szCs w:val="21"/>
                <w:highlight w:val="none"/>
              </w:rPr>
              <w:t>×7，PN10.0MPa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不锈钢突面带颈平焊法兰</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×6，PN10.0MPa I系列</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DN300，φ</w:t>
            </w:r>
            <w:r>
              <w:rPr>
                <w:rFonts w:ascii="Times New Roman" w:hAnsi="Times New Roman" w:cs="Times New Roman"/>
                <w:color w:val="auto"/>
                <w:szCs w:val="21"/>
                <w:highlight w:val="none"/>
              </w:rPr>
              <w:t>323.9×8</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DN300，φ</w:t>
            </w:r>
            <w:r>
              <w:rPr>
                <w:rFonts w:ascii="Times New Roman" w:hAnsi="Times New Roman" w:cs="Times New Roman"/>
                <w:color w:val="auto"/>
                <w:szCs w:val="21"/>
                <w:highlight w:val="none"/>
              </w:rPr>
              <w:t>323.9×8</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DN200，φ</w:t>
            </w:r>
            <w:r>
              <w:rPr>
                <w:rFonts w:ascii="Times New Roman" w:hAnsi="Times New Roman" w:cs="Times New Roman"/>
                <w:color w:val="auto"/>
                <w:szCs w:val="21"/>
                <w:highlight w:val="none"/>
              </w:rPr>
              <w:t>219.1×6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DN50，φ</w:t>
            </w:r>
            <w:r>
              <w:rPr>
                <w:rFonts w:ascii="Times New Roman" w:hAnsi="Times New Roman" w:cs="Times New Roman"/>
                <w:color w:val="auto"/>
                <w:szCs w:val="21"/>
                <w:highlight w:val="none"/>
              </w:rPr>
              <w:t>60.3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DN40，φ</w:t>
            </w:r>
            <w:r>
              <w:rPr>
                <w:rFonts w:ascii="Times New Roman" w:hAnsi="Times New Roman" w:cs="Times New Roman"/>
                <w:color w:val="auto"/>
                <w:szCs w:val="21"/>
                <w:highlight w:val="none"/>
              </w:rPr>
              <w:t>48.3×4</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DN150，φ</w:t>
            </w:r>
            <w:r>
              <w:rPr>
                <w:rFonts w:ascii="Times New Roman" w:hAnsi="Times New Roman" w:cs="Times New Roman"/>
                <w:color w:val="auto"/>
                <w:szCs w:val="21"/>
                <w:highlight w:val="none"/>
              </w:rPr>
              <w:t>168.3</w:t>
            </w:r>
            <w:r>
              <w:rPr>
                <w:rFonts w:hint="eastAsia" w:ascii="Times New Roman" w:hAnsi="Times New Roman" w:cs="Times New Roman"/>
                <w:color w:val="auto"/>
                <w:szCs w:val="21"/>
                <w:highlight w:val="none"/>
              </w:rPr>
              <w:t>×12，PN10MPa管用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4"/>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bl>
    <w:p>
      <w:pPr>
        <w:ind w:firstLineChars="0"/>
        <w:jc w:val="center"/>
        <w:outlineLvl w:val="1"/>
        <w:rPr>
          <w:b/>
          <w:bCs/>
          <w:color w:val="auto"/>
          <w:highlight w:val="none"/>
        </w:rPr>
      </w:pPr>
      <w:r>
        <w:rPr>
          <w:color w:val="auto"/>
          <w:highlight w:val="none"/>
        </w:rPr>
        <w:br w:type="page"/>
      </w:r>
      <w:r>
        <w:rPr>
          <w:b/>
          <w:bCs/>
          <w:color w:val="auto"/>
          <w:highlight w:val="none"/>
        </w:rPr>
        <w:t>附表7.2-</w:t>
      </w:r>
      <w:r>
        <w:rPr>
          <w:rFonts w:hint="eastAsia"/>
          <w:b/>
          <w:bCs/>
          <w:color w:val="auto"/>
          <w:highlight w:val="none"/>
        </w:rPr>
        <w:t>6</w:t>
      </w:r>
      <w:r>
        <w:rPr>
          <w:b/>
          <w:bCs/>
          <w:color w:val="auto"/>
          <w:highlight w:val="none"/>
        </w:rPr>
        <w:t xml:space="preserve"> </w:t>
      </w:r>
      <w:r>
        <w:rPr>
          <w:rFonts w:hint="eastAsia"/>
          <w:b/>
          <w:bCs/>
          <w:color w:val="auto"/>
          <w:highlight w:val="none"/>
        </w:rPr>
        <w:t>油污水处理系统</w:t>
      </w:r>
      <w:r>
        <w:rPr>
          <w:b/>
          <w:bCs/>
          <w:color w:val="auto"/>
          <w:highlight w:val="none"/>
        </w:rPr>
        <w:t>主要设备、阀门、管路、自动化元件清单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含油污水真空分离净化机</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30m</w:t>
            </w:r>
            <w:r>
              <w:rPr>
                <w:rFonts w:ascii="Times New Roman" w:hAnsi="Times New Roman" w:cs="Times New Roman"/>
                <w:color w:val="auto"/>
                <w:szCs w:val="21"/>
                <w:highlight w:val="none"/>
                <w:vertAlign w:val="superscript"/>
              </w:rPr>
              <w:t>3</w:t>
            </w:r>
            <w:r>
              <w:rPr>
                <w:rFonts w:ascii="Times New Roman" w:hAnsi="Times New Roman" w:cs="Times New Roman"/>
                <w:color w:val="auto"/>
                <w:szCs w:val="21"/>
                <w:highlight w:val="none"/>
              </w:rPr>
              <w:t>/h</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含油污水提升泵</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压力表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Y-150，PN2.5MPa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三通旋塞阀</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M20×1.5/(1/2")，PN2.5MPa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液位信号器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开关量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液位变送器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模拟量</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废油罐</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3m</w:t>
            </w:r>
            <w:r>
              <w:rPr>
                <w:rFonts w:ascii="Times New Roman" w:hAnsi="Times New Roman" w:cs="Times New Roman"/>
                <w:color w:val="auto"/>
                <w:szCs w:val="21"/>
                <w:highlight w:val="none"/>
                <w:vertAlign w:val="superscript"/>
              </w:rPr>
              <w:t>3</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电动排油泵</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止回阀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DN40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止回阀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DN100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DN25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DN40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DN80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DN100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过滤器</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不锈钢电动球阀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 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浮油吸收装置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Φ406×10</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管路连接件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Φ323.9×8，PN2.5MPa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管路连接件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DN300，PN2.5MPa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Φ273×8，PN2.5MPa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管路连接件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Φ168.3</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管路连接件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DN150，PN2.5MPa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Φ114</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管路连接件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Φ88.9</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阀门及管路的连接件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DN80，PN2.5MPa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Φ60.3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阀门及管路的连接件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DN50，PN2.5MPa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Φ48.3×4</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阀门及管路的连接件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DN40，PN2.5MPa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Φ33.7</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阀门及管路的连接件</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DN25，PN2.5MPa</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排水泵</w:t>
            </w:r>
          </w:p>
        </w:tc>
        <w:tc>
          <w:tcPr>
            <w:tcW w:w="3025" w:type="dxa"/>
            <w:vAlign w:val="center"/>
          </w:tcPr>
          <w:p>
            <w:pPr>
              <w:pStyle w:val="162"/>
              <w:adjustRightInd w:val="0"/>
              <w:snapToGrid w:val="0"/>
              <w:jc w:val="lef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Q=30m3/h; H=75</w:t>
            </w:r>
          </w:p>
        </w:tc>
        <w:tc>
          <w:tcPr>
            <w:tcW w:w="886"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台</w:t>
            </w:r>
          </w:p>
        </w:tc>
        <w:tc>
          <w:tcPr>
            <w:tcW w:w="899"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不锈钢泵控阀</w:t>
            </w:r>
          </w:p>
        </w:tc>
        <w:tc>
          <w:tcPr>
            <w:tcW w:w="3025" w:type="dxa"/>
            <w:vAlign w:val="center"/>
          </w:tcPr>
          <w:p>
            <w:pPr>
              <w:pStyle w:val="162"/>
              <w:adjustRightInd w:val="0"/>
              <w:snapToGrid w:val="0"/>
              <w:jc w:val="lef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DN100</w:t>
            </w:r>
            <w:r>
              <w:rPr>
                <w:rFonts w:hint="eastAsia" w:ascii="Times New Roman" w:hAnsi="Times New Roman" w:cs="Times New Roman"/>
                <w:color w:val="auto"/>
                <w:sz w:val="21"/>
                <w:szCs w:val="21"/>
                <w:highlight w:val="none"/>
              </w:rPr>
              <w:t>，</w:t>
            </w:r>
            <w:r>
              <w:rPr>
                <w:rFonts w:ascii="Times New Roman" w:hAnsi="Times New Roman" w:cs="Times New Roman"/>
                <w:color w:val="auto"/>
                <w:sz w:val="21"/>
                <w:szCs w:val="21"/>
                <w:highlight w:val="none"/>
              </w:rPr>
              <w:t>PN2.5MPa</w:t>
            </w:r>
          </w:p>
        </w:tc>
        <w:tc>
          <w:tcPr>
            <w:tcW w:w="886"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个</w:t>
            </w:r>
          </w:p>
        </w:tc>
        <w:tc>
          <w:tcPr>
            <w:tcW w:w="899"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不锈钢电动球阀</w:t>
            </w:r>
          </w:p>
        </w:tc>
        <w:tc>
          <w:tcPr>
            <w:tcW w:w="3025" w:type="dxa"/>
            <w:vAlign w:val="center"/>
          </w:tcPr>
          <w:p>
            <w:pPr>
              <w:pStyle w:val="162"/>
              <w:adjustRightInd w:val="0"/>
              <w:snapToGrid w:val="0"/>
              <w:jc w:val="lef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DN100</w:t>
            </w:r>
            <w:r>
              <w:rPr>
                <w:rFonts w:hint="eastAsia" w:ascii="Times New Roman" w:hAnsi="Times New Roman" w:cs="Times New Roman"/>
                <w:color w:val="auto"/>
                <w:sz w:val="21"/>
                <w:szCs w:val="21"/>
                <w:highlight w:val="none"/>
              </w:rPr>
              <w:t>，</w:t>
            </w:r>
            <w:r>
              <w:rPr>
                <w:rFonts w:ascii="Times New Roman" w:hAnsi="Times New Roman" w:cs="Times New Roman"/>
                <w:color w:val="auto"/>
                <w:sz w:val="21"/>
                <w:szCs w:val="21"/>
                <w:highlight w:val="none"/>
              </w:rPr>
              <w:t>PN2.5MPa</w:t>
            </w:r>
          </w:p>
        </w:tc>
        <w:tc>
          <w:tcPr>
            <w:tcW w:w="886"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个</w:t>
            </w:r>
          </w:p>
        </w:tc>
        <w:tc>
          <w:tcPr>
            <w:tcW w:w="899"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不锈钢法兰</w:t>
            </w:r>
          </w:p>
        </w:tc>
        <w:tc>
          <w:tcPr>
            <w:tcW w:w="3025" w:type="dxa"/>
            <w:vAlign w:val="center"/>
          </w:tcPr>
          <w:p>
            <w:pPr>
              <w:pStyle w:val="162"/>
              <w:adjustRightInd w:val="0"/>
              <w:snapToGrid w:val="0"/>
              <w:jc w:val="lef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DN100，PN2.5MPa</w:t>
            </w:r>
          </w:p>
        </w:tc>
        <w:tc>
          <w:tcPr>
            <w:tcW w:w="886"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对</w:t>
            </w:r>
          </w:p>
        </w:tc>
        <w:tc>
          <w:tcPr>
            <w:tcW w:w="899" w:type="dxa"/>
            <w:vAlign w:val="center"/>
          </w:tcPr>
          <w:p>
            <w:pPr>
              <w:pStyle w:val="162"/>
              <w:adjustRightInd w:val="0"/>
              <w:snapToGrid w:val="0"/>
              <w:spacing w:line="240" w:lineRule="auto"/>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各种规格管夹及支撑</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油污水处理系统各种规格的管夹及支撑</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油污水处理系统调试(分部调试)</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5"/>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其他未列明但必须包含项目</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　</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项</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bl>
    <w:p>
      <w:pPr>
        <w:ind w:firstLineChars="0"/>
        <w:jc w:val="center"/>
        <w:outlineLvl w:val="1"/>
        <w:rPr>
          <w:b/>
          <w:bCs/>
          <w:color w:val="auto"/>
          <w:highlight w:val="none"/>
        </w:rPr>
      </w:pPr>
      <w:r>
        <w:rPr>
          <w:color w:val="auto"/>
          <w:highlight w:val="none"/>
        </w:rPr>
        <w:br w:type="page"/>
      </w:r>
      <w:r>
        <w:rPr>
          <w:b/>
          <w:bCs/>
          <w:color w:val="auto"/>
          <w:highlight w:val="none"/>
        </w:rPr>
        <w:t>附表7.2-</w:t>
      </w:r>
      <w:r>
        <w:rPr>
          <w:rFonts w:hint="eastAsia"/>
          <w:b/>
          <w:bCs/>
          <w:color w:val="auto"/>
          <w:highlight w:val="none"/>
        </w:rPr>
        <w:t>7</w:t>
      </w:r>
      <w:r>
        <w:rPr>
          <w:b/>
          <w:bCs/>
          <w:color w:val="auto"/>
          <w:highlight w:val="none"/>
        </w:rPr>
        <w:t xml:space="preserve"> </w:t>
      </w:r>
      <w:r>
        <w:rPr>
          <w:rFonts w:hint="eastAsia"/>
          <w:b/>
          <w:bCs/>
          <w:color w:val="auto"/>
          <w:highlight w:val="none"/>
        </w:rPr>
        <w:t>消防系统埋管</w:t>
      </w:r>
      <w:r>
        <w:rPr>
          <w:b/>
          <w:bCs/>
          <w:color w:val="auto"/>
          <w:highlight w:val="none"/>
        </w:rPr>
        <w:t>清单</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699" w:type="dxa"/>
            <w:vAlign w:val="center"/>
          </w:tcPr>
          <w:p>
            <w:pP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DN250，</w:t>
            </w:r>
            <w:r>
              <w:rPr>
                <w:rFonts w:ascii="Times New Roman" w:hAnsi="Times New Roman" w:cs="Times New Roman"/>
                <w:color w:val="auto"/>
                <w:szCs w:val="21"/>
                <w:highlight w:val="none"/>
              </w:rPr>
              <w:t>273×6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φ219.1×6</w:t>
            </w:r>
            <w:r>
              <w:rPr>
                <w:rFonts w:hint="eastAsia" w:ascii="Times New Roman" w:hAnsi="Times New Roman" w:cs="Times New Roman"/>
                <w:color w:val="auto"/>
                <w:szCs w:val="21"/>
                <w:highlight w:val="none"/>
              </w:rPr>
              <w:t>，PN2.5MPa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φ219.1×6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φ219.1×6</w:t>
            </w:r>
            <w:r>
              <w:rPr>
                <w:rFonts w:hint="eastAsia" w:ascii="Times New Roman" w:hAnsi="Times New Roman" w:cs="Times New Roman"/>
                <w:color w:val="auto"/>
                <w:szCs w:val="21"/>
                <w:highlight w:val="none"/>
              </w:rPr>
              <w:t>，PN2.5MPa管用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φ168.3</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φ168.3</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不锈钢等径三通</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φ168.3</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不锈钢异径三通</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DN150/DN100  Φ168.3×5/Φ114×5</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DN100，φ</w:t>
            </w:r>
            <w:r>
              <w:rPr>
                <w:rFonts w:ascii="Times New Roman" w:hAnsi="Times New Roman" w:cs="Times New Roman"/>
                <w:color w:val="auto"/>
                <w:szCs w:val="21"/>
                <w:highlight w:val="none"/>
              </w:rPr>
              <w:t>114</w:t>
            </w:r>
            <w:r>
              <w:rPr>
                <w:rFonts w:hint="eastAsia" w:ascii="Times New Roman" w:hAnsi="Times New Roman" w:cs="Times New Roman"/>
                <w:color w:val="auto"/>
                <w:szCs w:val="21"/>
                <w:highlight w:val="none"/>
              </w:rPr>
              <w:t>×5，PN2.5MPa管用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不锈钢异径三通</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DN100/DN65  Φ114×5/Φ73×4</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不锈钢无缝钢管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φ73</w:t>
            </w:r>
            <w:r>
              <w:rPr>
                <w:rFonts w:hint="eastAsia" w:ascii="Times New Roman" w:hAnsi="Times New Roman" w:cs="Times New Roman"/>
                <w:color w:val="auto"/>
                <w:szCs w:val="21"/>
                <w:highlight w:val="none"/>
              </w:rPr>
              <w:t>×4，PN2.5MPa</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m</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pStyle w:val="93"/>
              <w:widowControl/>
              <w:numPr>
                <w:ilvl w:val="0"/>
                <w:numId w:val="16"/>
              </w:numPr>
              <w:ind w:firstLineChars="0"/>
              <w:jc w:val="center"/>
              <w:rPr>
                <w:rFonts w:ascii="Times New Roman" w:hAnsi="Times New Roman" w:cs="Times New Roman"/>
                <w:color w:val="auto"/>
                <w:kern w:val="0"/>
                <w:szCs w:val="21"/>
                <w:highlight w:val="none"/>
              </w:rPr>
            </w:pP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不锈钢90°短半径弯头</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φ73</w:t>
            </w:r>
            <w:r>
              <w:rPr>
                <w:rFonts w:hint="eastAsia" w:ascii="Times New Roman" w:hAnsi="Times New Roman" w:cs="Times New Roman"/>
                <w:color w:val="auto"/>
                <w:szCs w:val="21"/>
                <w:highlight w:val="none"/>
              </w:rPr>
              <w:t>×4，PN2.5MPa管用</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80</w:t>
            </w:r>
          </w:p>
        </w:tc>
      </w:tr>
    </w:tbl>
    <w:p>
      <w:pPr>
        <w:pBdr>
          <w:bottom w:val="none" w:color="auto" w:sz="0" w:space="0"/>
        </w:pBdr>
        <w:ind w:firstLineChars="0"/>
        <w:jc w:val="center"/>
        <w:outlineLvl w:val="1"/>
        <w:rPr>
          <w:b/>
          <w:bCs/>
          <w:color w:val="auto"/>
          <w:highlight w:val="none"/>
        </w:rPr>
      </w:pPr>
      <w:r>
        <w:rPr>
          <w:color w:val="auto"/>
          <w:highlight w:val="none"/>
        </w:rPr>
        <w:br w:type="page"/>
      </w:r>
      <w:r>
        <w:rPr>
          <w:b/>
          <w:bCs/>
          <w:color w:val="auto"/>
          <w:highlight w:val="none"/>
        </w:rPr>
        <w:t>附表7.2-8 流道充水系统</w:t>
      </w:r>
    </w:p>
    <w:tbl>
      <w:tblPr>
        <w:tblStyle w:val="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502"/>
        <w:gridCol w:w="3025"/>
        <w:gridCol w:w="886"/>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 w:val="20"/>
                <w:szCs w:val="20"/>
                <w:highlight w:val="none"/>
              </w:rPr>
              <w:t>序号</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名称</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规格及参数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单位</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1</w:t>
            </w:r>
          </w:p>
        </w:tc>
        <w:tc>
          <w:tcPr>
            <w:tcW w:w="2502"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多级离心泵</w:t>
            </w:r>
          </w:p>
        </w:tc>
        <w:tc>
          <w:tcPr>
            <w:tcW w:w="3025" w:type="dxa"/>
            <w:vAlign w:val="center"/>
          </w:tcPr>
          <w:p>
            <w:pPr>
              <w:widowControl/>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H～470m，Q～290m3/h；U=10kV，P～550kW</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台</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c>
          <w:tcPr>
            <w:tcW w:w="2502" w:type="dxa"/>
            <w:vAlign w:val="center"/>
          </w:tcPr>
          <w:p>
            <w:pPr>
              <w:widowControl/>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流量计</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量程0-500m3/h，管路规格DN200；介质：水；4-20mA模拟量输出；工作压力：2.5MPa；带配对不锈钢法兰</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套</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3</w:t>
            </w:r>
          </w:p>
        </w:tc>
        <w:tc>
          <w:tcPr>
            <w:tcW w:w="2502" w:type="dxa"/>
            <w:vAlign w:val="center"/>
          </w:tcPr>
          <w:p>
            <w:pPr>
              <w:widowControl/>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不锈钢球阀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DN200 PN25，带配对不锈钢法兰</w:t>
            </w:r>
          </w:p>
        </w:tc>
        <w:tc>
          <w:tcPr>
            <w:tcW w:w="886" w:type="dxa"/>
            <w:vAlign w:val="center"/>
          </w:tcPr>
          <w:p>
            <w:pPr>
              <w:widowControl/>
              <w:jc w:val="center"/>
              <w:rPr>
                <w:rFonts w:ascii="Times New Roman" w:hAnsi="Times New Roman" w:cs="Times New Roman"/>
                <w:color w:val="auto"/>
                <w:kern w:val="0"/>
                <w:szCs w:val="21"/>
                <w:highlight w:val="none"/>
              </w:rPr>
            </w:pPr>
            <w:r>
              <w:rPr>
                <w:rFonts w:hint="eastAsia" w:ascii="Times New Roman" w:hAnsi="Times New Roman" w:cs="Times New Roman"/>
                <w:color w:val="auto"/>
                <w:szCs w:val="21"/>
                <w:highlight w:val="none"/>
              </w:rPr>
              <w:t>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4</w:t>
            </w:r>
          </w:p>
        </w:tc>
        <w:tc>
          <w:tcPr>
            <w:tcW w:w="2502"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压力表</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量程：0-4.0MPa；充油；100mm；介质：水</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5</w:t>
            </w:r>
          </w:p>
        </w:tc>
        <w:tc>
          <w:tcPr>
            <w:tcW w:w="2502" w:type="dxa"/>
            <w:vAlign w:val="center"/>
          </w:tcPr>
          <w:p>
            <w:pPr>
              <w:widowControl/>
              <w:pBdr>
                <w:bottom w:val="none" w:color="auto" w:sz="0" w:space="0"/>
              </w:pBd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压力表</w:t>
            </w:r>
          </w:p>
        </w:tc>
        <w:tc>
          <w:tcPr>
            <w:tcW w:w="3025" w:type="dxa"/>
            <w:vAlign w:val="center"/>
          </w:tcPr>
          <w:p>
            <w:pPr>
              <w:widowControl/>
              <w:pBdr>
                <w:bottom w:val="none" w:color="auto" w:sz="0" w:space="0"/>
              </w:pBdr>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量程：0-10.0MPa；充油；100mm；介质：水</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6</w:t>
            </w:r>
          </w:p>
        </w:tc>
        <w:tc>
          <w:tcPr>
            <w:tcW w:w="2502" w:type="dxa"/>
            <w:vAlign w:val="center"/>
          </w:tcPr>
          <w:p>
            <w:pPr>
              <w:widowControl/>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不锈钢止回阀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DN200 PN100 静音式</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9" w:type="dxa"/>
            <w:vAlign w:val="center"/>
          </w:tcPr>
          <w:p>
            <w:pPr>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7</w:t>
            </w:r>
          </w:p>
        </w:tc>
        <w:tc>
          <w:tcPr>
            <w:tcW w:w="2502" w:type="dxa"/>
            <w:vAlign w:val="center"/>
          </w:tcPr>
          <w:p>
            <w:pPr>
              <w:widowControl/>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不锈钢孔板式调流调压阀</w:t>
            </w:r>
          </w:p>
        </w:tc>
        <w:tc>
          <w:tcPr>
            <w:tcW w:w="3025" w:type="dxa"/>
            <w:vAlign w:val="center"/>
          </w:tcPr>
          <w:p>
            <w:pPr>
              <w:widowControl/>
              <w:jc w:val="left"/>
              <w:rPr>
                <w:rFonts w:ascii="Times New Roman" w:hAnsi="Times New Roman" w:cs="Times New Roman"/>
                <w:color w:val="auto"/>
                <w:kern w:val="0"/>
                <w:szCs w:val="21"/>
                <w:highlight w:val="none"/>
              </w:rPr>
            </w:pPr>
            <w:r>
              <w:rPr>
                <w:rFonts w:ascii="Times New Roman" w:hAnsi="Times New Roman" w:eastAsia="Times New Roman" w:cs="Times New Roman"/>
                <w:b w:val="0"/>
                <w:i w:val="0"/>
                <w:strike w:val="0"/>
                <w:color w:val="auto"/>
                <w:spacing w:val="0"/>
                <w:highlight w:val="none"/>
                <w:u w:val="none"/>
              </w:rPr>
              <w:t>DN200 PN100</w:t>
            </w:r>
          </w:p>
        </w:tc>
        <w:tc>
          <w:tcPr>
            <w:tcW w:w="886"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只</w:t>
            </w:r>
          </w:p>
        </w:tc>
        <w:tc>
          <w:tcPr>
            <w:tcW w:w="899" w:type="dxa"/>
            <w:vAlign w:val="center"/>
          </w:tcPr>
          <w:p>
            <w:pPr>
              <w:widowControl/>
              <w:jc w:val="center"/>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2</w:t>
            </w:r>
          </w:p>
        </w:tc>
      </w:tr>
    </w:tbl>
    <w:p>
      <w:pPr>
        <w:tabs>
          <w:tab w:val="left" w:pos="1029"/>
        </w:tabs>
        <w:spacing w:line="360" w:lineRule="auto"/>
        <w:ind w:firstLine="420" w:firstLineChars="200"/>
        <w:jc w:val="center"/>
        <w:outlineLvl w:val="1"/>
        <w:rPr>
          <w:rFonts w:hint="eastAsia" w:ascii="宋体" w:hAnsi="宋体" w:cs="宋体"/>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MS Sans Serif">
    <w:altName w:val="Courier New"/>
    <w:panose1 w:val="00000000000000000000"/>
    <w:charset w:val="00"/>
    <w:family w:val="auto"/>
    <w:pitch w:val="default"/>
    <w:sig w:usb0="00000000" w:usb1="00000000" w:usb2="00000001" w:usb3="00000000" w:csb0="000001DF"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隶书">
    <w:panose1 w:val="02010509060101010101"/>
    <w:charset w:val="86"/>
    <w:family w:val="modern"/>
    <w:pitch w:val="default"/>
    <w:sig w:usb0="00000001" w:usb1="080E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Kino MT">
    <w:altName w:val="Courier New"/>
    <w:panose1 w:val="00000000000000000000"/>
    <w:charset w:val="00"/>
    <w:family w:val="decorative"/>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imes New Roman" w:hAnsi="Times New Roman" w:cs="Times New Roman"/>
        <w:szCs w:val="21"/>
      </w:rP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fldChar w:fldCharType="end"/>
    </w:r>
  </w:p>
  <w:p>
    <w:pPr>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right" w:y="1"/>
    </w:pPr>
    <w:r>
      <w:fldChar w:fldCharType="begin"/>
    </w:r>
    <w:r>
      <w:instrText xml:space="preserve">PAGE  </w:instrText>
    </w:r>
    <w:r>
      <w:fldChar w:fldCharType="separate"/>
    </w:r>
    <w:r>
      <w:t>103</w:t>
    </w:r>
    <w:r>
      <w:fldChar w:fldCharType="end"/>
    </w:r>
  </w:p>
  <w:p>
    <w:pP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imes New Roman" w:hAnsi="Times New Roman" w:cs="Times New Roman"/>
      </w:rPr>
    </w:pPr>
    <w:r>
      <w:rPr>
        <w:rFonts w:ascii="Times New Roman" w:hAnsi="Times New Roman" w:cs="Times New Roman"/>
        <w:sz w:val="22"/>
      </w:rPr>
      <w:fldChar w:fldCharType="begin"/>
    </w:r>
    <w:r>
      <w:rPr>
        <w:rFonts w:ascii="Times New Roman" w:hAnsi="Times New Roman" w:cs="Times New Roman"/>
        <w:sz w:val="22"/>
      </w:rPr>
      <w:instrText xml:space="preserve">PAGE   \* MERGEFORMAT</w:instrText>
    </w:r>
    <w:r>
      <w:rPr>
        <w:rFonts w:ascii="Times New Roman" w:hAnsi="Times New Roman" w:cs="Times New Roman"/>
        <w:sz w:val="22"/>
      </w:rPr>
      <w:fldChar w:fldCharType="separate"/>
    </w:r>
    <w:r>
      <w:rPr>
        <w:rFonts w:ascii="Times New Roman" w:hAnsi="Times New Roman" w:cs="Times New Roman"/>
        <w:sz w:val="22"/>
        <w:lang w:val="zh-CN"/>
      </w:rPr>
      <w:t>IV</w:t>
    </w:r>
    <w:r>
      <w:rPr>
        <w:rFonts w:ascii="Times New Roman" w:hAnsi="Times New Roman" w:cs="Times New Roman"/>
        <w:sz w:val="22"/>
      </w:rPr>
      <w:fldChar w:fldCharType="end"/>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imes New Roman" w:hAnsi="Times New Roman" w:cs="Times New Roman"/>
      </w:rPr>
    </w:pPr>
    <w:r>
      <w:rPr>
        <w:rFonts w:ascii="Times New Roman" w:hAnsi="Times New Roman" w:cs="Times New Roman"/>
        <w:sz w:val="22"/>
      </w:rPr>
      <w:fldChar w:fldCharType="begin"/>
    </w:r>
    <w:r>
      <w:rPr>
        <w:rFonts w:ascii="Times New Roman" w:hAnsi="Times New Roman" w:cs="Times New Roman"/>
        <w:sz w:val="22"/>
      </w:rPr>
      <w:instrText xml:space="preserve">PAGE   \* MERGEFORMAT</w:instrText>
    </w:r>
    <w:r>
      <w:rPr>
        <w:rFonts w:ascii="Times New Roman" w:hAnsi="Times New Roman" w:cs="Times New Roman"/>
        <w:sz w:val="22"/>
      </w:rPr>
      <w:fldChar w:fldCharType="separate"/>
    </w:r>
    <w:r>
      <w:rPr>
        <w:rFonts w:ascii="Times New Roman" w:hAnsi="Times New Roman" w:cs="Times New Roman"/>
        <w:sz w:val="22"/>
        <w:lang w:val="zh-CN"/>
      </w:rPr>
      <w:t>12</w:t>
    </w:r>
    <w:r>
      <w:rPr>
        <w:rFonts w:ascii="Times New Roman" w:hAnsi="Times New Roman" w:cs="Times New Roman"/>
        <w:sz w:val="22"/>
      </w:rP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5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30"/>
      </w:pBdr>
      <w:rPr>
        <w:szCs w:val="21"/>
      </w:rPr>
    </w:pPr>
    <w:r>
      <w:rPr>
        <w:rFonts w:hAnsi="宋体"/>
        <w:szCs w:val="21"/>
      </w:rPr>
      <w:t>海南梅州抽水蓄能电站引水系统及地下厂房工程施工招标文件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Cs w:val="21"/>
      </w:rPr>
    </w:pPr>
    <w:r>
      <w:rPr>
        <w:rFonts w:hAnsi="宋体"/>
        <w:szCs w:val="21"/>
      </w:rPr>
      <w:t>海南梅州抽水蓄能电站土建主体工程施工招标文件</w:t>
    </w:r>
    <w:r>
      <w:rPr>
        <w:szCs w:val="21"/>
      </w:rPr>
      <w:t xml:space="preserve">          C3</w:t>
    </w:r>
    <w:r>
      <w:rPr>
        <w:rFonts w:hAnsi="宋体"/>
        <w:szCs w:val="21"/>
      </w:rPr>
      <w:t>标：引水系统及地下厂房工程</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EE3BD6"/>
    <w:multiLevelType w:val="singleLevel"/>
    <w:tmpl w:val="A0EE3BD6"/>
    <w:lvl w:ilvl="0" w:tentative="0">
      <w:start w:val="1"/>
      <w:numFmt w:val="decimal"/>
      <w:suff w:val="nothing"/>
      <w:lvlText w:val="（%1）"/>
      <w:lvlJc w:val="left"/>
    </w:lvl>
  </w:abstractNum>
  <w:abstractNum w:abstractNumId="1">
    <w:nsid w:val="BF205925"/>
    <w:multiLevelType w:val="multilevel"/>
    <w:tmpl w:val="BF205925"/>
    <w:lvl w:ilvl="0" w:tentative="0">
      <w:start w:val="15"/>
      <w:numFmt w:val="decimal"/>
      <w:lvlText w:val="%1)"/>
      <w:lvlJc w:val="left"/>
      <w:pPr>
        <w:ind w:left="761" w:hanging="336"/>
      </w:pPr>
    </w:lvl>
    <w:lvl w:ilvl="1" w:tentative="0">
      <w:start w:val="1"/>
      <w:numFmt w:val="lowerLetter"/>
      <w:lvlText w:val="%2)"/>
      <w:lvlJc w:val="left"/>
      <w:pPr>
        <w:ind w:left="1181" w:hanging="336"/>
      </w:pPr>
    </w:lvl>
    <w:lvl w:ilvl="2" w:tentative="0">
      <w:start w:val="1"/>
      <w:numFmt w:val="lowerRoman"/>
      <w:lvlText w:val="%3)"/>
      <w:lvlJc w:val="left"/>
      <w:pPr>
        <w:ind w:left="1601" w:hanging="336"/>
      </w:pPr>
    </w:lvl>
    <w:lvl w:ilvl="3" w:tentative="0">
      <w:start w:val="1"/>
      <w:numFmt w:val="decimal"/>
      <w:lvlText w:val="%4)"/>
      <w:lvlJc w:val="left"/>
      <w:pPr>
        <w:ind w:left="2021" w:hanging="336"/>
      </w:pPr>
    </w:lvl>
    <w:lvl w:ilvl="4" w:tentative="0">
      <w:start w:val="1"/>
      <w:numFmt w:val="lowerLetter"/>
      <w:lvlText w:val="%5)"/>
      <w:lvlJc w:val="left"/>
      <w:pPr>
        <w:ind w:left="2441" w:hanging="336"/>
      </w:pPr>
    </w:lvl>
    <w:lvl w:ilvl="5" w:tentative="0">
      <w:start w:val="1"/>
      <w:numFmt w:val="lowerRoman"/>
      <w:lvlText w:val="%6)"/>
      <w:lvlJc w:val="left"/>
      <w:pPr>
        <w:ind w:left="2861" w:hanging="336"/>
      </w:pPr>
    </w:lvl>
    <w:lvl w:ilvl="6" w:tentative="0">
      <w:start w:val="1"/>
      <w:numFmt w:val="decimal"/>
      <w:lvlText w:val="%7)"/>
      <w:lvlJc w:val="left"/>
      <w:pPr>
        <w:ind w:left="3281" w:hanging="336"/>
      </w:pPr>
    </w:lvl>
    <w:lvl w:ilvl="7" w:tentative="0">
      <w:start w:val="1"/>
      <w:numFmt w:val="lowerLetter"/>
      <w:lvlText w:val="%8)"/>
      <w:lvlJc w:val="left"/>
      <w:pPr>
        <w:ind w:left="3701" w:hanging="336"/>
      </w:pPr>
    </w:lvl>
    <w:lvl w:ilvl="8" w:tentative="0">
      <w:start w:val="1"/>
      <w:numFmt w:val="lowerRoman"/>
      <w:lvlText w:val="%9)"/>
      <w:lvlJc w:val="left"/>
      <w:pPr>
        <w:ind w:left="4121" w:hanging="336"/>
      </w:pPr>
    </w:lvl>
  </w:abstractNum>
  <w:abstractNum w:abstractNumId="2">
    <w:nsid w:val="CF092B84"/>
    <w:multiLevelType w:val="multilevel"/>
    <w:tmpl w:val="CF092B8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lef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lef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left"/>
      <w:pPr>
        <w:ind w:left="3960" w:hanging="440"/>
      </w:pPr>
    </w:lvl>
  </w:abstractNum>
  <w:abstractNum w:abstractNumId="3">
    <w:nsid w:val="F2FEAEAB"/>
    <w:multiLevelType w:val="singleLevel"/>
    <w:tmpl w:val="F2FEAEAB"/>
    <w:lvl w:ilvl="0" w:tentative="0">
      <w:start w:val="4"/>
      <w:numFmt w:val="decimal"/>
      <w:suff w:val="nothing"/>
      <w:lvlText w:val="%1）"/>
      <w:lvlJc w:val="left"/>
    </w:lvl>
  </w:abstractNum>
  <w:abstractNum w:abstractNumId="4">
    <w:nsid w:val="0053208E"/>
    <w:multiLevelType w:val="multilevel"/>
    <w:tmpl w:val="0053208E"/>
    <w:lvl w:ilvl="0" w:tentative="0">
      <w:start w:val="2"/>
      <w:numFmt w:val="decimal"/>
      <w:lvlText w:val="%1)"/>
      <w:lvlJc w:val="left"/>
      <w:pPr>
        <w:ind w:left="816" w:hanging="336"/>
      </w:pPr>
    </w:lvl>
    <w:lvl w:ilvl="1" w:tentative="0">
      <w:start w:val="1"/>
      <w:numFmt w:val="lowerLetter"/>
      <w:lvlText w:val="%2)"/>
      <w:lvlJc w:val="left"/>
      <w:pPr>
        <w:ind w:left="1236" w:hanging="336"/>
      </w:pPr>
    </w:lvl>
    <w:lvl w:ilvl="2" w:tentative="0">
      <w:start w:val="1"/>
      <w:numFmt w:val="lowerRoman"/>
      <w:lvlText w:val="%3)"/>
      <w:lvlJc w:val="left"/>
      <w:pPr>
        <w:ind w:left="1656" w:hanging="336"/>
      </w:pPr>
    </w:lvl>
    <w:lvl w:ilvl="3" w:tentative="0">
      <w:start w:val="1"/>
      <w:numFmt w:val="decimal"/>
      <w:lvlText w:val="%4)"/>
      <w:lvlJc w:val="left"/>
      <w:pPr>
        <w:ind w:left="2076" w:hanging="336"/>
      </w:pPr>
    </w:lvl>
    <w:lvl w:ilvl="4" w:tentative="0">
      <w:start w:val="1"/>
      <w:numFmt w:val="lowerLetter"/>
      <w:lvlText w:val="%5)"/>
      <w:lvlJc w:val="left"/>
      <w:pPr>
        <w:ind w:left="2496" w:hanging="336"/>
      </w:pPr>
    </w:lvl>
    <w:lvl w:ilvl="5" w:tentative="0">
      <w:start w:val="1"/>
      <w:numFmt w:val="lowerRoman"/>
      <w:lvlText w:val="%6)"/>
      <w:lvlJc w:val="left"/>
      <w:pPr>
        <w:ind w:left="2916" w:hanging="336"/>
      </w:pPr>
    </w:lvl>
    <w:lvl w:ilvl="6" w:tentative="0">
      <w:start w:val="1"/>
      <w:numFmt w:val="decimal"/>
      <w:lvlText w:val="%7)"/>
      <w:lvlJc w:val="left"/>
      <w:pPr>
        <w:ind w:left="3336" w:hanging="336"/>
      </w:pPr>
    </w:lvl>
    <w:lvl w:ilvl="7" w:tentative="0">
      <w:start w:val="1"/>
      <w:numFmt w:val="lowerLetter"/>
      <w:lvlText w:val="%8)"/>
      <w:lvlJc w:val="left"/>
      <w:pPr>
        <w:ind w:left="3756" w:hanging="336"/>
      </w:pPr>
    </w:lvl>
    <w:lvl w:ilvl="8" w:tentative="0">
      <w:start w:val="1"/>
      <w:numFmt w:val="lowerRoman"/>
      <w:lvlText w:val="%9)"/>
      <w:lvlJc w:val="left"/>
      <w:pPr>
        <w:ind w:left="4176" w:hanging="336"/>
      </w:pPr>
    </w:lvl>
  </w:abstractNum>
  <w:abstractNum w:abstractNumId="5">
    <w:nsid w:val="0B527A5D"/>
    <w:multiLevelType w:val="singleLevel"/>
    <w:tmpl w:val="0B527A5D"/>
    <w:lvl w:ilvl="0" w:tentative="0">
      <w:start w:val="4"/>
      <w:numFmt w:val="decimal"/>
      <w:lvlText w:val="%1)"/>
      <w:lvlJc w:val="left"/>
      <w:pPr>
        <w:tabs>
          <w:tab w:val="left" w:pos="312"/>
        </w:tabs>
      </w:pPr>
    </w:lvl>
  </w:abstractNum>
  <w:abstractNum w:abstractNumId="6">
    <w:nsid w:val="19311127"/>
    <w:multiLevelType w:val="multilevel"/>
    <w:tmpl w:val="19311127"/>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934177A"/>
    <w:multiLevelType w:val="multilevel"/>
    <w:tmpl w:val="1934177A"/>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A5E3944"/>
    <w:multiLevelType w:val="multilevel"/>
    <w:tmpl w:val="1A5E3944"/>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0F7B2F9"/>
    <w:multiLevelType w:val="singleLevel"/>
    <w:tmpl w:val="30F7B2F9"/>
    <w:lvl w:ilvl="0" w:tentative="0">
      <w:start w:val="4"/>
      <w:numFmt w:val="decimal"/>
      <w:suff w:val="nothing"/>
      <w:lvlText w:val="%1）"/>
      <w:lvlJc w:val="left"/>
    </w:lvl>
  </w:abstractNum>
  <w:abstractNum w:abstractNumId="10">
    <w:nsid w:val="48AD62D0"/>
    <w:multiLevelType w:val="multilevel"/>
    <w:tmpl w:val="48AD62D0"/>
    <w:lvl w:ilvl="0" w:tentative="0">
      <w:start w:val="1"/>
      <w:numFmt w:val="decimal"/>
      <w:suff w:val="nothing"/>
      <w:lvlText w:val="%1"/>
      <w:lvlJc w:val="left"/>
      <w:pPr>
        <w:ind w:left="420" w:hanging="420"/>
      </w:pPr>
      <w:rPr>
        <w:rFonts w:hint="default" w:ascii="Times New Roman" w:hAnsi="Times New Roman"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8D40191"/>
    <w:multiLevelType w:val="multilevel"/>
    <w:tmpl w:val="58D40191"/>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9ADCABA"/>
    <w:multiLevelType w:val="multilevel"/>
    <w:tmpl w:val="59ADCABA"/>
    <w:lvl w:ilvl="0" w:tentative="0">
      <w:start w:val="2"/>
      <w:numFmt w:val="decimal"/>
      <w:lvlText w:val="%1)"/>
      <w:lvlJc w:val="left"/>
      <w:pPr>
        <w:ind w:left="816" w:hanging="336"/>
      </w:pPr>
    </w:lvl>
    <w:lvl w:ilvl="1" w:tentative="0">
      <w:start w:val="1"/>
      <w:numFmt w:val="lowerLetter"/>
      <w:lvlText w:val="%2)"/>
      <w:lvlJc w:val="left"/>
      <w:pPr>
        <w:ind w:left="1236" w:hanging="336"/>
      </w:pPr>
    </w:lvl>
    <w:lvl w:ilvl="2" w:tentative="0">
      <w:start w:val="1"/>
      <w:numFmt w:val="lowerRoman"/>
      <w:lvlText w:val="%3)"/>
      <w:lvlJc w:val="left"/>
      <w:pPr>
        <w:ind w:left="1656" w:hanging="336"/>
      </w:pPr>
    </w:lvl>
    <w:lvl w:ilvl="3" w:tentative="0">
      <w:start w:val="1"/>
      <w:numFmt w:val="decimal"/>
      <w:lvlText w:val="%4)"/>
      <w:lvlJc w:val="left"/>
      <w:pPr>
        <w:ind w:left="2076" w:hanging="336"/>
      </w:pPr>
    </w:lvl>
    <w:lvl w:ilvl="4" w:tentative="0">
      <w:start w:val="1"/>
      <w:numFmt w:val="lowerLetter"/>
      <w:lvlText w:val="%5)"/>
      <w:lvlJc w:val="left"/>
      <w:pPr>
        <w:ind w:left="2496" w:hanging="336"/>
      </w:pPr>
    </w:lvl>
    <w:lvl w:ilvl="5" w:tentative="0">
      <w:start w:val="1"/>
      <w:numFmt w:val="lowerRoman"/>
      <w:lvlText w:val="%6)"/>
      <w:lvlJc w:val="left"/>
      <w:pPr>
        <w:ind w:left="2916" w:hanging="336"/>
      </w:pPr>
    </w:lvl>
    <w:lvl w:ilvl="6" w:tentative="0">
      <w:start w:val="1"/>
      <w:numFmt w:val="decimal"/>
      <w:lvlText w:val="%7)"/>
      <w:lvlJc w:val="left"/>
      <w:pPr>
        <w:ind w:left="3336" w:hanging="336"/>
      </w:pPr>
    </w:lvl>
    <w:lvl w:ilvl="7" w:tentative="0">
      <w:start w:val="1"/>
      <w:numFmt w:val="lowerLetter"/>
      <w:lvlText w:val="%8)"/>
      <w:lvlJc w:val="left"/>
      <w:pPr>
        <w:ind w:left="3756" w:hanging="336"/>
      </w:pPr>
    </w:lvl>
    <w:lvl w:ilvl="8" w:tentative="0">
      <w:start w:val="1"/>
      <w:numFmt w:val="lowerRoman"/>
      <w:lvlText w:val="%9)"/>
      <w:lvlJc w:val="left"/>
      <w:pPr>
        <w:ind w:left="4176" w:hanging="336"/>
      </w:pPr>
    </w:lvl>
  </w:abstractNum>
  <w:abstractNum w:abstractNumId="13">
    <w:nsid w:val="67AA2215"/>
    <w:multiLevelType w:val="multilevel"/>
    <w:tmpl w:val="67AA221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8CF1D08"/>
    <w:multiLevelType w:val="multilevel"/>
    <w:tmpl w:val="68CF1D0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B7D4841"/>
    <w:multiLevelType w:val="multilevel"/>
    <w:tmpl w:val="7B7D4841"/>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9"/>
  </w:num>
  <w:num w:numId="3">
    <w:abstractNumId w:val="3"/>
  </w:num>
  <w:num w:numId="4">
    <w:abstractNumId w:val="2"/>
  </w:num>
  <w:num w:numId="5">
    <w:abstractNumId w:val="10"/>
  </w:num>
  <w:num w:numId="6">
    <w:abstractNumId w:val="12"/>
  </w:num>
  <w:num w:numId="7">
    <w:abstractNumId w:val="1"/>
  </w:num>
  <w:num w:numId="8">
    <w:abstractNumId w:val="5"/>
  </w:num>
  <w:num w:numId="9">
    <w:abstractNumId w:val="0"/>
  </w:num>
  <w:num w:numId="10">
    <w:abstractNumId w:val="11"/>
  </w:num>
  <w:num w:numId="11">
    <w:abstractNumId w:val="8"/>
  </w:num>
  <w:num w:numId="12">
    <w:abstractNumId w:val="7"/>
  </w:num>
  <w:num w:numId="13">
    <w:abstractNumId w:val="15"/>
  </w:num>
  <w:num w:numId="14">
    <w:abstractNumId w:val="6"/>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5ZmMxMDhmNGFmNWNiODJlMTc0MzE1NjAwMTM3ZWMifQ=="/>
  </w:docVars>
  <w:rsids>
    <w:rsidRoot w:val="00B52852"/>
    <w:rsid w:val="0000020E"/>
    <w:rsid w:val="00001991"/>
    <w:rsid w:val="00001A9C"/>
    <w:rsid w:val="00003015"/>
    <w:rsid w:val="000061AC"/>
    <w:rsid w:val="00006644"/>
    <w:rsid w:val="00007901"/>
    <w:rsid w:val="00012594"/>
    <w:rsid w:val="000140A2"/>
    <w:rsid w:val="0002573A"/>
    <w:rsid w:val="00027606"/>
    <w:rsid w:val="00031522"/>
    <w:rsid w:val="00031E12"/>
    <w:rsid w:val="00034FD9"/>
    <w:rsid w:val="00040331"/>
    <w:rsid w:val="00043204"/>
    <w:rsid w:val="00044F1C"/>
    <w:rsid w:val="00045CDB"/>
    <w:rsid w:val="00046495"/>
    <w:rsid w:val="00053298"/>
    <w:rsid w:val="00064048"/>
    <w:rsid w:val="00065E50"/>
    <w:rsid w:val="00067956"/>
    <w:rsid w:val="000723E7"/>
    <w:rsid w:val="00076744"/>
    <w:rsid w:val="00081FF9"/>
    <w:rsid w:val="00085ED1"/>
    <w:rsid w:val="000918D2"/>
    <w:rsid w:val="00094997"/>
    <w:rsid w:val="0009599B"/>
    <w:rsid w:val="000973D6"/>
    <w:rsid w:val="00097C6A"/>
    <w:rsid w:val="000A1C81"/>
    <w:rsid w:val="000A6B50"/>
    <w:rsid w:val="000B00ED"/>
    <w:rsid w:val="000B17A7"/>
    <w:rsid w:val="000B1B56"/>
    <w:rsid w:val="000B70EC"/>
    <w:rsid w:val="000C7688"/>
    <w:rsid w:val="000D0D59"/>
    <w:rsid w:val="000D1DF1"/>
    <w:rsid w:val="000D5C9F"/>
    <w:rsid w:val="000E0ABC"/>
    <w:rsid w:val="000E2B58"/>
    <w:rsid w:val="000E6705"/>
    <w:rsid w:val="00104F58"/>
    <w:rsid w:val="00106462"/>
    <w:rsid w:val="00112512"/>
    <w:rsid w:val="00114165"/>
    <w:rsid w:val="00130BC6"/>
    <w:rsid w:val="00130EE7"/>
    <w:rsid w:val="001324CB"/>
    <w:rsid w:val="00134F64"/>
    <w:rsid w:val="0013581A"/>
    <w:rsid w:val="00136E84"/>
    <w:rsid w:val="00150111"/>
    <w:rsid w:val="00160B3C"/>
    <w:rsid w:val="00160BE1"/>
    <w:rsid w:val="00160FD9"/>
    <w:rsid w:val="001718AC"/>
    <w:rsid w:val="001729F6"/>
    <w:rsid w:val="001746C2"/>
    <w:rsid w:val="0018311F"/>
    <w:rsid w:val="0018373C"/>
    <w:rsid w:val="0018531E"/>
    <w:rsid w:val="001861E9"/>
    <w:rsid w:val="00192A5A"/>
    <w:rsid w:val="001931CF"/>
    <w:rsid w:val="00196A1E"/>
    <w:rsid w:val="001A1E2A"/>
    <w:rsid w:val="001A3209"/>
    <w:rsid w:val="001B2259"/>
    <w:rsid w:val="001B76A2"/>
    <w:rsid w:val="001C2FCC"/>
    <w:rsid w:val="001C4B26"/>
    <w:rsid w:val="001C5159"/>
    <w:rsid w:val="001C5419"/>
    <w:rsid w:val="001C5571"/>
    <w:rsid w:val="001C5835"/>
    <w:rsid w:val="001D1840"/>
    <w:rsid w:val="001D1854"/>
    <w:rsid w:val="001D1FB9"/>
    <w:rsid w:val="001D2D6E"/>
    <w:rsid w:val="001D7B01"/>
    <w:rsid w:val="001E04A8"/>
    <w:rsid w:val="001E4FF6"/>
    <w:rsid w:val="001F3530"/>
    <w:rsid w:val="001F4A61"/>
    <w:rsid w:val="001F7D53"/>
    <w:rsid w:val="00200628"/>
    <w:rsid w:val="00202C1C"/>
    <w:rsid w:val="0020441E"/>
    <w:rsid w:val="0021336E"/>
    <w:rsid w:val="00214A3C"/>
    <w:rsid w:val="0021798F"/>
    <w:rsid w:val="00222355"/>
    <w:rsid w:val="002251B5"/>
    <w:rsid w:val="002267ED"/>
    <w:rsid w:val="002317E0"/>
    <w:rsid w:val="002318C3"/>
    <w:rsid w:val="0024364A"/>
    <w:rsid w:val="00243E6C"/>
    <w:rsid w:val="00250B40"/>
    <w:rsid w:val="002520F2"/>
    <w:rsid w:val="002529ED"/>
    <w:rsid w:val="00260706"/>
    <w:rsid w:val="00265601"/>
    <w:rsid w:val="00270C73"/>
    <w:rsid w:val="00272AEB"/>
    <w:rsid w:val="0029472A"/>
    <w:rsid w:val="002A067C"/>
    <w:rsid w:val="002A2491"/>
    <w:rsid w:val="002A3BBC"/>
    <w:rsid w:val="002A56DB"/>
    <w:rsid w:val="002B641C"/>
    <w:rsid w:val="002C215F"/>
    <w:rsid w:val="002C2279"/>
    <w:rsid w:val="002C2757"/>
    <w:rsid w:val="002C32EE"/>
    <w:rsid w:val="002C7B7A"/>
    <w:rsid w:val="002D126C"/>
    <w:rsid w:val="002D2551"/>
    <w:rsid w:val="002D2AA1"/>
    <w:rsid w:val="002D3059"/>
    <w:rsid w:val="002D3B7C"/>
    <w:rsid w:val="002D5615"/>
    <w:rsid w:val="002D5739"/>
    <w:rsid w:val="002D5F84"/>
    <w:rsid w:val="002E0959"/>
    <w:rsid w:val="002E1D21"/>
    <w:rsid w:val="002E3B38"/>
    <w:rsid w:val="002E519F"/>
    <w:rsid w:val="002E5EA3"/>
    <w:rsid w:val="002E7FCD"/>
    <w:rsid w:val="002F02F1"/>
    <w:rsid w:val="002F185B"/>
    <w:rsid w:val="002F20EB"/>
    <w:rsid w:val="002F45A8"/>
    <w:rsid w:val="002F7666"/>
    <w:rsid w:val="0030728C"/>
    <w:rsid w:val="003146BB"/>
    <w:rsid w:val="00321B66"/>
    <w:rsid w:val="00323376"/>
    <w:rsid w:val="00334055"/>
    <w:rsid w:val="0033411B"/>
    <w:rsid w:val="00335F4B"/>
    <w:rsid w:val="003442F7"/>
    <w:rsid w:val="003461A6"/>
    <w:rsid w:val="00356D17"/>
    <w:rsid w:val="00361DCD"/>
    <w:rsid w:val="00365442"/>
    <w:rsid w:val="00373561"/>
    <w:rsid w:val="003735CF"/>
    <w:rsid w:val="00374187"/>
    <w:rsid w:val="00376C67"/>
    <w:rsid w:val="003829DB"/>
    <w:rsid w:val="003856DC"/>
    <w:rsid w:val="00387773"/>
    <w:rsid w:val="003A2548"/>
    <w:rsid w:val="003A48BA"/>
    <w:rsid w:val="003A733B"/>
    <w:rsid w:val="003A7356"/>
    <w:rsid w:val="003B3A27"/>
    <w:rsid w:val="003B6361"/>
    <w:rsid w:val="003B6875"/>
    <w:rsid w:val="003C2BB9"/>
    <w:rsid w:val="003C6304"/>
    <w:rsid w:val="003E360C"/>
    <w:rsid w:val="003E493C"/>
    <w:rsid w:val="003F0F7A"/>
    <w:rsid w:val="003F36CD"/>
    <w:rsid w:val="003F3ABA"/>
    <w:rsid w:val="003F7396"/>
    <w:rsid w:val="00407320"/>
    <w:rsid w:val="00413DF2"/>
    <w:rsid w:val="004167B5"/>
    <w:rsid w:val="00421924"/>
    <w:rsid w:val="00432DCF"/>
    <w:rsid w:val="00434306"/>
    <w:rsid w:val="00435002"/>
    <w:rsid w:val="00436E98"/>
    <w:rsid w:val="004376AB"/>
    <w:rsid w:val="0043794D"/>
    <w:rsid w:val="00440C1A"/>
    <w:rsid w:val="00442741"/>
    <w:rsid w:val="00443A39"/>
    <w:rsid w:val="00447135"/>
    <w:rsid w:val="004616F1"/>
    <w:rsid w:val="00464370"/>
    <w:rsid w:val="0046577E"/>
    <w:rsid w:val="004733AB"/>
    <w:rsid w:val="00473545"/>
    <w:rsid w:val="00473C59"/>
    <w:rsid w:val="00473E0F"/>
    <w:rsid w:val="00476497"/>
    <w:rsid w:val="004819CF"/>
    <w:rsid w:val="0048308C"/>
    <w:rsid w:val="004846A1"/>
    <w:rsid w:val="00487729"/>
    <w:rsid w:val="0049008E"/>
    <w:rsid w:val="004A3106"/>
    <w:rsid w:val="004A34C3"/>
    <w:rsid w:val="004A39F1"/>
    <w:rsid w:val="004A6A94"/>
    <w:rsid w:val="004B1D0C"/>
    <w:rsid w:val="004B754E"/>
    <w:rsid w:val="004C4DB8"/>
    <w:rsid w:val="004D0E42"/>
    <w:rsid w:val="004D18F6"/>
    <w:rsid w:val="004D4F48"/>
    <w:rsid w:val="004E0EA9"/>
    <w:rsid w:val="004E3E57"/>
    <w:rsid w:val="004F0204"/>
    <w:rsid w:val="004F048A"/>
    <w:rsid w:val="004F08A7"/>
    <w:rsid w:val="004F0C6A"/>
    <w:rsid w:val="004F4871"/>
    <w:rsid w:val="004F63DF"/>
    <w:rsid w:val="00506261"/>
    <w:rsid w:val="005067B2"/>
    <w:rsid w:val="00506A67"/>
    <w:rsid w:val="00506B01"/>
    <w:rsid w:val="00507047"/>
    <w:rsid w:val="00511C59"/>
    <w:rsid w:val="00513645"/>
    <w:rsid w:val="00515EBD"/>
    <w:rsid w:val="0052306C"/>
    <w:rsid w:val="00524647"/>
    <w:rsid w:val="00532088"/>
    <w:rsid w:val="0054234D"/>
    <w:rsid w:val="00543BA1"/>
    <w:rsid w:val="00544CB0"/>
    <w:rsid w:val="00545A5E"/>
    <w:rsid w:val="00550A15"/>
    <w:rsid w:val="00550FF1"/>
    <w:rsid w:val="00555538"/>
    <w:rsid w:val="005572FD"/>
    <w:rsid w:val="00565854"/>
    <w:rsid w:val="00573DC1"/>
    <w:rsid w:val="005745BF"/>
    <w:rsid w:val="005905EE"/>
    <w:rsid w:val="005A2ABD"/>
    <w:rsid w:val="005A540A"/>
    <w:rsid w:val="005A59EF"/>
    <w:rsid w:val="005B4C18"/>
    <w:rsid w:val="005C0599"/>
    <w:rsid w:val="005C1181"/>
    <w:rsid w:val="005C176D"/>
    <w:rsid w:val="005C197C"/>
    <w:rsid w:val="005C3571"/>
    <w:rsid w:val="005C73E9"/>
    <w:rsid w:val="005C744B"/>
    <w:rsid w:val="005D0FDC"/>
    <w:rsid w:val="005E0990"/>
    <w:rsid w:val="005E1059"/>
    <w:rsid w:val="005F4401"/>
    <w:rsid w:val="0060524B"/>
    <w:rsid w:val="00610631"/>
    <w:rsid w:val="00611525"/>
    <w:rsid w:val="006141A3"/>
    <w:rsid w:val="00615D13"/>
    <w:rsid w:val="00617CC8"/>
    <w:rsid w:val="006224B1"/>
    <w:rsid w:val="00624592"/>
    <w:rsid w:val="006449A6"/>
    <w:rsid w:val="00654489"/>
    <w:rsid w:val="00661B39"/>
    <w:rsid w:val="00664A53"/>
    <w:rsid w:val="0067085E"/>
    <w:rsid w:val="00671540"/>
    <w:rsid w:val="00683416"/>
    <w:rsid w:val="006856A3"/>
    <w:rsid w:val="00686FE3"/>
    <w:rsid w:val="00687434"/>
    <w:rsid w:val="00691884"/>
    <w:rsid w:val="006943BE"/>
    <w:rsid w:val="00695873"/>
    <w:rsid w:val="006970BD"/>
    <w:rsid w:val="006972E5"/>
    <w:rsid w:val="006A012A"/>
    <w:rsid w:val="006A4BC7"/>
    <w:rsid w:val="006A68F2"/>
    <w:rsid w:val="006A724D"/>
    <w:rsid w:val="006B4735"/>
    <w:rsid w:val="006C041C"/>
    <w:rsid w:val="006E0786"/>
    <w:rsid w:val="006E13EB"/>
    <w:rsid w:val="006E3B76"/>
    <w:rsid w:val="006E5131"/>
    <w:rsid w:val="006E7AED"/>
    <w:rsid w:val="006F324B"/>
    <w:rsid w:val="00701314"/>
    <w:rsid w:val="00703AC1"/>
    <w:rsid w:val="007046EB"/>
    <w:rsid w:val="007047FF"/>
    <w:rsid w:val="007067DB"/>
    <w:rsid w:val="00707080"/>
    <w:rsid w:val="00707494"/>
    <w:rsid w:val="00712790"/>
    <w:rsid w:val="00721058"/>
    <w:rsid w:val="00722324"/>
    <w:rsid w:val="007269E4"/>
    <w:rsid w:val="00726C49"/>
    <w:rsid w:val="0073084A"/>
    <w:rsid w:val="00732FDA"/>
    <w:rsid w:val="00744BEA"/>
    <w:rsid w:val="00745455"/>
    <w:rsid w:val="007522C0"/>
    <w:rsid w:val="00753B9C"/>
    <w:rsid w:val="00753E2E"/>
    <w:rsid w:val="007651AC"/>
    <w:rsid w:val="00767BEF"/>
    <w:rsid w:val="00772239"/>
    <w:rsid w:val="007745BC"/>
    <w:rsid w:val="00776C7D"/>
    <w:rsid w:val="00777391"/>
    <w:rsid w:val="00784C33"/>
    <w:rsid w:val="00786629"/>
    <w:rsid w:val="00795B22"/>
    <w:rsid w:val="00796970"/>
    <w:rsid w:val="007977CA"/>
    <w:rsid w:val="007A20FB"/>
    <w:rsid w:val="007A2D87"/>
    <w:rsid w:val="007A3C2D"/>
    <w:rsid w:val="007B3806"/>
    <w:rsid w:val="007B7A9D"/>
    <w:rsid w:val="007C0CFC"/>
    <w:rsid w:val="007C34E1"/>
    <w:rsid w:val="007C54B5"/>
    <w:rsid w:val="007C5F01"/>
    <w:rsid w:val="007C7257"/>
    <w:rsid w:val="007D0318"/>
    <w:rsid w:val="007D27D6"/>
    <w:rsid w:val="007D76BE"/>
    <w:rsid w:val="007E098F"/>
    <w:rsid w:val="007E3E0B"/>
    <w:rsid w:val="007E60D4"/>
    <w:rsid w:val="007E6CC0"/>
    <w:rsid w:val="007F1A0D"/>
    <w:rsid w:val="007F2F8D"/>
    <w:rsid w:val="007F4BA3"/>
    <w:rsid w:val="007F660D"/>
    <w:rsid w:val="00803011"/>
    <w:rsid w:val="00804321"/>
    <w:rsid w:val="0080458C"/>
    <w:rsid w:val="00804CFF"/>
    <w:rsid w:val="008064A9"/>
    <w:rsid w:val="00811262"/>
    <w:rsid w:val="00812D5E"/>
    <w:rsid w:val="00816330"/>
    <w:rsid w:val="00822236"/>
    <w:rsid w:val="008240BF"/>
    <w:rsid w:val="00826321"/>
    <w:rsid w:val="00832999"/>
    <w:rsid w:val="0084575C"/>
    <w:rsid w:val="00851FB4"/>
    <w:rsid w:val="008536B5"/>
    <w:rsid w:val="00864E0F"/>
    <w:rsid w:val="00873F8E"/>
    <w:rsid w:val="00881E38"/>
    <w:rsid w:val="008841CA"/>
    <w:rsid w:val="00884392"/>
    <w:rsid w:val="00891C53"/>
    <w:rsid w:val="008950F7"/>
    <w:rsid w:val="00895CF2"/>
    <w:rsid w:val="008A1E41"/>
    <w:rsid w:val="008A7E1D"/>
    <w:rsid w:val="008B0699"/>
    <w:rsid w:val="008B554F"/>
    <w:rsid w:val="008B63C9"/>
    <w:rsid w:val="008B6442"/>
    <w:rsid w:val="008C3E87"/>
    <w:rsid w:val="008C4379"/>
    <w:rsid w:val="008C4C78"/>
    <w:rsid w:val="008C7308"/>
    <w:rsid w:val="008D0469"/>
    <w:rsid w:val="008D10F3"/>
    <w:rsid w:val="008D65D4"/>
    <w:rsid w:val="008F1710"/>
    <w:rsid w:val="008F2348"/>
    <w:rsid w:val="008F2490"/>
    <w:rsid w:val="008F404E"/>
    <w:rsid w:val="008F5111"/>
    <w:rsid w:val="008F667B"/>
    <w:rsid w:val="00903FB5"/>
    <w:rsid w:val="0090484C"/>
    <w:rsid w:val="00905E38"/>
    <w:rsid w:val="009123BC"/>
    <w:rsid w:val="00913624"/>
    <w:rsid w:val="00916225"/>
    <w:rsid w:val="009230AB"/>
    <w:rsid w:val="00923561"/>
    <w:rsid w:val="009408EF"/>
    <w:rsid w:val="00941784"/>
    <w:rsid w:val="009422A7"/>
    <w:rsid w:val="009467E0"/>
    <w:rsid w:val="00946CE3"/>
    <w:rsid w:val="00946D26"/>
    <w:rsid w:val="00956476"/>
    <w:rsid w:val="0096092E"/>
    <w:rsid w:val="00961EFE"/>
    <w:rsid w:val="00974CD5"/>
    <w:rsid w:val="00975CE5"/>
    <w:rsid w:val="009766D2"/>
    <w:rsid w:val="0098110F"/>
    <w:rsid w:val="00993352"/>
    <w:rsid w:val="00997ED6"/>
    <w:rsid w:val="009A2364"/>
    <w:rsid w:val="009A279A"/>
    <w:rsid w:val="009B3F51"/>
    <w:rsid w:val="009B65B1"/>
    <w:rsid w:val="009C0453"/>
    <w:rsid w:val="009C2374"/>
    <w:rsid w:val="009C528F"/>
    <w:rsid w:val="009C53AD"/>
    <w:rsid w:val="009C7283"/>
    <w:rsid w:val="009D3076"/>
    <w:rsid w:val="009D65E4"/>
    <w:rsid w:val="009E00A8"/>
    <w:rsid w:val="009E1E59"/>
    <w:rsid w:val="009F1569"/>
    <w:rsid w:val="009F2895"/>
    <w:rsid w:val="00A051EE"/>
    <w:rsid w:val="00A0646E"/>
    <w:rsid w:val="00A11155"/>
    <w:rsid w:val="00A1367E"/>
    <w:rsid w:val="00A21376"/>
    <w:rsid w:val="00A26C19"/>
    <w:rsid w:val="00A30D30"/>
    <w:rsid w:val="00A3683B"/>
    <w:rsid w:val="00A37D7A"/>
    <w:rsid w:val="00A41DB2"/>
    <w:rsid w:val="00A42F45"/>
    <w:rsid w:val="00A43465"/>
    <w:rsid w:val="00A43E59"/>
    <w:rsid w:val="00A4425C"/>
    <w:rsid w:val="00A4651D"/>
    <w:rsid w:val="00A64614"/>
    <w:rsid w:val="00A65D7C"/>
    <w:rsid w:val="00A65F0F"/>
    <w:rsid w:val="00A71DCE"/>
    <w:rsid w:val="00A72CDD"/>
    <w:rsid w:val="00A73C44"/>
    <w:rsid w:val="00A76C23"/>
    <w:rsid w:val="00A81416"/>
    <w:rsid w:val="00A82314"/>
    <w:rsid w:val="00A854E1"/>
    <w:rsid w:val="00A96C7B"/>
    <w:rsid w:val="00AA4D7D"/>
    <w:rsid w:val="00AB04BB"/>
    <w:rsid w:val="00AC6F20"/>
    <w:rsid w:val="00AD3D56"/>
    <w:rsid w:val="00AE14CA"/>
    <w:rsid w:val="00AE21EF"/>
    <w:rsid w:val="00AE2388"/>
    <w:rsid w:val="00AE57B7"/>
    <w:rsid w:val="00AF1D2E"/>
    <w:rsid w:val="00AF47DE"/>
    <w:rsid w:val="00B02D67"/>
    <w:rsid w:val="00B077C5"/>
    <w:rsid w:val="00B2463A"/>
    <w:rsid w:val="00B26A27"/>
    <w:rsid w:val="00B3225B"/>
    <w:rsid w:val="00B34CE7"/>
    <w:rsid w:val="00B34D64"/>
    <w:rsid w:val="00B453E8"/>
    <w:rsid w:val="00B518DC"/>
    <w:rsid w:val="00B52852"/>
    <w:rsid w:val="00B53A72"/>
    <w:rsid w:val="00B568A5"/>
    <w:rsid w:val="00B616A4"/>
    <w:rsid w:val="00B6271B"/>
    <w:rsid w:val="00B65831"/>
    <w:rsid w:val="00B80D95"/>
    <w:rsid w:val="00B80E49"/>
    <w:rsid w:val="00B86296"/>
    <w:rsid w:val="00B86D96"/>
    <w:rsid w:val="00B95130"/>
    <w:rsid w:val="00B974A2"/>
    <w:rsid w:val="00B97B28"/>
    <w:rsid w:val="00BA1186"/>
    <w:rsid w:val="00BA388C"/>
    <w:rsid w:val="00BB2116"/>
    <w:rsid w:val="00BB3A8B"/>
    <w:rsid w:val="00BC2752"/>
    <w:rsid w:val="00BC7DE5"/>
    <w:rsid w:val="00BD2B2D"/>
    <w:rsid w:val="00BD5835"/>
    <w:rsid w:val="00BD750C"/>
    <w:rsid w:val="00BE0E32"/>
    <w:rsid w:val="00BE17B3"/>
    <w:rsid w:val="00BE3187"/>
    <w:rsid w:val="00BE4216"/>
    <w:rsid w:val="00BE4B7C"/>
    <w:rsid w:val="00BE590B"/>
    <w:rsid w:val="00BF1075"/>
    <w:rsid w:val="00BF2033"/>
    <w:rsid w:val="00BF5CDA"/>
    <w:rsid w:val="00C06725"/>
    <w:rsid w:val="00C101A0"/>
    <w:rsid w:val="00C11D85"/>
    <w:rsid w:val="00C16B5B"/>
    <w:rsid w:val="00C21709"/>
    <w:rsid w:val="00C25B9B"/>
    <w:rsid w:val="00C26762"/>
    <w:rsid w:val="00C270E2"/>
    <w:rsid w:val="00C43633"/>
    <w:rsid w:val="00C44277"/>
    <w:rsid w:val="00C470C7"/>
    <w:rsid w:val="00C64054"/>
    <w:rsid w:val="00C64FE3"/>
    <w:rsid w:val="00C701D1"/>
    <w:rsid w:val="00C764B8"/>
    <w:rsid w:val="00C771CB"/>
    <w:rsid w:val="00C77904"/>
    <w:rsid w:val="00C77E44"/>
    <w:rsid w:val="00C80FAE"/>
    <w:rsid w:val="00C8253E"/>
    <w:rsid w:val="00C8320A"/>
    <w:rsid w:val="00C840DC"/>
    <w:rsid w:val="00C878F0"/>
    <w:rsid w:val="00C90AE9"/>
    <w:rsid w:val="00C96B0F"/>
    <w:rsid w:val="00CA5F4C"/>
    <w:rsid w:val="00CB1FE9"/>
    <w:rsid w:val="00CB52E4"/>
    <w:rsid w:val="00CB6CA2"/>
    <w:rsid w:val="00CD4760"/>
    <w:rsid w:val="00CE1EEF"/>
    <w:rsid w:val="00CE20F8"/>
    <w:rsid w:val="00CF01FB"/>
    <w:rsid w:val="00D05AAA"/>
    <w:rsid w:val="00D133EE"/>
    <w:rsid w:val="00D228CA"/>
    <w:rsid w:val="00D2689C"/>
    <w:rsid w:val="00D32D11"/>
    <w:rsid w:val="00D41386"/>
    <w:rsid w:val="00D42C86"/>
    <w:rsid w:val="00D43B35"/>
    <w:rsid w:val="00D45FFF"/>
    <w:rsid w:val="00D50AF9"/>
    <w:rsid w:val="00D522CA"/>
    <w:rsid w:val="00D621A5"/>
    <w:rsid w:val="00D628DB"/>
    <w:rsid w:val="00D63EAC"/>
    <w:rsid w:val="00D70538"/>
    <w:rsid w:val="00D712E2"/>
    <w:rsid w:val="00D74020"/>
    <w:rsid w:val="00D803F0"/>
    <w:rsid w:val="00D80C52"/>
    <w:rsid w:val="00D86F38"/>
    <w:rsid w:val="00D903CB"/>
    <w:rsid w:val="00D95410"/>
    <w:rsid w:val="00D95FEA"/>
    <w:rsid w:val="00D96615"/>
    <w:rsid w:val="00DA053D"/>
    <w:rsid w:val="00DA0916"/>
    <w:rsid w:val="00DA2541"/>
    <w:rsid w:val="00DB24F9"/>
    <w:rsid w:val="00DB2A0F"/>
    <w:rsid w:val="00DB62C0"/>
    <w:rsid w:val="00DC5A2D"/>
    <w:rsid w:val="00DD21E2"/>
    <w:rsid w:val="00DD68FD"/>
    <w:rsid w:val="00DE3BA4"/>
    <w:rsid w:val="00DF15F7"/>
    <w:rsid w:val="00DF3518"/>
    <w:rsid w:val="00E01D87"/>
    <w:rsid w:val="00E04912"/>
    <w:rsid w:val="00E06F6B"/>
    <w:rsid w:val="00E10AD2"/>
    <w:rsid w:val="00E10B0E"/>
    <w:rsid w:val="00E21CFA"/>
    <w:rsid w:val="00E27CA3"/>
    <w:rsid w:val="00E31211"/>
    <w:rsid w:val="00E336BB"/>
    <w:rsid w:val="00E35109"/>
    <w:rsid w:val="00E36976"/>
    <w:rsid w:val="00E56824"/>
    <w:rsid w:val="00E5741F"/>
    <w:rsid w:val="00E57CB9"/>
    <w:rsid w:val="00E64DCE"/>
    <w:rsid w:val="00E7519A"/>
    <w:rsid w:val="00E7776F"/>
    <w:rsid w:val="00E77C03"/>
    <w:rsid w:val="00E77DA9"/>
    <w:rsid w:val="00E81875"/>
    <w:rsid w:val="00E8247D"/>
    <w:rsid w:val="00E90995"/>
    <w:rsid w:val="00EB5CBF"/>
    <w:rsid w:val="00EB6C0F"/>
    <w:rsid w:val="00EC0346"/>
    <w:rsid w:val="00EC4B74"/>
    <w:rsid w:val="00EC4D6F"/>
    <w:rsid w:val="00EC4DDA"/>
    <w:rsid w:val="00EC6C82"/>
    <w:rsid w:val="00ED07CC"/>
    <w:rsid w:val="00ED6CCE"/>
    <w:rsid w:val="00ED75ED"/>
    <w:rsid w:val="00EE1F1C"/>
    <w:rsid w:val="00EE66E9"/>
    <w:rsid w:val="00EF153A"/>
    <w:rsid w:val="00EF49F5"/>
    <w:rsid w:val="00EF549B"/>
    <w:rsid w:val="00F00809"/>
    <w:rsid w:val="00F12701"/>
    <w:rsid w:val="00F2110E"/>
    <w:rsid w:val="00F22678"/>
    <w:rsid w:val="00F279C5"/>
    <w:rsid w:val="00F30847"/>
    <w:rsid w:val="00F41909"/>
    <w:rsid w:val="00F421A8"/>
    <w:rsid w:val="00F45D13"/>
    <w:rsid w:val="00F50221"/>
    <w:rsid w:val="00F50DBF"/>
    <w:rsid w:val="00F55247"/>
    <w:rsid w:val="00F60479"/>
    <w:rsid w:val="00F6239B"/>
    <w:rsid w:val="00F64194"/>
    <w:rsid w:val="00F71DEC"/>
    <w:rsid w:val="00F7352F"/>
    <w:rsid w:val="00F77A98"/>
    <w:rsid w:val="00F816E2"/>
    <w:rsid w:val="00F93A49"/>
    <w:rsid w:val="00F94F37"/>
    <w:rsid w:val="00FA0922"/>
    <w:rsid w:val="00FA25B6"/>
    <w:rsid w:val="00FA48D3"/>
    <w:rsid w:val="00FB2471"/>
    <w:rsid w:val="00FC0396"/>
    <w:rsid w:val="00FC4254"/>
    <w:rsid w:val="00FC45B9"/>
    <w:rsid w:val="00FC5623"/>
    <w:rsid w:val="00FC57EE"/>
    <w:rsid w:val="00FD6420"/>
    <w:rsid w:val="00FE01B1"/>
    <w:rsid w:val="00FE2928"/>
    <w:rsid w:val="00FE4A43"/>
    <w:rsid w:val="00FE5DE3"/>
    <w:rsid w:val="00FF7F9A"/>
    <w:rsid w:val="01060350"/>
    <w:rsid w:val="018D0F17"/>
    <w:rsid w:val="01AB718B"/>
    <w:rsid w:val="01DA7C98"/>
    <w:rsid w:val="01E65CA9"/>
    <w:rsid w:val="02010B11"/>
    <w:rsid w:val="022A49B8"/>
    <w:rsid w:val="0267571B"/>
    <w:rsid w:val="029E0CDB"/>
    <w:rsid w:val="03044C8E"/>
    <w:rsid w:val="0308527A"/>
    <w:rsid w:val="03647E1C"/>
    <w:rsid w:val="03846D2A"/>
    <w:rsid w:val="03C67C53"/>
    <w:rsid w:val="042A3CE5"/>
    <w:rsid w:val="04FA0B3A"/>
    <w:rsid w:val="050C7161"/>
    <w:rsid w:val="055B42DF"/>
    <w:rsid w:val="05605E95"/>
    <w:rsid w:val="05783ADB"/>
    <w:rsid w:val="05A11D62"/>
    <w:rsid w:val="05A56D21"/>
    <w:rsid w:val="05FC1034"/>
    <w:rsid w:val="06292C60"/>
    <w:rsid w:val="06885D30"/>
    <w:rsid w:val="06912872"/>
    <w:rsid w:val="06C929F2"/>
    <w:rsid w:val="06D10ACA"/>
    <w:rsid w:val="06D80E87"/>
    <w:rsid w:val="071E00F2"/>
    <w:rsid w:val="072061E7"/>
    <w:rsid w:val="07C56D0A"/>
    <w:rsid w:val="07E677BF"/>
    <w:rsid w:val="08417CB8"/>
    <w:rsid w:val="08510831"/>
    <w:rsid w:val="085E7F1F"/>
    <w:rsid w:val="0881424E"/>
    <w:rsid w:val="08E238A4"/>
    <w:rsid w:val="08F31FA8"/>
    <w:rsid w:val="09001080"/>
    <w:rsid w:val="0989600F"/>
    <w:rsid w:val="099A77FA"/>
    <w:rsid w:val="0A217FAB"/>
    <w:rsid w:val="0A3864D3"/>
    <w:rsid w:val="0A4A4C86"/>
    <w:rsid w:val="0A8825DC"/>
    <w:rsid w:val="0A9145E4"/>
    <w:rsid w:val="0A926384"/>
    <w:rsid w:val="0AD058F1"/>
    <w:rsid w:val="0AF748FB"/>
    <w:rsid w:val="0B24315C"/>
    <w:rsid w:val="0B8B645A"/>
    <w:rsid w:val="0C190679"/>
    <w:rsid w:val="0C6D1923"/>
    <w:rsid w:val="0C963376"/>
    <w:rsid w:val="0D0F2E0B"/>
    <w:rsid w:val="0D8F552C"/>
    <w:rsid w:val="0DC32D13"/>
    <w:rsid w:val="0E0A486D"/>
    <w:rsid w:val="0E160C52"/>
    <w:rsid w:val="0E573806"/>
    <w:rsid w:val="0E5B590D"/>
    <w:rsid w:val="0E944CE2"/>
    <w:rsid w:val="0F1B36E1"/>
    <w:rsid w:val="0FB4083C"/>
    <w:rsid w:val="0FB54F3B"/>
    <w:rsid w:val="0FF22FB9"/>
    <w:rsid w:val="0FFE370C"/>
    <w:rsid w:val="100C135D"/>
    <w:rsid w:val="10132AE3"/>
    <w:rsid w:val="10F60887"/>
    <w:rsid w:val="110754FD"/>
    <w:rsid w:val="11257B6A"/>
    <w:rsid w:val="11290839"/>
    <w:rsid w:val="11A75558"/>
    <w:rsid w:val="11B02BCB"/>
    <w:rsid w:val="11E50981"/>
    <w:rsid w:val="11E86420"/>
    <w:rsid w:val="11F61675"/>
    <w:rsid w:val="120354AC"/>
    <w:rsid w:val="121A0557"/>
    <w:rsid w:val="122C202E"/>
    <w:rsid w:val="125E1331"/>
    <w:rsid w:val="12740304"/>
    <w:rsid w:val="127C3C10"/>
    <w:rsid w:val="12AF3D8C"/>
    <w:rsid w:val="12C3038C"/>
    <w:rsid w:val="12CF837E"/>
    <w:rsid w:val="12F22D72"/>
    <w:rsid w:val="137F39FD"/>
    <w:rsid w:val="1395643E"/>
    <w:rsid w:val="13AE40C8"/>
    <w:rsid w:val="13B363E0"/>
    <w:rsid w:val="13D053C0"/>
    <w:rsid w:val="13E40E6B"/>
    <w:rsid w:val="13E478AC"/>
    <w:rsid w:val="13E618E5"/>
    <w:rsid w:val="141554C8"/>
    <w:rsid w:val="14462C81"/>
    <w:rsid w:val="146A010D"/>
    <w:rsid w:val="14835D02"/>
    <w:rsid w:val="14B559C5"/>
    <w:rsid w:val="162B44C6"/>
    <w:rsid w:val="164F6FA2"/>
    <w:rsid w:val="16E0356F"/>
    <w:rsid w:val="17062ABA"/>
    <w:rsid w:val="171E6A6E"/>
    <w:rsid w:val="17202F1E"/>
    <w:rsid w:val="179C0FC8"/>
    <w:rsid w:val="17A9390F"/>
    <w:rsid w:val="17AE1D41"/>
    <w:rsid w:val="182E28A0"/>
    <w:rsid w:val="18392C19"/>
    <w:rsid w:val="183F1186"/>
    <w:rsid w:val="18420CB3"/>
    <w:rsid w:val="18644328"/>
    <w:rsid w:val="188B0FB8"/>
    <w:rsid w:val="189F0565"/>
    <w:rsid w:val="18F94B16"/>
    <w:rsid w:val="19287A4C"/>
    <w:rsid w:val="19397563"/>
    <w:rsid w:val="197639FA"/>
    <w:rsid w:val="19D3120F"/>
    <w:rsid w:val="19F3617D"/>
    <w:rsid w:val="1A1B325F"/>
    <w:rsid w:val="1AA17C51"/>
    <w:rsid w:val="1AA43944"/>
    <w:rsid w:val="1ADC6088"/>
    <w:rsid w:val="1B2C78C7"/>
    <w:rsid w:val="1B8F6587"/>
    <w:rsid w:val="1BBE5A06"/>
    <w:rsid w:val="1BD17028"/>
    <w:rsid w:val="1BDC4741"/>
    <w:rsid w:val="1C42001F"/>
    <w:rsid w:val="1C4306F9"/>
    <w:rsid w:val="1C5059CF"/>
    <w:rsid w:val="1C54B6B0"/>
    <w:rsid w:val="1C7621B0"/>
    <w:rsid w:val="1CE10B53"/>
    <w:rsid w:val="1CEB5D3A"/>
    <w:rsid w:val="1CFE022B"/>
    <w:rsid w:val="1D5C4168"/>
    <w:rsid w:val="1DA83DB7"/>
    <w:rsid w:val="1DAB56B1"/>
    <w:rsid w:val="1DDD30D6"/>
    <w:rsid w:val="1E7551E9"/>
    <w:rsid w:val="1E9634E7"/>
    <w:rsid w:val="1EBFA404"/>
    <w:rsid w:val="1F2A228D"/>
    <w:rsid w:val="1F4D1EEA"/>
    <w:rsid w:val="1F900445"/>
    <w:rsid w:val="1FA71D7A"/>
    <w:rsid w:val="1FAF1A09"/>
    <w:rsid w:val="1FB86459"/>
    <w:rsid w:val="1FBA119F"/>
    <w:rsid w:val="1FED0195"/>
    <w:rsid w:val="1FFA6007"/>
    <w:rsid w:val="1FFDA28E"/>
    <w:rsid w:val="1FFF3D22"/>
    <w:rsid w:val="201523AC"/>
    <w:rsid w:val="202945FE"/>
    <w:rsid w:val="204D600E"/>
    <w:rsid w:val="20893ED4"/>
    <w:rsid w:val="20E010B0"/>
    <w:rsid w:val="20F709BB"/>
    <w:rsid w:val="210F5B04"/>
    <w:rsid w:val="2173382E"/>
    <w:rsid w:val="21745D08"/>
    <w:rsid w:val="21815AE0"/>
    <w:rsid w:val="21FD3C88"/>
    <w:rsid w:val="221418EC"/>
    <w:rsid w:val="225658D2"/>
    <w:rsid w:val="225878A2"/>
    <w:rsid w:val="22C56E4D"/>
    <w:rsid w:val="22F30A66"/>
    <w:rsid w:val="230E6C00"/>
    <w:rsid w:val="232A2C3C"/>
    <w:rsid w:val="232D0C36"/>
    <w:rsid w:val="234B1CCD"/>
    <w:rsid w:val="235E42D5"/>
    <w:rsid w:val="23645B24"/>
    <w:rsid w:val="236D4D03"/>
    <w:rsid w:val="239D3BB7"/>
    <w:rsid w:val="23DB3C66"/>
    <w:rsid w:val="241C5608"/>
    <w:rsid w:val="2425011E"/>
    <w:rsid w:val="24503C95"/>
    <w:rsid w:val="245D58ED"/>
    <w:rsid w:val="24AA6AB3"/>
    <w:rsid w:val="24C330B3"/>
    <w:rsid w:val="24C70119"/>
    <w:rsid w:val="24C94DCE"/>
    <w:rsid w:val="24E31B74"/>
    <w:rsid w:val="250316F7"/>
    <w:rsid w:val="25641BC4"/>
    <w:rsid w:val="259E15FF"/>
    <w:rsid w:val="25A92259"/>
    <w:rsid w:val="25CB2157"/>
    <w:rsid w:val="25E461A3"/>
    <w:rsid w:val="260809E9"/>
    <w:rsid w:val="26364464"/>
    <w:rsid w:val="263F2A1F"/>
    <w:rsid w:val="264E36FB"/>
    <w:rsid w:val="27436D25"/>
    <w:rsid w:val="27A979E0"/>
    <w:rsid w:val="27E917E1"/>
    <w:rsid w:val="28490223"/>
    <w:rsid w:val="287D4098"/>
    <w:rsid w:val="288C3E97"/>
    <w:rsid w:val="28963054"/>
    <w:rsid w:val="28F4613D"/>
    <w:rsid w:val="28F67AAF"/>
    <w:rsid w:val="296F6A77"/>
    <w:rsid w:val="29997D85"/>
    <w:rsid w:val="29AA5BAE"/>
    <w:rsid w:val="2A06483F"/>
    <w:rsid w:val="2A363B5E"/>
    <w:rsid w:val="2AA50082"/>
    <w:rsid w:val="2AEC4BD0"/>
    <w:rsid w:val="2B2771D1"/>
    <w:rsid w:val="2B6D4E26"/>
    <w:rsid w:val="2B907D75"/>
    <w:rsid w:val="2BAB0A02"/>
    <w:rsid w:val="2BB327ED"/>
    <w:rsid w:val="2BD1787E"/>
    <w:rsid w:val="2BD25271"/>
    <w:rsid w:val="2C055EF2"/>
    <w:rsid w:val="2C395F1A"/>
    <w:rsid w:val="2C7139F5"/>
    <w:rsid w:val="2C88632C"/>
    <w:rsid w:val="2C8B02A3"/>
    <w:rsid w:val="2CA56C01"/>
    <w:rsid w:val="2CC7044E"/>
    <w:rsid w:val="2CDD07AF"/>
    <w:rsid w:val="2D0A65F3"/>
    <w:rsid w:val="2D44687F"/>
    <w:rsid w:val="2D7D66E0"/>
    <w:rsid w:val="2D925870"/>
    <w:rsid w:val="2DBE366F"/>
    <w:rsid w:val="2E180502"/>
    <w:rsid w:val="2E222446"/>
    <w:rsid w:val="2E63592A"/>
    <w:rsid w:val="2E6455AA"/>
    <w:rsid w:val="2E8170D9"/>
    <w:rsid w:val="2E817F03"/>
    <w:rsid w:val="2E9562AF"/>
    <w:rsid w:val="2ECD7558"/>
    <w:rsid w:val="2EE70102"/>
    <w:rsid w:val="2F001E41"/>
    <w:rsid w:val="2F5F59D4"/>
    <w:rsid w:val="2F7377FA"/>
    <w:rsid w:val="2F7E66C7"/>
    <w:rsid w:val="2F7F0AD6"/>
    <w:rsid w:val="2F863502"/>
    <w:rsid w:val="2F8C265E"/>
    <w:rsid w:val="2F8D1BAF"/>
    <w:rsid w:val="2F974A5D"/>
    <w:rsid w:val="2FAB4362"/>
    <w:rsid w:val="2FCF408A"/>
    <w:rsid w:val="2FFFCA9F"/>
    <w:rsid w:val="30067CDB"/>
    <w:rsid w:val="30215E2D"/>
    <w:rsid w:val="30246A4D"/>
    <w:rsid w:val="306D28CF"/>
    <w:rsid w:val="308D3267"/>
    <w:rsid w:val="30AE7FF9"/>
    <w:rsid w:val="30C2076E"/>
    <w:rsid w:val="30C97E35"/>
    <w:rsid w:val="30E96531"/>
    <w:rsid w:val="30FF9BBD"/>
    <w:rsid w:val="31374D93"/>
    <w:rsid w:val="313B120F"/>
    <w:rsid w:val="31503C00"/>
    <w:rsid w:val="319527D2"/>
    <w:rsid w:val="31B35C97"/>
    <w:rsid w:val="31B60DDE"/>
    <w:rsid w:val="31BB2DB3"/>
    <w:rsid w:val="31D72CE6"/>
    <w:rsid w:val="31E42843"/>
    <w:rsid w:val="31F2527E"/>
    <w:rsid w:val="31FB1140"/>
    <w:rsid w:val="31FF6FB9"/>
    <w:rsid w:val="32181C81"/>
    <w:rsid w:val="32B00B34"/>
    <w:rsid w:val="32BF667D"/>
    <w:rsid w:val="33134959"/>
    <w:rsid w:val="33490F9B"/>
    <w:rsid w:val="33560C40"/>
    <w:rsid w:val="33F22715"/>
    <w:rsid w:val="33FF86D8"/>
    <w:rsid w:val="340B16D4"/>
    <w:rsid w:val="34697489"/>
    <w:rsid w:val="34B632B9"/>
    <w:rsid w:val="34BC53F4"/>
    <w:rsid w:val="34D060FE"/>
    <w:rsid w:val="34D27187"/>
    <w:rsid w:val="35177DBD"/>
    <w:rsid w:val="35244783"/>
    <w:rsid w:val="35734D1C"/>
    <w:rsid w:val="359C6B0B"/>
    <w:rsid w:val="359D7886"/>
    <w:rsid w:val="35A9108A"/>
    <w:rsid w:val="35AC461D"/>
    <w:rsid w:val="35AD6EB7"/>
    <w:rsid w:val="35D12402"/>
    <w:rsid w:val="35DE286E"/>
    <w:rsid w:val="35E25D66"/>
    <w:rsid w:val="35F1149A"/>
    <w:rsid w:val="364F0C65"/>
    <w:rsid w:val="36A97083"/>
    <w:rsid w:val="36AFDF24"/>
    <w:rsid w:val="36D72EDD"/>
    <w:rsid w:val="36E04B2D"/>
    <w:rsid w:val="36E47040"/>
    <w:rsid w:val="36F55722"/>
    <w:rsid w:val="37206774"/>
    <w:rsid w:val="372F4799"/>
    <w:rsid w:val="37631AC3"/>
    <w:rsid w:val="377FA468"/>
    <w:rsid w:val="377FF4AC"/>
    <w:rsid w:val="37BA3EC7"/>
    <w:rsid w:val="37EFCFD0"/>
    <w:rsid w:val="37F35FE0"/>
    <w:rsid w:val="37F46E83"/>
    <w:rsid w:val="38125400"/>
    <w:rsid w:val="3835219E"/>
    <w:rsid w:val="386F5AF7"/>
    <w:rsid w:val="38BB3F20"/>
    <w:rsid w:val="38E32A1A"/>
    <w:rsid w:val="3907358F"/>
    <w:rsid w:val="394308C8"/>
    <w:rsid w:val="39777B30"/>
    <w:rsid w:val="39835756"/>
    <w:rsid w:val="399A4C0D"/>
    <w:rsid w:val="39A03105"/>
    <w:rsid w:val="39AF20CF"/>
    <w:rsid w:val="39C16029"/>
    <w:rsid w:val="39C172F7"/>
    <w:rsid w:val="39C27D18"/>
    <w:rsid w:val="39F156FC"/>
    <w:rsid w:val="3A477AB4"/>
    <w:rsid w:val="3A4B4EF0"/>
    <w:rsid w:val="3A5524E1"/>
    <w:rsid w:val="3A5F2738"/>
    <w:rsid w:val="3A6C6C14"/>
    <w:rsid w:val="3A7E37C7"/>
    <w:rsid w:val="3AA62040"/>
    <w:rsid w:val="3ABC496A"/>
    <w:rsid w:val="3AC23C80"/>
    <w:rsid w:val="3ADC7E89"/>
    <w:rsid w:val="3AF90FE3"/>
    <w:rsid w:val="3B5E2A01"/>
    <w:rsid w:val="3B633408"/>
    <w:rsid w:val="3B6FB4C7"/>
    <w:rsid w:val="3B771E04"/>
    <w:rsid w:val="3B8F7C48"/>
    <w:rsid w:val="3B975CB9"/>
    <w:rsid w:val="3BB33E8A"/>
    <w:rsid w:val="3BD12FA1"/>
    <w:rsid w:val="3BFA1614"/>
    <w:rsid w:val="3BFE7A18"/>
    <w:rsid w:val="3C013549"/>
    <w:rsid w:val="3C047258"/>
    <w:rsid w:val="3C207E43"/>
    <w:rsid w:val="3C5F0CA8"/>
    <w:rsid w:val="3C9201A4"/>
    <w:rsid w:val="3C951CCC"/>
    <w:rsid w:val="3C9A0A50"/>
    <w:rsid w:val="3CE50344"/>
    <w:rsid w:val="3D5DD5A1"/>
    <w:rsid w:val="3D72781A"/>
    <w:rsid w:val="3DBA8119"/>
    <w:rsid w:val="3DC6320C"/>
    <w:rsid w:val="3DFBD503"/>
    <w:rsid w:val="3E076220"/>
    <w:rsid w:val="3ECD525E"/>
    <w:rsid w:val="3EEB4B2F"/>
    <w:rsid w:val="3EFD605A"/>
    <w:rsid w:val="3F1E16A3"/>
    <w:rsid w:val="3F7D2762"/>
    <w:rsid w:val="3F9747F0"/>
    <w:rsid w:val="3FBDCF7A"/>
    <w:rsid w:val="3FD036BE"/>
    <w:rsid w:val="3FDA4F14"/>
    <w:rsid w:val="3FF6B62F"/>
    <w:rsid w:val="3FFE9002"/>
    <w:rsid w:val="40730C53"/>
    <w:rsid w:val="40840CB9"/>
    <w:rsid w:val="40CF23D7"/>
    <w:rsid w:val="41086A3C"/>
    <w:rsid w:val="411C59EB"/>
    <w:rsid w:val="412F3A1A"/>
    <w:rsid w:val="4138778D"/>
    <w:rsid w:val="417A1E67"/>
    <w:rsid w:val="419B691A"/>
    <w:rsid w:val="41A37141"/>
    <w:rsid w:val="421325A9"/>
    <w:rsid w:val="42A7780B"/>
    <w:rsid w:val="42CE6EA8"/>
    <w:rsid w:val="430936A9"/>
    <w:rsid w:val="432142D1"/>
    <w:rsid w:val="43912ED2"/>
    <w:rsid w:val="43B70AA5"/>
    <w:rsid w:val="43C06C59"/>
    <w:rsid w:val="43C669A1"/>
    <w:rsid w:val="43D402A1"/>
    <w:rsid w:val="43F839F3"/>
    <w:rsid w:val="44583DFF"/>
    <w:rsid w:val="446C616C"/>
    <w:rsid w:val="448736FC"/>
    <w:rsid w:val="44A8366B"/>
    <w:rsid w:val="45233C63"/>
    <w:rsid w:val="454C18CC"/>
    <w:rsid w:val="454D7067"/>
    <w:rsid w:val="45810E05"/>
    <w:rsid w:val="45B142A9"/>
    <w:rsid w:val="45CD20DF"/>
    <w:rsid w:val="45DB5837"/>
    <w:rsid w:val="45F60736"/>
    <w:rsid w:val="4618488A"/>
    <w:rsid w:val="467960AA"/>
    <w:rsid w:val="46893BE0"/>
    <w:rsid w:val="46946051"/>
    <w:rsid w:val="46AE61CD"/>
    <w:rsid w:val="472C640A"/>
    <w:rsid w:val="473923F7"/>
    <w:rsid w:val="476900F3"/>
    <w:rsid w:val="47955EC5"/>
    <w:rsid w:val="47F7791A"/>
    <w:rsid w:val="47FA309F"/>
    <w:rsid w:val="48253225"/>
    <w:rsid w:val="482B4730"/>
    <w:rsid w:val="484F0390"/>
    <w:rsid w:val="486424B4"/>
    <w:rsid w:val="4882160E"/>
    <w:rsid w:val="48873CCC"/>
    <w:rsid w:val="48AB3C32"/>
    <w:rsid w:val="48AD0FA6"/>
    <w:rsid w:val="48AF2AEE"/>
    <w:rsid w:val="48DA1861"/>
    <w:rsid w:val="49027614"/>
    <w:rsid w:val="490A14FE"/>
    <w:rsid w:val="493E243A"/>
    <w:rsid w:val="49B01BA2"/>
    <w:rsid w:val="49BD982F"/>
    <w:rsid w:val="49CF61EC"/>
    <w:rsid w:val="4A015987"/>
    <w:rsid w:val="4A030B7A"/>
    <w:rsid w:val="4A08546F"/>
    <w:rsid w:val="4A43432D"/>
    <w:rsid w:val="4A6363DC"/>
    <w:rsid w:val="4A7D2439"/>
    <w:rsid w:val="4A923DEB"/>
    <w:rsid w:val="4B007631"/>
    <w:rsid w:val="4B2A5F6F"/>
    <w:rsid w:val="4B58746D"/>
    <w:rsid w:val="4BF73304"/>
    <w:rsid w:val="4C106710"/>
    <w:rsid w:val="4C15566D"/>
    <w:rsid w:val="4C5600CA"/>
    <w:rsid w:val="4C9969C4"/>
    <w:rsid w:val="4CA41592"/>
    <w:rsid w:val="4CAF8133"/>
    <w:rsid w:val="4CC77662"/>
    <w:rsid w:val="4CD95259"/>
    <w:rsid w:val="4D3E61B1"/>
    <w:rsid w:val="4D5C53F9"/>
    <w:rsid w:val="4DD1779D"/>
    <w:rsid w:val="4DDC11CB"/>
    <w:rsid w:val="4DEB4682"/>
    <w:rsid w:val="4E0C50E9"/>
    <w:rsid w:val="4E237D58"/>
    <w:rsid w:val="4E767935"/>
    <w:rsid w:val="4EBB4627"/>
    <w:rsid w:val="4FED4628"/>
    <w:rsid w:val="4FF50F99"/>
    <w:rsid w:val="504A3675"/>
    <w:rsid w:val="50843E44"/>
    <w:rsid w:val="50AC739F"/>
    <w:rsid w:val="50B408F5"/>
    <w:rsid w:val="50BC5C54"/>
    <w:rsid w:val="50FC6543"/>
    <w:rsid w:val="510C14C6"/>
    <w:rsid w:val="51181B78"/>
    <w:rsid w:val="512734B9"/>
    <w:rsid w:val="512A7664"/>
    <w:rsid w:val="514C537E"/>
    <w:rsid w:val="517E35DD"/>
    <w:rsid w:val="5184720E"/>
    <w:rsid w:val="52197033"/>
    <w:rsid w:val="527F4595"/>
    <w:rsid w:val="529B0814"/>
    <w:rsid w:val="52A347BF"/>
    <w:rsid w:val="52DB707F"/>
    <w:rsid w:val="53160E95"/>
    <w:rsid w:val="534E294F"/>
    <w:rsid w:val="53797A62"/>
    <w:rsid w:val="53803794"/>
    <w:rsid w:val="53C32083"/>
    <w:rsid w:val="545A24A8"/>
    <w:rsid w:val="547B0AB7"/>
    <w:rsid w:val="54B60A6E"/>
    <w:rsid w:val="54E2614F"/>
    <w:rsid w:val="55000F83"/>
    <w:rsid w:val="55306BB8"/>
    <w:rsid w:val="5533191A"/>
    <w:rsid w:val="55582054"/>
    <w:rsid w:val="556213C0"/>
    <w:rsid w:val="55A27C63"/>
    <w:rsid w:val="55B15BF8"/>
    <w:rsid w:val="55C40C9B"/>
    <w:rsid w:val="55FE2DBE"/>
    <w:rsid w:val="56014C8F"/>
    <w:rsid w:val="56589A67"/>
    <w:rsid w:val="566273F2"/>
    <w:rsid w:val="5669767B"/>
    <w:rsid w:val="567ECE20"/>
    <w:rsid w:val="569B67D6"/>
    <w:rsid w:val="56B063AF"/>
    <w:rsid w:val="56B363CB"/>
    <w:rsid w:val="56C54297"/>
    <w:rsid w:val="57BF1563"/>
    <w:rsid w:val="57D60E2A"/>
    <w:rsid w:val="57FFD71B"/>
    <w:rsid w:val="58373FE8"/>
    <w:rsid w:val="588B5FCD"/>
    <w:rsid w:val="588E1A2C"/>
    <w:rsid w:val="58D64DCB"/>
    <w:rsid w:val="58F10741"/>
    <w:rsid w:val="592B68EF"/>
    <w:rsid w:val="594C608F"/>
    <w:rsid w:val="5958263F"/>
    <w:rsid w:val="599E0CB9"/>
    <w:rsid w:val="59A87C1E"/>
    <w:rsid w:val="59DF7C0E"/>
    <w:rsid w:val="59F43B8B"/>
    <w:rsid w:val="5A6169EB"/>
    <w:rsid w:val="5A6220B6"/>
    <w:rsid w:val="5A8F2591"/>
    <w:rsid w:val="5B003C6A"/>
    <w:rsid w:val="5B220E92"/>
    <w:rsid w:val="5B441359"/>
    <w:rsid w:val="5B4C64FD"/>
    <w:rsid w:val="5B742EAC"/>
    <w:rsid w:val="5B926493"/>
    <w:rsid w:val="5BA95E65"/>
    <w:rsid w:val="5BB67427"/>
    <w:rsid w:val="5BF6EF99"/>
    <w:rsid w:val="5BF7E51B"/>
    <w:rsid w:val="5BFC59CD"/>
    <w:rsid w:val="5C375316"/>
    <w:rsid w:val="5C672AA9"/>
    <w:rsid w:val="5CA26790"/>
    <w:rsid w:val="5CBA639F"/>
    <w:rsid w:val="5CC07D20"/>
    <w:rsid w:val="5CF138CB"/>
    <w:rsid w:val="5D621A4F"/>
    <w:rsid w:val="5D7EF66A"/>
    <w:rsid w:val="5D9F2CDA"/>
    <w:rsid w:val="5DBE36B0"/>
    <w:rsid w:val="5DE5232D"/>
    <w:rsid w:val="5DFC1432"/>
    <w:rsid w:val="5E1E0A96"/>
    <w:rsid w:val="5E227B93"/>
    <w:rsid w:val="5E821BC8"/>
    <w:rsid w:val="5E865022"/>
    <w:rsid w:val="5EA973B5"/>
    <w:rsid w:val="5EBC120D"/>
    <w:rsid w:val="5ECA0109"/>
    <w:rsid w:val="5EE237C6"/>
    <w:rsid w:val="5EFBAD02"/>
    <w:rsid w:val="5EFBBFB0"/>
    <w:rsid w:val="5F3AA99B"/>
    <w:rsid w:val="5F4D2B4F"/>
    <w:rsid w:val="5F5CA55F"/>
    <w:rsid w:val="5F62370B"/>
    <w:rsid w:val="5F894F30"/>
    <w:rsid w:val="5F8C33B6"/>
    <w:rsid w:val="5F958E9C"/>
    <w:rsid w:val="5F96D9C6"/>
    <w:rsid w:val="5FCBFA78"/>
    <w:rsid w:val="5FD02B2E"/>
    <w:rsid w:val="5FD15E9D"/>
    <w:rsid w:val="5FE78B01"/>
    <w:rsid w:val="5FEA1411"/>
    <w:rsid w:val="5FED7719"/>
    <w:rsid w:val="601A74CE"/>
    <w:rsid w:val="603E5238"/>
    <w:rsid w:val="605F026A"/>
    <w:rsid w:val="609E65A6"/>
    <w:rsid w:val="60D7707D"/>
    <w:rsid w:val="618C531A"/>
    <w:rsid w:val="61E06C99"/>
    <w:rsid w:val="625A7267"/>
    <w:rsid w:val="62B51436"/>
    <w:rsid w:val="62F076BA"/>
    <w:rsid w:val="632D529D"/>
    <w:rsid w:val="63586B25"/>
    <w:rsid w:val="637D7F45"/>
    <w:rsid w:val="63872B56"/>
    <w:rsid w:val="63887D04"/>
    <w:rsid w:val="639EC2C1"/>
    <w:rsid w:val="63C727E5"/>
    <w:rsid w:val="63D7A664"/>
    <w:rsid w:val="63EF7DF6"/>
    <w:rsid w:val="64136EE7"/>
    <w:rsid w:val="649528F2"/>
    <w:rsid w:val="64A1711D"/>
    <w:rsid w:val="64E02555"/>
    <w:rsid w:val="65952EEC"/>
    <w:rsid w:val="65AA3A75"/>
    <w:rsid w:val="65C63FFA"/>
    <w:rsid w:val="66204C52"/>
    <w:rsid w:val="666B2129"/>
    <w:rsid w:val="66715095"/>
    <w:rsid w:val="66A338C5"/>
    <w:rsid w:val="66C4790F"/>
    <w:rsid w:val="66E81B05"/>
    <w:rsid w:val="66F978FF"/>
    <w:rsid w:val="67072F88"/>
    <w:rsid w:val="673FABDA"/>
    <w:rsid w:val="67641A14"/>
    <w:rsid w:val="677F5C59"/>
    <w:rsid w:val="67A66676"/>
    <w:rsid w:val="67CCA87E"/>
    <w:rsid w:val="67D33FDC"/>
    <w:rsid w:val="68402845"/>
    <w:rsid w:val="68644FD2"/>
    <w:rsid w:val="686E352A"/>
    <w:rsid w:val="68B05BBB"/>
    <w:rsid w:val="68F24BE5"/>
    <w:rsid w:val="693B3276"/>
    <w:rsid w:val="695B4D85"/>
    <w:rsid w:val="697114F2"/>
    <w:rsid w:val="699E56FF"/>
    <w:rsid w:val="69B43AA0"/>
    <w:rsid w:val="69E17263"/>
    <w:rsid w:val="69F64B47"/>
    <w:rsid w:val="69FD14B4"/>
    <w:rsid w:val="6A096232"/>
    <w:rsid w:val="6A143694"/>
    <w:rsid w:val="6A575D63"/>
    <w:rsid w:val="6A7C6909"/>
    <w:rsid w:val="6ABBDD48"/>
    <w:rsid w:val="6ABE72BE"/>
    <w:rsid w:val="6ACA422B"/>
    <w:rsid w:val="6B256DE9"/>
    <w:rsid w:val="6B650B52"/>
    <w:rsid w:val="6B761154"/>
    <w:rsid w:val="6B78042E"/>
    <w:rsid w:val="6C0C573A"/>
    <w:rsid w:val="6C793184"/>
    <w:rsid w:val="6C79385B"/>
    <w:rsid w:val="6C9854AF"/>
    <w:rsid w:val="6CA7407C"/>
    <w:rsid w:val="6CBB689D"/>
    <w:rsid w:val="6D2E2134"/>
    <w:rsid w:val="6D2FC8AE"/>
    <w:rsid w:val="6D34238B"/>
    <w:rsid w:val="6D4A44DB"/>
    <w:rsid w:val="6D4D26BE"/>
    <w:rsid w:val="6D5B5843"/>
    <w:rsid w:val="6DDB184C"/>
    <w:rsid w:val="6DF314AE"/>
    <w:rsid w:val="6E0FCAD2"/>
    <w:rsid w:val="6E22491A"/>
    <w:rsid w:val="6E2A04D3"/>
    <w:rsid w:val="6E7BBCD3"/>
    <w:rsid w:val="6EA513F4"/>
    <w:rsid w:val="6EAE462C"/>
    <w:rsid w:val="6EAF5315"/>
    <w:rsid w:val="6EDE2A66"/>
    <w:rsid w:val="6EE419AB"/>
    <w:rsid w:val="6EE91D09"/>
    <w:rsid w:val="6EF54B3F"/>
    <w:rsid w:val="6F000D19"/>
    <w:rsid w:val="6F1E6154"/>
    <w:rsid w:val="6F2B2472"/>
    <w:rsid w:val="6F506F34"/>
    <w:rsid w:val="6F76B64A"/>
    <w:rsid w:val="6F791FDF"/>
    <w:rsid w:val="6F7A61F3"/>
    <w:rsid w:val="6F865AE2"/>
    <w:rsid w:val="6FAEFD63"/>
    <w:rsid w:val="6FCE5150"/>
    <w:rsid w:val="6FD07790"/>
    <w:rsid w:val="6FE6E4B6"/>
    <w:rsid w:val="6FFDA603"/>
    <w:rsid w:val="6FFF9F19"/>
    <w:rsid w:val="702C7C31"/>
    <w:rsid w:val="707848DF"/>
    <w:rsid w:val="709358C1"/>
    <w:rsid w:val="70AD73A3"/>
    <w:rsid w:val="70B36397"/>
    <w:rsid w:val="70D52A3C"/>
    <w:rsid w:val="719C5180"/>
    <w:rsid w:val="72004A19"/>
    <w:rsid w:val="72024CCB"/>
    <w:rsid w:val="722D1E78"/>
    <w:rsid w:val="72415097"/>
    <w:rsid w:val="7259646E"/>
    <w:rsid w:val="72605369"/>
    <w:rsid w:val="72D22DFA"/>
    <w:rsid w:val="72FA4C25"/>
    <w:rsid w:val="73131738"/>
    <w:rsid w:val="733F4662"/>
    <w:rsid w:val="73555D79"/>
    <w:rsid w:val="73741711"/>
    <w:rsid w:val="73B8733E"/>
    <w:rsid w:val="73B87FE8"/>
    <w:rsid w:val="73E901B5"/>
    <w:rsid w:val="73F445CA"/>
    <w:rsid w:val="740171BE"/>
    <w:rsid w:val="74524BE7"/>
    <w:rsid w:val="74644D44"/>
    <w:rsid w:val="748426CF"/>
    <w:rsid w:val="749D7361"/>
    <w:rsid w:val="74E60D69"/>
    <w:rsid w:val="74F45102"/>
    <w:rsid w:val="750E7198"/>
    <w:rsid w:val="751301D2"/>
    <w:rsid w:val="75291143"/>
    <w:rsid w:val="754A1529"/>
    <w:rsid w:val="754A2A70"/>
    <w:rsid w:val="75502D55"/>
    <w:rsid w:val="75544BC2"/>
    <w:rsid w:val="75675F2F"/>
    <w:rsid w:val="759F5AE6"/>
    <w:rsid w:val="75A012C9"/>
    <w:rsid w:val="75E57620"/>
    <w:rsid w:val="75E90354"/>
    <w:rsid w:val="76082938"/>
    <w:rsid w:val="7613078E"/>
    <w:rsid w:val="76350721"/>
    <w:rsid w:val="767B0330"/>
    <w:rsid w:val="767F5FD3"/>
    <w:rsid w:val="76A466D7"/>
    <w:rsid w:val="76A55B76"/>
    <w:rsid w:val="76AE1503"/>
    <w:rsid w:val="76B92B53"/>
    <w:rsid w:val="76FFD288"/>
    <w:rsid w:val="770E10F7"/>
    <w:rsid w:val="7717340F"/>
    <w:rsid w:val="771D56A7"/>
    <w:rsid w:val="77557DB6"/>
    <w:rsid w:val="7766404B"/>
    <w:rsid w:val="7771703D"/>
    <w:rsid w:val="777F9F17"/>
    <w:rsid w:val="77BB5120"/>
    <w:rsid w:val="77BF57FC"/>
    <w:rsid w:val="77D82F4F"/>
    <w:rsid w:val="77DD35AE"/>
    <w:rsid w:val="77EA15DA"/>
    <w:rsid w:val="77EBC460"/>
    <w:rsid w:val="77EF00D7"/>
    <w:rsid w:val="77EF28FF"/>
    <w:rsid w:val="77FC2DAB"/>
    <w:rsid w:val="77FE2388"/>
    <w:rsid w:val="786872DF"/>
    <w:rsid w:val="78765324"/>
    <w:rsid w:val="789B6812"/>
    <w:rsid w:val="78FF0A1E"/>
    <w:rsid w:val="79014966"/>
    <w:rsid w:val="7907713A"/>
    <w:rsid w:val="79196205"/>
    <w:rsid w:val="7947484E"/>
    <w:rsid w:val="795D1EAD"/>
    <w:rsid w:val="795E40AC"/>
    <w:rsid w:val="796C3722"/>
    <w:rsid w:val="79A77D63"/>
    <w:rsid w:val="79DF3434"/>
    <w:rsid w:val="7A020420"/>
    <w:rsid w:val="7A2B5BC9"/>
    <w:rsid w:val="7A2C0B6E"/>
    <w:rsid w:val="7A2D1ADA"/>
    <w:rsid w:val="7A61E83E"/>
    <w:rsid w:val="7AB80E65"/>
    <w:rsid w:val="7AC010E1"/>
    <w:rsid w:val="7B09796A"/>
    <w:rsid w:val="7B0F53C4"/>
    <w:rsid w:val="7B434726"/>
    <w:rsid w:val="7B521DC3"/>
    <w:rsid w:val="7B62386D"/>
    <w:rsid w:val="7B798EB9"/>
    <w:rsid w:val="7B971844"/>
    <w:rsid w:val="7B9C1A46"/>
    <w:rsid w:val="7B9F6BC7"/>
    <w:rsid w:val="7BBB5A65"/>
    <w:rsid w:val="7BBE2466"/>
    <w:rsid w:val="7BC83776"/>
    <w:rsid w:val="7BE766C3"/>
    <w:rsid w:val="7BF91EB7"/>
    <w:rsid w:val="7BFFE484"/>
    <w:rsid w:val="7C305719"/>
    <w:rsid w:val="7C515C36"/>
    <w:rsid w:val="7C5F1665"/>
    <w:rsid w:val="7C6F6915"/>
    <w:rsid w:val="7C8233E8"/>
    <w:rsid w:val="7CAA1027"/>
    <w:rsid w:val="7CBC6FB1"/>
    <w:rsid w:val="7CDB021D"/>
    <w:rsid w:val="7CDFF3B0"/>
    <w:rsid w:val="7D710412"/>
    <w:rsid w:val="7D73176C"/>
    <w:rsid w:val="7D731C96"/>
    <w:rsid w:val="7D77CB77"/>
    <w:rsid w:val="7D7F47FF"/>
    <w:rsid w:val="7D946968"/>
    <w:rsid w:val="7D9D4339"/>
    <w:rsid w:val="7DBF86DC"/>
    <w:rsid w:val="7DC5207A"/>
    <w:rsid w:val="7DCA0B14"/>
    <w:rsid w:val="7DEF235E"/>
    <w:rsid w:val="7DF7B71A"/>
    <w:rsid w:val="7DFD3030"/>
    <w:rsid w:val="7DFFB48D"/>
    <w:rsid w:val="7E2F6467"/>
    <w:rsid w:val="7E48543B"/>
    <w:rsid w:val="7E4A32C0"/>
    <w:rsid w:val="7E563A05"/>
    <w:rsid w:val="7E576D0A"/>
    <w:rsid w:val="7E71BD8C"/>
    <w:rsid w:val="7E8B17AA"/>
    <w:rsid w:val="7EA97C65"/>
    <w:rsid w:val="7EBB1E88"/>
    <w:rsid w:val="7ED61762"/>
    <w:rsid w:val="7EE30C20"/>
    <w:rsid w:val="7EEBFBD6"/>
    <w:rsid w:val="7EFC7916"/>
    <w:rsid w:val="7F35B8B3"/>
    <w:rsid w:val="7F3B537A"/>
    <w:rsid w:val="7F3F36CC"/>
    <w:rsid w:val="7F54005D"/>
    <w:rsid w:val="7F5B7965"/>
    <w:rsid w:val="7F6DC2F7"/>
    <w:rsid w:val="7F794FA0"/>
    <w:rsid w:val="7F7FED8F"/>
    <w:rsid w:val="7F80441F"/>
    <w:rsid w:val="7F8F9918"/>
    <w:rsid w:val="7F9F8426"/>
    <w:rsid w:val="7FACE008"/>
    <w:rsid w:val="7FAE43D4"/>
    <w:rsid w:val="7FAFE096"/>
    <w:rsid w:val="7FBD72C3"/>
    <w:rsid w:val="7FCDDE14"/>
    <w:rsid w:val="7FD03218"/>
    <w:rsid w:val="7FD2E3A6"/>
    <w:rsid w:val="7FD3FD1F"/>
    <w:rsid w:val="7FD95A61"/>
    <w:rsid w:val="7FDA5D21"/>
    <w:rsid w:val="7FDCF035"/>
    <w:rsid w:val="7FE36E24"/>
    <w:rsid w:val="7FE77CE1"/>
    <w:rsid w:val="7FEFF350"/>
    <w:rsid w:val="7FEFF803"/>
    <w:rsid w:val="7FF06BD1"/>
    <w:rsid w:val="7FF51BEA"/>
    <w:rsid w:val="7FF79521"/>
    <w:rsid w:val="7FFA0086"/>
    <w:rsid w:val="7FFA0881"/>
    <w:rsid w:val="7FFBDED2"/>
    <w:rsid w:val="7FFF7BD5"/>
    <w:rsid w:val="8E53AE4C"/>
    <w:rsid w:val="96F58CFC"/>
    <w:rsid w:val="97FE98E4"/>
    <w:rsid w:val="9CFF37FB"/>
    <w:rsid w:val="9DEB9E49"/>
    <w:rsid w:val="9EDD3B8B"/>
    <w:rsid w:val="9F63598E"/>
    <w:rsid w:val="9F6FBE73"/>
    <w:rsid w:val="9F7FBBBC"/>
    <w:rsid w:val="9F8DE23D"/>
    <w:rsid w:val="9FD5162D"/>
    <w:rsid w:val="9FDB75CB"/>
    <w:rsid w:val="9FEFFBAD"/>
    <w:rsid w:val="A7C786A1"/>
    <w:rsid w:val="A8FD4EC9"/>
    <w:rsid w:val="ADEFDE78"/>
    <w:rsid w:val="AE6FCBE4"/>
    <w:rsid w:val="AEFEA346"/>
    <w:rsid w:val="AFE37CEA"/>
    <w:rsid w:val="AFFD56D0"/>
    <w:rsid w:val="AFFF275E"/>
    <w:rsid w:val="B3FB81D6"/>
    <w:rsid w:val="B4AB5931"/>
    <w:rsid w:val="B7BFBE50"/>
    <w:rsid w:val="B7FD32F9"/>
    <w:rsid w:val="B7FFAE67"/>
    <w:rsid w:val="B8FF6631"/>
    <w:rsid w:val="B90DFD40"/>
    <w:rsid w:val="B9AFDCD3"/>
    <w:rsid w:val="BABCD19C"/>
    <w:rsid w:val="BDE75B3D"/>
    <w:rsid w:val="BDF70207"/>
    <w:rsid w:val="BF5F7ECE"/>
    <w:rsid w:val="BF7F691D"/>
    <w:rsid w:val="BF87E903"/>
    <w:rsid w:val="BF8F25A6"/>
    <w:rsid w:val="BF96043F"/>
    <w:rsid w:val="BFE31340"/>
    <w:rsid w:val="BFF3984F"/>
    <w:rsid w:val="BFF7AC15"/>
    <w:rsid w:val="BFFE6517"/>
    <w:rsid w:val="BFFE987A"/>
    <w:rsid w:val="BFFFBB66"/>
    <w:rsid w:val="C9F39AB2"/>
    <w:rsid w:val="CDCF1ADC"/>
    <w:rsid w:val="CDF55621"/>
    <w:rsid w:val="CDFFF87A"/>
    <w:rsid w:val="CE31D0EC"/>
    <w:rsid w:val="D15FB0C6"/>
    <w:rsid w:val="D58F5F2A"/>
    <w:rsid w:val="D6BEE5DF"/>
    <w:rsid w:val="D7F17C0B"/>
    <w:rsid w:val="D7F668B5"/>
    <w:rsid w:val="D7FDBFA0"/>
    <w:rsid w:val="DAAFEB08"/>
    <w:rsid w:val="DAFAB91F"/>
    <w:rsid w:val="DBFE4316"/>
    <w:rsid w:val="DC6E6F7A"/>
    <w:rsid w:val="DD7F07C9"/>
    <w:rsid w:val="DE6BD066"/>
    <w:rsid w:val="DEF1CFBF"/>
    <w:rsid w:val="DEFFD5E2"/>
    <w:rsid w:val="DFA53387"/>
    <w:rsid w:val="DFF7D229"/>
    <w:rsid w:val="DFFBFC87"/>
    <w:rsid w:val="DFFEDE0A"/>
    <w:rsid w:val="E2EB1ED3"/>
    <w:rsid w:val="E2FF268F"/>
    <w:rsid w:val="E35F8C4C"/>
    <w:rsid w:val="E375B358"/>
    <w:rsid w:val="E3C7AA2A"/>
    <w:rsid w:val="E3F5B577"/>
    <w:rsid w:val="E5EF5449"/>
    <w:rsid w:val="E6EECD70"/>
    <w:rsid w:val="E75FFA67"/>
    <w:rsid w:val="E7F43AF4"/>
    <w:rsid w:val="E7FB5717"/>
    <w:rsid w:val="EADF4C0D"/>
    <w:rsid w:val="EB9FAB57"/>
    <w:rsid w:val="EDD708AE"/>
    <w:rsid w:val="EF5FD938"/>
    <w:rsid w:val="F1AB711B"/>
    <w:rsid w:val="F1F62FA1"/>
    <w:rsid w:val="F2B71A02"/>
    <w:rsid w:val="F2FBEB28"/>
    <w:rsid w:val="F3DD0A38"/>
    <w:rsid w:val="F3F68D1F"/>
    <w:rsid w:val="F4C71168"/>
    <w:rsid w:val="F5EF201B"/>
    <w:rsid w:val="F73D4915"/>
    <w:rsid w:val="F74774E6"/>
    <w:rsid w:val="F74F1FD4"/>
    <w:rsid w:val="F78CA6C7"/>
    <w:rsid w:val="F7DF2592"/>
    <w:rsid w:val="F7E70FD8"/>
    <w:rsid w:val="F7FB97FC"/>
    <w:rsid w:val="F7FBE502"/>
    <w:rsid w:val="F7FE8A74"/>
    <w:rsid w:val="F83F54DC"/>
    <w:rsid w:val="F95B93C8"/>
    <w:rsid w:val="F9F72FDF"/>
    <w:rsid w:val="FAB7D26B"/>
    <w:rsid w:val="FAF7A88C"/>
    <w:rsid w:val="FAFD40CB"/>
    <w:rsid w:val="FB2B1548"/>
    <w:rsid w:val="FBBF98D4"/>
    <w:rsid w:val="FBF7AAA3"/>
    <w:rsid w:val="FC75B444"/>
    <w:rsid w:val="FCFB7090"/>
    <w:rsid w:val="FD7565FB"/>
    <w:rsid w:val="FDBB1E61"/>
    <w:rsid w:val="FDBD0C23"/>
    <w:rsid w:val="FDBDCCFE"/>
    <w:rsid w:val="FDD781CD"/>
    <w:rsid w:val="FDE759BB"/>
    <w:rsid w:val="FDEE6E78"/>
    <w:rsid w:val="FE4BA0BA"/>
    <w:rsid w:val="FE7C8043"/>
    <w:rsid w:val="FF6F0AE9"/>
    <w:rsid w:val="FF72497F"/>
    <w:rsid w:val="FF9F9E1C"/>
    <w:rsid w:val="FFB9CBBA"/>
    <w:rsid w:val="FFBC4D5B"/>
    <w:rsid w:val="FFDFB81B"/>
    <w:rsid w:val="FFF66BF2"/>
    <w:rsid w:val="FFF7D77C"/>
    <w:rsid w:val="FFFB5AF3"/>
    <w:rsid w:val="FFFF34D6"/>
    <w:rsid w:val="FFFF54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iPriority="0" w:semiHidden="0" w:name="header"/>
    <w:lsdException w:qFormat="1" w:uiPriority="99"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qFormat="1" w:uiPriority="0" w:name="macro"/>
    <w:lsdException w:uiPriority="0" w:name="toa heading"/>
    <w:lsdException w:unhideWhenUsed="0" w:uiPriority="0"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iPriority="0" w:name="List Continue 3"/>
    <w:lsdException w:uiPriority="0" w:name="List Continue 4"/>
    <w:lsdException w:unhideWhenUsed="0" w:uiPriority="0" w:semiHidden="0" w:name="List Continue 5"/>
    <w:lsdException w:uiPriority="0" w:name="Message Header"/>
    <w:lsdException w:qFormat="1" w:unhideWhenUsed="0" w:uiPriority="11"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qFormat="1" w:uiPriority="0" w:semiHidden="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4">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23"/>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link w:val="75"/>
    <w:qFormat/>
    <w:uiPriority w:val="9"/>
    <w:pPr>
      <w:keepNext/>
      <w:keepLines/>
      <w:spacing w:before="260" w:after="260" w:line="416" w:lineRule="auto"/>
      <w:outlineLvl w:val="2"/>
    </w:pPr>
    <w:rPr>
      <w:b/>
      <w:bCs/>
      <w:sz w:val="32"/>
      <w:szCs w:val="32"/>
    </w:rPr>
  </w:style>
  <w:style w:type="paragraph" w:styleId="7">
    <w:name w:val="heading 4"/>
    <w:basedOn w:val="1"/>
    <w:next w:val="1"/>
    <w:link w:val="54"/>
    <w:qFormat/>
    <w:uiPriority w:val="0"/>
    <w:pPr>
      <w:adjustRightInd w:val="0"/>
      <w:snapToGrid w:val="0"/>
      <w:spacing w:line="480" w:lineRule="exact"/>
      <w:outlineLvl w:val="3"/>
    </w:pPr>
    <w:rPr>
      <w:rFonts w:ascii="Times New Roman" w:hAnsi="宋体" w:cs="Times New Roman"/>
      <w:kern w:val="0"/>
      <w:sz w:val="24"/>
      <w:szCs w:val="24"/>
      <w:lang w:val="zh-CN"/>
    </w:rPr>
  </w:style>
  <w:style w:type="paragraph" w:styleId="8">
    <w:name w:val="heading 5"/>
    <w:basedOn w:val="1"/>
    <w:next w:val="1"/>
    <w:link w:val="60"/>
    <w:qFormat/>
    <w:uiPriority w:val="0"/>
    <w:pPr>
      <w:keepNext/>
      <w:keepLines/>
      <w:autoSpaceDE w:val="0"/>
      <w:autoSpaceDN w:val="0"/>
      <w:adjustRightInd w:val="0"/>
      <w:spacing w:before="280" w:after="290" w:line="377" w:lineRule="auto"/>
      <w:ind w:left="100" w:leftChars="100" w:right="100" w:rightChars="100"/>
      <w:textAlignment w:val="baseline"/>
      <w:outlineLvl w:val="4"/>
    </w:pPr>
    <w:rPr>
      <w:rFonts w:ascii="宋体" w:hAnsi="Tms Rmn" w:cs="Times New Roman"/>
      <w:bCs/>
      <w:color w:val="FF0000"/>
      <w:kern w:val="0"/>
      <w:sz w:val="24"/>
      <w:szCs w:val="28"/>
    </w:rPr>
  </w:style>
  <w:style w:type="paragraph" w:styleId="9">
    <w:name w:val="heading 6"/>
    <w:basedOn w:val="1"/>
    <w:next w:val="1"/>
    <w:link w:val="153"/>
    <w:qFormat/>
    <w:uiPriority w:val="0"/>
    <w:pPr>
      <w:keepNext/>
      <w:keepLines/>
      <w:autoSpaceDE w:val="0"/>
      <w:autoSpaceDN w:val="0"/>
      <w:adjustRightInd w:val="0"/>
      <w:spacing w:before="240" w:after="64" w:line="320" w:lineRule="auto"/>
      <w:ind w:left="100" w:leftChars="100" w:right="240" w:rightChars="100" w:firstLine="200" w:firstLineChars="200"/>
      <w:textAlignment w:val="baseline"/>
      <w:outlineLvl w:val="5"/>
    </w:pPr>
    <w:rPr>
      <w:rFonts w:ascii="Arial" w:hAnsi="Arial" w:cs="Times New Roman"/>
      <w:bCs/>
      <w:color w:val="FF0000"/>
      <w:kern w:val="0"/>
      <w:sz w:val="24"/>
      <w:szCs w:val="24"/>
    </w:rPr>
  </w:style>
  <w:style w:type="paragraph" w:styleId="10">
    <w:name w:val="heading 7"/>
    <w:basedOn w:val="1"/>
    <w:next w:val="1"/>
    <w:link w:val="119"/>
    <w:qFormat/>
    <w:uiPriority w:val="0"/>
    <w:pPr>
      <w:keepNext/>
      <w:keepLines/>
      <w:spacing w:before="240" w:after="64" w:line="319" w:lineRule="auto"/>
      <w:outlineLvl w:val="6"/>
    </w:pPr>
    <w:rPr>
      <w:rFonts w:ascii="Times New Roman" w:hAnsi="Times New Roman" w:cs="Times New Roman"/>
      <w:bCs/>
      <w:kern w:val="0"/>
      <w:sz w:val="24"/>
      <w:szCs w:val="24"/>
      <w:lang w:val="zh-CN"/>
    </w:rPr>
  </w:style>
  <w:style w:type="paragraph" w:styleId="11">
    <w:name w:val="heading 8"/>
    <w:basedOn w:val="1"/>
    <w:next w:val="1"/>
    <w:link w:val="122"/>
    <w:qFormat/>
    <w:uiPriority w:val="0"/>
    <w:pPr>
      <w:keepNext/>
      <w:keepLines/>
      <w:spacing w:before="240" w:after="64" w:line="319" w:lineRule="auto"/>
      <w:outlineLvl w:val="7"/>
    </w:pPr>
    <w:rPr>
      <w:rFonts w:ascii="Arial" w:hAnsi="Arial" w:cs="Times New Roman"/>
      <w:kern w:val="0"/>
      <w:sz w:val="24"/>
      <w:szCs w:val="24"/>
      <w:lang w:val="zh-CN"/>
    </w:rPr>
  </w:style>
  <w:style w:type="paragraph" w:styleId="12">
    <w:name w:val="heading 9"/>
    <w:basedOn w:val="1"/>
    <w:next w:val="1"/>
    <w:link w:val="82"/>
    <w:qFormat/>
    <w:uiPriority w:val="0"/>
    <w:pPr>
      <w:keepNext/>
      <w:keepLines/>
      <w:spacing w:before="240" w:after="64" w:line="319" w:lineRule="auto"/>
      <w:outlineLvl w:val="8"/>
    </w:pPr>
    <w:rPr>
      <w:rFonts w:ascii="Arial" w:hAnsi="Arial" w:eastAsia="黑体" w:cs="Times New Roman"/>
      <w:kern w:val="0"/>
      <w:szCs w:val="21"/>
      <w:lang w:val="zh-CN"/>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137"/>
    <w:qFormat/>
    <w:uiPriority w:val="0"/>
    <w:pPr>
      <w:spacing w:before="120" w:after="120" w:line="360" w:lineRule="auto"/>
      <w:ind w:firstLine="510"/>
    </w:pPr>
    <w:rPr>
      <w:sz w:val="24"/>
    </w:rPr>
  </w:style>
  <w:style w:type="paragraph" w:styleId="3">
    <w:name w:val="Title"/>
    <w:basedOn w:val="1"/>
    <w:next w:val="1"/>
    <w:link w:val="170"/>
    <w:qFormat/>
    <w:uiPriority w:val="0"/>
    <w:pPr>
      <w:autoSpaceDE w:val="0"/>
      <w:autoSpaceDN w:val="0"/>
      <w:adjustRightInd w:val="0"/>
      <w:spacing w:before="240" w:after="60"/>
      <w:jc w:val="center"/>
      <w:outlineLvl w:val="0"/>
    </w:pPr>
    <w:rPr>
      <w:rFonts w:ascii="MS Sans Serif" w:hAnsi="MS Sans Serif" w:eastAsia="新宋体"/>
      <w:b/>
      <w:bCs/>
      <w:sz w:val="32"/>
      <w:szCs w:val="32"/>
    </w:rPr>
  </w:style>
  <w:style w:type="paragraph" w:styleId="13">
    <w:name w:val="toc 7"/>
    <w:basedOn w:val="1"/>
    <w:next w:val="1"/>
    <w:unhideWhenUsed/>
    <w:qFormat/>
    <w:uiPriority w:val="39"/>
    <w:pPr>
      <w:ind w:left="2520" w:leftChars="1200"/>
    </w:pPr>
    <w:rPr>
      <w:rFonts w:cs="Times New Roman"/>
    </w:rPr>
  </w:style>
  <w:style w:type="paragraph" w:styleId="14">
    <w:name w:val="Normal Indent"/>
    <w:basedOn w:val="1"/>
    <w:next w:val="1"/>
    <w:qFormat/>
    <w:uiPriority w:val="0"/>
    <w:pPr>
      <w:ind w:firstLine="420"/>
    </w:pPr>
    <w:rPr>
      <w:kern w:val="0"/>
      <w:sz w:val="24"/>
      <w:szCs w:val="20"/>
    </w:rPr>
  </w:style>
  <w:style w:type="paragraph" w:styleId="15">
    <w:name w:val="caption"/>
    <w:basedOn w:val="1"/>
    <w:next w:val="1"/>
    <w:unhideWhenUsed/>
    <w:qFormat/>
    <w:uiPriority w:val="0"/>
    <w:pPr>
      <w:autoSpaceDE w:val="0"/>
      <w:autoSpaceDN w:val="0"/>
      <w:spacing w:before="152" w:after="160"/>
      <w:jc w:val="left"/>
    </w:pPr>
    <w:rPr>
      <w:rFonts w:ascii="Arial" w:hAnsi="Arial" w:eastAsia="黑体" w:cs="Times New Roman"/>
      <w:kern w:val="0"/>
      <w:sz w:val="20"/>
      <w:szCs w:val="20"/>
    </w:rPr>
  </w:style>
  <w:style w:type="paragraph" w:styleId="16">
    <w:name w:val="annotation text"/>
    <w:link w:val="165"/>
    <w:qFormat/>
    <w:uiPriority w:val="0"/>
    <w:pPr>
      <w:widowControl w:val="0"/>
      <w:jc w:val="left"/>
    </w:pPr>
    <w:rPr>
      <w:rFonts w:ascii="Calibri" w:hAnsi="Calibri" w:eastAsia="宋体" w:cs="黑体"/>
      <w:kern w:val="2"/>
      <w:sz w:val="21"/>
      <w:szCs w:val="22"/>
      <w:lang w:val="en-US" w:eastAsia="zh-CN" w:bidi="ar-SA"/>
    </w:rPr>
  </w:style>
  <w:style w:type="paragraph" w:styleId="17">
    <w:name w:val="Body Text Indent"/>
    <w:basedOn w:val="1"/>
    <w:next w:val="18"/>
    <w:link w:val="126"/>
    <w:qFormat/>
    <w:uiPriority w:val="0"/>
  </w:style>
  <w:style w:type="paragraph" w:styleId="18">
    <w:name w:val="Body Text First Indent"/>
    <w:basedOn w:val="2"/>
    <w:link w:val="65"/>
    <w:qFormat/>
    <w:uiPriority w:val="0"/>
    <w:pPr>
      <w:ind w:firstLine="560" w:firstLineChars="200"/>
    </w:pPr>
  </w:style>
  <w:style w:type="paragraph" w:styleId="19">
    <w:name w:val="toc 5"/>
    <w:basedOn w:val="1"/>
    <w:next w:val="1"/>
    <w:unhideWhenUsed/>
    <w:qFormat/>
    <w:uiPriority w:val="39"/>
    <w:pPr>
      <w:ind w:left="1680" w:leftChars="800"/>
    </w:pPr>
  </w:style>
  <w:style w:type="paragraph" w:styleId="20">
    <w:name w:val="toc 3"/>
    <w:basedOn w:val="1"/>
    <w:next w:val="1"/>
    <w:unhideWhenUsed/>
    <w:qFormat/>
    <w:uiPriority w:val="39"/>
    <w:pPr>
      <w:widowControl/>
      <w:spacing w:after="100" w:line="259" w:lineRule="auto"/>
      <w:ind w:left="446"/>
      <w:jc w:val="left"/>
    </w:pPr>
    <w:rPr>
      <w:rFonts w:cs="Times New Roman"/>
      <w:kern w:val="0"/>
      <w:sz w:val="22"/>
    </w:rPr>
  </w:style>
  <w:style w:type="paragraph" w:styleId="21">
    <w:name w:val="Plain Text"/>
    <w:basedOn w:val="1"/>
    <w:link w:val="86"/>
    <w:qFormat/>
    <w:uiPriority w:val="99"/>
    <w:pPr>
      <w:spacing w:before="120" w:after="60" w:line="360" w:lineRule="auto"/>
      <w:ind w:firstLine="510"/>
    </w:pPr>
    <w:rPr>
      <w:rFonts w:ascii="宋体" w:hAnsi="Courier New" w:cs="Courier New"/>
      <w:kern w:val="0"/>
      <w:sz w:val="20"/>
      <w:szCs w:val="21"/>
    </w:rPr>
  </w:style>
  <w:style w:type="paragraph" w:styleId="22">
    <w:name w:val="toc 8"/>
    <w:basedOn w:val="1"/>
    <w:next w:val="1"/>
    <w:unhideWhenUsed/>
    <w:qFormat/>
    <w:uiPriority w:val="39"/>
    <w:pPr>
      <w:ind w:left="2940" w:leftChars="1400"/>
    </w:pPr>
    <w:rPr>
      <w:rFonts w:cs="Times New Roman"/>
    </w:rPr>
  </w:style>
  <w:style w:type="paragraph" w:styleId="23">
    <w:name w:val="Body Text Indent 2"/>
    <w:basedOn w:val="1"/>
    <w:link w:val="66"/>
    <w:unhideWhenUsed/>
    <w:qFormat/>
    <w:uiPriority w:val="0"/>
    <w:pPr>
      <w:spacing w:after="120" w:line="480" w:lineRule="auto"/>
      <w:ind w:left="420" w:leftChars="200"/>
    </w:pPr>
  </w:style>
  <w:style w:type="paragraph" w:styleId="24">
    <w:name w:val="Balloon Text"/>
    <w:basedOn w:val="1"/>
    <w:link w:val="74"/>
    <w:qFormat/>
    <w:uiPriority w:val="0"/>
    <w:rPr>
      <w:sz w:val="18"/>
      <w:szCs w:val="18"/>
    </w:rPr>
  </w:style>
  <w:style w:type="paragraph" w:styleId="25">
    <w:name w:val="footer"/>
    <w:basedOn w:val="1"/>
    <w:link w:val="57"/>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26">
    <w:name w:val="header"/>
    <w:basedOn w:val="1"/>
    <w:link w:val="127"/>
    <w:unhideWhenUsed/>
    <w:qFormat/>
    <w:uiPriority w:val="0"/>
    <w:pPr>
      <w:pBdr>
        <w:bottom w:val="single" w:color="auto" w:sz="6" w:space="1"/>
      </w:pBdr>
      <w:tabs>
        <w:tab w:val="center" w:pos="4153"/>
        <w:tab w:val="right" w:pos="8306"/>
      </w:tabs>
      <w:snapToGrid w:val="0"/>
      <w:jc w:val="center"/>
    </w:pPr>
    <w:rPr>
      <w:rFonts w:cs="Times New Roman"/>
      <w:sz w:val="18"/>
      <w:szCs w:val="18"/>
    </w:rPr>
  </w:style>
  <w:style w:type="paragraph" w:styleId="27">
    <w:name w:val="toc 1"/>
    <w:basedOn w:val="1"/>
    <w:next w:val="1"/>
    <w:qFormat/>
    <w:uiPriority w:val="39"/>
    <w:pPr>
      <w:tabs>
        <w:tab w:val="right" w:leader="dot" w:pos="8296"/>
      </w:tabs>
    </w:pPr>
  </w:style>
  <w:style w:type="paragraph" w:styleId="28">
    <w:name w:val="toc 4"/>
    <w:basedOn w:val="1"/>
    <w:next w:val="1"/>
    <w:unhideWhenUsed/>
    <w:qFormat/>
    <w:uiPriority w:val="39"/>
    <w:pPr>
      <w:ind w:left="1260" w:leftChars="600"/>
    </w:pPr>
    <w:rPr>
      <w:rFonts w:cs="Times New Roman"/>
    </w:rPr>
  </w:style>
  <w:style w:type="paragraph" w:styleId="29">
    <w:name w:val="toc 6"/>
    <w:basedOn w:val="1"/>
    <w:next w:val="1"/>
    <w:unhideWhenUsed/>
    <w:qFormat/>
    <w:uiPriority w:val="39"/>
    <w:pPr>
      <w:ind w:left="2100" w:leftChars="1000"/>
    </w:pPr>
    <w:rPr>
      <w:rFonts w:cs="Times New Roman"/>
    </w:rPr>
  </w:style>
  <w:style w:type="paragraph" w:styleId="30">
    <w:name w:val="toc 2"/>
    <w:basedOn w:val="1"/>
    <w:next w:val="1"/>
    <w:qFormat/>
    <w:uiPriority w:val="39"/>
    <w:pPr>
      <w:tabs>
        <w:tab w:val="right" w:leader="dot" w:pos="8296"/>
      </w:tabs>
      <w:ind w:left="420" w:leftChars="200"/>
    </w:pPr>
  </w:style>
  <w:style w:type="paragraph" w:styleId="31">
    <w:name w:val="toc 9"/>
    <w:basedOn w:val="1"/>
    <w:next w:val="1"/>
    <w:unhideWhenUsed/>
    <w:qFormat/>
    <w:uiPriority w:val="39"/>
    <w:pPr>
      <w:ind w:left="3360" w:leftChars="1600"/>
    </w:pPr>
    <w:rPr>
      <w:rFonts w:cs="Times New Roman"/>
    </w:rPr>
  </w:style>
  <w:style w:type="paragraph" w:styleId="32">
    <w:name w:val="Body Text 2"/>
    <w:basedOn w:val="1"/>
    <w:link w:val="166"/>
    <w:qFormat/>
    <w:uiPriority w:val="0"/>
    <w:pPr>
      <w:spacing w:after="120" w:line="480" w:lineRule="auto"/>
    </w:pPr>
  </w:style>
  <w:style w:type="paragraph" w:styleId="33">
    <w:name w:val="Normal (Web)"/>
    <w:basedOn w:val="1"/>
    <w:qFormat/>
    <w:uiPriority w:val="0"/>
    <w:pPr>
      <w:spacing w:before="100" w:beforeAutospacing="1" w:after="100" w:afterAutospacing="1"/>
      <w:jc w:val="left"/>
    </w:pPr>
    <w:rPr>
      <w:rFonts w:cs="Times New Roman"/>
      <w:kern w:val="0"/>
      <w:sz w:val="24"/>
    </w:rPr>
  </w:style>
  <w:style w:type="paragraph" w:styleId="34">
    <w:name w:val="annotation subject"/>
    <w:basedOn w:val="16"/>
    <w:next w:val="16"/>
    <w:link w:val="77"/>
    <w:semiHidden/>
    <w:qFormat/>
    <w:uiPriority w:val="0"/>
    <w:rPr>
      <w:b/>
      <w:bCs/>
    </w:rPr>
  </w:style>
  <w:style w:type="paragraph" w:styleId="35">
    <w:name w:val="Body Text First Indent 2"/>
    <w:basedOn w:val="17"/>
    <w:next w:val="18"/>
    <w:link w:val="141"/>
    <w:qFormat/>
    <w:uiPriority w:val="0"/>
    <w:pPr>
      <w:ind w:firstLine="420" w:firstLineChars="200"/>
    </w:pPr>
  </w:style>
  <w:style w:type="table" w:styleId="37">
    <w:name w:val="Table Grid"/>
    <w:basedOn w:val="36"/>
    <w:qFormat/>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39">
    <w:name w:val="FollowedHyperlink"/>
    <w:unhideWhenUsed/>
    <w:qFormat/>
    <w:uiPriority w:val="99"/>
    <w:rPr>
      <w:color w:val="954F72"/>
      <w:u w:val="single"/>
    </w:rPr>
  </w:style>
  <w:style w:type="character" w:styleId="40">
    <w:name w:val="Hyperlink"/>
    <w:unhideWhenUsed/>
    <w:qFormat/>
    <w:uiPriority w:val="99"/>
    <w:rPr>
      <w:color w:val="0563C1"/>
      <w:u w:val="single"/>
    </w:rPr>
  </w:style>
  <w:style w:type="character" w:styleId="41">
    <w:name w:val="annotation reference"/>
    <w:qFormat/>
    <w:uiPriority w:val="0"/>
    <w:rPr>
      <w:sz w:val="21"/>
      <w:szCs w:val="21"/>
    </w:rPr>
  </w:style>
  <w:style w:type="paragraph" w:customStyle="1" w:styleId="42">
    <w:name w:val="修订11"/>
    <w:semiHidden/>
    <w:qFormat/>
    <w:uiPriority w:val="99"/>
    <w:rPr>
      <w:rFonts w:ascii="Calibri" w:hAnsi="Calibri" w:eastAsia="宋体" w:cs="黑体"/>
      <w:kern w:val="2"/>
      <w:sz w:val="21"/>
      <w:szCs w:val="22"/>
      <w:lang w:val="en-US" w:eastAsia="zh-CN" w:bidi="ar-SA"/>
    </w:rPr>
  </w:style>
  <w:style w:type="paragraph" w:customStyle="1" w:styleId="4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kern w:val="0"/>
      <w:sz w:val="18"/>
      <w:szCs w:val="18"/>
    </w:rPr>
  </w:style>
  <w:style w:type="paragraph" w:customStyle="1" w:styleId="4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kern w:val="0"/>
      <w:sz w:val="18"/>
      <w:szCs w:val="18"/>
    </w:rPr>
  </w:style>
  <w:style w:type="paragraph" w:customStyle="1" w:styleId="46">
    <w:name w:val="xl99"/>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7">
    <w:name w:val="正文文本 字符"/>
    <w:qFormat/>
    <w:uiPriority w:val="0"/>
    <w:rPr>
      <w:rFonts w:ascii="Calibri" w:hAnsi="Calibri" w:cs="黑体"/>
      <w:kern w:val="2"/>
      <w:sz w:val="24"/>
      <w:szCs w:val="22"/>
    </w:rPr>
  </w:style>
  <w:style w:type="character" w:customStyle="1" w:styleId="48">
    <w:name w:val="font41"/>
    <w:qFormat/>
    <w:uiPriority w:val="0"/>
    <w:rPr>
      <w:rFonts w:hint="eastAsia" w:ascii="宋体" w:hAnsi="宋体" w:eastAsia="宋体" w:cs="宋体"/>
      <w:color w:val="000000"/>
      <w:sz w:val="20"/>
      <w:szCs w:val="20"/>
      <w:u w:val="none"/>
      <w:vertAlign w:val="superscript"/>
    </w:rPr>
  </w:style>
  <w:style w:type="character" w:customStyle="1" w:styleId="49">
    <w:name w:val="标题 1 字符1"/>
    <w:link w:val="4"/>
    <w:qFormat/>
    <w:uiPriority w:val="0"/>
    <w:rPr>
      <w:rFonts w:hint="default" w:ascii="Calibri" w:hAnsi="Calibri" w:cs="黑体"/>
      <w:b/>
      <w:bCs/>
      <w:kern w:val="44"/>
      <w:sz w:val="44"/>
      <w:szCs w:val="44"/>
    </w:rPr>
  </w:style>
  <w:style w:type="paragraph" w:customStyle="1" w:styleId="50">
    <w:name w:val="1 标题"/>
    <w:link w:val="138"/>
    <w:qFormat/>
    <w:uiPriority w:val="0"/>
    <w:pPr>
      <w:widowControl w:val="0"/>
      <w:spacing w:before="300" w:after="120" w:line="480" w:lineRule="exact"/>
      <w:jc w:val="center"/>
      <w:outlineLvl w:val="0"/>
    </w:pPr>
    <w:rPr>
      <w:rFonts w:ascii="Times New Roman" w:hAnsi="Times New Roman" w:eastAsia="黑体" w:cs="Times New Roman"/>
      <w:kern w:val="32"/>
      <w:sz w:val="36"/>
      <w:szCs w:val="36"/>
      <w:lang w:val="zh-CN" w:eastAsia="zh-CN" w:bidi="ar-SA"/>
    </w:rPr>
  </w:style>
  <w:style w:type="paragraph" w:customStyle="1" w:styleId="51">
    <w:name w:val="表格"/>
    <w:basedOn w:val="1"/>
    <w:link w:val="158"/>
    <w:qFormat/>
    <w:uiPriority w:val="1"/>
    <w:pPr>
      <w:jc w:val="center"/>
    </w:pPr>
    <w:rPr>
      <w:rFonts w:ascii="Times New Roman" w:hAnsi="Times New Roman" w:cs="Times New Roman"/>
    </w:rPr>
  </w:style>
  <w:style w:type="character" w:customStyle="1" w:styleId="52">
    <w:name w:val="标题 7 字符"/>
    <w:qFormat/>
    <w:uiPriority w:val="0"/>
    <w:rPr>
      <w:rFonts w:ascii="Times New Roman" w:hAnsi="Times New Roman" w:eastAsia="宋体" w:cs="Times New Roman"/>
      <w:bCs/>
      <w:kern w:val="0"/>
      <w:sz w:val="24"/>
      <w:szCs w:val="24"/>
      <w:lang w:val="zh-CN" w:eastAsia="zh-CN"/>
    </w:rPr>
  </w:style>
  <w:style w:type="paragraph" w:customStyle="1" w:styleId="53">
    <w:name w:val="正文字样D"/>
    <w:basedOn w:val="1"/>
    <w:semiHidden/>
    <w:qFormat/>
    <w:uiPriority w:val="0"/>
    <w:pPr>
      <w:adjustRightInd w:val="0"/>
      <w:snapToGrid w:val="0"/>
      <w:spacing w:line="490" w:lineRule="exact"/>
      <w:ind w:firstLine="560" w:firstLineChars="200"/>
      <w:jc w:val="left"/>
    </w:pPr>
    <w:rPr>
      <w:rFonts w:ascii="等线" w:hAnsi="等线" w:eastAsia="仿宋_GB2312" w:cs="宋体"/>
      <w:color w:val="000000"/>
      <w:sz w:val="28"/>
      <w:szCs w:val="20"/>
    </w:rPr>
  </w:style>
  <w:style w:type="character" w:customStyle="1" w:styleId="54">
    <w:name w:val="标题 4 字符1"/>
    <w:link w:val="7"/>
    <w:qFormat/>
    <w:uiPriority w:val="0"/>
    <w:rPr>
      <w:rFonts w:hint="eastAsia" w:ascii="宋体" w:hAnsi="宋体" w:eastAsia="宋体" w:cs="宋体"/>
      <w:sz w:val="24"/>
      <w:szCs w:val="24"/>
      <w:lang w:val="zh-CN"/>
    </w:rPr>
  </w:style>
  <w:style w:type="paragraph" w:customStyle="1" w:styleId="55">
    <w:name w:val="技术报告正文"/>
    <w:link w:val="124"/>
    <w:qFormat/>
    <w:uiPriority w:val="0"/>
    <w:pPr>
      <w:widowControl w:val="0"/>
      <w:spacing w:line="460" w:lineRule="exact"/>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56">
    <w:name w:val="页脚 字符1"/>
    <w:qFormat/>
    <w:uiPriority w:val="99"/>
    <w:rPr>
      <w:sz w:val="18"/>
      <w:szCs w:val="18"/>
    </w:rPr>
  </w:style>
  <w:style w:type="character" w:customStyle="1" w:styleId="57">
    <w:name w:val="页脚 字符2"/>
    <w:link w:val="25"/>
    <w:qFormat/>
    <w:uiPriority w:val="0"/>
    <w:rPr>
      <w:sz w:val="18"/>
      <w:szCs w:val="18"/>
    </w:rPr>
  </w:style>
  <w:style w:type="paragraph" w:customStyle="1" w:styleId="58">
    <w:name w:val="0-正文"/>
    <w:basedOn w:val="1"/>
    <w:link w:val="172"/>
    <w:qFormat/>
    <w:uiPriority w:val="0"/>
    <w:pPr>
      <w:spacing w:line="360" w:lineRule="auto"/>
      <w:ind w:firstLine="425" w:firstLineChars="177"/>
    </w:pPr>
    <w:rPr>
      <w:rFonts w:ascii="Times New Roman" w:hAnsi="Times New Roman" w:cs="Times New Roman"/>
      <w:sz w:val="24"/>
      <w:szCs w:val="24"/>
    </w:rPr>
  </w:style>
  <w:style w:type="paragraph" w:customStyle="1" w:styleId="59">
    <w:name w:val="修订10"/>
    <w:semiHidden/>
    <w:qFormat/>
    <w:uiPriority w:val="99"/>
    <w:rPr>
      <w:rFonts w:ascii="Calibri" w:hAnsi="Calibri" w:eastAsia="宋体" w:cs="黑体"/>
      <w:kern w:val="2"/>
      <w:sz w:val="21"/>
      <w:szCs w:val="22"/>
      <w:lang w:val="en-US" w:eastAsia="zh-CN" w:bidi="ar-SA"/>
    </w:rPr>
  </w:style>
  <w:style w:type="character" w:customStyle="1" w:styleId="60">
    <w:name w:val="标题 5 字符1"/>
    <w:link w:val="8"/>
    <w:qFormat/>
    <w:uiPriority w:val="0"/>
    <w:rPr>
      <w:rFonts w:hint="eastAsia" w:ascii="宋体" w:hAnsi="Tms Rmn" w:eastAsia="宋体" w:cs="宋体"/>
      <w:bCs/>
      <w:color w:val="FF0000"/>
      <w:sz w:val="24"/>
      <w:szCs w:val="28"/>
    </w:rPr>
  </w:style>
  <w:style w:type="character" w:customStyle="1" w:styleId="61">
    <w:name w:val="2 标题 字符"/>
    <w:link w:val="62"/>
    <w:qFormat/>
    <w:uiPriority w:val="0"/>
    <w:rPr>
      <w:rFonts w:eastAsia="黑体"/>
      <w:sz w:val="28"/>
    </w:rPr>
  </w:style>
  <w:style w:type="paragraph" w:customStyle="1" w:styleId="62">
    <w:name w:val="2 标题"/>
    <w:link w:val="61"/>
    <w:qFormat/>
    <w:uiPriority w:val="0"/>
    <w:pPr>
      <w:widowControl w:val="0"/>
      <w:tabs>
        <w:tab w:val="left" w:pos="851"/>
      </w:tabs>
      <w:adjustRightInd w:val="0"/>
      <w:snapToGrid w:val="0"/>
      <w:spacing w:before="120" w:after="60" w:line="480" w:lineRule="exact"/>
      <w:jc w:val="both"/>
      <w:outlineLvl w:val="1"/>
    </w:pPr>
    <w:rPr>
      <w:rFonts w:ascii="Times New Roman" w:hAnsi="Times New Roman" w:eastAsia="黑体" w:cs="Times New Roman"/>
      <w:sz w:val="28"/>
      <w:lang w:val="en-US" w:eastAsia="zh-CN" w:bidi="ar-SA"/>
    </w:rPr>
  </w:style>
  <w:style w:type="character" w:customStyle="1" w:styleId="63">
    <w:name w:val="标题 8 字符"/>
    <w:qFormat/>
    <w:uiPriority w:val="0"/>
    <w:rPr>
      <w:rFonts w:ascii="Arial" w:hAnsi="Arial" w:eastAsia="宋体" w:cs="Times New Roman"/>
      <w:kern w:val="0"/>
      <w:sz w:val="24"/>
      <w:szCs w:val="24"/>
      <w:lang w:val="zh-CN" w:eastAsia="zh-CN"/>
    </w:rPr>
  </w:style>
  <w:style w:type="character" w:customStyle="1" w:styleId="64">
    <w:name w:val="font91"/>
    <w:qFormat/>
    <w:uiPriority w:val="0"/>
    <w:rPr>
      <w:rFonts w:hint="eastAsia" w:ascii="宋体" w:hAnsi="宋体" w:eastAsia="宋体" w:cs="宋体"/>
      <w:color w:val="000000"/>
      <w:sz w:val="18"/>
      <w:szCs w:val="18"/>
      <w:u w:val="none"/>
    </w:rPr>
  </w:style>
  <w:style w:type="character" w:customStyle="1" w:styleId="65">
    <w:name w:val="正文文本首行缩进 字符"/>
    <w:link w:val="18"/>
    <w:qFormat/>
    <w:uiPriority w:val="0"/>
    <w:rPr>
      <w:rFonts w:hint="default" w:ascii="Calibri" w:hAnsi="Calibri" w:cs="黑体"/>
      <w:kern w:val="2"/>
      <w:sz w:val="24"/>
      <w:szCs w:val="22"/>
    </w:rPr>
  </w:style>
  <w:style w:type="character" w:customStyle="1" w:styleId="66">
    <w:name w:val="正文文本缩进 2 字符1"/>
    <w:link w:val="23"/>
    <w:qFormat/>
    <w:uiPriority w:val="0"/>
    <w:rPr>
      <w:rFonts w:hint="default" w:ascii="Calibri" w:hAnsi="Calibri" w:cs="黑体"/>
      <w:kern w:val="2"/>
      <w:sz w:val="21"/>
      <w:szCs w:val="22"/>
    </w:rPr>
  </w:style>
  <w:style w:type="paragraph" w:customStyle="1" w:styleId="67">
    <w:name w:val="4 标题"/>
    <w:link w:val="171"/>
    <w:qFormat/>
    <w:uiPriority w:val="0"/>
    <w:pPr>
      <w:widowControl w:val="0"/>
      <w:adjustRightInd w:val="0"/>
      <w:snapToGrid w:val="0"/>
      <w:spacing w:line="480" w:lineRule="exact"/>
      <w:jc w:val="both"/>
      <w:outlineLvl w:val="3"/>
    </w:pPr>
    <w:rPr>
      <w:rFonts w:ascii="Times New Roman" w:hAnsi="宋体" w:eastAsia="宋体" w:cs="Times New Roman"/>
      <w:sz w:val="24"/>
      <w:szCs w:val="24"/>
      <w:lang w:val="zh-CN" w:eastAsia="zh-CN" w:bidi="ar-SA"/>
    </w:rPr>
  </w:style>
  <w:style w:type="paragraph" w:customStyle="1" w:styleId="68">
    <w:name w:val="6级标题"/>
    <w:basedOn w:val="1"/>
    <w:qFormat/>
    <w:uiPriority w:val="0"/>
    <w:pPr>
      <w:overflowPunct w:val="0"/>
      <w:spacing w:line="500" w:lineRule="atLeast"/>
      <w:jc w:val="center"/>
    </w:pPr>
    <w:rPr>
      <w:rFonts w:ascii="Times New Roman" w:hAnsi="Times New Roman" w:eastAsia="黑体" w:cs="Times New Roman"/>
      <w:kern w:val="0"/>
      <w:sz w:val="24"/>
      <w:szCs w:val="24"/>
    </w:rPr>
  </w:style>
  <w:style w:type="character" w:customStyle="1" w:styleId="69">
    <w:name w:val="表名 字符"/>
    <w:link w:val="70"/>
    <w:qFormat/>
    <w:uiPriority w:val="0"/>
    <w:rPr>
      <w:rFonts w:ascii="Calibri" w:hAnsi="Calibri" w:eastAsia="黑体" w:cs="黑体"/>
      <w:b/>
      <w:bCs/>
      <w:kern w:val="2"/>
      <w:sz w:val="21"/>
      <w:szCs w:val="21"/>
    </w:rPr>
  </w:style>
  <w:style w:type="paragraph" w:customStyle="1" w:styleId="70">
    <w:name w:val="表名"/>
    <w:basedOn w:val="1"/>
    <w:link w:val="69"/>
    <w:qFormat/>
    <w:uiPriority w:val="0"/>
    <w:pPr>
      <w:adjustRightInd w:val="0"/>
      <w:snapToGrid w:val="0"/>
      <w:jc w:val="center"/>
    </w:pPr>
    <w:rPr>
      <w:rFonts w:eastAsia="黑体"/>
      <w:b/>
      <w:bCs/>
      <w:szCs w:val="21"/>
    </w:rPr>
  </w:style>
  <w:style w:type="paragraph" w:customStyle="1" w:styleId="71">
    <w:name w:val="样式1"/>
    <w:qFormat/>
    <w:uiPriority w:val="0"/>
    <w:pPr>
      <w:widowControl w:val="0"/>
      <w:autoSpaceDE w:val="0"/>
      <w:autoSpaceDN w:val="0"/>
      <w:adjustRightInd w:val="0"/>
      <w:snapToGrid w:val="0"/>
      <w:spacing w:line="480" w:lineRule="exact"/>
      <w:jc w:val="center"/>
    </w:pPr>
    <w:rPr>
      <w:rFonts w:ascii="Times New Roman" w:hAnsi="Times New Roman" w:eastAsia="黑体" w:cs="等线"/>
      <w:kern w:val="2"/>
      <w:sz w:val="24"/>
      <w:szCs w:val="24"/>
      <w:lang w:val="zh-CN" w:eastAsia="zh-CN" w:bidi="zh-CN"/>
    </w:rPr>
  </w:style>
  <w:style w:type="paragraph" w:customStyle="1" w:styleId="7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kern w:val="0"/>
      <w:sz w:val="18"/>
      <w:szCs w:val="18"/>
    </w:rPr>
  </w:style>
  <w:style w:type="character" w:customStyle="1" w:styleId="73">
    <w:name w:val="正文文本缩进 2 字符"/>
    <w:semiHidden/>
    <w:qFormat/>
    <w:uiPriority w:val="0"/>
    <w:rPr>
      <w:rFonts w:ascii="Calibri" w:hAnsi="Calibri" w:cs="黑体"/>
      <w:kern w:val="2"/>
      <w:sz w:val="21"/>
      <w:szCs w:val="22"/>
    </w:rPr>
  </w:style>
  <w:style w:type="character" w:customStyle="1" w:styleId="74">
    <w:name w:val="批注框文本 字符1"/>
    <w:link w:val="24"/>
    <w:qFormat/>
    <w:uiPriority w:val="0"/>
    <w:rPr>
      <w:rFonts w:hint="default" w:ascii="Calibri" w:hAnsi="Calibri" w:cs="黑体"/>
      <w:kern w:val="2"/>
      <w:sz w:val="18"/>
      <w:szCs w:val="18"/>
    </w:rPr>
  </w:style>
  <w:style w:type="character" w:customStyle="1" w:styleId="75">
    <w:name w:val="标题 3 字符1"/>
    <w:link w:val="6"/>
    <w:qFormat/>
    <w:uiPriority w:val="0"/>
    <w:rPr>
      <w:rFonts w:hint="default" w:ascii="Calibri" w:hAnsi="Calibri" w:cs="黑体"/>
      <w:b/>
      <w:bCs/>
      <w:kern w:val="2"/>
      <w:sz w:val="32"/>
      <w:szCs w:val="32"/>
    </w:rPr>
  </w:style>
  <w:style w:type="paragraph" w:customStyle="1" w:styleId="76">
    <w:name w:val="0 正文"/>
    <w:link w:val="121"/>
    <w:qFormat/>
    <w:uiPriority w:val="0"/>
    <w:pPr>
      <w:widowControl w:val="0"/>
      <w:tabs>
        <w:tab w:val="center" w:pos="4153"/>
        <w:tab w:val="right" w:pos="8306"/>
      </w:tabs>
      <w:snapToGrid w:val="0"/>
      <w:spacing w:line="460" w:lineRule="exact"/>
      <w:ind w:firstLine="425" w:firstLineChars="177"/>
    </w:pPr>
    <w:rPr>
      <w:rFonts w:ascii="Times New Roman" w:hAnsi="Times New Roman" w:eastAsia="宋体" w:cs="Times New Roman"/>
      <w:sz w:val="24"/>
      <w:szCs w:val="24"/>
      <w:lang w:val="en-US" w:eastAsia="zh-CN" w:bidi="ar-SA"/>
    </w:rPr>
  </w:style>
  <w:style w:type="character" w:customStyle="1" w:styleId="77">
    <w:name w:val="批注主题 字符1"/>
    <w:link w:val="34"/>
    <w:qFormat/>
    <w:uiPriority w:val="0"/>
    <w:rPr>
      <w:rFonts w:hint="default" w:ascii="Calibri" w:hAnsi="Calibri" w:cs="黑体"/>
      <w:b/>
      <w:bCs/>
      <w:kern w:val="2"/>
      <w:sz w:val="21"/>
      <w:szCs w:val="22"/>
    </w:rPr>
  </w:style>
  <w:style w:type="paragraph" w:customStyle="1" w:styleId="78">
    <w:name w:val="TOC 标题1"/>
    <w:basedOn w:val="4"/>
    <w:next w:val="1"/>
    <w:unhideWhenUsed/>
    <w:qFormat/>
    <w:uiPriority w:val="39"/>
    <w:pPr>
      <w:widowControl/>
      <w:spacing w:before="240" w:after="0" w:line="259" w:lineRule="auto"/>
      <w:jc w:val="left"/>
      <w:outlineLvl w:val="9"/>
    </w:pPr>
    <w:rPr>
      <w:rFonts w:ascii="Cambria" w:hAnsi="Cambria" w:cs="Times New Roman"/>
      <w:b w:val="0"/>
      <w:bCs w:val="0"/>
      <w:color w:val="365F91"/>
      <w:kern w:val="0"/>
      <w:sz w:val="32"/>
      <w:szCs w:val="32"/>
    </w:rPr>
  </w:style>
  <w:style w:type="character" w:customStyle="1" w:styleId="79">
    <w:name w:val="标题 字符"/>
    <w:qFormat/>
    <w:uiPriority w:val="0"/>
    <w:rPr>
      <w:rFonts w:ascii="MS Sans Serif" w:hAnsi="MS Sans Serif" w:eastAsia="新宋体" w:cs="黑体"/>
      <w:b/>
      <w:bCs/>
      <w:kern w:val="2"/>
      <w:sz w:val="32"/>
      <w:szCs w:val="32"/>
    </w:rPr>
  </w:style>
  <w:style w:type="paragraph" w:customStyle="1" w:styleId="80">
    <w:name w:val="修订1"/>
    <w:semiHidden/>
    <w:qFormat/>
    <w:uiPriority w:val="99"/>
    <w:rPr>
      <w:rFonts w:ascii="Calibri" w:hAnsi="Calibri" w:eastAsia="宋体" w:cs="黑体"/>
      <w:kern w:val="2"/>
      <w:sz w:val="21"/>
      <w:szCs w:val="22"/>
      <w:lang w:val="en-US" w:eastAsia="zh-CN" w:bidi="ar-SA"/>
    </w:rPr>
  </w:style>
  <w:style w:type="character" w:customStyle="1" w:styleId="81">
    <w:name w:val="font112"/>
    <w:qFormat/>
    <w:uiPriority w:val="0"/>
    <w:rPr>
      <w:rFonts w:hint="eastAsia" w:ascii="新宋体" w:hAnsi="新宋体" w:eastAsia="新宋体" w:cs="新宋体"/>
      <w:color w:val="000000"/>
      <w:sz w:val="24"/>
      <w:szCs w:val="24"/>
      <w:u w:val="none"/>
    </w:rPr>
  </w:style>
  <w:style w:type="character" w:customStyle="1" w:styleId="82">
    <w:name w:val="标题 9 字符1"/>
    <w:link w:val="12"/>
    <w:qFormat/>
    <w:uiPriority w:val="0"/>
    <w:rPr>
      <w:rFonts w:hint="default" w:ascii="Arial" w:hAnsi="Arial" w:eastAsia="黑体" w:cs="Arial"/>
      <w:sz w:val="21"/>
      <w:szCs w:val="21"/>
      <w:lang w:val="zh-CN"/>
    </w:rPr>
  </w:style>
  <w:style w:type="character" w:customStyle="1" w:styleId="83">
    <w:name w:val="批注主题 字符"/>
    <w:semiHidden/>
    <w:qFormat/>
    <w:uiPriority w:val="0"/>
    <w:rPr>
      <w:rFonts w:ascii="Calibri" w:hAnsi="Calibri" w:eastAsia="宋体" w:cs="黑体"/>
      <w:b/>
      <w:bCs/>
      <w:kern w:val="2"/>
      <w:sz w:val="21"/>
      <w:szCs w:val="22"/>
    </w:rPr>
  </w:style>
  <w:style w:type="paragraph" w:customStyle="1" w:styleId="84">
    <w:name w:val="001—正文"/>
    <w:basedOn w:val="1"/>
    <w:qFormat/>
    <w:uiPriority w:val="0"/>
    <w:pPr>
      <w:spacing w:line="460" w:lineRule="exact"/>
      <w:ind w:firstLine="480" w:firstLineChars="200"/>
    </w:pPr>
    <w:rPr>
      <w:rFonts w:hAnsi="宋体"/>
      <w:sz w:val="24"/>
    </w:rPr>
  </w:style>
  <w:style w:type="paragraph" w:customStyle="1" w:styleId="85">
    <w:name w:val="font12"/>
    <w:basedOn w:val="1"/>
    <w:qFormat/>
    <w:uiPriority w:val="0"/>
    <w:pPr>
      <w:widowControl/>
      <w:spacing w:before="100" w:beforeAutospacing="1" w:after="100" w:afterAutospacing="1"/>
      <w:jc w:val="left"/>
    </w:pPr>
    <w:rPr>
      <w:rFonts w:ascii="Times New Roman" w:hAnsi="Times New Roman" w:cs="Times New Roman"/>
      <w:color w:val="000000"/>
      <w:kern w:val="0"/>
      <w:sz w:val="18"/>
      <w:szCs w:val="18"/>
    </w:rPr>
  </w:style>
  <w:style w:type="character" w:customStyle="1" w:styleId="86">
    <w:name w:val="纯文本 字符2"/>
    <w:link w:val="21"/>
    <w:qFormat/>
    <w:uiPriority w:val="0"/>
    <w:rPr>
      <w:rFonts w:hint="eastAsia" w:ascii="宋体" w:hAnsi="Courier New" w:eastAsia="宋体" w:cs="Courier New"/>
      <w:szCs w:val="21"/>
    </w:rPr>
  </w:style>
  <w:style w:type="character" w:customStyle="1" w:styleId="87">
    <w:name w:val="标题 2 字符"/>
    <w:qFormat/>
    <w:uiPriority w:val="0"/>
    <w:rPr>
      <w:rFonts w:ascii="Cambria" w:hAnsi="Cambria" w:eastAsia="宋体" w:cs="黑体"/>
      <w:b/>
      <w:bCs/>
      <w:sz w:val="32"/>
      <w:szCs w:val="32"/>
    </w:rPr>
  </w:style>
  <w:style w:type="paragraph" w:customStyle="1" w:styleId="88">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9">
    <w:name w:val="修订12"/>
    <w:semiHidden/>
    <w:qFormat/>
    <w:uiPriority w:val="99"/>
    <w:rPr>
      <w:rFonts w:ascii="Calibri" w:hAnsi="Calibri" w:eastAsia="宋体" w:cs="黑体"/>
      <w:kern w:val="2"/>
      <w:sz w:val="21"/>
      <w:szCs w:val="22"/>
      <w:lang w:val="en-US" w:eastAsia="zh-CN" w:bidi="ar-SA"/>
    </w:rPr>
  </w:style>
  <w:style w:type="paragraph" w:customStyle="1" w:styleId="90">
    <w:name w:val="font8"/>
    <w:basedOn w:val="1"/>
    <w:qFormat/>
    <w:uiPriority w:val="0"/>
    <w:pPr>
      <w:widowControl/>
      <w:spacing w:before="100" w:beforeAutospacing="1" w:after="100" w:afterAutospacing="1"/>
      <w:jc w:val="left"/>
    </w:pPr>
    <w:rPr>
      <w:rFonts w:ascii="宋体" w:hAnsi="宋体" w:cs="宋体"/>
      <w:b/>
      <w:bCs/>
      <w:kern w:val="0"/>
      <w:sz w:val="18"/>
      <w:szCs w:val="18"/>
    </w:rPr>
  </w:style>
  <w:style w:type="character" w:customStyle="1" w:styleId="91">
    <w:name w:val="标题 4 字符"/>
    <w:qFormat/>
    <w:uiPriority w:val="0"/>
    <w:rPr>
      <w:rFonts w:ascii="Times New Roman" w:hAnsi="宋体" w:eastAsia="宋体" w:cs="Times New Roman"/>
      <w:kern w:val="0"/>
      <w:sz w:val="24"/>
      <w:szCs w:val="24"/>
      <w:lang w:val="zh-CN" w:eastAsia="zh-CN"/>
    </w:rPr>
  </w:style>
  <w:style w:type="character" w:customStyle="1" w:styleId="92">
    <w:name w:val="批注文字 字符1"/>
    <w:qFormat/>
    <w:uiPriority w:val="0"/>
  </w:style>
  <w:style w:type="paragraph" w:customStyle="1" w:styleId="93">
    <w:name w:val="列表段落1"/>
    <w:qFormat/>
    <w:uiPriority w:val="34"/>
    <w:pPr>
      <w:widowControl w:val="0"/>
      <w:ind w:firstLine="420" w:firstLineChars="200"/>
      <w:jc w:val="both"/>
    </w:pPr>
    <w:rPr>
      <w:rFonts w:ascii="Calibri" w:hAnsi="Calibri" w:eastAsia="宋体" w:cs="黑体"/>
      <w:kern w:val="2"/>
      <w:sz w:val="21"/>
      <w:szCs w:val="22"/>
      <w:lang w:val="en-US" w:eastAsia="zh-CN" w:bidi="ar-SA"/>
    </w:rPr>
  </w:style>
  <w:style w:type="paragraph" w:customStyle="1" w:styleId="94">
    <w:name w:val="列表段落2"/>
    <w:unhideWhenUsed/>
    <w:qFormat/>
    <w:uiPriority w:val="1"/>
    <w:pPr>
      <w:widowControl w:val="0"/>
      <w:autoSpaceDE w:val="0"/>
      <w:autoSpaceDN w:val="0"/>
      <w:spacing w:before="161"/>
      <w:ind w:left="238" w:hanging="395"/>
    </w:pPr>
    <w:rPr>
      <w:rFonts w:ascii="宋体" w:hAnsi="宋体" w:eastAsia="宋体" w:cs="宋体"/>
      <w:kern w:val="2"/>
      <w:sz w:val="22"/>
      <w:szCs w:val="22"/>
      <w:lang w:val="zh-CN" w:eastAsia="zh-CN" w:bidi="zh-CN"/>
    </w:rPr>
  </w:style>
  <w:style w:type="character" w:customStyle="1" w:styleId="95">
    <w:name w:val="纯文本 字符"/>
    <w:qFormat/>
    <w:uiPriority w:val="0"/>
    <w:rPr>
      <w:rFonts w:ascii="宋体" w:hAnsi="Courier New" w:eastAsia="宋体" w:cs="Courier New"/>
      <w:kern w:val="2"/>
      <w:sz w:val="21"/>
      <w:szCs w:val="22"/>
    </w:rPr>
  </w:style>
  <w:style w:type="paragraph" w:customStyle="1" w:styleId="9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97">
    <w:name w:val="标题 6 字符"/>
    <w:qFormat/>
    <w:uiPriority w:val="0"/>
    <w:rPr>
      <w:rFonts w:ascii="Arial" w:hAnsi="Arial" w:eastAsia="宋体" w:cs="Times New Roman"/>
      <w:bCs/>
      <w:color w:val="FF0000"/>
      <w:kern w:val="0"/>
      <w:sz w:val="24"/>
      <w:szCs w:val="24"/>
    </w:rPr>
  </w:style>
  <w:style w:type="paragraph" w:customStyle="1" w:styleId="98">
    <w:name w:val="修订91"/>
    <w:semiHidden/>
    <w:qFormat/>
    <w:uiPriority w:val="99"/>
    <w:rPr>
      <w:rFonts w:ascii="Calibri" w:hAnsi="Calibri" w:eastAsia="宋体" w:cs="黑体"/>
      <w:kern w:val="2"/>
      <w:sz w:val="21"/>
      <w:szCs w:val="22"/>
      <w:lang w:val="en-US" w:eastAsia="zh-CN" w:bidi="ar-SA"/>
    </w:rPr>
  </w:style>
  <w:style w:type="paragraph" w:customStyle="1" w:styleId="9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cs="Times New Roman"/>
      <w:kern w:val="0"/>
      <w:sz w:val="18"/>
      <w:szCs w:val="18"/>
    </w:rPr>
  </w:style>
  <w:style w:type="character" w:customStyle="1" w:styleId="100">
    <w:name w:val="标题 1 字符"/>
    <w:qFormat/>
    <w:uiPriority w:val="0"/>
    <w:rPr>
      <w:b/>
      <w:bCs/>
      <w:kern w:val="44"/>
      <w:sz w:val="44"/>
      <w:szCs w:val="44"/>
    </w:rPr>
  </w:style>
  <w:style w:type="paragraph" w:customStyle="1" w:styleId="101">
    <w:name w:val="修订3"/>
    <w:unhideWhenUsed/>
    <w:qFormat/>
    <w:uiPriority w:val="99"/>
    <w:rPr>
      <w:rFonts w:ascii="Calibri" w:hAnsi="Calibri" w:eastAsia="宋体" w:cs="黑体"/>
      <w:kern w:val="2"/>
      <w:sz w:val="21"/>
      <w:szCs w:val="22"/>
      <w:lang w:val="en-US" w:eastAsia="zh-CN" w:bidi="ar-SA"/>
    </w:rPr>
  </w:style>
  <w:style w:type="paragraph" w:customStyle="1" w:styleId="102">
    <w:name w:val="样式 标题 3 + 小四 段前: 0 磅 段后: 0 磅 行距: 固定值 24 磅"/>
    <w:basedOn w:val="6"/>
    <w:qFormat/>
    <w:uiPriority w:val="0"/>
    <w:pPr>
      <w:spacing w:before="60" w:after="60" w:line="480" w:lineRule="exact"/>
    </w:pPr>
    <w:rPr>
      <w:rFonts w:ascii="Times New Roman" w:hAnsi="Times New Roman" w:eastAsia="黑体" w:cs="宋体"/>
      <w:b w:val="0"/>
      <w:sz w:val="24"/>
      <w:szCs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kern w:val="0"/>
      <w:sz w:val="18"/>
      <w:szCs w:val="18"/>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cs="Times New Roman"/>
      <w:kern w:val="0"/>
      <w:sz w:val="18"/>
      <w:szCs w:val="18"/>
    </w:rPr>
  </w:style>
  <w:style w:type="character" w:customStyle="1" w:styleId="105">
    <w:name w:val="font81"/>
    <w:qFormat/>
    <w:uiPriority w:val="0"/>
    <w:rPr>
      <w:rFonts w:hint="eastAsia" w:ascii="宋体" w:hAnsi="宋体" w:eastAsia="宋体" w:cs="宋体"/>
      <w:color w:val="000000"/>
      <w:sz w:val="18"/>
      <w:szCs w:val="18"/>
      <w:u w:val="none"/>
    </w:rPr>
  </w:style>
  <w:style w:type="paragraph" w:customStyle="1" w:styleId="106">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b/>
      <w:bCs/>
      <w:kern w:val="0"/>
      <w:sz w:val="18"/>
      <w:szCs w:val="18"/>
    </w:rPr>
  </w:style>
  <w:style w:type="character" w:customStyle="1" w:styleId="107">
    <w:name w:val="正文文本 字符1"/>
    <w:qFormat/>
    <w:uiPriority w:val="0"/>
    <w:rPr>
      <w:rFonts w:hint="eastAsia" w:ascii="宋体" w:hAnsi="宋体" w:eastAsia="宋体" w:cs="宋体"/>
      <w:sz w:val="24"/>
      <w:szCs w:val="24"/>
      <w:lang w:val="zh-CN" w:bidi="zh-CN"/>
    </w:rPr>
  </w:style>
  <w:style w:type="paragraph" w:customStyle="1" w:styleId="108">
    <w:name w:val="修订2"/>
    <w:unhideWhenUsed/>
    <w:qFormat/>
    <w:uiPriority w:val="99"/>
    <w:rPr>
      <w:rFonts w:ascii="Calibri" w:hAnsi="Calibri" w:eastAsia="宋体" w:cs="黑体"/>
      <w:kern w:val="2"/>
      <w:sz w:val="21"/>
      <w:szCs w:val="22"/>
      <w:lang w:val="en-US" w:eastAsia="zh-CN" w:bidi="ar-SA"/>
    </w:rPr>
  </w:style>
  <w:style w:type="paragraph" w:customStyle="1" w:styleId="109">
    <w:name w:val="A表格文字"/>
    <w:qFormat/>
    <w:uiPriority w:val="0"/>
    <w:pPr>
      <w:widowControl w:val="0"/>
      <w:adjustRightInd w:val="0"/>
      <w:spacing w:before="4" w:after="4"/>
      <w:jc w:val="center"/>
    </w:pPr>
    <w:rPr>
      <w:rFonts w:ascii="Times New Roman" w:hAnsi="Times New Roman" w:eastAsia="宋体" w:cs="Times New Roman"/>
      <w:lang w:val="en-US" w:eastAsia="zh-CN" w:bidi="ar-SA"/>
    </w:rPr>
  </w:style>
  <w:style w:type="paragraph" w:customStyle="1" w:styleId="110">
    <w:name w:val="修订13"/>
    <w:unhideWhenUsed/>
    <w:qFormat/>
    <w:uiPriority w:val="99"/>
    <w:rPr>
      <w:rFonts w:ascii="Calibri" w:hAnsi="Calibri" w:eastAsia="宋体" w:cs="黑体"/>
      <w:kern w:val="2"/>
      <w:sz w:val="21"/>
      <w:szCs w:val="22"/>
      <w:lang w:val="en-US" w:eastAsia="zh-CN" w:bidi="ar-SA"/>
    </w:rPr>
  </w:style>
  <w:style w:type="paragraph" w:customStyle="1" w:styleId="111">
    <w:name w:val="0-正 文"/>
    <w:basedOn w:val="1"/>
    <w:link w:val="120"/>
    <w:qFormat/>
    <w:uiPriority w:val="0"/>
    <w:pPr>
      <w:spacing w:line="460" w:lineRule="exact"/>
      <w:ind w:firstLine="426"/>
    </w:pPr>
    <w:rPr>
      <w:rFonts w:ascii="Times New Roman" w:hAnsi="Times New Roman" w:cs="Times New Roman"/>
      <w:sz w:val="24"/>
      <w:szCs w:val="24"/>
    </w:rPr>
  </w:style>
  <w:style w:type="paragraph" w:customStyle="1" w:styleId="112">
    <w:name w:val="修订4"/>
    <w:semiHidden/>
    <w:qFormat/>
    <w:uiPriority w:val="99"/>
    <w:rPr>
      <w:rFonts w:ascii="Calibri" w:hAnsi="Calibri" w:eastAsia="宋体" w:cs="黑体"/>
      <w:kern w:val="2"/>
      <w:sz w:val="21"/>
      <w:szCs w:val="22"/>
      <w:lang w:val="en-US" w:eastAsia="zh-CN" w:bidi="ar-SA"/>
    </w:rPr>
  </w:style>
  <w:style w:type="character" w:customStyle="1" w:styleId="113">
    <w:name w:val="font01"/>
    <w:qFormat/>
    <w:uiPriority w:val="0"/>
    <w:rPr>
      <w:rFonts w:hint="eastAsia" w:ascii="宋体" w:hAnsi="宋体" w:eastAsia="宋体"/>
      <w:color w:val="000000"/>
      <w:sz w:val="20"/>
      <w:szCs w:val="20"/>
      <w:u w:val="none"/>
    </w:rPr>
  </w:style>
  <w:style w:type="character" w:customStyle="1" w:styleId="114">
    <w:name w:val="批注框文本 字符"/>
    <w:qFormat/>
    <w:uiPriority w:val="0"/>
    <w:rPr>
      <w:rFonts w:ascii="Calibri" w:hAnsi="Calibri" w:cs="黑体"/>
      <w:kern w:val="2"/>
      <w:sz w:val="18"/>
      <w:szCs w:val="18"/>
    </w:rPr>
  </w:style>
  <w:style w:type="character" w:customStyle="1" w:styleId="115">
    <w:name w:val="未处理的提及1"/>
    <w:unhideWhenUsed/>
    <w:qFormat/>
    <w:uiPriority w:val="99"/>
    <w:rPr>
      <w:color w:val="605E5C"/>
      <w:shd w:val="clear" w:color="auto" w:fill="E1DFDD"/>
    </w:rPr>
  </w:style>
  <w:style w:type="character" w:customStyle="1" w:styleId="116">
    <w:name w:val="0-正   文 字符"/>
    <w:link w:val="117"/>
    <w:qFormat/>
    <w:uiPriority w:val="0"/>
    <w:rPr>
      <w:rFonts w:hAnsi="宋体"/>
      <w:sz w:val="24"/>
      <w:szCs w:val="24"/>
    </w:rPr>
  </w:style>
  <w:style w:type="paragraph" w:customStyle="1" w:styleId="117">
    <w:name w:val="0-正   文"/>
    <w:link w:val="116"/>
    <w:qFormat/>
    <w:uiPriority w:val="0"/>
    <w:pPr>
      <w:spacing w:line="480" w:lineRule="exact"/>
      <w:ind w:firstLine="177" w:firstLineChars="177"/>
      <w:jc w:val="both"/>
    </w:pPr>
    <w:rPr>
      <w:rFonts w:ascii="Calibri" w:hAnsi="宋体" w:eastAsia="宋体" w:cs="黑体"/>
      <w:kern w:val="2"/>
      <w:sz w:val="24"/>
      <w:szCs w:val="24"/>
      <w:lang w:val="en-US" w:eastAsia="zh-CN" w:bidi="ar-SA"/>
    </w:rPr>
  </w:style>
  <w:style w:type="paragraph" w:customStyle="1" w:styleId="118">
    <w:name w:val="font10"/>
    <w:basedOn w:val="1"/>
    <w:qFormat/>
    <w:uiPriority w:val="0"/>
    <w:pPr>
      <w:widowControl/>
      <w:spacing w:before="100" w:beforeAutospacing="1" w:after="100" w:afterAutospacing="1"/>
      <w:jc w:val="left"/>
    </w:pPr>
    <w:rPr>
      <w:rFonts w:ascii="宋体" w:hAnsi="宋体" w:cs="宋体"/>
      <w:color w:val="000000"/>
      <w:kern w:val="0"/>
      <w:sz w:val="18"/>
      <w:szCs w:val="18"/>
    </w:rPr>
  </w:style>
  <w:style w:type="character" w:customStyle="1" w:styleId="119">
    <w:name w:val="标题 7 字符1"/>
    <w:link w:val="10"/>
    <w:qFormat/>
    <w:uiPriority w:val="0"/>
    <w:rPr>
      <w:bCs/>
      <w:sz w:val="24"/>
      <w:szCs w:val="24"/>
      <w:lang w:val="zh-CN"/>
    </w:rPr>
  </w:style>
  <w:style w:type="character" w:customStyle="1" w:styleId="120">
    <w:name w:val="0-正 文 字符"/>
    <w:link w:val="111"/>
    <w:qFormat/>
    <w:uiPriority w:val="0"/>
    <w:rPr>
      <w:kern w:val="2"/>
      <w:sz w:val="24"/>
      <w:szCs w:val="24"/>
    </w:rPr>
  </w:style>
  <w:style w:type="character" w:customStyle="1" w:styleId="121">
    <w:name w:val="0 正文 字符"/>
    <w:link w:val="76"/>
    <w:qFormat/>
    <w:uiPriority w:val="0"/>
    <w:rPr>
      <w:kern w:val="2"/>
      <w:sz w:val="24"/>
      <w:szCs w:val="24"/>
    </w:rPr>
  </w:style>
  <w:style w:type="character" w:customStyle="1" w:styleId="122">
    <w:name w:val="标题 8 字符1"/>
    <w:link w:val="11"/>
    <w:qFormat/>
    <w:uiPriority w:val="0"/>
    <w:rPr>
      <w:rFonts w:ascii="Arial" w:hAnsi="Arial" w:cs="Arial"/>
      <w:sz w:val="24"/>
      <w:szCs w:val="24"/>
      <w:lang w:val="zh-CN"/>
    </w:rPr>
  </w:style>
  <w:style w:type="character" w:customStyle="1" w:styleId="123">
    <w:name w:val="标题 2 字符1"/>
    <w:link w:val="5"/>
    <w:qFormat/>
    <w:uiPriority w:val="0"/>
    <w:rPr>
      <w:rFonts w:hint="default" w:ascii="Cambria" w:hAnsi="Cambria" w:eastAsia="Cambria" w:cs="黑体"/>
      <w:b/>
      <w:bCs/>
      <w:kern w:val="2"/>
      <w:sz w:val="32"/>
      <w:szCs w:val="32"/>
    </w:rPr>
  </w:style>
  <w:style w:type="character" w:customStyle="1" w:styleId="124">
    <w:name w:val="技术报告正文 Char"/>
    <w:link w:val="55"/>
    <w:qFormat/>
    <w:uiPriority w:val="0"/>
    <w:rPr>
      <w:kern w:val="2"/>
      <w:sz w:val="24"/>
      <w:szCs w:val="24"/>
    </w:rPr>
  </w:style>
  <w:style w:type="paragraph" w:customStyle="1" w:styleId="125">
    <w:name w:val="3—标题"/>
    <w:basedOn w:val="6"/>
    <w:qFormat/>
    <w:uiPriority w:val="0"/>
    <w:rPr>
      <w:sz w:val="28"/>
      <w:szCs w:val="22"/>
    </w:rPr>
  </w:style>
  <w:style w:type="character" w:customStyle="1" w:styleId="126">
    <w:name w:val="正文文本缩进 字符"/>
    <w:link w:val="17"/>
    <w:qFormat/>
    <w:uiPriority w:val="99"/>
    <w:rPr>
      <w:rFonts w:hint="default" w:ascii="Calibri" w:hAnsi="Calibri" w:cs="黑体"/>
      <w:kern w:val="2"/>
      <w:sz w:val="21"/>
      <w:szCs w:val="22"/>
    </w:rPr>
  </w:style>
  <w:style w:type="character" w:customStyle="1" w:styleId="127">
    <w:name w:val="页眉 字符1"/>
    <w:link w:val="26"/>
    <w:qFormat/>
    <w:uiPriority w:val="0"/>
    <w:rPr>
      <w:rFonts w:hint="default" w:ascii="Calibri" w:hAnsi="Calibri" w:cs="Calibri"/>
      <w:kern w:val="2"/>
      <w:sz w:val="18"/>
      <w:szCs w:val="18"/>
    </w:rPr>
  </w:style>
  <w:style w:type="character" w:customStyle="1" w:styleId="128">
    <w:name w:val="0—正文 字符"/>
    <w:link w:val="129"/>
    <w:qFormat/>
    <w:uiPriority w:val="0"/>
  </w:style>
  <w:style w:type="paragraph" w:customStyle="1" w:styleId="129">
    <w:name w:val="0—正文"/>
    <w:basedOn w:val="1"/>
    <w:link w:val="128"/>
    <w:qFormat/>
    <w:uiPriority w:val="0"/>
    <w:pPr>
      <w:adjustRightInd w:val="0"/>
      <w:snapToGrid w:val="0"/>
      <w:spacing w:line="460" w:lineRule="exact"/>
      <w:ind w:firstLine="480" w:firstLineChars="200"/>
    </w:pPr>
    <w:rPr>
      <w:rFonts w:ascii="Times New Roman" w:hAnsi="Times New Roman" w:cs="Times New Roman"/>
      <w:kern w:val="0"/>
      <w:sz w:val="20"/>
      <w:szCs w:val="20"/>
    </w:rPr>
  </w:style>
  <w:style w:type="paragraph" w:styleId="130">
    <w:name w:val="List Paragraph"/>
    <w:basedOn w:val="1"/>
    <w:qFormat/>
    <w:uiPriority w:val="99"/>
    <w:pPr>
      <w:ind w:firstLine="420" w:firstLineChars="200"/>
    </w:pPr>
  </w:style>
  <w:style w:type="character" w:customStyle="1" w:styleId="131">
    <w:name w:val="3 标题 字符"/>
    <w:link w:val="132"/>
    <w:qFormat/>
    <w:uiPriority w:val="0"/>
    <w:rPr>
      <w:rFonts w:eastAsia="黑体"/>
      <w:sz w:val="24"/>
      <w:szCs w:val="24"/>
      <w:lang w:val="zh-CN"/>
    </w:rPr>
  </w:style>
  <w:style w:type="paragraph" w:customStyle="1" w:styleId="132">
    <w:name w:val="3 标题"/>
    <w:link w:val="131"/>
    <w:qFormat/>
    <w:uiPriority w:val="0"/>
    <w:pPr>
      <w:widowControl w:val="0"/>
      <w:adjustRightInd w:val="0"/>
      <w:snapToGrid w:val="0"/>
      <w:spacing w:before="60" w:after="60" w:line="480" w:lineRule="exact"/>
      <w:jc w:val="both"/>
      <w:outlineLvl w:val="2"/>
    </w:pPr>
    <w:rPr>
      <w:rFonts w:ascii="Times New Roman" w:hAnsi="Times New Roman" w:eastAsia="黑体" w:cs="Times New Roman"/>
      <w:sz w:val="24"/>
      <w:szCs w:val="24"/>
      <w:lang w:val="zh-CN" w:eastAsia="zh-CN" w:bidi="ar-SA"/>
    </w:rPr>
  </w:style>
  <w:style w:type="character" w:customStyle="1" w:styleId="133">
    <w:name w:val="页脚 字符"/>
    <w:qFormat/>
    <w:uiPriority w:val="99"/>
    <w:rPr>
      <w:rFonts w:ascii="Calibri" w:hAnsi="Calibri" w:cs="黑体"/>
      <w:kern w:val="2"/>
      <w:sz w:val="18"/>
      <w:szCs w:val="18"/>
    </w:rPr>
  </w:style>
  <w:style w:type="paragraph" w:customStyle="1" w:styleId="13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cs="Times New Roman"/>
      <w:b/>
      <w:bCs/>
      <w:kern w:val="0"/>
      <w:sz w:val="18"/>
      <w:szCs w:val="18"/>
    </w:rPr>
  </w:style>
  <w:style w:type="paragraph" w:customStyle="1" w:styleId="135">
    <w:name w:val="Revision"/>
    <w:hidden/>
    <w:unhideWhenUsed/>
    <w:qFormat/>
    <w:uiPriority w:val="99"/>
    <w:rPr>
      <w:rFonts w:ascii="Calibri" w:hAnsi="Calibri" w:eastAsia="宋体" w:cs="黑体"/>
      <w:kern w:val="2"/>
      <w:sz w:val="21"/>
      <w:szCs w:val="22"/>
      <w:lang w:val="en-US" w:eastAsia="zh-CN" w:bidi="ar-SA"/>
    </w:rPr>
  </w:style>
  <w:style w:type="paragraph" w:customStyle="1" w:styleId="136">
    <w:name w:val="修订31"/>
    <w:unhideWhenUsed/>
    <w:qFormat/>
    <w:uiPriority w:val="99"/>
    <w:rPr>
      <w:rFonts w:ascii="Calibri" w:hAnsi="Calibri" w:eastAsia="宋体" w:cs="黑体"/>
      <w:kern w:val="2"/>
      <w:sz w:val="21"/>
      <w:szCs w:val="22"/>
      <w:lang w:val="en-US" w:eastAsia="zh-CN" w:bidi="ar-SA"/>
    </w:rPr>
  </w:style>
  <w:style w:type="character" w:customStyle="1" w:styleId="137">
    <w:name w:val="正文文本 字符2"/>
    <w:link w:val="2"/>
    <w:qFormat/>
    <w:uiPriority w:val="0"/>
    <w:rPr>
      <w:rFonts w:hint="default" w:ascii="Calibri" w:hAnsi="Calibri" w:cs="黑体"/>
      <w:kern w:val="2"/>
      <w:sz w:val="21"/>
      <w:szCs w:val="22"/>
    </w:rPr>
  </w:style>
  <w:style w:type="character" w:customStyle="1" w:styleId="138">
    <w:name w:val="1 标题 字符"/>
    <w:link w:val="50"/>
    <w:qFormat/>
    <w:uiPriority w:val="0"/>
    <w:rPr>
      <w:rFonts w:eastAsia="黑体"/>
      <w:kern w:val="32"/>
      <w:sz w:val="36"/>
      <w:szCs w:val="36"/>
      <w:lang w:val="zh-CN"/>
    </w:rPr>
  </w:style>
  <w:style w:type="character" w:customStyle="1" w:styleId="139">
    <w:name w:val="纯文本 字符1"/>
    <w:qFormat/>
    <w:uiPriority w:val="99"/>
    <w:rPr>
      <w:rFonts w:ascii="宋体" w:hAnsi="Courier New" w:cs="Courier New"/>
      <w:szCs w:val="21"/>
    </w:rPr>
  </w:style>
  <w:style w:type="paragraph" w:customStyle="1" w:styleId="140">
    <w:name w:val="修订6"/>
    <w:semiHidden/>
    <w:qFormat/>
    <w:uiPriority w:val="99"/>
    <w:rPr>
      <w:rFonts w:ascii="Calibri" w:hAnsi="Calibri" w:eastAsia="宋体" w:cs="黑体"/>
      <w:kern w:val="2"/>
      <w:sz w:val="21"/>
      <w:szCs w:val="22"/>
      <w:lang w:val="en-US" w:eastAsia="zh-CN" w:bidi="ar-SA"/>
    </w:rPr>
  </w:style>
  <w:style w:type="character" w:customStyle="1" w:styleId="141">
    <w:name w:val="正文文本首行缩进 2 字符"/>
    <w:link w:val="35"/>
    <w:qFormat/>
    <w:uiPriority w:val="99"/>
    <w:rPr>
      <w:rFonts w:hint="default" w:ascii="Calibri" w:hAnsi="Calibri" w:cs="黑体"/>
      <w:kern w:val="2"/>
      <w:sz w:val="21"/>
      <w:szCs w:val="22"/>
    </w:rPr>
  </w:style>
  <w:style w:type="character" w:customStyle="1" w:styleId="142">
    <w:name w:val="font141"/>
    <w:qFormat/>
    <w:uiPriority w:val="0"/>
    <w:rPr>
      <w:rFonts w:hint="default" w:ascii="Times New Roman" w:hAnsi="Times New Roman" w:cs="Times New Roman"/>
      <w:color w:val="000000"/>
      <w:sz w:val="21"/>
      <w:szCs w:val="21"/>
      <w:u w:val="none"/>
    </w:rPr>
  </w:style>
  <w:style w:type="character" w:customStyle="1" w:styleId="143">
    <w:name w:val="标题 3 字符"/>
    <w:qFormat/>
    <w:uiPriority w:val="9"/>
    <w:rPr>
      <w:b/>
      <w:bCs/>
      <w:sz w:val="32"/>
      <w:szCs w:val="32"/>
    </w:rPr>
  </w:style>
  <w:style w:type="paragraph" w:customStyle="1" w:styleId="144">
    <w:name w:val="xl100"/>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45">
    <w:name w:val="修订7"/>
    <w:semiHidden/>
    <w:qFormat/>
    <w:uiPriority w:val="99"/>
    <w:rPr>
      <w:rFonts w:ascii="Calibri" w:hAnsi="Calibri" w:eastAsia="宋体" w:cs="黑体"/>
      <w:kern w:val="2"/>
      <w:sz w:val="21"/>
      <w:szCs w:val="22"/>
      <w:lang w:val="en-US" w:eastAsia="zh-CN" w:bidi="ar-SA"/>
    </w:rPr>
  </w:style>
  <w:style w:type="paragraph" w:customStyle="1" w:styleId="146">
    <w:name w:val="修订41"/>
    <w:semiHidden/>
    <w:qFormat/>
    <w:uiPriority w:val="99"/>
    <w:rPr>
      <w:rFonts w:ascii="Calibri" w:hAnsi="Calibri" w:eastAsia="宋体" w:cs="黑体"/>
      <w:kern w:val="2"/>
      <w:sz w:val="21"/>
      <w:szCs w:val="22"/>
      <w:lang w:val="en-US" w:eastAsia="zh-CN" w:bidi="ar-SA"/>
    </w:rPr>
  </w:style>
  <w:style w:type="paragraph" w:customStyle="1" w:styleId="147">
    <w:name w:val="修订9"/>
    <w:semiHidden/>
    <w:qFormat/>
    <w:uiPriority w:val="99"/>
    <w:rPr>
      <w:rFonts w:ascii="Calibri" w:hAnsi="Calibri" w:eastAsia="宋体" w:cs="黑体"/>
      <w:kern w:val="2"/>
      <w:sz w:val="21"/>
      <w:szCs w:val="22"/>
      <w:lang w:val="en-US" w:eastAsia="zh-CN" w:bidi="ar-SA"/>
    </w:rPr>
  </w:style>
  <w:style w:type="paragraph" w:customStyle="1" w:styleId="148">
    <w:name w:val="修订5"/>
    <w:semiHidden/>
    <w:qFormat/>
    <w:uiPriority w:val="99"/>
    <w:rPr>
      <w:rFonts w:ascii="Calibri" w:hAnsi="Calibri" w:eastAsia="宋体" w:cs="黑体"/>
      <w:kern w:val="2"/>
      <w:sz w:val="21"/>
      <w:szCs w:val="22"/>
      <w:lang w:val="en-US" w:eastAsia="zh-CN" w:bidi="ar-SA"/>
    </w:rPr>
  </w:style>
  <w:style w:type="character" w:customStyle="1" w:styleId="149">
    <w:name w:val="标题 4 字符2"/>
    <w:qFormat/>
    <w:uiPriority w:val="0"/>
    <w:rPr>
      <w:rFonts w:ascii="Times New Roman" w:hAnsi="宋体" w:eastAsia="宋体" w:cs="Times New Roman"/>
      <w:kern w:val="0"/>
      <w:sz w:val="24"/>
      <w:szCs w:val="24"/>
      <w:lang w:val="zh-CN"/>
    </w:rPr>
  </w:style>
  <w:style w:type="paragraph" w:customStyle="1" w:styleId="150">
    <w:name w:val="WPSOffice手动目录 1"/>
    <w:qFormat/>
    <w:uiPriority w:val="0"/>
    <w:rPr>
      <w:rFonts w:ascii="Times New Roman" w:hAnsi="Times New Roman" w:eastAsia="宋体" w:cs="Times New Roman"/>
      <w:lang w:val="en-US" w:eastAsia="zh-CN" w:bidi="ar-SA"/>
    </w:rPr>
  </w:style>
  <w:style w:type="character" w:customStyle="1" w:styleId="151">
    <w:name w:val="font61"/>
    <w:qFormat/>
    <w:uiPriority w:val="0"/>
    <w:rPr>
      <w:rFonts w:hint="eastAsia" w:ascii="宋体" w:hAnsi="宋体" w:eastAsia="宋体"/>
      <w:color w:val="000000"/>
      <w:sz w:val="20"/>
      <w:szCs w:val="20"/>
      <w:u w:val="none"/>
    </w:rPr>
  </w:style>
  <w:style w:type="paragraph" w:customStyle="1" w:styleId="152">
    <w:name w:val="修订8"/>
    <w:semiHidden/>
    <w:qFormat/>
    <w:uiPriority w:val="99"/>
    <w:rPr>
      <w:rFonts w:ascii="Calibri" w:hAnsi="Calibri" w:eastAsia="宋体" w:cs="黑体"/>
      <w:kern w:val="2"/>
      <w:sz w:val="21"/>
      <w:szCs w:val="22"/>
      <w:lang w:val="en-US" w:eastAsia="zh-CN" w:bidi="ar-SA"/>
    </w:rPr>
  </w:style>
  <w:style w:type="character" w:customStyle="1" w:styleId="153">
    <w:name w:val="标题 6 字符1"/>
    <w:link w:val="9"/>
    <w:qFormat/>
    <w:uiPriority w:val="0"/>
    <w:rPr>
      <w:rFonts w:hint="default" w:ascii="Arial" w:hAnsi="Arial" w:cs="Arial"/>
      <w:bCs/>
      <w:color w:val="FF0000"/>
      <w:sz w:val="24"/>
      <w:szCs w:val="24"/>
    </w:rPr>
  </w:style>
  <w:style w:type="character" w:customStyle="1" w:styleId="154">
    <w:name w:val="页眉 字符"/>
    <w:qFormat/>
    <w:uiPriority w:val="0"/>
    <w:rPr>
      <w:rFonts w:ascii="Calibri" w:hAnsi="Calibri"/>
      <w:kern w:val="2"/>
      <w:sz w:val="18"/>
      <w:szCs w:val="18"/>
    </w:rPr>
  </w:style>
  <w:style w:type="paragraph" w:customStyle="1" w:styleId="155">
    <w:name w:val="font6"/>
    <w:basedOn w:val="1"/>
    <w:qFormat/>
    <w:uiPriority w:val="0"/>
    <w:pPr>
      <w:widowControl/>
      <w:spacing w:before="100" w:beforeAutospacing="1" w:after="100" w:afterAutospacing="1"/>
      <w:jc w:val="left"/>
    </w:pPr>
    <w:rPr>
      <w:rFonts w:ascii="Times New Roman" w:hAnsi="Times New Roman" w:cs="Times New Roman"/>
      <w:kern w:val="0"/>
      <w:sz w:val="18"/>
      <w:szCs w:val="18"/>
    </w:rPr>
  </w:style>
  <w:style w:type="character" w:customStyle="1" w:styleId="156">
    <w:name w:val="5 标题 字符"/>
    <w:link w:val="157"/>
    <w:qFormat/>
    <w:uiPriority w:val="0"/>
    <w:rPr>
      <w:rFonts w:hAnsi="宋体"/>
      <w:sz w:val="24"/>
      <w:szCs w:val="24"/>
      <w:lang w:val="zh-CN"/>
    </w:rPr>
  </w:style>
  <w:style w:type="paragraph" w:customStyle="1" w:styleId="157">
    <w:name w:val="5 标题"/>
    <w:basedOn w:val="67"/>
    <w:link w:val="156"/>
    <w:qFormat/>
    <w:uiPriority w:val="0"/>
    <w:pPr>
      <w:outlineLvl w:val="4"/>
    </w:pPr>
  </w:style>
  <w:style w:type="character" w:customStyle="1" w:styleId="158">
    <w:name w:val="表格 字符"/>
    <w:link w:val="51"/>
    <w:qFormat/>
    <w:uiPriority w:val="1"/>
    <w:rPr>
      <w:kern w:val="2"/>
      <w:sz w:val="21"/>
      <w:szCs w:val="22"/>
    </w:rPr>
  </w:style>
  <w:style w:type="character" w:customStyle="1" w:styleId="159">
    <w:name w:val="font111"/>
    <w:qFormat/>
    <w:uiPriority w:val="0"/>
    <w:rPr>
      <w:rFonts w:hint="eastAsia" w:ascii="宋体" w:hAnsi="宋体" w:eastAsia="宋体" w:cs="宋体"/>
      <w:color w:val="000000"/>
      <w:sz w:val="18"/>
      <w:szCs w:val="18"/>
      <w:u w:val="none"/>
    </w:rPr>
  </w:style>
  <w:style w:type="character" w:customStyle="1" w:styleId="160">
    <w:name w:val="批注文字 字符"/>
    <w:qFormat/>
    <w:uiPriority w:val="0"/>
    <w:rPr>
      <w:rFonts w:ascii="Calibri" w:hAnsi="Calibri" w:eastAsia="宋体" w:cs="黑体"/>
      <w:kern w:val="2"/>
      <w:sz w:val="21"/>
      <w:szCs w:val="22"/>
    </w:rPr>
  </w:style>
  <w:style w:type="character" w:customStyle="1" w:styleId="161">
    <w:name w:val="标题 5 字符"/>
    <w:qFormat/>
    <w:uiPriority w:val="0"/>
    <w:rPr>
      <w:rFonts w:ascii="宋体" w:hAnsi="Tms Rmn" w:eastAsia="宋体" w:cs="Times New Roman"/>
      <w:bCs/>
      <w:color w:val="FF0000"/>
      <w:kern w:val="0"/>
      <w:sz w:val="24"/>
      <w:szCs w:val="28"/>
    </w:rPr>
  </w:style>
  <w:style w:type="paragraph" w:customStyle="1" w:styleId="162">
    <w:name w:val="标题 31"/>
    <w:basedOn w:val="1"/>
    <w:qFormat/>
    <w:uiPriority w:val="0"/>
    <w:pPr>
      <w:spacing w:line="360" w:lineRule="auto"/>
    </w:pPr>
    <w:rPr>
      <w:sz w:val="24"/>
      <w:szCs w:val="24"/>
    </w:rPr>
  </w:style>
  <w:style w:type="character" w:customStyle="1" w:styleId="163">
    <w:name w:val="font21"/>
    <w:qFormat/>
    <w:uiPriority w:val="0"/>
    <w:rPr>
      <w:rFonts w:hint="default" w:ascii="Times New Roman" w:hAnsi="Times New Roman" w:cs="Times New Roman"/>
      <w:color w:val="000000"/>
      <w:sz w:val="20"/>
      <w:szCs w:val="20"/>
      <w:u w:val="none"/>
    </w:rPr>
  </w:style>
  <w:style w:type="character" w:customStyle="1" w:styleId="164">
    <w:name w:val="font31"/>
    <w:qFormat/>
    <w:uiPriority w:val="0"/>
    <w:rPr>
      <w:rFonts w:hint="eastAsia" w:ascii="宋体" w:hAnsi="宋体" w:eastAsia="宋体"/>
      <w:color w:val="000000"/>
      <w:sz w:val="18"/>
      <w:szCs w:val="18"/>
      <w:u w:val="none"/>
    </w:rPr>
  </w:style>
  <w:style w:type="character" w:customStyle="1" w:styleId="165">
    <w:name w:val="批注文字 字符2"/>
    <w:link w:val="16"/>
    <w:qFormat/>
    <w:uiPriority w:val="0"/>
    <w:rPr>
      <w:rFonts w:hint="default" w:ascii="Calibri" w:hAnsi="Calibri" w:cs="黑体"/>
      <w:kern w:val="2"/>
      <w:sz w:val="21"/>
      <w:szCs w:val="22"/>
    </w:rPr>
  </w:style>
  <w:style w:type="character" w:customStyle="1" w:styleId="166">
    <w:name w:val="正文文本 2 字符"/>
    <w:link w:val="32"/>
    <w:qFormat/>
    <w:uiPriority w:val="0"/>
    <w:rPr>
      <w:rFonts w:hint="default" w:ascii="Calibri" w:hAnsi="Calibri" w:cs="黑体"/>
      <w:kern w:val="2"/>
      <w:sz w:val="21"/>
      <w:szCs w:val="22"/>
    </w:rPr>
  </w:style>
  <w:style w:type="paragraph" w:customStyle="1" w:styleId="167">
    <w:name w:val="font5"/>
    <w:basedOn w:val="1"/>
    <w:qFormat/>
    <w:uiPriority w:val="0"/>
    <w:pPr>
      <w:widowControl/>
      <w:spacing w:before="100" w:beforeAutospacing="1" w:after="100" w:afterAutospacing="1"/>
      <w:jc w:val="left"/>
    </w:pPr>
    <w:rPr>
      <w:rFonts w:ascii="Times New Roman" w:hAnsi="Times New Roman" w:cs="Times New Roman"/>
      <w:kern w:val="0"/>
      <w:sz w:val="18"/>
      <w:szCs w:val="18"/>
    </w:rPr>
  </w:style>
  <w:style w:type="paragraph" w:customStyle="1" w:styleId="16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cs="Times New Roman"/>
      <w:kern w:val="0"/>
      <w:sz w:val="18"/>
      <w:szCs w:val="18"/>
    </w:rPr>
  </w:style>
  <w:style w:type="character" w:customStyle="1" w:styleId="169">
    <w:name w:val="font51"/>
    <w:qFormat/>
    <w:uiPriority w:val="0"/>
    <w:rPr>
      <w:rFonts w:hint="default" w:ascii="Segoe UI Symbol" w:hAnsi="Segoe UI Symbol" w:eastAsia="Segoe UI Symbol" w:cs="Segoe UI Symbol"/>
      <w:color w:val="000000"/>
      <w:sz w:val="18"/>
      <w:szCs w:val="18"/>
      <w:u w:val="none"/>
    </w:rPr>
  </w:style>
  <w:style w:type="character" w:customStyle="1" w:styleId="170">
    <w:name w:val="标题 字符1"/>
    <w:link w:val="3"/>
    <w:qFormat/>
    <w:uiPriority w:val="0"/>
    <w:rPr>
      <w:rFonts w:hint="default" w:ascii="MS Sans Serif" w:hAnsi="MS Sans Serif" w:eastAsia="新宋体" w:cs="黑体"/>
      <w:b/>
      <w:bCs/>
      <w:kern w:val="2"/>
      <w:sz w:val="32"/>
      <w:szCs w:val="32"/>
    </w:rPr>
  </w:style>
  <w:style w:type="character" w:customStyle="1" w:styleId="171">
    <w:name w:val="4 标题 字符"/>
    <w:link w:val="67"/>
    <w:qFormat/>
    <w:uiPriority w:val="0"/>
    <w:rPr>
      <w:rFonts w:hAnsi="宋体"/>
      <w:sz w:val="24"/>
      <w:szCs w:val="24"/>
      <w:lang w:val="zh-CN"/>
    </w:rPr>
  </w:style>
  <w:style w:type="character" w:customStyle="1" w:styleId="172">
    <w:name w:val="0-正文 字符"/>
    <w:link w:val="58"/>
    <w:qFormat/>
    <w:uiPriority w:val="0"/>
    <w:rPr>
      <w:kern w:val="2"/>
      <w:sz w:val="24"/>
      <w:szCs w:val="24"/>
    </w:rPr>
  </w:style>
  <w:style w:type="paragraph" w:customStyle="1" w:styleId="173">
    <w:name w:val="A表格文字左对齐"/>
    <w:qFormat/>
    <w:uiPriority w:val="0"/>
    <w:pPr>
      <w:widowControl w:val="0"/>
      <w:adjustRightInd w:val="0"/>
      <w:spacing w:before="4" w:after="4"/>
    </w:pPr>
    <w:rPr>
      <w:rFonts w:ascii="Times New Roman" w:hAnsi="Times New Roman" w:eastAsia="宋体" w:cs="Times New Roman"/>
      <w:lang w:val="en-US" w:eastAsia="zh-CN" w:bidi="ar-SA"/>
    </w:rPr>
  </w:style>
  <w:style w:type="paragraph" w:customStyle="1" w:styleId="174">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character" w:customStyle="1" w:styleId="175">
    <w:name w:val="标题 9 字符"/>
    <w:qFormat/>
    <w:uiPriority w:val="0"/>
    <w:rPr>
      <w:rFonts w:ascii="Arial" w:hAnsi="Arial" w:eastAsia="黑体" w:cs="Times New Roman"/>
      <w:kern w:val="0"/>
      <w:szCs w:val="21"/>
      <w:lang w:val="zh-CN" w:eastAsia="zh-CN"/>
    </w:rPr>
  </w:style>
  <w:style w:type="character" w:customStyle="1" w:styleId="176">
    <w:name w:val="font11"/>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188</Pages>
  <Words>4811</Words>
  <Characters>5745</Characters>
  <TotalTime>13</TotalTime>
  <ScaleCrop>false</ScaleCrop>
  <LinksUpToDate>false</LinksUpToDate>
  <CharactersWithSpaces>5772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2025-08-08T16:22:00Z</dcterms:created>
  <dc:creator>admin</dc:creator>
  <cp:lastModifiedBy>韦将俊</cp:lastModifiedBy>
  <dcterms:modified xsi:type="dcterms:W3CDTF">2025-11-24T01:41:07Z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9C6A653D9C8E446498C4E89776C6DEAD</vt:lpwstr>
  </property>
  <property fmtid="{D5CDD505-2E9C-101B-9397-08002B2CF9AE}" pid="4" name="KSOTemplateDocerSaveRecord">
    <vt:lpwstr>eyJoZGlkIjoiZWQ1MzZjYmU3ZTU0NDEzYTAyYTdhMzFhMWI2YzliOWQiLCJ1c2VySWQiOiIzNDE2NTY5MTMifQ==</vt:lpwstr>
  </property>
</Properties>
</file>