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val="0"/>
          <w:color w:val="auto"/>
          <w:sz w:val="44"/>
          <w:szCs w:val="44"/>
          <w:lang w:val="en-US" w:eastAsia="zh-CN"/>
        </w:rPr>
      </w:pPr>
      <w:bookmarkStart w:id="0" w:name="_Toc21240"/>
      <w:bookmarkStart w:id="1" w:name="_Toc499716096"/>
      <w:bookmarkStart w:id="2" w:name="_Toc28598"/>
    </w:p>
    <w:p>
      <w:pPr>
        <w:jc w:val="center"/>
        <w:rPr>
          <w:rFonts w:hint="eastAsia"/>
          <w:b/>
          <w:bCs w:val="0"/>
          <w:color w:val="auto"/>
          <w:sz w:val="44"/>
          <w:szCs w:val="44"/>
          <w:lang w:val="en-US" w:eastAsia="zh-CN"/>
        </w:rPr>
      </w:pPr>
    </w:p>
    <w:p>
      <w:pPr>
        <w:jc w:val="center"/>
        <w:rPr>
          <w:rFonts w:hint="eastAsia" w:ascii="方正小标宋_GBK" w:hAnsi="方正小标宋_GBK" w:eastAsia="方正小标宋_GBK" w:cs="方正小标宋_GBK"/>
          <w:b/>
          <w:bCs w:val="0"/>
          <w:color w:val="auto"/>
          <w:sz w:val="52"/>
          <w:szCs w:val="52"/>
        </w:rPr>
      </w:pPr>
      <w:r>
        <w:rPr>
          <w:rFonts w:hint="eastAsia" w:ascii="方正小标宋_GBK" w:hAnsi="方正小标宋_GBK" w:eastAsia="方正小标宋_GBK" w:cs="方正小标宋_GBK"/>
          <w:b/>
          <w:bCs w:val="0"/>
          <w:color w:val="auto"/>
          <w:sz w:val="52"/>
          <w:szCs w:val="52"/>
          <w:lang w:val="en-US" w:eastAsia="zh-CN"/>
        </w:rPr>
        <w:t>2025年南方电网数字电网研究院股份有限公司内蒙古分公司办公区域维修专项采购</w:t>
      </w:r>
    </w:p>
    <w:p>
      <w:pPr>
        <w:rPr>
          <w:rFonts w:hint="eastAsia" w:ascii="方正小标宋_GBK" w:hAnsi="方正小标宋_GBK" w:eastAsia="方正小标宋_GBK" w:cs="方正小标宋_GBK"/>
          <w:b/>
          <w:bCs w:val="0"/>
          <w:color w:val="auto"/>
        </w:rPr>
      </w:pPr>
    </w:p>
    <w:p>
      <w:pPr>
        <w:rPr>
          <w:rFonts w:hint="eastAsia" w:ascii="方正小标宋_GBK" w:hAnsi="方正小标宋_GBK" w:eastAsia="方正小标宋_GBK" w:cs="方正小标宋_GBK"/>
          <w:b/>
          <w:bCs w:val="0"/>
          <w:color w:val="auto"/>
        </w:rPr>
      </w:pPr>
    </w:p>
    <w:p>
      <w:pPr>
        <w:pStyle w:val="10"/>
        <w:jc w:val="center"/>
        <w:rPr>
          <w:rFonts w:hint="eastAsia" w:ascii="方正小标宋_GBK" w:hAnsi="方正小标宋_GBK" w:eastAsia="方正小标宋_GBK" w:cs="方正小标宋_GBK"/>
          <w:b/>
          <w:bCs w:val="0"/>
          <w:color w:val="auto"/>
          <w:w w:val="80"/>
          <w:sz w:val="48"/>
          <w:szCs w:val="48"/>
        </w:rPr>
      </w:pPr>
      <w:r>
        <w:rPr>
          <w:rFonts w:hint="eastAsia" w:ascii="方正小标宋_GBK" w:hAnsi="方正小标宋_GBK" w:eastAsia="方正小标宋_GBK" w:cs="方正小标宋_GBK"/>
          <w:b/>
          <w:bCs w:val="0"/>
          <w:color w:val="auto"/>
          <w:sz w:val="48"/>
          <w:szCs w:val="48"/>
        </w:rPr>
        <w:t>技术规范书</w:t>
      </w:r>
    </w:p>
    <w:p>
      <w:pPr>
        <w:pStyle w:val="14"/>
        <w:rPr>
          <w:rFonts w:hint="eastAsia" w:ascii="方正小标宋_GBK" w:hAnsi="方正小标宋_GBK" w:eastAsia="方正小标宋_GBK" w:cs="方正小标宋_GBK"/>
          <w:b/>
          <w:color w:val="000000"/>
          <w:sz w:val="44"/>
        </w:rPr>
      </w:pPr>
    </w:p>
    <w:p>
      <w:pPr>
        <w:pStyle w:val="14"/>
        <w:rPr>
          <w:rFonts w:hint="eastAsia" w:ascii="仿宋_GB2312" w:hAnsi="仿宋" w:eastAsia="仿宋_GB2312"/>
          <w:b/>
          <w:color w:val="000000"/>
          <w:sz w:val="44"/>
        </w:rPr>
      </w:pPr>
    </w:p>
    <w:p>
      <w:pPr>
        <w:pStyle w:val="14"/>
        <w:rPr>
          <w:rFonts w:hint="eastAsia" w:ascii="仿宋_GB2312" w:hAnsi="仿宋" w:eastAsia="仿宋_GB2312"/>
          <w:b/>
          <w:color w:val="000000"/>
          <w:sz w:val="44"/>
        </w:rPr>
      </w:pPr>
    </w:p>
    <w:p>
      <w:pPr>
        <w:pStyle w:val="14"/>
        <w:rPr>
          <w:rFonts w:hint="eastAsia" w:ascii="仿宋_GB2312" w:hAnsi="仿宋" w:eastAsia="仿宋_GB2312"/>
          <w:b/>
          <w:color w:val="000000"/>
          <w:sz w:val="44"/>
        </w:rPr>
      </w:pPr>
    </w:p>
    <w:p>
      <w:pPr>
        <w:jc w:val="center"/>
        <w:rPr>
          <w:rFonts w:ascii="黑体" w:eastAsia="黑体"/>
          <w:b/>
          <w:color w:val="000000"/>
          <w:sz w:val="52"/>
        </w:rPr>
      </w:pPr>
    </w:p>
    <w:p>
      <w:pPr>
        <w:jc w:val="center"/>
        <w:rPr>
          <w:rFonts w:ascii="黑体" w:eastAsia="黑体"/>
          <w:b/>
          <w:color w:val="000000"/>
          <w:sz w:val="52"/>
        </w:rPr>
      </w:pPr>
    </w:p>
    <w:p>
      <w:pPr>
        <w:jc w:val="center"/>
        <w:rPr>
          <w:rFonts w:ascii="黑体" w:eastAsia="黑体"/>
          <w:b/>
          <w:color w:val="000000"/>
          <w:sz w:val="52"/>
        </w:rPr>
      </w:pPr>
    </w:p>
    <w:p>
      <w:pPr>
        <w:pStyle w:val="10"/>
        <w:tabs>
          <w:tab w:val="left" w:pos="1300"/>
          <w:tab w:val="left" w:pos="1800"/>
        </w:tabs>
        <w:spacing w:line="700" w:lineRule="exact"/>
        <w:rPr>
          <w:rFonts w:ascii="Calibri" w:hAnsi="Calibri"/>
          <w:b/>
          <w:color w:val="auto"/>
        </w:rPr>
      </w:pPr>
    </w:p>
    <w:p>
      <w:pPr>
        <w:jc w:val="center"/>
        <w:rPr>
          <w:rFonts w:hint="eastAsia" w:hAnsi="宋体"/>
          <w:b/>
          <w:color w:val="auto"/>
          <w:sz w:val="30"/>
        </w:rPr>
      </w:pPr>
    </w:p>
    <w:p>
      <w:pPr>
        <w:jc w:val="center"/>
        <w:rPr>
          <w:rFonts w:hint="eastAsia" w:hAnsi="宋体"/>
          <w:b/>
          <w:color w:val="auto"/>
          <w:sz w:val="30"/>
        </w:rPr>
      </w:pPr>
    </w:p>
    <w:p>
      <w:pPr>
        <w:jc w:val="center"/>
        <w:rPr>
          <w:rFonts w:hint="eastAsia" w:hAnsi="宋体"/>
          <w:b/>
          <w:color w:val="auto"/>
          <w:sz w:val="30"/>
        </w:rPr>
      </w:pPr>
    </w:p>
    <w:p>
      <w:pPr>
        <w:jc w:val="center"/>
        <w:rPr>
          <w:rFonts w:hint="eastAsia" w:hAnsi="宋体"/>
          <w:b/>
          <w:color w:val="auto"/>
          <w:sz w:val="30"/>
        </w:rPr>
      </w:pPr>
    </w:p>
    <w:p>
      <w:pPr>
        <w:jc w:val="center"/>
        <w:rPr>
          <w:rFonts w:hint="eastAsia" w:hAnsi="宋体"/>
          <w:b/>
          <w:color w:val="auto"/>
          <w:sz w:val="30"/>
        </w:rPr>
      </w:pPr>
    </w:p>
    <w:p>
      <w:pPr>
        <w:jc w:val="center"/>
        <w:rPr>
          <w:rFonts w:hint="eastAsia" w:hAnsi="宋体"/>
          <w:b/>
          <w:color w:val="auto"/>
          <w:sz w:val="30"/>
        </w:rPr>
      </w:pPr>
    </w:p>
    <w:p>
      <w:pPr>
        <w:jc w:val="center"/>
        <w:rPr>
          <w:rFonts w:hint="eastAsia" w:hAnsi="宋体"/>
          <w:b/>
          <w:color w:val="auto"/>
          <w:sz w:val="30"/>
        </w:rPr>
      </w:pPr>
    </w:p>
    <w:p>
      <w:pPr>
        <w:jc w:val="center"/>
        <w:rPr>
          <w:rFonts w:hint="eastAsia" w:hAnsi="宋体"/>
          <w:b/>
          <w:color w:val="auto"/>
          <w:sz w:val="30"/>
        </w:rPr>
      </w:pPr>
    </w:p>
    <w:p>
      <w:pPr>
        <w:jc w:val="center"/>
        <w:rPr>
          <w:color w:val="auto"/>
        </w:rPr>
      </w:pPr>
      <w:r>
        <w:rPr>
          <w:rFonts w:hint="eastAsia" w:hAnsi="宋体"/>
          <w:b/>
          <w:color w:val="auto"/>
          <w:sz w:val="30"/>
        </w:rPr>
        <w:t>二〇</w:t>
      </w:r>
      <w:r>
        <w:rPr>
          <w:rFonts w:hint="eastAsia" w:hAnsi="宋体"/>
          <w:b/>
          <w:color w:val="auto"/>
          <w:sz w:val="30"/>
          <w:lang w:val="en-US" w:eastAsia="zh-CN"/>
        </w:rPr>
        <w:t>二五</w:t>
      </w:r>
      <w:r>
        <w:rPr>
          <w:rFonts w:hAnsi="宋体"/>
          <w:b/>
          <w:color w:val="auto"/>
          <w:sz w:val="30"/>
        </w:rPr>
        <w:t>年</w:t>
      </w:r>
      <w:r>
        <w:rPr>
          <w:rFonts w:hint="eastAsia" w:hAnsi="宋体"/>
          <w:b/>
          <w:color w:val="auto"/>
          <w:sz w:val="30"/>
          <w:lang w:eastAsia="zh-CN"/>
        </w:rPr>
        <w:t>十一</w:t>
      </w:r>
      <w:r>
        <w:rPr>
          <w:rFonts w:hAnsi="宋体"/>
          <w:b/>
          <w:color w:val="auto"/>
          <w:sz w:val="30"/>
        </w:rPr>
        <w:t>月</w:t>
      </w:r>
    </w:p>
    <w:p>
      <w:pPr>
        <w:pStyle w:val="14"/>
        <w:rPr>
          <w:rFonts w:hint="eastAsia" w:ascii="仿宋_GB2312" w:hAnsi="仿宋" w:eastAsia="仿宋_GB2312"/>
          <w:b/>
          <w:color w:val="000000"/>
          <w:sz w:val="44"/>
        </w:rPr>
      </w:pPr>
      <w:r>
        <w:rPr>
          <w:rFonts w:hint="eastAsia" w:ascii="仿宋_GB2312" w:hAnsi="仿宋" w:eastAsia="仿宋_GB2312"/>
          <w:b/>
          <w:color w:val="000000"/>
          <w:sz w:val="44"/>
        </w:rPr>
        <w:br w:type="page"/>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rPr>
      </w:pPr>
      <w:bookmarkStart w:id="3" w:name="_Toc6149"/>
      <w:bookmarkStart w:id="4" w:name="_Toc6805"/>
      <w:bookmarkStart w:id="5" w:name="_Toc19555"/>
      <w:bookmarkStart w:id="6" w:name="_Toc2689"/>
      <w:bookmarkStart w:id="7" w:name="_Toc25044"/>
      <w:bookmarkStart w:id="8" w:name="_Toc26473"/>
      <w:bookmarkStart w:id="9" w:name="_Toc18619"/>
      <w:r>
        <w:rPr>
          <w:rFonts w:hint="eastAsia" w:ascii="黑体" w:hAnsi="黑体" w:eastAsia="黑体" w:cs="黑体"/>
          <w:b w:val="0"/>
          <w:bCs w:val="0"/>
          <w:sz w:val="32"/>
          <w:szCs w:val="32"/>
          <w:lang w:val="en-US" w:eastAsia="zh-CN"/>
        </w:rPr>
        <w:t>一、项目概述</w:t>
      </w:r>
      <w:bookmarkEnd w:id="3"/>
      <w:bookmarkEnd w:id="4"/>
      <w:bookmarkEnd w:id="5"/>
      <w:bookmarkEnd w:id="6"/>
      <w:bookmarkEnd w:id="7"/>
      <w:bookmarkEnd w:id="8"/>
    </w:p>
    <w:p>
      <w:pPr>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rPr>
        <w:t>本项目</w:t>
      </w:r>
      <w:r>
        <w:rPr>
          <w:rFonts w:hint="eastAsia" w:ascii="仿宋_GB2312" w:hAnsi="仿宋_GB2312" w:eastAsia="仿宋_GB2312" w:cs="仿宋_GB2312"/>
          <w:color w:val="auto"/>
          <w:sz w:val="32"/>
          <w:szCs w:val="32"/>
          <w:lang w:eastAsia="zh-CN"/>
        </w:rPr>
        <w:t>为</w:t>
      </w:r>
      <w:r>
        <w:rPr>
          <w:rFonts w:hint="eastAsia" w:ascii="仿宋_GB2312" w:hAnsi="仿宋_GB2312" w:eastAsia="仿宋_GB2312" w:cs="仿宋_GB2312"/>
          <w:color w:val="auto"/>
          <w:sz w:val="32"/>
          <w:szCs w:val="32"/>
          <w:lang w:val="en-US" w:eastAsia="zh-CN"/>
        </w:rPr>
        <w:t>南网数研院</w:t>
      </w:r>
      <w:r>
        <w:rPr>
          <w:rFonts w:hint="eastAsia" w:ascii="仿宋_GB2312" w:hAnsi="仿宋_GB2312" w:eastAsia="仿宋_GB2312" w:cs="仿宋_GB2312"/>
          <w:b w:val="0"/>
          <w:bCs w:val="0"/>
          <w:color w:val="auto"/>
          <w:sz w:val="32"/>
          <w:szCs w:val="32"/>
          <w:lang w:val="en-US" w:eastAsia="zh-CN"/>
        </w:rPr>
        <w:t>内蒙古分公司办公区域维修项目</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场地</w:t>
      </w:r>
      <w:r>
        <w:rPr>
          <w:rFonts w:hint="eastAsia" w:ascii="仿宋_GB2312" w:hAnsi="仿宋_GB2312" w:eastAsia="仿宋_GB2312" w:cs="仿宋_GB2312"/>
          <w:color w:val="auto"/>
          <w:sz w:val="32"/>
          <w:szCs w:val="32"/>
          <w:u w:val="none"/>
        </w:rPr>
        <w:t>位于</w:t>
      </w:r>
      <w:r>
        <w:rPr>
          <w:rFonts w:hint="eastAsia" w:ascii="仿宋_GB2312" w:hAnsi="仿宋_GB2312" w:eastAsia="仿宋_GB2312" w:cs="仿宋_GB2312"/>
          <w:color w:val="auto"/>
          <w:sz w:val="32"/>
          <w:szCs w:val="32"/>
          <w:u w:val="none"/>
          <w:lang w:val="en-US" w:eastAsia="zh-CN"/>
        </w:rPr>
        <w:t>内蒙古呼和浩特市赛罕区绿地蓝海大厦A座</w:t>
      </w:r>
      <w:r>
        <w:rPr>
          <w:rFonts w:hint="eastAsia" w:ascii="仿宋_GB2312" w:hAnsi="仿宋_GB2312" w:eastAsia="仿宋_GB2312" w:cs="仿宋_GB2312"/>
          <w:color w:val="auto"/>
          <w:sz w:val="32"/>
          <w:szCs w:val="32"/>
          <w:u w:val="none"/>
        </w:rPr>
        <w:t>，</w:t>
      </w:r>
      <w:r>
        <w:rPr>
          <w:rFonts w:hint="eastAsia" w:ascii="仿宋_GB2312" w:hAnsi="仿宋_GB2312" w:eastAsia="仿宋_GB2312" w:cs="仿宋_GB2312"/>
          <w:b w:val="0"/>
          <w:bCs w:val="0"/>
          <w:color w:val="auto"/>
          <w:kern w:val="2"/>
          <w:sz w:val="32"/>
          <w:szCs w:val="32"/>
          <w:u w:val="none"/>
          <w:lang w:val="en-US" w:eastAsia="zh-CN" w:bidi="ar-SA"/>
        </w:rPr>
        <w:t>维修内容主要</w:t>
      </w:r>
      <w:r>
        <w:rPr>
          <w:rFonts w:hint="eastAsia" w:ascii="仿宋_GB2312" w:hAnsi="仿宋_GB2312" w:eastAsia="仿宋_GB2312" w:cs="仿宋_GB2312"/>
          <w:color w:val="auto"/>
          <w:sz w:val="32"/>
          <w:szCs w:val="32"/>
          <w:lang w:val="en-US" w:eastAsia="zh-CN"/>
        </w:rPr>
        <w:t>包括：办公场地新增隔断、</w:t>
      </w:r>
      <w:r>
        <w:rPr>
          <w:rFonts w:hint="eastAsia" w:ascii="仿宋_GB2312" w:hAnsi="仿宋_GB2312" w:eastAsia="仿宋_GB2312" w:cs="仿宋_GB2312"/>
          <w:caps/>
          <w:kern w:val="0"/>
          <w:sz w:val="32"/>
          <w:szCs w:val="32"/>
          <w:highlight w:val="none"/>
          <w:lang w:val="en-US" w:eastAsia="zh-CN"/>
        </w:rPr>
        <w:t>办公工位拆除电源线及网线并重新敷设</w:t>
      </w:r>
      <w:r>
        <w:rPr>
          <w:rFonts w:hint="eastAsia" w:ascii="仿宋_GB2312" w:hAnsi="仿宋_GB2312" w:eastAsia="仿宋_GB2312" w:cs="仿宋_GB2312"/>
          <w:color w:val="auto"/>
          <w:sz w:val="32"/>
          <w:szCs w:val="32"/>
          <w:lang w:val="en-US" w:eastAsia="zh-CN"/>
        </w:rPr>
        <w:t>等其他维修事项。</w:t>
      </w:r>
      <w:bookmarkEnd w:id="9"/>
      <w:bookmarkStart w:id="10" w:name="_Toc2251"/>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二、应遵循的主要标准</w:t>
      </w:r>
    </w:p>
    <w:p>
      <w:pPr>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一</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《南方电网数字电网集团有限公司项目管理办法》</w:t>
      </w:r>
    </w:p>
    <w:p>
      <w:pPr>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二</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《安全防范工程技术标准》GB50348-2018</w:t>
      </w:r>
    </w:p>
    <w:p>
      <w:pPr>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三</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安全防范工程通用规范》GB55029-2022</w:t>
      </w:r>
    </w:p>
    <w:p>
      <w:pPr>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四</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其它相关最新国家及行业规范和标准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三、具体维修要求</w:t>
      </w:r>
      <w:bookmarkEnd w:id="10"/>
      <w:bookmarkStart w:id="11" w:name="_Toc2369"/>
    </w:p>
    <w:bookmarkEnd w:id="11"/>
    <w:p>
      <w:pPr>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color w:val="auto"/>
          <w:sz w:val="32"/>
          <w:szCs w:val="32"/>
          <w:lang w:val="en-US" w:eastAsia="zh-CN"/>
        </w:rPr>
        <w:t>（一）办公场地新增隔断</w:t>
      </w:r>
    </w:p>
    <w:p>
      <w:pPr>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在指定位置新增隔断墙体（厚度约为8公分），双层玻璃内含百叶，隔断面积约为17平米。</w:t>
      </w:r>
    </w:p>
    <w:p>
      <w:pPr>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color w:val="auto"/>
          <w:sz w:val="32"/>
          <w:szCs w:val="32"/>
          <w:highlight w:val="yellow"/>
          <w:lang w:val="en-US" w:eastAsia="zh-CN"/>
        </w:rPr>
      </w:pPr>
      <w:r>
        <w:rPr>
          <w:rFonts w:hint="eastAsia" w:ascii="楷体_GB2312" w:hAnsi="楷体_GB2312" w:eastAsia="楷体_GB2312" w:cs="楷体_GB2312"/>
          <w:color w:val="auto"/>
          <w:sz w:val="32"/>
          <w:szCs w:val="32"/>
          <w:highlight w:val="none"/>
          <w:lang w:val="en-US" w:eastAsia="zh-CN"/>
        </w:rPr>
        <w:t>（二）办公工位拆除电源线及网线并重新敷设</w:t>
      </w:r>
    </w:p>
    <w:p>
      <w:pPr>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拆除指定6个办公工位电源线及网络线缆，重新敷设8个办公工位电源线及网络线缆，敷设电源线约20米、网络线缆约800米。完成接线后，对所有新增插座进行通电及相位测试，确保用电安全与网络连通。</w:t>
      </w:r>
    </w:p>
    <w:p>
      <w:pPr>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color w:val="auto"/>
          <w:sz w:val="32"/>
          <w:szCs w:val="32"/>
          <w:lang w:val="en-US" w:eastAsia="zh-CN"/>
        </w:rPr>
        <w:t>（三）维修材料</w:t>
      </w:r>
    </w:p>
    <w:p>
      <w:pPr>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1.投标人负责提供的维修材料必须符合国家最新规范要求及技术指标要求。</w:t>
      </w:r>
    </w:p>
    <w:p>
      <w:pPr>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2.投标人在维修过程中，购买主要维修材料须经采购人同意。</w:t>
      </w:r>
    </w:p>
    <w:p>
      <w:pPr>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3.采购人有权根据维修实际情况变更维修数量以及变更投标人采购的主要维修材料的范围。</w:t>
      </w:r>
    </w:p>
    <w:p>
      <w:pPr>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4.采购人有权根据维修实际情况减少维修数量，最终结算时将进行费用扣减。</w:t>
      </w:r>
    </w:p>
    <w:p>
      <w:pPr>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5.根据实际维修情况，如有需要增加维修项目、数量以及材料的，须经采购人同意后，方可开展维修工作。</w:t>
      </w:r>
      <w:bookmarkStart w:id="12" w:name="_Toc1036"/>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四、</w:t>
      </w:r>
      <w:bookmarkEnd w:id="12"/>
      <w:r>
        <w:rPr>
          <w:rFonts w:hint="eastAsia" w:ascii="黑体" w:hAnsi="黑体" w:eastAsia="黑体" w:cs="黑体"/>
          <w:sz w:val="32"/>
          <w:szCs w:val="32"/>
          <w:lang w:val="en-US" w:eastAsia="zh-CN"/>
        </w:rPr>
        <w:t>其他要求</w:t>
      </w:r>
    </w:p>
    <w:p>
      <w:pPr>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color w:val="auto"/>
          <w:sz w:val="32"/>
          <w:szCs w:val="32"/>
          <w:u w:val="none"/>
          <w:lang w:val="en-US" w:eastAsia="zh-CN"/>
        </w:rPr>
      </w:pPr>
      <w:bookmarkStart w:id="13" w:name="_Toc24817"/>
      <w:bookmarkStart w:id="14" w:name="_Toc6921"/>
      <w:r>
        <w:rPr>
          <w:rFonts w:hint="eastAsia" w:ascii="楷体_GB2312" w:hAnsi="楷体_GB2312" w:eastAsia="楷体_GB2312" w:cs="楷体_GB2312"/>
          <w:color w:val="auto"/>
          <w:sz w:val="32"/>
          <w:szCs w:val="32"/>
          <w:u w:val="none"/>
          <w:lang w:val="en-US" w:eastAsia="zh-CN"/>
        </w:rPr>
        <w:t>（一）资格要求</w:t>
      </w:r>
      <w:bookmarkEnd w:id="13"/>
    </w:p>
    <w:p>
      <w:pPr>
        <w:pStyle w:val="2"/>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color w:val="auto"/>
          <w:sz w:val="32"/>
          <w:szCs w:val="32"/>
          <w:u w:val="none"/>
          <w:lang w:val="en-US" w:eastAsia="zh-CN"/>
        </w:rPr>
        <w:t>提供加盖公章的营业执照</w:t>
      </w:r>
    </w:p>
    <w:bookmarkEnd w:id="14"/>
    <w:p>
      <w:pPr>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color w:val="auto"/>
          <w:sz w:val="32"/>
          <w:szCs w:val="32"/>
          <w:u w:val="none"/>
          <w:lang w:val="en-US" w:eastAsia="zh-CN"/>
        </w:rPr>
      </w:pPr>
      <w:bookmarkStart w:id="15" w:name="_Toc21594"/>
      <w:r>
        <w:rPr>
          <w:rFonts w:hint="eastAsia" w:ascii="楷体_GB2312" w:hAnsi="楷体_GB2312" w:eastAsia="楷体_GB2312" w:cs="楷体_GB2312"/>
          <w:color w:val="auto"/>
          <w:sz w:val="32"/>
          <w:szCs w:val="32"/>
          <w:u w:val="none"/>
          <w:lang w:val="en-US" w:eastAsia="zh-CN"/>
        </w:rPr>
        <w:t>（二）安全与合规性</w:t>
      </w:r>
    </w:p>
    <w:p>
      <w:pPr>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Cs/>
          <w:sz w:val="32"/>
          <w:szCs w:val="32"/>
          <w:highlight w:val="none"/>
          <w:lang w:val="en-US" w:eastAsia="zh-CN"/>
        </w:rPr>
      </w:pPr>
      <w:r>
        <w:rPr>
          <w:rFonts w:hint="eastAsia" w:ascii="仿宋_GB2312" w:hAnsi="仿宋_GB2312" w:eastAsia="仿宋_GB2312" w:cs="仿宋_GB2312"/>
          <w:bCs/>
          <w:sz w:val="32"/>
          <w:szCs w:val="32"/>
          <w:highlight w:val="none"/>
          <w:lang w:val="en-US" w:eastAsia="zh-CN"/>
        </w:rPr>
        <w:t>1.</w:t>
      </w:r>
      <w:r>
        <w:rPr>
          <w:rFonts w:hint="eastAsia" w:ascii="仿宋_GB2312" w:hAnsi="仿宋_GB2312" w:eastAsia="仿宋_GB2312" w:cs="仿宋_GB2312"/>
          <w:caps/>
          <w:kern w:val="0"/>
          <w:sz w:val="32"/>
          <w:szCs w:val="32"/>
          <w:highlight w:val="none"/>
          <w:lang w:val="en-US" w:eastAsia="zh-CN"/>
        </w:rPr>
        <w:t>投标</w:t>
      </w:r>
      <w:r>
        <w:rPr>
          <w:rFonts w:hint="eastAsia" w:ascii="仿宋_GB2312" w:hAnsi="仿宋_GB2312" w:eastAsia="仿宋_GB2312" w:cs="仿宋_GB2312"/>
          <w:bCs/>
          <w:sz w:val="32"/>
          <w:szCs w:val="32"/>
          <w:highlight w:val="none"/>
          <w:lang w:val="en-US" w:eastAsia="zh-CN"/>
        </w:rPr>
        <w:t>人应负责保持办公区域内设备设施的良好状态及运作，定期进行维护、修缮与管理。</w:t>
      </w:r>
    </w:p>
    <w:p>
      <w:pPr>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Cs/>
          <w:sz w:val="32"/>
          <w:szCs w:val="32"/>
          <w:highlight w:val="none"/>
          <w:lang w:val="en-US" w:eastAsia="zh-CN"/>
        </w:rPr>
      </w:pPr>
      <w:r>
        <w:rPr>
          <w:rFonts w:hint="eastAsia" w:ascii="仿宋_GB2312" w:hAnsi="仿宋_GB2312" w:eastAsia="仿宋_GB2312" w:cs="仿宋_GB2312"/>
          <w:bCs/>
          <w:sz w:val="32"/>
          <w:szCs w:val="32"/>
          <w:highlight w:val="none"/>
          <w:lang w:val="en-US" w:eastAsia="zh-CN"/>
        </w:rPr>
        <w:t>2.</w:t>
      </w:r>
      <w:r>
        <w:rPr>
          <w:rFonts w:hint="eastAsia" w:ascii="仿宋_GB2312" w:hAnsi="仿宋_GB2312" w:eastAsia="仿宋_GB2312" w:cs="仿宋_GB2312"/>
          <w:caps/>
          <w:kern w:val="0"/>
          <w:sz w:val="32"/>
          <w:szCs w:val="32"/>
          <w:highlight w:val="none"/>
          <w:lang w:val="en-US" w:eastAsia="zh-CN"/>
        </w:rPr>
        <w:t>投标</w:t>
      </w:r>
      <w:r>
        <w:rPr>
          <w:rFonts w:hint="eastAsia" w:ascii="仿宋_GB2312" w:hAnsi="仿宋_GB2312" w:eastAsia="仿宋_GB2312" w:cs="仿宋_GB2312"/>
          <w:bCs/>
          <w:sz w:val="32"/>
          <w:szCs w:val="32"/>
          <w:highlight w:val="none"/>
          <w:lang w:val="en-US" w:eastAsia="zh-CN"/>
        </w:rPr>
        <w:t>人须提供维修费的合法有效的增值税发票。</w:t>
      </w:r>
    </w:p>
    <w:bookmarkEnd w:id="15"/>
    <w:p>
      <w:pPr>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color w:val="auto"/>
          <w:sz w:val="32"/>
          <w:szCs w:val="32"/>
          <w:lang w:val="en-US" w:eastAsia="zh-CN"/>
        </w:rPr>
      </w:pPr>
      <w:bookmarkStart w:id="16" w:name="_Toc6334"/>
      <w:r>
        <w:rPr>
          <w:rFonts w:hint="eastAsia" w:ascii="楷体_GB2312" w:hAnsi="楷体_GB2312" w:eastAsia="楷体_GB2312" w:cs="楷体_GB2312"/>
          <w:color w:val="auto"/>
          <w:sz w:val="32"/>
          <w:szCs w:val="32"/>
          <w:lang w:val="en-US" w:eastAsia="zh-CN"/>
        </w:rPr>
        <w:t>（三）验收</w:t>
      </w:r>
      <w:bookmarkEnd w:id="16"/>
      <w:r>
        <w:rPr>
          <w:rFonts w:hint="eastAsia" w:ascii="楷体_GB2312" w:hAnsi="楷体_GB2312" w:eastAsia="楷体_GB2312" w:cs="楷体_GB2312"/>
          <w:color w:val="auto"/>
          <w:sz w:val="32"/>
          <w:szCs w:val="32"/>
          <w:lang w:val="en-US" w:eastAsia="zh-CN"/>
        </w:rPr>
        <w:t>和结算</w:t>
      </w:r>
    </w:p>
    <w:p>
      <w:pPr>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在周期内，按照上述要求完成办公场地维修工作</w:t>
      </w:r>
      <w:bookmarkStart w:id="17" w:name="_Toc18489"/>
      <w:r>
        <w:rPr>
          <w:rFonts w:hint="eastAsia" w:ascii="仿宋_GB2312" w:hAnsi="仿宋_GB2312" w:eastAsia="仿宋_GB2312" w:cs="仿宋_GB2312"/>
          <w:sz w:val="32"/>
          <w:szCs w:val="32"/>
          <w:highlight w:val="none"/>
          <w:lang w:val="en-US" w:eastAsia="zh-CN"/>
        </w:rPr>
        <w:t>，</w:t>
      </w:r>
      <w:r>
        <w:rPr>
          <w:rFonts w:hint="eastAsia" w:ascii="仿宋_GB2312" w:hAnsi="仿宋_GB2312" w:eastAsia="仿宋_GB2312" w:cs="仿宋_GB2312"/>
          <w:sz w:val="32"/>
          <w:szCs w:val="32"/>
          <w:lang w:val="en-US" w:eastAsia="zh-CN"/>
        </w:rPr>
        <w:t>结算根据维修情况据实结算。</w:t>
      </w:r>
    </w:p>
    <w:p>
      <w:pPr>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1.验收方法</w:t>
      </w:r>
      <w:bookmarkEnd w:id="17"/>
    </w:p>
    <w:p>
      <w:pPr>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caps/>
          <w:kern w:val="0"/>
          <w:sz w:val="32"/>
          <w:szCs w:val="32"/>
          <w:highlight w:val="none"/>
          <w:lang w:val="en-US" w:eastAsia="zh-CN"/>
        </w:rPr>
        <w:t>投标</w:t>
      </w:r>
      <w:r>
        <w:rPr>
          <w:rFonts w:hint="eastAsia" w:ascii="仿宋_GB2312" w:hAnsi="仿宋_GB2312" w:eastAsia="仿宋_GB2312" w:cs="仿宋_GB2312"/>
          <w:sz w:val="32"/>
          <w:szCs w:val="32"/>
          <w:highlight w:val="none"/>
          <w:lang w:val="en-US" w:eastAsia="zh-CN"/>
        </w:rPr>
        <w:t>人应在具备验收条件后向采购人提</w:t>
      </w:r>
      <w:r>
        <w:rPr>
          <w:rFonts w:hint="eastAsia" w:ascii="仿宋_GB2312" w:hAnsi="仿宋_GB2312" w:eastAsia="仿宋_GB2312" w:cs="仿宋_GB2312"/>
          <w:sz w:val="32"/>
          <w:szCs w:val="32"/>
          <w:highlight w:val="none"/>
          <w:lang w:val="en-US" w:eastAsia="zh-CN"/>
        </w:rPr>
        <w:t>出</w:t>
      </w:r>
      <w:r>
        <w:rPr>
          <w:rFonts w:hint="eastAsia" w:ascii="仿宋_GB2312" w:hAnsi="仿宋_GB2312" w:eastAsia="仿宋_GB2312" w:cs="仿宋_GB2312"/>
          <w:sz w:val="32"/>
          <w:szCs w:val="32"/>
          <w:highlight w:val="none"/>
          <w:lang w:val="en-US" w:eastAsia="zh-CN"/>
        </w:rPr>
        <w:t>验收申请，</w:t>
      </w:r>
      <w:r>
        <w:rPr>
          <w:rFonts w:hint="eastAsia" w:ascii="仿宋_GB2312" w:hAnsi="仿宋_GB2312" w:eastAsia="仿宋_GB2312" w:cs="仿宋_GB2312"/>
          <w:sz w:val="32"/>
          <w:szCs w:val="32"/>
          <w:highlight w:val="none"/>
          <w:lang w:val="en-US" w:eastAsia="zh-CN"/>
        </w:rPr>
        <w:t>采购人应在收到</w:t>
      </w:r>
      <w:r>
        <w:rPr>
          <w:rFonts w:hint="eastAsia" w:ascii="仿宋_GB2312" w:hAnsi="仿宋_GB2312" w:eastAsia="仿宋_GB2312" w:cs="仿宋_GB2312"/>
          <w:caps/>
          <w:kern w:val="0"/>
          <w:sz w:val="32"/>
          <w:szCs w:val="32"/>
          <w:highlight w:val="none"/>
          <w:lang w:val="en-US" w:eastAsia="zh-CN"/>
        </w:rPr>
        <w:t>投标</w:t>
      </w:r>
      <w:r>
        <w:rPr>
          <w:rFonts w:hint="eastAsia" w:ascii="仿宋_GB2312" w:hAnsi="仿宋_GB2312" w:eastAsia="仿宋_GB2312" w:cs="仿宋_GB2312"/>
          <w:sz w:val="32"/>
          <w:szCs w:val="32"/>
          <w:highlight w:val="none"/>
          <w:lang w:val="en-US" w:eastAsia="zh-CN"/>
        </w:rPr>
        <w:t>人验收申请后30个工作日内开展项目验收工作，验收时需要提供维修明细，并对维修材料以及维修量进行核实验收。</w:t>
      </w:r>
    </w:p>
    <w:p>
      <w:pPr>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2.根据维修实际情况如发生减少维修数量的情况，最终结算时将进行维修费用的扣减，据实计算维修费用。</w:t>
      </w:r>
    </w:p>
    <w:p>
      <w:pPr>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kern w:val="2"/>
          <w:sz w:val="32"/>
          <w:szCs w:val="32"/>
          <w:lang w:val="en-US" w:eastAsia="zh-CN" w:bidi="ar-SA"/>
        </w:rPr>
        <w:t>3.其他未列出的维修项目根据市场价格经采购人确认后据实支付。</w:t>
      </w:r>
      <w:r>
        <w:rPr>
          <w:rFonts w:hint="eastAsia" w:ascii="仿宋_GB2312" w:hAnsi="仿宋_GB2312" w:eastAsia="仿宋_GB2312" w:cs="仿宋_GB2312"/>
          <w:sz w:val="32"/>
          <w:szCs w:val="32"/>
          <w:highlight w:val="none"/>
          <w:lang w:val="en-US" w:eastAsia="zh-CN"/>
        </w:rPr>
        <w:t xml:space="preserve"> </w:t>
      </w:r>
    </w:p>
    <w:p>
      <w:pPr>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color w:val="auto"/>
          <w:sz w:val="32"/>
          <w:szCs w:val="32"/>
          <w:lang w:val="en-US" w:eastAsia="zh-CN"/>
        </w:rPr>
        <w:t>（四）交付物要求</w:t>
      </w:r>
    </w:p>
    <w:p>
      <w:pPr>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caps/>
          <w:kern w:val="0"/>
          <w:sz w:val="32"/>
          <w:szCs w:val="32"/>
          <w:highlight w:val="none"/>
          <w:lang w:val="en-US" w:eastAsia="zh-CN"/>
        </w:rPr>
        <w:t>投标</w:t>
      </w:r>
      <w:r>
        <w:rPr>
          <w:rFonts w:hint="eastAsia" w:ascii="仿宋_GB2312" w:hAnsi="仿宋_GB2312" w:eastAsia="仿宋_GB2312" w:cs="仿宋_GB2312"/>
          <w:sz w:val="32"/>
          <w:szCs w:val="32"/>
          <w:highlight w:val="none"/>
          <w:lang w:val="en-US" w:eastAsia="zh-CN"/>
        </w:rPr>
        <w:t>人需根据相关交付物规定，于规定的时间内交付包括但不限于以下文档：</w:t>
      </w:r>
    </w:p>
    <w:p>
      <w:pPr>
        <w:widowControl w:val="0"/>
        <w:numPr>
          <w:ilvl w:val="-1"/>
          <w:numId w:val="0"/>
        </w:numPr>
        <w:kinsoku/>
        <w:wordWrap/>
        <w:overflowPunct/>
        <w:topLinePunct w:val="0"/>
        <w:autoSpaceDE/>
        <w:autoSpaceDN/>
        <w:bidi w:val="0"/>
        <w:adjustRightInd/>
        <w:snapToGrid/>
        <w:spacing w:line="560" w:lineRule="exact"/>
        <w:ind w:left="630" w:firstLine="0" w:firstLineChars="0"/>
        <w:textAlignment w:val="auto"/>
        <w:rPr>
          <w:rFonts w:hint="eastAsia" w:ascii="仿宋_GB2312" w:hAnsi="仿宋_GB2312" w:eastAsia="仿宋_GB2312" w:cs="仿宋_GB2312"/>
          <w:sz w:val="32"/>
          <w:szCs w:val="32"/>
          <w:highlight w:val="yellow"/>
          <w:lang w:val="en-US" w:eastAsia="zh-CN"/>
        </w:rPr>
      </w:pPr>
      <w:r>
        <w:rPr>
          <w:rFonts w:hint="eastAsia" w:ascii="仿宋_GB2312" w:hAnsi="仿宋_GB2312" w:eastAsia="仿宋_GB2312" w:cs="仿宋_GB2312"/>
          <w:sz w:val="32"/>
          <w:szCs w:val="32"/>
          <w:highlight w:val="none"/>
          <w:lang w:val="en-US" w:eastAsia="zh-CN"/>
        </w:rPr>
        <w:t>1</w:t>
      </w:r>
      <w:r>
        <w:rPr>
          <w:rFonts w:hint="eastAsia" w:ascii="仿宋_GB2312" w:hAnsi="仿宋_GB2312" w:eastAsia="仿宋_GB2312" w:cs="仿宋_GB2312"/>
          <w:sz w:val="32"/>
          <w:szCs w:val="32"/>
          <w:highlight w:val="none"/>
          <w:lang w:val="en-US" w:eastAsia="zh-CN"/>
        </w:rPr>
        <w:t>.工作量清单。</w:t>
      </w:r>
    </w:p>
    <w:bookmarkEnd w:id="0"/>
    <w:bookmarkEnd w:id="1"/>
    <w:bookmarkEnd w:id="2"/>
    <w:p>
      <w:pPr>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color w:val="auto"/>
          <w:sz w:val="32"/>
          <w:szCs w:val="32"/>
          <w:lang w:val="en-US" w:eastAsia="zh-CN"/>
        </w:rPr>
        <w:t>（五）质量保障</w:t>
      </w:r>
    </w:p>
    <w:p>
      <w:pPr>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1.本次项目实施均能满足本技术规范书要求。</w:t>
      </w:r>
    </w:p>
    <w:p>
      <w:pPr>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2.所有安装主材料在安装前应事先得到采购人的认可。</w:t>
      </w:r>
    </w:p>
    <w:p>
      <w:pPr>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3.</w:t>
      </w:r>
      <w:r>
        <w:rPr>
          <w:rFonts w:hint="eastAsia" w:ascii="仿宋_GB2312" w:hAnsi="仿宋_GB2312" w:eastAsia="仿宋_GB2312" w:cs="仿宋_GB2312"/>
          <w:caps/>
          <w:kern w:val="0"/>
          <w:sz w:val="32"/>
          <w:szCs w:val="32"/>
          <w:highlight w:val="none"/>
          <w:lang w:val="en-US" w:eastAsia="zh-CN"/>
        </w:rPr>
        <w:t>投标</w:t>
      </w:r>
      <w:r>
        <w:rPr>
          <w:rFonts w:hint="eastAsia" w:ascii="仿宋_GB2312" w:hAnsi="仿宋_GB2312" w:eastAsia="仿宋_GB2312" w:cs="仿宋_GB2312"/>
          <w:sz w:val="32"/>
          <w:szCs w:val="32"/>
          <w:highlight w:val="none"/>
          <w:lang w:val="en-US" w:eastAsia="zh-CN"/>
        </w:rPr>
        <w:t>人应在履行合同的全过程(从开始供货到最终验收),对所有供货和服务的质量保证负责，即要保证所有这些供货和服务的质量符合合同中有关技术、交付、验收和价格所规定的要求。</w:t>
      </w:r>
    </w:p>
    <w:p>
      <w:pPr>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4.</w:t>
      </w:r>
      <w:r>
        <w:rPr>
          <w:rFonts w:hint="eastAsia" w:ascii="仿宋_GB2312" w:hAnsi="仿宋_GB2312" w:eastAsia="仿宋_GB2312" w:cs="仿宋_GB2312"/>
          <w:caps/>
          <w:kern w:val="0"/>
          <w:sz w:val="32"/>
          <w:szCs w:val="32"/>
          <w:highlight w:val="none"/>
          <w:lang w:val="en-US" w:eastAsia="zh-CN"/>
        </w:rPr>
        <w:t>投标</w:t>
      </w:r>
      <w:r>
        <w:rPr>
          <w:rFonts w:hint="eastAsia" w:ascii="仿宋_GB2312" w:hAnsi="仿宋_GB2312" w:eastAsia="仿宋_GB2312" w:cs="仿宋_GB2312"/>
          <w:sz w:val="32"/>
          <w:szCs w:val="32"/>
          <w:highlight w:val="none"/>
          <w:lang w:val="en-US" w:eastAsia="zh-CN"/>
        </w:rPr>
        <w:t>人应在项目验收前向采购人移交项目过程中的全部交付成果。</w:t>
      </w:r>
    </w:p>
    <w:p>
      <w:pPr>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color w:val="auto"/>
          <w:sz w:val="32"/>
          <w:szCs w:val="32"/>
          <w:lang w:val="en-US" w:eastAsia="zh-CN"/>
        </w:rPr>
        <w:t>（五）工期保障</w:t>
      </w:r>
    </w:p>
    <w:p>
      <w:pPr>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1.项目工期为202</w:t>
      </w:r>
      <w:bookmarkStart w:id="18" w:name="_GoBack"/>
      <w:r>
        <w:rPr>
          <w:rFonts w:hint="eastAsia" w:ascii="仿宋_GB2312" w:hAnsi="仿宋_GB2312" w:eastAsia="仿宋_GB2312" w:cs="仿宋_GB2312"/>
          <w:sz w:val="32"/>
          <w:szCs w:val="32"/>
          <w:highlight w:val="none"/>
          <w:lang w:val="en-US" w:eastAsia="zh-CN"/>
        </w:rPr>
        <w:t>5</w:t>
      </w:r>
      <w:bookmarkEnd w:id="18"/>
      <w:r>
        <w:rPr>
          <w:rFonts w:hint="eastAsia" w:ascii="仿宋_GB2312" w:hAnsi="仿宋_GB2312" w:eastAsia="仿宋_GB2312" w:cs="仿宋_GB2312"/>
          <w:sz w:val="32"/>
          <w:szCs w:val="32"/>
          <w:highlight w:val="none"/>
          <w:lang w:val="en-US" w:eastAsia="zh-CN"/>
        </w:rPr>
        <w:t>年12月31日前完成。</w:t>
      </w:r>
    </w:p>
    <w:p>
      <w:pPr>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2.投标人的项目进度管理应该遵循以下原则：</w:t>
      </w:r>
    </w:p>
    <w:p>
      <w:pPr>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（1）项目进度管理的依据是项目合同所约定的工期目标；</w:t>
      </w:r>
    </w:p>
    <w:p>
      <w:pPr>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（2）在确保项目质量和安全的原则下，控制项目进度。</w:t>
      </w:r>
    </w:p>
    <w:p>
      <w:pPr>
        <w:spacing w:line="360" w:lineRule="auto"/>
        <w:ind w:firstLine="480" w:firstLineChars="200"/>
        <w:rPr>
          <w:rFonts w:hint="eastAsia" w:ascii="宋体" w:hAnsi="宋体" w:eastAsia="宋体" w:cs="宋体"/>
          <w:sz w:val="24"/>
          <w:szCs w:val="24"/>
          <w:highlight w:val="none"/>
          <w:lang w:val="en-US" w:eastAsia="zh-CN"/>
        </w:rPr>
      </w:pPr>
    </w:p>
    <w:sectPr>
      <w:headerReference r:id="rId3" w:type="default"/>
      <w:footerReference r:id="rId4" w:type="default"/>
      <w:pgSz w:w="11907" w:h="16839"/>
      <w:pgMar w:top="1440" w:right="1474" w:bottom="1440" w:left="1587" w:header="850" w:footer="850" w:gutter="0"/>
      <w:pgBorders>
        <w:top w:val="none" w:sz="0" w:space="0"/>
        <w:left w:val="none" w:sz="0" w:space="0"/>
        <w:bottom w:val="none" w:sz="0" w:space="0"/>
        <w:right w:val="none" w:sz="0" w:space="0"/>
      </w:pgBorders>
      <w:pgNumType w:fmt="decimal" w:start="1"/>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01"/>
    <w:family w:val="auto"/>
    <w:pitch w:val="default"/>
    <w:sig w:usb0="00000000" w:usb1="00000000" w:usb2="00000009" w:usb3="00000000" w:csb0="400001FF" w:csb1="FFFF0000"/>
  </w:font>
  <w:font w:name="宋体">
    <w:altName w:val="方正书宋_GBK"/>
    <w:panose1 w:val="02010600030101010101"/>
    <w:charset w:val="7A"/>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Book Antiqua">
    <w:altName w:val="Noto Sans Syriac Eastern"/>
    <w:panose1 w:val="02040602050305030304"/>
    <w:charset w:val="00"/>
    <w:family w:val="auto"/>
    <w:pitch w:val="default"/>
    <w:sig w:usb0="00000000" w:usb1="00000000" w:usb2="00000000" w:usb3="00000000" w:csb0="2000009F" w:csb1="DFD70000"/>
  </w:font>
  <w:font w:name="Noto Sans Syriac Eastern">
    <w:panose1 w:val="02040503050306020203"/>
    <w:charset w:val="86"/>
    <w:family w:val="auto"/>
    <w:pitch w:val="default"/>
    <w:sig w:usb0="00000000" w:usb1="00000000" w:usb2="00000080" w:usb3="00000000" w:csb0="203E0161" w:csb1="D7FF0000"/>
  </w:font>
  <w:font w:name="方正黑体_GBK">
    <w:panose1 w:val="02000000000000000000"/>
    <w:charset w:val="86"/>
    <w:family w:val="auto"/>
    <w:pitch w:val="default"/>
    <w:sig w:usb0="00000001" w:usb1="08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微软雅黑">
    <w:altName w:val="方正黑体_GBK"/>
    <w:panose1 w:val="020B0503020204020204"/>
    <w:charset w:val="86"/>
    <w:family w:val="auto"/>
    <w:pitch w:val="default"/>
    <w:sig w:usb0="00000000" w:usb1="00000000" w:usb2="00000016" w:usb3="00000000" w:csb0="0004001F" w:csb1="00000000"/>
  </w:font>
  <w:font w:name="方正小标宋_GBK">
    <w:panose1 w:val="02000000000000000000"/>
    <w:charset w:val="86"/>
    <w:family w:val="auto"/>
    <w:pitch w:val="default"/>
    <w:sig w:usb0="00000001" w:usb1="08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 w:name="宋体-18030">
    <w:altName w:val="Droid Sans Fallback"/>
    <w:panose1 w:val="00000000000000000000"/>
    <w:charset w:val="86"/>
    <w:family w:val="modern"/>
    <w:pitch w:val="default"/>
    <w:sig w:usb0="00000000" w:usb1="00000000" w:usb2="000A005E" w:usb3="00000000" w:csb0="00040001" w:csb1="00000000"/>
  </w:font>
  <w:font w:name="Droid Sans Fallback">
    <w:panose1 w:val="020B0502000000000001"/>
    <w:charset w:val="86"/>
    <w:family w:val="auto"/>
    <w:pitch w:val="default"/>
    <w:sig w:usb0="910002FF" w:usb1="2BDFFCFB" w:usb2="00000036" w:usb3="00000000" w:csb0="203F01FF" w:csb1="D7FF0000"/>
  </w:font>
  <w:font w:name="Arial">
    <w:altName w:val="DejaVu Sans"/>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eastAsia"/>
                              <w:lang w:eastAsia="zh-CN"/>
                            </w:rPr>
                          </w:pPr>
                        </w:p>
                        <w:p>
                          <w:pPr>
                            <w:pStyle w:val="11"/>
                            <w:rPr>
                              <w:rFonts w:hint="eastAsia"/>
                              <w:lang w:eastAsia="zh-CN"/>
                            </w:rPr>
                          </w:pPr>
                        </w:p>
                        <w:p>
                          <w:pPr>
                            <w:pStyle w:val="11"/>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p>
                          <w:pPr>
                            <w:pStyle w:val="11"/>
                            <w:rPr>
                              <w:rFonts w:hint="eastAsia"/>
                              <w:lang w:eastAsia="zh-CN"/>
                            </w:rPr>
                          </w:pPr>
                        </w:p>
                        <w:p>
                          <w:pPr>
                            <w:pStyle w:val="11"/>
                            <w:rPr>
                              <w:rFonts w:hint="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JIJGtDECAABhBAAADgAAAAAAAAABACAAAAA1&#10;AQAAZHJzL2Uyb0RvYy54bWxQSwUGAAAAAAYABgBZAQAA2AUAAAAA&#10;">
              <v:fill on="f" focussize="0,0"/>
              <v:stroke on="f" weight="0.5pt"/>
              <v:imagedata o:title=""/>
              <o:lock v:ext="edit" aspectratio="f"/>
              <v:textbox inset="0mm,0mm,0mm,0mm" style="mso-fit-shape-to-text:t;">
                <w:txbxContent>
                  <w:p>
                    <w:pPr>
                      <w:pStyle w:val="11"/>
                      <w:rPr>
                        <w:rFonts w:hint="eastAsia"/>
                        <w:lang w:eastAsia="zh-CN"/>
                      </w:rPr>
                    </w:pPr>
                  </w:p>
                  <w:p>
                    <w:pPr>
                      <w:pStyle w:val="11"/>
                      <w:rPr>
                        <w:rFonts w:hint="eastAsia"/>
                        <w:lang w:eastAsia="zh-CN"/>
                      </w:rPr>
                    </w:pPr>
                  </w:p>
                  <w:p>
                    <w:pPr>
                      <w:pStyle w:val="11"/>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p>
                    <w:pPr>
                      <w:pStyle w:val="11"/>
                      <w:rPr>
                        <w:rFonts w:hint="eastAsia"/>
                        <w:lang w:eastAsia="zh-CN"/>
                      </w:rPr>
                    </w:pPr>
                  </w:p>
                  <w:p>
                    <w:pPr>
                      <w:pStyle w:val="11"/>
                      <w:rPr>
                        <w:rFonts w:hint="eastAsia"/>
                        <w:lang w:eastAsia="zh-CN"/>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column">
                <wp:posOffset>-15240</wp:posOffset>
              </wp:positionH>
              <wp:positionV relativeFrom="paragraph">
                <wp:posOffset>113665</wp:posOffset>
              </wp:positionV>
              <wp:extent cx="5292090" cy="0"/>
              <wp:effectExtent l="0" t="0" r="0" b="0"/>
              <wp:wrapNone/>
              <wp:docPr id="57" name="自选图形 15"/>
              <wp:cNvGraphicFramePr/>
              <a:graphic xmlns:a="http://schemas.openxmlformats.org/drawingml/2006/main">
                <a:graphicData uri="http://schemas.microsoft.com/office/word/2010/wordprocessingShape">
                  <wps:wsp>
                    <wps:cNvCnPr/>
                    <wps:spPr>
                      <a:xfrm>
                        <a:off x="0" y="0"/>
                        <a:ext cx="5292090" cy="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自选图形 15" o:spid="_x0000_s1026" o:spt="32" type="#_x0000_t32" style="position:absolute;left:0pt;margin-left:-1.2pt;margin-top:8.95pt;height:0pt;width:416.7pt;z-index:251659264;mso-width-relative:page;mso-height-relative:page;" filled="f" stroked="t" coordsize="21600,21600" o:gfxdata="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FgAAAGRycy9QSwECFAAUAAAACACHTuJAS3e4ENYAAAAIAQAADwAAAAAAAAABACAAAAA4&#10;AAAAZHJzL2Rvd25yZXYueG1sUEsBAhQAFAAAAAgAh07iQIIBI0f2AQAA5QMAAA4AAAAAAAAAAQAg&#10;AAAAOwEAAGRycy9lMm9Eb2MueG1sUEsFBgAAAAAGAAYAWQEAAKMFAAAAAA==&#10;">
              <v:fill on="f" focussize="0,0"/>
              <v:stroke color="#000000" joinstyle="round"/>
              <v:imagedata o:title=""/>
              <o:lock v:ext="edit" aspectratio="f"/>
            </v:shape>
          </w:pict>
        </mc:Fallback>
      </mc:AlternateContent>
    </w:r>
  </w:p>
  <w:p>
    <w:pPr>
      <w:pStyle w:val="11"/>
      <w:jc w:val="both"/>
      <w:rPr>
        <w:rFonts w:hint="eastAsia"/>
      </w:rPr>
    </w:pPr>
    <w:r>
      <w:rPr>
        <w:rFonts w:hint="eastAsia" w:ascii="宋体" w:hAnsi="宋体"/>
        <w:sz w:val="21"/>
        <w:szCs w:val="21"/>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numPr>
        <w:ilvl w:val="0"/>
        <w:numId w:val="0"/>
      </w:numPr>
      <w:pBdr>
        <w:bottom w:val="single" w:color="auto" w:sz="4" w:space="0"/>
      </w:pBdr>
      <w:wordWrap w:val="0"/>
      <w:jc w:val="right"/>
      <w:rPr>
        <w:rFonts w:hint="eastAsia" w:eastAsia="宋体-18030"/>
        <w:sz w:val="21"/>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CD006EA"/>
    <w:multiLevelType w:val="multilevel"/>
    <w:tmpl w:val="1CD006EA"/>
    <w:lvl w:ilvl="0" w:tentative="0">
      <w:start w:val="1"/>
      <w:numFmt w:val="decimal"/>
      <w:pStyle w:val="4"/>
      <w:lvlText w:val="%1"/>
      <w:lvlJc w:val="left"/>
      <w:pPr>
        <w:tabs>
          <w:tab w:val="left" w:pos="425"/>
        </w:tabs>
        <w:ind w:left="425" w:hanging="425"/>
      </w:pPr>
      <w:rPr>
        <w:rFonts w:hint="default" w:ascii="Book Antiqua" w:hAnsi="Book Antiqua"/>
      </w:rPr>
    </w:lvl>
    <w:lvl w:ilvl="1" w:tentative="0">
      <w:start w:val="1"/>
      <w:numFmt w:val="decimal"/>
      <w:pStyle w:val="5"/>
      <w:lvlText w:val="%1.%2"/>
      <w:lvlJc w:val="left"/>
      <w:pPr>
        <w:tabs>
          <w:tab w:val="left" w:pos="567"/>
        </w:tabs>
        <w:ind w:left="567" w:hanging="567"/>
      </w:pPr>
      <w:rPr>
        <w:rFonts w:hint="default" w:ascii="Book Antiqua" w:hAnsi="Book Antiqua"/>
        <w:color w:val="auto"/>
      </w:rPr>
    </w:lvl>
    <w:lvl w:ilvl="2" w:tentative="0">
      <w:start w:val="1"/>
      <w:numFmt w:val="decimal"/>
      <w:pStyle w:val="6"/>
      <w:lvlText w:val="%1.%2.%3"/>
      <w:lvlJc w:val="left"/>
      <w:pPr>
        <w:tabs>
          <w:tab w:val="left" w:pos="1699"/>
        </w:tabs>
        <w:ind w:left="1699" w:hanging="709"/>
      </w:pPr>
      <w:rPr>
        <w:rFonts w:hint="default" w:ascii="Book Antiqua" w:hAnsi="Book Antiqua"/>
      </w:rPr>
    </w:lvl>
    <w:lvl w:ilvl="3" w:tentative="0">
      <w:start w:val="1"/>
      <w:numFmt w:val="decimal"/>
      <w:pStyle w:val="7"/>
      <w:lvlText w:val="%1.%2.%3.%4"/>
      <w:lvlJc w:val="left"/>
      <w:pPr>
        <w:tabs>
          <w:tab w:val="left" w:pos="851"/>
        </w:tabs>
        <w:ind w:left="851" w:hanging="851"/>
      </w:pPr>
      <w:rPr>
        <w:rFonts w:hint="default" w:ascii="Book Antiqua" w:hAnsi="Book Antiqua"/>
        <w:color w:val="auto"/>
      </w:r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rPr>
        <w:rFonts w:hint="eastAsia"/>
        <w:b/>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
    <w:nsid w:val="6CEA2025"/>
    <w:multiLevelType w:val="multilevel"/>
    <w:tmpl w:val="6CEA2025"/>
    <w:lvl w:ilvl="0" w:tentative="0">
      <w:start w:val="1"/>
      <w:numFmt w:val="none"/>
      <w:suff w:val="nothing"/>
      <w:lvlText w:val="%1"/>
      <w:lvlJc w:val="left"/>
      <w:pPr>
        <w:ind w:left="0" w:firstLine="0"/>
      </w:pPr>
      <w:rPr>
        <w:rFonts w:hint="default" w:ascii="Times New Roman" w:hAnsi="Times New Roman"/>
        <w:b/>
        <w:i w:val="0"/>
        <w:sz w:val="21"/>
      </w:rPr>
    </w:lvl>
    <w:lvl w:ilvl="1" w:tentative="0">
      <w:start w:val="1"/>
      <w:numFmt w:val="decimal"/>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pStyle w:val="12"/>
      <w:suff w:val="nothing"/>
      <w:lvlText w:val="%1%2.%3.%4.%5.%6.%7　"/>
      <w:lvlJc w:val="left"/>
      <w:pPr>
        <w:ind w:left="3119"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CC45901"/>
    <w:rsid w:val="00A5260B"/>
    <w:rsid w:val="017424F2"/>
    <w:rsid w:val="01B42DDA"/>
    <w:rsid w:val="025715C2"/>
    <w:rsid w:val="0277794C"/>
    <w:rsid w:val="05B943F0"/>
    <w:rsid w:val="05E41AF8"/>
    <w:rsid w:val="062D43AF"/>
    <w:rsid w:val="06813E39"/>
    <w:rsid w:val="07033909"/>
    <w:rsid w:val="07A50719"/>
    <w:rsid w:val="08110086"/>
    <w:rsid w:val="0A1A36A0"/>
    <w:rsid w:val="0AB52E69"/>
    <w:rsid w:val="0C1B5C13"/>
    <w:rsid w:val="0C817312"/>
    <w:rsid w:val="0CC45901"/>
    <w:rsid w:val="0E045199"/>
    <w:rsid w:val="0F964AAE"/>
    <w:rsid w:val="11CF2D47"/>
    <w:rsid w:val="1446643B"/>
    <w:rsid w:val="149E7662"/>
    <w:rsid w:val="150269E8"/>
    <w:rsid w:val="16036CA5"/>
    <w:rsid w:val="1694429A"/>
    <w:rsid w:val="16CD5BE6"/>
    <w:rsid w:val="17C06FDB"/>
    <w:rsid w:val="19667271"/>
    <w:rsid w:val="19FC5530"/>
    <w:rsid w:val="1AF96C54"/>
    <w:rsid w:val="1B022829"/>
    <w:rsid w:val="1B3F6E41"/>
    <w:rsid w:val="1BC2741A"/>
    <w:rsid w:val="1BC36177"/>
    <w:rsid w:val="1E0D155D"/>
    <w:rsid w:val="1E797B36"/>
    <w:rsid w:val="1EB1426A"/>
    <w:rsid w:val="1FEEB6A3"/>
    <w:rsid w:val="20053897"/>
    <w:rsid w:val="20AF5310"/>
    <w:rsid w:val="20B555A3"/>
    <w:rsid w:val="217A5C5D"/>
    <w:rsid w:val="22D401B1"/>
    <w:rsid w:val="24400708"/>
    <w:rsid w:val="250E05A3"/>
    <w:rsid w:val="268F78DF"/>
    <w:rsid w:val="279216D6"/>
    <w:rsid w:val="279A4C07"/>
    <w:rsid w:val="28C93356"/>
    <w:rsid w:val="28DE0127"/>
    <w:rsid w:val="2919115F"/>
    <w:rsid w:val="2D990460"/>
    <w:rsid w:val="2DA73EF2"/>
    <w:rsid w:val="2DCDB91E"/>
    <w:rsid w:val="2F3078D7"/>
    <w:rsid w:val="2F3B17F2"/>
    <w:rsid w:val="306C65DF"/>
    <w:rsid w:val="313E5D03"/>
    <w:rsid w:val="32E70681"/>
    <w:rsid w:val="346703E8"/>
    <w:rsid w:val="355F671C"/>
    <w:rsid w:val="35EFF08A"/>
    <w:rsid w:val="36FE0747"/>
    <w:rsid w:val="37DA5B0E"/>
    <w:rsid w:val="38B13611"/>
    <w:rsid w:val="38B92017"/>
    <w:rsid w:val="3A104852"/>
    <w:rsid w:val="3A825A8A"/>
    <w:rsid w:val="3B4A7A51"/>
    <w:rsid w:val="3B981612"/>
    <w:rsid w:val="3CE31E53"/>
    <w:rsid w:val="3D1B504E"/>
    <w:rsid w:val="3E6DA9D5"/>
    <w:rsid w:val="3EBC4E7A"/>
    <w:rsid w:val="3F9A3C85"/>
    <w:rsid w:val="3FEFA127"/>
    <w:rsid w:val="3FFFF561"/>
    <w:rsid w:val="43EB7FFB"/>
    <w:rsid w:val="463B09EA"/>
    <w:rsid w:val="49566CE0"/>
    <w:rsid w:val="4B813FE9"/>
    <w:rsid w:val="4EB130C5"/>
    <w:rsid w:val="4F522031"/>
    <w:rsid w:val="4FA4335E"/>
    <w:rsid w:val="4FF4CA11"/>
    <w:rsid w:val="512F4018"/>
    <w:rsid w:val="5155194C"/>
    <w:rsid w:val="53067251"/>
    <w:rsid w:val="53363C28"/>
    <w:rsid w:val="53645CDE"/>
    <w:rsid w:val="544F66BB"/>
    <w:rsid w:val="552E2DE7"/>
    <w:rsid w:val="5682571F"/>
    <w:rsid w:val="57520786"/>
    <w:rsid w:val="577CC3D1"/>
    <w:rsid w:val="57ABEB23"/>
    <w:rsid w:val="58623249"/>
    <w:rsid w:val="58626111"/>
    <w:rsid w:val="5911172D"/>
    <w:rsid w:val="5B331FD5"/>
    <w:rsid w:val="5B7F4158"/>
    <w:rsid w:val="5C8000FD"/>
    <w:rsid w:val="5C9BCC7A"/>
    <w:rsid w:val="5CA31609"/>
    <w:rsid w:val="5CF21489"/>
    <w:rsid w:val="5D3178B1"/>
    <w:rsid w:val="5D7BD18A"/>
    <w:rsid w:val="5DB0137F"/>
    <w:rsid w:val="5DDB786C"/>
    <w:rsid w:val="5F0103B3"/>
    <w:rsid w:val="5F695C89"/>
    <w:rsid w:val="5FE71E07"/>
    <w:rsid w:val="5FF77069"/>
    <w:rsid w:val="5FFFC4A2"/>
    <w:rsid w:val="60276554"/>
    <w:rsid w:val="6133503E"/>
    <w:rsid w:val="625C7CF2"/>
    <w:rsid w:val="63466B32"/>
    <w:rsid w:val="63A30D60"/>
    <w:rsid w:val="63E30CF1"/>
    <w:rsid w:val="662047A4"/>
    <w:rsid w:val="668869C6"/>
    <w:rsid w:val="674F2F0C"/>
    <w:rsid w:val="67E552F0"/>
    <w:rsid w:val="68833577"/>
    <w:rsid w:val="69434640"/>
    <w:rsid w:val="694D4F50"/>
    <w:rsid w:val="6962026F"/>
    <w:rsid w:val="69DF18C5"/>
    <w:rsid w:val="6AA81420"/>
    <w:rsid w:val="6DFE7024"/>
    <w:rsid w:val="6E573DE3"/>
    <w:rsid w:val="6FFE5CA2"/>
    <w:rsid w:val="700B1AE0"/>
    <w:rsid w:val="70A858BC"/>
    <w:rsid w:val="726A16B0"/>
    <w:rsid w:val="726F4F19"/>
    <w:rsid w:val="73337D8F"/>
    <w:rsid w:val="75118E2C"/>
    <w:rsid w:val="758A7EE3"/>
    <w:rsid w:val="7671BCE3"/>
    <w:rsid w:val="7675F09C"/>
    <w:rsid w:val="76C021E7"/>
    <w:rsid w:val="76D27DF6"/>
    <w:rsid w:val="76F01F2A"/>
    <w:rsid w:val="778D20C9"/>
    <w:rsid w:val="77B024A1"/>
    <w:rsid w:val="77BF9D25"/>
    <w:rsid w:val="784E426F"/>
    <w:rsid w:val="788835EF"/>
    <w:rsid w:val="78C86137"/>
    <w:rsid w:val="7A232B70"/>
    <w:rsid w:val="7B5384BC"/>
    <w:rsid w:val="7B545653"/>
    <w:rsid w:val="7B7556AD"/>
    <w:rsid w:val="7B7FEEDE"/>
    <w:rsid w:val="7B9B67ED"/>
    <w:rsid w:val="7BF95E70"/>
    <w:rsid w:val="7D67CBCA"/>
    <w:rsid w:val="7D6BF7C7"/>
    <w:rsid w:val="7D77BAC6"/>
    <w:rsid w:val="7D780020"/>
    <w:rsid w:val="7DFB9D11"/>
    <w:rsid w:val="7E7FE078"/>
    <w:rsid w:val="7E8C763C"/>
    <w:rsid w:val="7EFB22FA"/>
    <w:rsid w:val="7EFB41CE"/>
    <w:rsid w:val="7F9153BF"/>
    <w:rsid w:val="7FF51814"/>
    <w:rsid w:val="87DC5C97"/>
    <w:rsid w:val="8BD512F7"/>
    <w:rsid w:val="97D735A6"/>
    <w:rsid w:val="9FAFF1CF"/>
    <w:rsid w:val="9FFF3A9A"/>
    <w:rsid w:val="AE0570E8"/>
    <w:rsid w:val="AF7CA966"/>
    <w:rsid w:val="AFB34319"/>
    <w:rsid w:val="AFEFBFBF"/>
    <w:rsid w:val="AFEFD3B6"/>
    <w:rsid w:val="B7BB255A"/>
    <w:rsid w:val="BDFCFCAC"/>
    <w:rsid w:val="BDFF876A"/>
    <w:rsid w:val="BE0D2736"/>
    <w:rsid w:val="BE6F86F9"/>
    <w:rsid w:val="BF7EDAD5"/>
    <w:rsid w:val="C2EC1EAA"/>
    <w:rsid w:val="D37784B6"/>
    <w:rsid w:val="D42D5737"/>
    <w:rsid w:val="D5DF52A8"/>
    <w:rsid w:val="D7F12618"/>
    <w:rsid w:val="DAFE9E72"/>
    <w:rsid w:val="DE6799EA"/>
    <w:rsid w:val="DE7725A6"/>
    <w:rsid w:val="DF73BAA0"/>
    <w:rsid w:val="DFA65AD5"/>
    <w:rsid w:val="DFEB1EFC"/>
    <w:rsid w:val="E66B253B"/>
    <w:rsid w:val="E7F3C4BA"/>
    <w:rsid w:val="E9F6250D"/>
    <w:rsid w:val="EBB31483"/>
    <w:rsid w:val="ECAB7526"/>
    <w:rsid w:val="ECEEF77F"/>
    <w:rsid w:val="EFBE464C"/>
    <w:rsid w:val="EFFFAE87"/>
    <w:rsid w:val="F5FE806D"/>
    <w:rsid w:val="F6F3455C"/>
    <w:rsid w:val="F77F1AD4"/>
    <w:rsid w:val="F77FA7D7"/>
    <w:rsid w:val="F9BF8E7A"/>
    <w:rsid w:val="FA7D8EF7"/>
    <w:rsid w:val="FBEFE52B"/>
    <w:rsid w:val="FBF587D8"/>
    <w:rsid w:val="FBFB538B"/>
    <w:rsid w:val="FBFD7896"/>
    <w:rsid w:val="FDFF29DB"/>
    <w:rsid w:val="FE7F099D"/>
    <w:rsid w:val="FEE9C066"/>
    <w:rsid w:val="FF77DF8F"/>
    <w:rsid w:val="FF9B1676"/>
    <w:rsid w:val="FFBB1F9E"/>
    <w:rsid w:val="FFCEF6CB"/>
    <w:rsid w:val="FFDDB021"/>
    <w:rsid w:val="FFFD04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pageBreakBefore/>
      <w:numPr>
        <w:ilvl w:val="0"/>
        <w:numId w:val="1"/>
      </w:numPr>
      <w:spacing w:line="440" w:lineRule="exact"/>
      <w:outlineLvl w:val="0"/>
    </w:pPr>
    <w:rPr>
      <w:rFonts w:ascii="Arial" w:hAnsi="Arial" w:eastAsia="宋体" w:cs="Times New Roman"/>
      <w:b/>
      <w:bCs/>
      <w:kern w:val="44"/>
      <w:sz w:val="32"/>
      <w:szCs w:val="36"/>
    </w:rPr>
  </w:style>
  <w:style w:type="paragraph" w:styleId="5">
    <w:name w:val="heading 2"/>
    <w:basedOn w:val="1"/>
    <w:next w:val="1"/>
    <w:semiHidden/>
    <w:unhideWhenUsed/>
    <w:qFormat/>
    <w:uiPriority w:val="0"/>
    <w:pPr>
      <w:keepNext/>
      <w:keepLines/>
      <w:numPr>
        <w:ilvl w:val="1"/>
        <w:numId w:val="1"/>
      </w:numPr>
      <w:spacing w:before="260" w:beforeLines="0" w:beforeAutospacing="0" w:after="260" w:afterLines="0" w:afterAutospacing="0" w:line="413" w:lineRule="auto"/>
      <w:ind w:left="567" w:hanging="567"/>
      <w:outlineLvl w:val="1"/>
    </w:pPr>
    <w:rPr>
      <w:rFonts w:ascii="Arial" w:hAnsi="Arial" w:eastAsia="黑体"/>
      <w:b/>
      <w:sz w:val="32"/>
    </w:rPr>
  </w:style>
  <w:style w:type="paragraph" w:styleId="6">
    <w:name w:val="heading 3"/>
    <w:basedOn w:val="1"/>
    <w:next w:val="1"/>
    <w:semiHidden/>
    <w:unhideWhenUsed/>
    <w:qFormat/>
    <w:uiPriority w:val="0"/>
    <w:pPr>
      <w:keepNext/>
      <w:keepLines/>
      <w:numPr>
        <w:ilvl w:val="2"/>
        <w:numId w:val="1"/>
      </w:numPr>
      <w:spacing w:before="260" w:beforeLines="0" w:beforeAutospacing="0" w:after="260" w:afterLines="0" w:afterAutospacing="0" w:line="413" w:lineRule="auto"/>
      <w:ind w:left="1699" w:hanging="709"/>
      <w:outlineLvl w:val="2"/>
    </w:pPr>
    <w:rPr>
      <w:b/>
      <w:sz w:val="32"/>
    </w:rPr>
  </w:style>
  <w:style w:type="paragraph" w:styleId="7">
    <w:name w:val="heading 4"/>
    <w:basedOn w:val="1"/>
    <w:next w:val="1"/>
    <w:semiHidden/>
    <w:unhideWhenUsed/>
    <w:qFormat/>
    <w:uiPriority w:val="0"/>
    <w:pPr>
      <w:keepNext/>
      <w:keepLines/>
      <w:numPr>
        <w:ilvl w:val="3"/>
        <w:numId w:val="1"/>
      </w:numPr>
      <w:spacing w:before="280" w:beforeLines="0" w:beforeAutospacing="0" w:after="290" w:afterLines="0" w:afterAutospacing="0" w:line="372" w:lineRule="auto"/>
      <w:ind w:left="851" w:hanging="851"/>
      <w:outlineLvl w:val="3"/>
    </w:pPr>
    <w:rPr>
      <w:rFonts w:ascii="Arial" w:hAnsi="Arial" w:eastAsia="黑体"/>
      <w:b/>
      <w:sz w:val="28"/>
    </w:r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99"/>
    <w:pPr>
      <w:pBdr>
        <w:top w:val="none" w:color="auto" w:sz="0" w:space="0"/>
        <w:left w:val="none" w:color="auto" w:sz="0" w:space="0"/>
        <w:bottom w:val="none" w:color="auto" w:sz="0" w:space="0"/>
        <w:right w:val="none" w:color="auto" w:sz="0" w:space="0"/>
        <w:between w:val="none" w:color="auto" w:sz="0" w:space="0"/>
      </w:pBdr>
      <w:spacing w:after="120"/>
      <w:jc w:val="both"/>
    </w:pPr>
    <w:rPr>
      <w:lang w:val="en-US" w:eastAsia="zh-CN"/>
    </w:rPr>
  </w:style>
  <w:style w:type="paragraph" w:styleId="3">
    <w:name w:val="Title"/>
    <w:basedOn w:val="1"/>
    <w:next w:val="1"/>
    <w:qFormat/>
    <w:uiPriority w:val="1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8">
    <w:name w:val="annotation text"/>
    <w:basedOn w:val="1"/>
    <w:qFormat/>
    <w:uiPriority w:val="0"/>
    <w:pPr>
      <w:jc w:val="left"/>
    </w:pPr>
  </w:style>
  <w:style w:type="paragraph" w:styleId="9">
    <w:name w:val="Body Text Indent"/>
    <w:basedOn w:val="1"/>
    <w:qFormat/>
    <w:uiPriority w:val="0"/>
    <w:pPr>
      <w:spacing w:after="120"/>
      <w:ind w:left="420" w:leftChars="200"/>
    </w:pPr>
    <w:rPr>
      <w:lang w:val="zh-CN" w:eastAsia="zh-CN"/>
    </w:rPr>
  </w:style>
  <w:style w:type="paragraph" w:styleId="10">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1">
    <w:name w:val="footer"/>
    <w:basedOn w:val="1"/>
    <w:qFormat/>
    <w:uiPriority w:val="0"/>
    <w:pPr>
      <w:tabs>
        <w:tab w:val="center" w:pos="4153"/>
        <w:tab w:val="right" w:pos="8306"/>
      </w:tabs>
      <w:snapToGrid w:val="0"/>
      <w:jc w:val="left"/>
    </w:pPr>
    <w:rPr>
      <w:sz w:val="18"/>
      <w:szCs w:val="18"/>
    </w:rPr>
  </w:style>
  <w:style w:type="paragraph" w:styleId="12">
    <w:name w:val="header"/>
    <w:basedOn w:val="1"/>
    <w:qFormat/>
    <w:uiPriority w:val="0"/>
    <w:pPr>
      <w:numPr>
        <w:ilvl w:val="6"/>
        <w:numId w:val="2"/>
      </w:numPr>
      <w:pBdr>
        <w:bottom w:val="single" w:color="auto" w:sz="6" w:space="1"/>
      </w:pBdr>
      <w:tabs>
        <w:tab w:val="center" w:pos="4153"/>
        <w:tab w:val="right" w:pos="8306"/>
      </w:tabs>
      <w:snapToGrid w:val="0"/>
      <w:jc w:val="center"/>
    </w:pPr>
    <w:rPr>
      <w:sz w:val="18"/>
      <w:szCs w:val="18"/>
    </w:rPr>
  </w:style>
  <w:style w:type="paragraph" w:styleId="13">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4">
    <w:name w:val="Body Text First Indent 2"/>
    <w:basedOn w:val="9"/>
    <w:qFormat/>
    <w:uiPriority w:val="0"/>
    <w:pPr>
      <w:ind w:firstLine="420" w:firstLineChars="200"/>
    </w:p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8">
    <w:name w:val="正文1"/>
    <w:basedOn w:val="1"/>
    <w:next w:val="1"/>
    <w:qFormat/>
    <w:uiPriority w:val="99"/>
    <w:pPr>
      <w:spacing w:beforeLines="100" w:line="360" w:lineRule="auto"/>
      <w:ind w:right="-1052" w:rightChars="-501" w:firstLine="140"/>
    </w:pPr>
    <w:rPr>
      <w:rFonts w:ascii="仿宋_GB2312" w:hAnsi="宋体" w:eastAsia="仿宋_GB2312"/>
      <w:color w:val="FF0000"/>
      <w:sz w:val="28"/>
      <w:szCs w:val="28"/>
    </w:rPr>
  </w:style>
  <w:style w:type="paragraph" w:customStyle="1" w:styleId="19">
    <w:name w:val="Default"/>
    <w:qFormat/>
    <w:uiPriority w:val="0"/>
    <w:pPr>
      <w:widowControl w:val="0"/>
      <w:autoSpaceDE w:val="0"/>
      <w:autoSpaceDN w:val="0"/>
      <w:adjustRightInd w:val="0"/>
    </w:pPr>
    <w:rPr>
      <w:rFonts w:ascii="微软雅黑" w:hAnsi="Calibri" w:eastAsia="微软雅黑" w:cs="微软雅黑"/>
      <w:color w:val="000000"/>
      <w:sz w:val="24"/>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1908</Words>
  <Characters>1995</Characters>
  <Lines>0</Lines>
  <Paragraphs>0</Paragraphs>
  <TotalTime>49</TotalTime>
  <ScaleCrop>false</ScaleCrop>
  <LinksUpToDate>false</LinksUpToDate>
  <CharactersWithSpaces>2001</CharactersWithSpaces>
  <Application>WPS Office_11.8.2.12313_F1E327BC-269C-435d-A152-05C5408002CA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2023-12-08T10:15:00Z</dcterms:created>
  <dc:creator>Administrator</dc:creator>
  <cp:lastModifiedBy>caiyu</cp:lastModifiedBy>
  <dcterms:modified xsi:type="dcterms:W3CDTF">2025-11-13T11:03:44Z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2052-11.8.2.12313</vt:lpwstr>
  </property>
  <property fmtid="{D5CDD505-2E9C-101B-9397-08002B2CF9AE}" pid="3" name="ICV">
    <vt:lpwstr>4419ABDE7D56464CA07C37ED432A6CE3_13</vt:lpwstr>
  </property>
  <property fmtid="{D5CDD505-2E9C-101B-9397-08002B2CF9AE}" pid="4" name="KSOTemplateDocerSaveRecord">
    <vt:lpwstr>eyJoZGlkIjoiZjlhOWE0MmNjMGZiMmI5MDljZjU1MGZmYjU3NDI1ZDIiLCJ1c2VySWQiOiIzNDM4Njk0MjkifQ==</vt:lpwstr>
  </property>
</Properties>
</file>