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44"/>
          <w:szCs w:val="44"/>
          <w:lang w:val="en-US" w:eastAsia="zh-CN"/>
        </w:rPr>
      </w:pPr>
      <w:r>
        <w:rPr>
          <w:rFonts w:hint="eastAsia"/>
          <w:b/>
          <w:bCs/>
          <w:sz w:val="44"/>
          <w:szCs w:val="44"/>
          <w:lang w:val="en-US" w:eastAsia="zh-CN"/>
        </w:rPr>
        <w:t>拉力试验资质证书办理的技术服务</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44"/>
          <w:szCs w:val="44"/>
          <w:lang w:val="en-US" w:eastAsia="zh-CN"/>
        </w:rPr>
      </w:pPr>
      <w:r>
        <w:rPr>
          <w:rFonts w:hint="eastAsia"/>
          <w:b/>
          <w:bCs/>
          <w:sz w:val="44"/>
          <w:szCs w:val="44"/>
          <w:lang w:val="en-US" w:eastAsia="zh-CN"/>
        </w:rPr>
        <w:t>技术规范书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r>
        <w:rPr>
          <w:rFonts w:hint="eastAsia"/>
          <w:sz w:val="28"/>
          <w:szCs w:val="28"/>
          <w:lang w:val="en-US" w:eastAsia="zh-CN"/>
        </w:rPr>
        <w:t>为积极推动本公司申请检验检测机构资质认定工作，本次申请项目涵盖电力金具机具拉力试验、电力安全工器具力学试验、电压互感器、电流互感器、电力用油以及安全工器具电气试验等。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eastAsiaTheme="minorEastAsia"/>
          <w:lang w:eastAsia="zh-CN"/>
        </w:rPr>
      </w:pPr>
      <w:r>
        <w:rPr>
          <w:rFonts w:hint="eastAsia"/>
          <w:sz w:val="28"/>
          <w:szCs w:val="28"/>
          <w:lang w:val="en-US" w:eastAsia="zh-CN"/>
        </w:rPr>
        <w:t xml:space="preserve"> </w:t>
      </w:r>
      <w:r>
        <w:rPr>
          <w:rFonts w:hint="default"/>
          <w:sz w:val="28"/>
          <w:szCs w:val="28"/>
          <w:lang w:val="en-US" w:eastAsia="zh-CN"/>
        </w:rPr>
        <w:t>根据《检验检测机构资质认定管理办法》等国家相关规定，</w:t>
      </w:r>
      <w:r>
        <w:rPr>
          <w:rFonts w:hint="eastAsia"/>
          <w:sz w:val="28"/>
          <w:szCs w:val="28"/>
          <w:lang w:val="en-US" w:eastAsia="zh-CN"/>
        </w:rPr>
        <w:t>本</w:t>
      </w:r>
      <w:r>
        <w:rPr>
          <w:rFonts w:hint="default"/>
          <w:sz w:val="28"/>
          <w:szCs w:val="28"/>
          <w:lang w:val="en-US" w:eastAsia="zh-CN"/>
        </w:rPr>
        <w:t>拉力试验室试验项目需依托调试公司现有检验检测资质进行扩项办理。</w:t>
      </w:r>
      <w:r>
        <w:rPr>
          <w:rFonts w:hint="eastAsia"/>
          <w:sz w:val="28"/>
          <w:szCs w:val="28"/>
          <w:lang w:val="en-US" w:eastAsia="zh-CN"/>
        </w:rPr>
        <w:t>为确保资质扩项工作顺利推进、符合规范要求，获得拉力试验检测资质认定证书，现专业机构提供的资质证书办理技术服务。此项技术服务将涵盖从前期咨询、材料准备、申报指导到现场评审迎检的全过程，旨在确保公司顺利通过市场监管管理部门组织的检验检测机构资质认定（CMA）评审，取得包含拉力试验项目的法定检测资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eastAsiaTheme="minorEastAsia"/>
          <w:lang w:eastAsia="zh-CN"/>
        </w:rPr>
      </w:pPr>
      <w:r>
        <w:rPr>
          <w:rFonts w:hint="eastAsia"/>
          <w:sz w:val="28"/>
          <w:szCs w:val="28"/>
          <w:lang w:val="en-US" w:eastAsia="zh-CN"/>
        </w:rPr>
        <w:t>本次资质认定工作内容繁杂，各项准备工作在实施过程中都会产生相应费用，主要包括资料费、专家咨询费、采购检测标准费、杂费等，费用说明。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eastAsiaTheme="minorEastAsia"/>
          <w:lang w:eastAsia="zh-CN"/>
        </w:rPr>
      </w:pPr>
      <w:r>
        <w:rPr>
          <w:rFonts w:hint="eastAsia"/>
          <w:sz w:val="28"/>
          <w:szCs w:val="28"/>
          <w:lang w:val="en-US" w:eastAsia="zh-CN"/>
        </w:rPr>
        <w:t>资料费：用于建立管理体系资料，例如程序文件、质量手册、作业指导书、记录管理手册、技术记录等资料的制作。</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eastAsiaTheme="minorEastAsia"/>
          <w:lang w:eastAsia="zh-CN"/>
        </w:rPr>
      </w:pPr>
      <w:r>
        <w:rPr>
          <w:rFonts w:hint="eastAsia"/>
          <w:sz w:val="28"/>
          <w:szCs w:val="28"/>
          <w:lang w:val="en-US" w:eastAsia="zh-CN"/>
        </w:rPr>
        <w:t>专家咨询费：涵盖管理体系资料的指导、申报资质认定材料的指导、技术指导以及实验室体系实践管理工作的指导等方面。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eastAsiaTheme="minorEastAsia"/>
          <w:lang w:eastAsia="zh-CN"/>
        </w:rPr>
      </w:pPr>
      <w:r>
        <w:rPr>
          <w:rFonts w:hint="eastAsia"/>
          <w:sz w:val="28"/>
          <w:szCs w:val="28"/>
          <w:lang w:val="en-US" w:eastAsia="zh-CN"/>
        </w:rPr>
        <w:t>采购检测标准费：申报试验项目所使用的检测标准均需购买正版原件。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r>
        <w:rPr>
          <w:rFonts w:hint="eastAsia"/>
          <w:sz w:val="28"/>
          <w:szCs w:val="28"/>
          <w:lang w:val="en-US" w:eastAsia="zh-CN"/>
        </w:rPr>
        <w:t>杂费：诸如标签定制、警示标识定制、资料打印、资料复印、饮用水、交通和其他一些琐碎的零星费用。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sz w:val="28"/>
          <w:szCs w:val="28"/>
          <w:lang w:val="en-US" w:eastAsia="zh-CN"/>
        </w:rPr>
      </w:pPr>
      <w:r>
        <w:rPr>
          <w:rFonts w:hint="eastAsia"/>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lang w:val="en-US" w:eastAsia="zh-CN"/>
        </w:rPr>
      </w:pPr>
      <w:r>
        <w:rPr>
          <w:rFonts w:hint="eastAsia"/>
          <w:sz w:val="28"/>
          <w:szCs w:val="28"/>
          <w:lang w:val="en-US" w:eastAsia="zh-CN"/>
        </w:rPr>
        <w:t>附本次资质认定试验项目申请表：</w:t>
      </w:r>
    </w:p>
    <w:tbl>
      <w:tblPr>
        <w:tblStyle w:val="4"/>
        <w:tblW w:w="10500" w:type="dxa"/>
        <w:jc w:val="center"/>
        <w:tblLayout w:type="fixed"/>
        <w:tblCellMar>
          <w:top w:w="0" w:type="dxa"/>
          <w:left w:w="108" w:type="dxa"/>
          <w:bottom w:w="0" w:type="dxa"/>
          <w:right w:w="108" w:type="dxa"/>
        </w:tblCellMar>
      </w:tblPr>
      <w:tblGrid>
        <w:gridCol w:w="591"/>
        <w:gridCol w:w="1102"/>
        <w:gridCol w:w="593"/>
        <w:gridCol w:w="1376"/>
        <w:gridCol w:w="5113"/>
        <w:gridCol w:w="1014"/>
        <w:gridCol w:w="711"/>
      </w:tblGrid>
      <w:tr>
        <w:tblPrEx>
          <w:tblCellMar>
            <w:top w:w="0" w:type="dxa"/>
            <w:left w:w="108" w:type="dxa"/>
            <w:bottom w:w="0" w:type="dxa"/>
            <w:right w:w="108" w:type="dxa"/>
          </w:tblCellMar>
        </w:tblPrEx>
        <w:trPr>
          <w:cantSplit/>
          <w:trHeight w:val="495"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atLeast"/>
              <w:ind w:right="-2" w:rightChars="-1"/>
              <w:jc w:val="center"/>
              <w:rPr>
                <w:rFonts w:ascii="宋体" w:hAnsi="宋体"/>
                <w:spacing w:val="20"/>
                <w:szCs w:val="21"/>
              </w:rPr>
            </w:pPr>
            <w:r>
              <w:rPr>
                <w:rFonts w:hint="eastAsia" w:ascii="宋体" w:hAnsi="宋体"/>
                <w:spacing w:val="20"/>
                <w:szCs w:val="21"/>
              </w:rPr>
              <w:t>序号</w:t>
            </w:r>
          </w:p>
        </w:tc>
        <w:tc>
          <w:tcPr>
            <w:tcW w:w="1102" w:type="dxa"/>
            <w:vMerge w:val="restart"/>
            <w:tcBorders>
              <w:top w:val="single" w:color="auto" w:sz="4" w:space="0"/>
              <w:left w:val="nil"/>
              <w:bottom w:val="single" w:color="auto" w:sz="4" w:space="0"/>
              <w:right w:val="single" w:color="auto" w:sz="4" w:space="0"/>
            </w:tcBorders>
            <w:noWrap w:val="0"/>
            <w:vAlign w:val="center"/>
          </w:tcPr>
          <w:p>
            <w:pPr>
              <w:spacing w:line="240" w:lineRule="atLeast"/>
              <w:jc w:val="center"/>
              <w:rPr>
                <w:rFonts w:ascii="宋体" w:hAnsi="宋体"/>
                <w:spacing w:val="20"/>
                <w:szCs w:val="21"/>
              </w:rPr>
            </w:pPr>
            <w:r>
              <w:rPr>
                <w:rFonts w:hint="eastAsia" w:ascii="宋体" w:hAnsi="宋体"/>
                <w:szCs w:val="21"/>
              </w:rPr>
              <w:t xml:space="preserve">类别(产品/项目/参数) </w:t>
            </w:r>
          </w:p>
        </w:tc>
        <w:tc>
          <w:tcPr>
            <w:tcW w:w="1969" w:type="dxa"/>
            <w:gridSpan w:val="2"/>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zCs w:val="21"/>
              </w:rPr>
              <w:t>产品/项目/参数</w:t>
            </w:r>
          </w:p>
        </w:tc>
        <w:tc>
          <w:tcPr>
            <w:tcW w:w="5113" w:type="dxa"/>
            <w:vMerge w:val="restart"/>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zCs w:val="21"/>
              </w:rPr>
            </w:pPr>
            <w:r>
              <w:rPr>
                <w:rFonts w:hint="eastAsia" w:ascii="宋体" w:hAnsi="宋体"/>
                <w:szCs w:val="21"/>
              </w:rPr>
              <w:t>依据的标准（方法）名称</w:t>
            </w:r>
          </w:p>
          <w:p>
            <w:pPr>
              <w:widowControl/>
              <w:spacing w:line="240" w:lineRule="atLeast"/>
              <w:jc w:val="center"/>
              <w:rPr>
                <w:rFonts w:ascii="宋体" w:hAnsi="宋体"/>
                <w:szCs w:val="21"/>
              </w:rPr>
            </w:pPr>
            <w:r>
              <w:rPr>
                <w:rFonts w:hint="eastAsia" w:ascii="宋体" w:hAnsi="宋体"/>
                <w:szCs w:val="21"/>
              </w:rPr>
              <w:t>及编号（含年号）</w:t>
            </w:r>
          </w:p>
        </w:tc>
        <w:tc>
          <w:tcPr>
            <w:tcW w:w="1014" w:type="dxa"/>
            <w:vMerge w:val="restart"/>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hint="eastAsia" w:ascii="宋体" w:hAnsi="宋体"/>
                <w:spacing w:val="20"/>
                <w:szCs w:val="21"/>
              </w:rPr>
            </w:pPr>
            <w:r>
              <w:rPr>
                <w:rFonts w:hint="eastAsia" w:ascii="宋体" w:hAnsi="宋体"/>
                <w:spacing w:val="20"/>
                <w:szCs w:val="21"/>
              </w:rPr>
              <w:t>限制</w:t>
            </w:r>
          </w:p>
          <w:p>
            <w:pPr>
              <w:widowControl/>
              <w:spacing w:line="240" w:lineRule="atLeast"/>
              <w:jc w:val="center"/>
              <w:rPr>
                <w:rFonts w:ascii="宋体" w:hAnsi="宋体"/>
                <w:spacing w:val="20"/>
                <w:szCs w:val="21"/>
              </w:rPr>
            </w:pPr>
            <w:r>
              <w:rPr>
                <w:rFonts w:hint="eastAsia" w:ascii="宋体" w:hAnsi="宋体"/>
                <w:spacing w:val="20"/>
                <w:szCs w:val="21"/>
              </w:rPr>
              <w:t>范围</w:t>
            </w:r>
          </w:p>
          <w:p>
            <w:pPr>
              <w:widowControl/>
              <w:spacing w:line="240" w:lineRule="atLeast"/>
              <w:jc w:val="center"/>
              <w:rPr>
                <w:rFonts w:ascii="宋体" w:hAnsi="宋体"/>
                <w:szCs w:val="21"/>
              </w:rPr>
            </w:pPr>
          </w:p>
        </w:tc>
        <w:tc>
          <w:tcPr>
            <w:tcW w:w="711" w:type="dxa"/>
            <w:vMerge w:val="restart"/>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pacing w:val="20"/>
                <w:szCs w:val="21"/>
              </w:rPr>
              <w:t>说明</w:t>
            </w:r>
          </w:p>
        </w:tc>
      </w:tr>
      <w:tr>
        <w:tblPrEx>
          <w:tblCellMar>
            <w:top w:w="0" w:type="dxa"/>
            <w:left w:w="108" w:type="dxa"/>
            <w:bottom w:w="0" w:type="dxa"/>
            <w:right w:w="108" w:type="dxa"/>
          </w:tblCellMar>
        </w:tblPrEx>
        <w:trPr>
          <w:cantSplit/>
          <w:trHeight w:val="495"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spacing w:val="20"/>
                <w:szCs w:val="21"/>
              </w:rPr>
            </w:pPr>
          </w:p>
        </w:tc>
        <w:tc>
          <w:tcPr>
            <w:tcW w:w="1102"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pacing w:val="20"/>
                <w:szCs w:val="21"/>
              </w:rPr>
            </w:pPr>
          </w:p>
        </w:tc>
        <w:tc>
          <w:tcPr>
            <w:tcW w:w="593" w:type="dxa"/>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pacing w:val="20"/>
                <w:szCs w:val="21"/>
              </w:rPr>
              <w:t>序号</w:t>
            </w:r>
          </w:p>
        </w:tc>
        <w:tc>
          <w:tcPr>
            <w:tcW w:w="1376" w:type="dxa"/>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pacing w:val="20"/>
                <w:szCs w:val="21"/>
              </w:rPr>
              <w:t>项目名称</w:t>
            </w:r>
          </w:p>
        </w:tc>
        <w:tc>
          <w:tcPr>
            <w:tcW w:w="5113"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zCs w:val="21"/>
              </w:rPr>
            </w:pPr>
          </w:p>
        </w:tc>
        <w:tc>
          <w:tcPr>
            <w:tcW w:w="1014"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zCs w:val="21"/>
              </w:rPr>
            </w:pPr>
          </w:p>
        </w:tc>
        <w:tc>
          <w:tcPr>
            <w:tcW w:w="711"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pacing w:val="20"/>
                <w:szCs w:val="21"/>
              </w:rPr>
            </w:pPr>
          </w:p>
        </w:tc>
      </w:tr>
      <w:tr>
        <w:tblPrEx>
          <w:tblCellMar>
            <w:top w:w="0" w:type="dxa"/>
            <w:left w:w="108" w:type="dxa"/>
            <w:bottom w:w="0" w:type="dxa"/>
            <w:right w:w="108" w:type="dxa"/>
          </w:tblCellMar>
        </w:tblPrEx>
        <w:trPr>
          <w:cantSplit/>
          <w:trHeight w:val="495" w:hRule="atLeast"/>
          <w:jc w:val="center"/>
        </w:trPr>
        <w:tc>
          <w:tcPr>
            <w:tcW w:w="591"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spacing w:val="20"/>
                <w:szCs w:val="21"/>
                <w:lang w:val="en-US" w:eastAsia="zh-CN"/>
              </w:rPr>
            </w:pPr>
            <w:r>
              <w:rPr>
                <w:rFonts w:hint="eastAsia" w:ascii="宋体" w:hAnsi="宋体"/>
                <w:spacing w:val="20"/>
                <w:szCs w:val="21"/>
                <w:lang w:val="en-US" w:eastAsia="zh-CN"/>
              </w:rPr>
              <w:t>一</w:t>
            </w:r>
          </w:p>
        </w:tc>
        <w:tc>
          <w:tcPr>
            <w:tcW w:w="9909" w:type="dxa"/>
            <w:gridSpan w:val="6"/>
            <w:tcBorders>
              <w:top w:val="single" w:color="auto" w:sz="4" w:space="0"/>
              <w:left w:val="nil"/>
              <w:bottom w:val="single" w:color="auto" w:sz="4" w:space="0"/>
              <w:right w:val="single" w:color="auto" w:sz="4" w:space="0"/>
            </w:tcBorders>
            <w:noWrap w:val="0"/>
            <w:vAlign w:val="center"/>
          </w:tcPr>
          <w:p>
            <w:pPr>
              <w:widowControl/>
              <w:jc w:val="center"/>
              <w:rPr>
                <w:rFonts w:ascii="宋体" w:hAnsi="宋体"/>
                <w:spacing w:val="20"/>
                <w:szCs w:val="21"/>
              </w:rPr>
            </w:pPr>
            <w:r>
              <w:rPr>
                <w:rFonts w:hint="eastAsia" w:ascii="宋体" w:hAnsi="宋体" w:eastAsia="宋体" w:cs="Times New Roman"/>
                <w:sz w:val="24"/>
                <w:szCs w:val="24"/>
                <w:lang w:val="en-US" w:eastAsia="zh-CN"/>
              </w:rPr>
              <w:t>拉力试验</w:t>
            </w:r>
          </w:p>
        </w:tc>
      </w:tr>
      <w:tr>
        <w:tblPrEx>
          <w:tblCellMar>
            <w:top w:w="0" w:type="dxa"/>
            <w:left w:w="108" w:type="dxa"/>
            <w:bottom w:w="0" w:type="dxa"/>
            <w:right w:w="108" w:type="dxa"/>
          </w:tblCellMar>
        </w:tblPrEx>
        <w:trPr>
          <w:cantSplit/>
          <w:trHeight w:val="2801" w:hRule="atLeast"/>
          <w:jc w:val="center"/>
        </w:trPr>
        <w:tc>
          <w:tcPr>
            <w:tcW w:w="591" w:type="dxa"/>
            <w:vMerge w:val="restart"/>
            <w:tcBorders>
              <w:top w:val="nil"/>
              <w:left w:val="single" w:color="auto" w:sz="4" w:space="0"/>
              <w:bottom w:val="single" w:color="auto" w:sz="4" w:space="0"/>
              <w:right w:val="single" w:color="auto" w:sz="4" w:space="0"/>
            </w:tcBorders>
            <w:noWrap w:val="0"/>
            <w:vAlign w:val="center"/>
          </w:tcPr>
          <w:p>
            <w:pPr>
              <w:widowControl/>
              <w:snapToGrid w:val="0"/>
              <w:spacing w:before="100" w:beforeAutospacing="1" w:after="100" w:afterAutospacing="1"/>
              <w:rPr>
                <w:rFonts w:ascii="宋体" w:hAnsi="宋体"/>
                <w:szCs w:val="21"/>
              </w:rPr>
            </w:pPr>
            <w:r>
              <w:rPr>
                <w:rFonts w:hint="eastAsia" w:ascii="宋体" w:hAnsi="宋体"/>
                <w:szCs w:val="21"/>
              </w:rPr>
              <w:t>1</w:t>
            </w:r>
          </w:p>
        </w:tc>
        <w:tc>
          <w:tcPr>
            <w:tcW w:w="1102" w:type="dxa"/>
            <w:vMerge w:val="restart"/>
            <w:tcBorders>
              <w:top w:val="nil"/>
              <w:left w:val="nil"/>
              <w:bottom w:val="single" w:color="auto" w:sz="4" w:space="0"/>
              <w:right w:val="single" w:color="auto" w:sz="4" w:space="0"/>
            </w:tcBorders>
            <w:noWrap w:val="0"/>
            <w:vAlign w:val="center"/>
          </w:tcPr>
          <w:p>
            <w:pPr>
              <w:widowControl/>
              <w:snapToGrid w:val="0"/>
              <w:spacing w:before="100" w:beforeAutospacing="1" w:after="100" w:afterAutospacing="1"/>
              <w:rPr>
                <w:rFonts w:ascii="宋体" w:hAnsi="宋体"/>
                <w:szCs w:val="21"/>
              </w:rPr>
            </w:pPr>
            <w:r>
              <w:rPr>
                <w:rFonts w:hint="eastAsia" w:ascii="宋体" w:hAnsi="宋体"/>
                <w:szCs w:val="21"/>
              </w:rPr>
              <w:t>电力金具、机具拉力试验</w:t>
            </w:r>
          </w:p>
        </w:tc>
        <w:tc>
          <w:tcPr>
            <w:tcW w:w="59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ascii="宋体" w:hAnsi="宋体"/>
                <w:szCs w:val="21"/>
              </w:rPr>
            </w:pPr>
            <w:r>
              <w:rPr>
                <w:rFonts w:hint="eastAsia" w:ascii="宋体" w:hAnsi="宋体"/>
                <w:szCs w:val="21"/>
              </w:rPr>
              <w:t>1.1</w:t>
            </w:r>
          </w:p>
        </w:tc>
        <w:tc>
          <w:tcPr>
            <w:tcW w:w="1376" w:type="dxa"/>
            <w:tcBorders>
              <w:top w:val="single" w:color="auto" w:sz="4" w:space="0"/>
              <w:left w:val="nil"/>
              <w:bottom w:val="single" w:color="auto" w:sz="4" w:space="0"/>
              <w:right w:val="single" w:color="auto" w:sz="4" w:space="0"/>
            </w:tcBorders>
            <w:noWrap w:val="0"/>
            <w:vAlign w:val="center"/>
          </w:tcPr>
          <w:p>
            <w:pPr>
              <w:jc w:val="left"/>
              <w:rPr>
                <w:rFonts w:ascii="宋体" w:hAnsi="宋体"/>
                <w:szCs w:val="21"/>
              </w:rPr>
            </w:pPr>
            <w:r>
              <w:rPr>
                <w:rFonts w:hint="eastAsia" w:ascii="宋体" w:hAnsi="宋体"/>
                <w:spacing w:val="22"/>
                <w:szCs w:val="21"/>
              </w:rPr>
              <w:t>圆线同心绞架空导线</w:t>
            </w:r>
            <w:r>
              <w:rPr>
                <w:rFonts w:hint="eastAsia" w:ascii="宋体" w:hAnsi="宋体"/>
                <w:szCs w:val="21"/>
              </w:rPr>
              <w:t>拉力试验</w:t>
            </w:r>
          </w:p>
        </w:tc>
        <w:tc>
          <w:tcPr>
            <w:tcW w:w="5113" w:type="dxa"/>
            <w:tcBorders>
              <w:top w:val="single" w:color="auto" w:sz="4" w:space="0"/>
              <w:left w:val="nil"/>
              <w:bottom w:val="single" w:color="auto" w:sz="4" w:space="0"/>
              <w:right w:val="single" w:color="auto" w:sz="4" w:space="0"/>
            </w:tcBorders>
            <w:noWrap w:val="0"/>
            <w:vAlign w:val="top"/>
          </w:tcPr>
          <w:p>
            <w:pPr>
              <w:rPr>
                <w:rFonts w:ascii="宋体" w:hAnsi="宋体"/>
                <w:spacing w:val="22"/>
                <w:szCs w:val="21"/>
              </w:rPr>
            </w:pPr>
            <w:r>
              <w:rPr>
                <w:rFonts w:hint="eastAsia" w:ascii="宋体" w:hAnsi="宋体"/>
                <w:spacing w:val="22"/>
                <w:szCs w:val="21"/>
              </w:rPr>
              <w:t>《圆线同心绞架空导线》</w:t>
            </w:r>
            <w:bookmarkStart w:id="0" w:name="OLE_LINK6"/>
            <w:r>
              <w:rPr>
                <w:rFonts w:hint="eastAsia" w:ascii="宋体" w:hAnsi="宋体"/>
                <w:spacing w:val="22"/>
                <w:szCs w:val="21"/>
              </w:rPr>
              <w:t>GB/T1179</w:t>
            </w:r>
            <w:bookmarkEnd w:id="0"/>
            <w:r>
              <w:rPr>
                <w:rFonts w:hint="eastAsia" w:ascii="宋体" w:hAnsi="宋体"/>
                <w:spacing w:val="22"/>
                <w:szCs w:val="21"/>
              </w:rPr>
              <w:t>-2017</w:t>
            </w:r>
          </w:p>
          <w:p>
            <w:pPr>
              <w:rPr>
                <w:rFonts w:hint="eastAsia" w:ascii="宋体" w:hAnsi="宋体"/>
                <w:spacing w:val="22"/>
                <w:szCs w:val="21"/>
              </w:rPr>
            </w:pPr>
            <w:r>
              <w:rPr>
                <w:rFonts w:hint="eastAsia" w:ascii="宋体" w:hAnsi="宋体"/>
                <w:spacing w:val="22"/>
                <w:szCs w:val="21"/>
              </w:rPr>
              <w:t>《110～750KV架空输电线路施工及验收规范》</w:t>
            </w:r>
            <w:bookmarkStart w:id="1" w:name="OLE_LINK9"/>
            <w:r>
              <w:rPr>
                <w:rFonts w:hint="eastAsia" w:ascii="宋体" w:hAnsi="宋体"/>
                <w:spacing w:val="22"/>
                <w:szCs w:val="21"/>
              </w:rPr>
              <w:t>GB50233</w:t>
            </w:r>
            <w:bookmarkEnd w:id="1"/>
            <w:r>
              <w:rPr>
                <w:rFonts w:hint="eastAsia" w:ascii="宋体" w:hAnsi="宋体"/>
                <w:spacing w:val="22"/>
                <w:szCs w:val="21"/>
              </w:rPr>
              <w:t>-2014</w:t>
            </w:r>
          </w:p>
          <w:p>
            <w:pPr>
              <w:rPr>
                <w:rFonts w:hint="eastAsia" w:ascii="宋体" w:hAnsi="宋体"/>
                <w:spacing w:val="22"/>
                <w:szCs w:val="21"/>
              </w:rPr>
            </w:pPr>
            <w:r>
              <w:rPr>
                <w:rFonts w:hint="eastAsia" w:ascii="宋体" w:hAnsi="宋体"/>
                <w:spacing w:val="22"/>
                <w:szCs w:val="21"/>
              </w:rPr>
              <w:t>《±800kV及以下直流架空输电线路工程施工及验收规程》</w:t>
            </w:r>
            <w:bookmarkStart w:id="2" w:name="OLE_LINK10"/>
            <w:r>
              <w:rPr>
                <w:rFonts w:hint="eastAsia" w:ascii="宋体" w:hAnsi="宋体"/>
                <w:spacing w:val="22"/>
                <w:szCs w:val="21"/>
              </w:rPr>
              <w:t>DL/T5235</w:t>
            </w:r>
            <w:bookmarkEnd w:id="2"/>
            <w:r>
              <w:rPr>
                <w:rFonts w:hint="eastAsia" w:ascii="宋体" w:hAnsi="宋体"/>
                <w:spacing w:val="22"/>
                <w:szCs w:val="21"/>
              </w:rPr>
              <w:t>-2010</w:t>
            </w:r>
          </w:p>
          <w:p>
            <w:pPr>
              <w:rPr>
                <w:rFonts w:hint="eastAsia" w:ascii="宋体" w:hAnsi="宋体"/>
                <w:spacing w:val="22"/>
                <w:szCs w:val="21"/>
              </w:rPr>
            </w:pPr>
            <w:r>
              <w:rPr>
                <w:rFonts w:hint="eastAsia" w:ascii="宋体" w:hAnsi="宋体"/>
                <w:spacing w:val="22"/>
                <w:szCs w:val="21"/>
              </w:rPr>
              <w:t>《输变电工程架空导线( 800mm</w:t>
            </w:r>
            <w:r>
              <w:rPr>
                <w:rFonts w:hint="eastAsia" w:ascii="宋体" w:hAnsi="宋体"/>
                <w:spacing w:val="22"/>
                <w:szCs w:val="21"/>
                <w:vertAlign w:val="superscript"/>
              </w:rPr>
              <w:t>2</w:t>
            </w:r>
            <w:r>
              <w:rPr>
                <w:rFonts w:hint="eastAsia" w:ascii="宋体" w:hAnsi="宋体"/>
                <w:spacing w:val="22"/>
                <w:szCs w:val="21"/>
              </w:rPr>
              <w:t>以下)及地线液压压接工艺规程》DL/T5285-2018</w:t>
            </w:r>
          </w:p>
          <w:p>
            <w:pPr>
              <w:rPr>
                <w:rFonts w:hint="eastAsia" w:ascii="宋体" w:hAnsi="宋体"/>
                <w:spacing w:val="22"/>
                <w:szCs w:val="21"/>
              </w:rPr>
            </w:pPr>
            <w:r>
              <w:rPr>
                <w:rFonts w:hint="eastAsia" w:ascii="宋体" w:hAnsi="宋体"/>
                <w:spacing w:val="22"/>
                <w:szCs w:val="21"/>
              </w:rPr>
              <w:t>《电力金具通用技术条件》</w:t>
            </w:r>
            <w:bookmarkStart w:id="3" w:name="OLE_LINK12"/>
            <w:r>
              <w:rPr>
                <w:rFonts w:hint="eastAsia" w:ascii="宋体" w:hAnsi="宋体"/>
                <w:spacing w:val="22"/>
                <w:szCs w:val="21"/>
              </w:rPr>
              <w:t>GB/T2314</w:t>
            </w:r>
            <w:bookmarkEnd w:id="3"/>
            <w:r>
              <w:rPr>
                <w:rFonts w:hint="eastAsia" w:ascii="宋体" w:hAnsi="宋体"/>
                <w:spacing w:val="22"/>
                <w:szCs w:val="21"/>
              </w:rPr>
              <w:t>-2008</w:t>
            </w:r>
          </w:p>
          <w:p>
            <w:pPr>
              <w:rPr>
                <w:rFonts w:hint="eastAsia" w:ascii="宋体" w:hAnsi="宋体"/>
                <w:spacing w:val="22"/>
                <w:szCs w:val="21"/>
              </w:rPr>
            </w:pPr>
            <w:r>
              <w:rPr>
                <w:rFonts w:hint="eastAsia" w:ascii="宋体" w:hAnsi="宋体"/>
                <w:spacing w:val="22"/>
                <w:szCs w:val="21"/>
              </w:rPr>
              <w:t>《电力金具试验方法第1部分：机械试验》GB/T2317.1-2008</w:t>
            </w:r>
          </w:p>
        </w:tc>
        <w:tc>
          <w:tcPr>
            <w:tcW w:w="1014"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240" w:lineRule="exact"/>
              <w:jc w:val="center"/>
              <w:rPr>
                <w:rFonts w:ascii="宋体" w:hAnsi="宋体"/>
                <w:kern w:val="0"/>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500)kN</w:t>
            </w:r>
          </w:p>
        </w:tc>
        <w:tc>
          <w:tcPr>
            <w:tcW w:w="711"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680" w:hRule="atLeast"/>
          <w:jc w:val="center"/>
        </w:trPr>
        <w:tc>
          <w:tcPr>
            <w:tcW w:w="591" w:type="dxa"/>
            <w:vMerge w:val="continue"/>
            <w:tcBorders>
              <w:left w:val="single" w:color="auto" w:sz="4" w:space="0"/>
              <w:right w:val="single" w:color="auto" w:sz="4" w:space="0"/>
            </w:tcBorders>
            <w:noWrap w:val="0"/>
            <w:vAlign w:val="top"/>
          </w:tcPr>
          <w:p>
            <w:pPr>
              <w:widowControl/>
              <w:snapToGrid w:val="0"/>
              <w:spacing w:before="100" w:beforeAutospacing="1" w:after="100" w:afterAutospacing="1"/>
              <w:rPr>
                <w:rFonts w:hint="eastAsia" w:ascii="宋体" w:hAnsi="宋体"/>
                <w:szCs w:val="21"/>
              </w:rPr>
            </w:pPr>
          </w:p>
        </w:tc>
        <w:tc>
          <w:tcPr>
            <w:tcW w:w="1102" w:type="dxa"/>
            <w:vMerge w:val="continue"/>
            <w:tcBorders>
              <w:left w:val="nil"/>
              <w:right w:val="single" w:color="auto" w:sz="4" w:space="0"/>
            </w:tcBorders>
            <w:noWrap w:val="0"/>
            <w:vAlign w:val="center"/>
          </w:tcPr>
          <w:p>
            <w:pPr>
              <w:widowControl/>
              <w:snapToGrid w:val="0"/>
              <w:spacing w:before="100" w:beforeAutospacing="1" w:after="100" w:afterAutospacing="1"/>
              <w:rPr>
                <w:rFonts w:hint="eastAsia" w:ascii="宋体" w:hAnsi="宋体"/>
                <w:szCs w:val="21"/>
              </w:rPr>
            </w:pPr>
          </w:p>
        </w:tc>
        <w:tc>
          <w:tcPr>
            <w:tcW w:w="59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szCs w:val="21"/>
              </w:rPr>
            </w:pPr>
            <w:r>
              <w:rPr>
                <w:rFonts w:hint="eastAsia" w:ascii="宋体" w:hAnsi="宋体"/>
                <w:szCs w:val="21"/>
              </w:rPr>
              <w:t>1.2</w:t>
            </w:r>
          </w:p>
        </w:tc>
        <w:tc>
          <w:tcPr>
            <w:tcW w:w="1376"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spacing w:val="22"/>
                <w:szCs w:val="21"/>
              </w:rPr>
            </w:pPr>
            <w:r>
              <w:rPr>
                <w:rFonts w:hint="eastAsia" w:ascii="宋体" w:hAnsi="宋体"/>
                <w:spacing w:val="22"/>
                <w:szCs w:val="21"/>
              </w:rPr>
              <w:t>电力金具拉力试验</w:t>
            </w:r>
          </w:p>
        </w:tc>
        <w:tc>
          <w:tcPr>
            <w:tcW w:w="5113" w:type="dxa"/>
            <w:tcBorders>
              <w:top w:val="single" w:color="auto" w:sz="4" w:space="0"/>
              <w:left w:val="nil"/>
              <w:bottom w:val="single" w:color="auto" w:sz="4" w:space="0"/>
              <w:right w:val="single" w:color="auto" w:sz="4" w:space="0"/>
            </w:tcBorders>
            <w:noWrap w:val="0"/>
            <w:vAlign w:val="top"/>
          </w:tcPr>
          <w:p>
            <w:pPr>
              <w:rPr>
                <w:rFonts w:hint="eastAsia" w:ascii="宋体" w:hAnsi="宋体"/>
                <w:spacing w:val="22"/>
                <w:szCs w:val="21"/>
              </w:rPr>
            </w:pPr>
            <w:r>
              <w:rPr>
                <w:rFonts w:hint="eastAsia" w:ascii="宋体" w:hAnsi="宋体"/>
                <w:spacing w:val="22"/>
                <w:szCs w:val="21"/>
              </w:rPr>
              <w:t>《圆线同心绞架空导线》GB/T1179-2017</w:t>
            </w:r>
          </w:p>
          <w:p>
            <w:pPr>
              <w:rPr>
                <w:rFonts w:hint="default" w:ascii="宋体" w:hAnsi="宋体" w:eastAsia="宋体"/>
                <w:spacing w:val="22"/>
                <w:szCs w:val="21"/>
                <w:highlight w:val="none"/>
                <w:lang w:val="en-US" w:eastAsia="zh-CN"/>
              </w:rPr>
            </w:pPr>
            <w:r>
              <w:rPr>
                <w:rFonts w:hint="eastAsia" w:ascii="宋体" w:hAnsi="宋体"/>
                <w:spacing w:val="22"/>
                <w:szCs w:val="21"/>
                <w:highlight w:val="none"/>
              </w:rPr>
              <w:t>《架空线路用预绞式金具技术条件》DL/T 763-20</w:t>
            </w:r>
            <w:r>
              <w:rPr>
                <w:rFonts w:hint="eastAsia" w:ascii="宋体" w:hAnsi="宋体"/>
                <w:spacing w:val="22"/>
                <w:szCs w:val="21"/>
                <w:highlight w:val="none"/>
                <w:lang w:val="en-US" w:eastAsia="zh-CN"/>
              </w:rPr>
              <w:t>24</w:t>
            </w:r>
          </w:p>
          <w:p>
            <w:pPr>
              <w:rPr>
                <w:rFonts w:hint="eastAsia" w:ascii="宋体" w:hAnsi="宋体"/>
                <w:spacing w:val="22"/>
                <w:szCs w:val="21"/>
              </w:rPr>
            </w:pPr>
            <w:r>
              <w:rPr>
                <w:rFonts w:hint="eastAsia" w:ascii="宋体" w:hAnsi="宋体"/>
                <w:spacing w:val="22"/>
                <w:szCs w:val="21"/>
              </w:rPr>
              <w:t>《电力金具通用技术条件》GB/T2314-2008《电力金具试验方法第1部分：机械试验》GB/T2317.1-2008</w:t>
            </w:r>
          </w:p>
        </w:tc>
        <w:tc>
          <w:tcPr>
            <w:tcW w:w="1014"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240" w:lineRule="exact"/>
              <w:jc w:val="center"/>
              <w:rPr>
                <w:rFonts w:hint="eastAsia" w:ascii="宋体" w:hAnsi="宋体"/>
                <w:kern w:val="0"/>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500)kN</w:t>
            </w:r>
          </w:p>
        </w:tc>
        <w:tc>
          <w:tcPr>
            <w:tcW w:w="711"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90" w:hRule="atLeast"/>
          <w:jc w:val="center"/>
        </w:trPr>
        <w:tc>
          <w:tcPr>
            <w:tcW w:w="591"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top w:val="nil"/>
              <w:left w:val="nil"/>
              <w:bottom w:val="single" w:color="auto" w:sz="4" w:space="0"/>
              <w:right w:val="single" w:color="auto" w:sz="4" w:space="0"/>
            </w:tcBorders>
            <w:noWrap w:val="0"/>
            <w:vAlign w:val="center"/>
          </w:tcPr>
          <w:p>
            <w:pPr>
              <w:widowControl/>
              <w:rPr>
                <w:rFonts w:ascii="宋体" w:hAnsi="宋体"/>
                <w:szCs w:val="21"/>
              </w:rPr>
            </w:pPr>
          </w:p>
        </w:tc>
        <w:tc>
          <w:tcPr>
            <w:tcW w:w="59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360" w:lineRule="auto"/>
              <w:rPr>
                <w:rFonts w:hint="eastAsia" w:ascii="宋体" w:hAnsi="宋体"/>
                <w:szCs w:val="21"/>
              </w:rPr>
            </w:pPr>
            <w:r>
              <w:rPr>
                <w:rFonts w:hint="eastAsia" w:ascii="宋体" w:hAnsi="宋体"/>
                <w:szCs w:val="21"/>
              </w:rPr>
              <w:t>1.3</w:t>
            </w:r>
          </w:p>
        </w:tc>
        <w:tc>
          <w:tcPr>
            <w:tcW w:w="1376" w:type="dxa"/>
            <w:tcBorders>
              <w:top w:val="single" w:color="auto" w:sz="4" w:space="0"/>
              <w:left w:val="nil"/>
              <w:bottom w:val="single" w:color="auto" w:sz="4" w:space="0"/>
              <w:right w:val="single" w:color="auto" w:sz="4" w:space="0"/>
            </w:tcBorders>
            <w:noWrap w:val="0"/>
            <w:vAlign w:val="center"/>
          </w:tcPr>
          <w:p>
            <w:pPr>
              <w:jc w:val="left"/>
              <w:rPr>
                <w:rFonts w:ascii="宋体" w:hAnsi="宋体"/>
                <w:szCs w:val="21"/>
              </w:rPr>
            </w:pPr>
            <w:r>
              <w:rPr>
                <w:rFonts w:hint="eastAsia" w:ascii="宋体" w:hAnsi="宋体"/>
                <w:szCs w:val="21"/>
              </w:rPr>
              <w:t>化纤绳拉力试验</w:t>
            </w:r>
          </w:p>
        </w:tc>
        <w:tc>
          <w:tcPr>
            <w:tcW w:w="5113" w:type="dxa"/>
            <w:tcBorders>
              <w:top w:val="single" w:color="auto" w:sz="4" w:space="0"/>
              <w:left w:val="nil"/>
              <w:bottom w:val="single" w:color="auto" w:sz="4" w:space="0"/>
              <w:right w:val="single" w:color="auto" w:sz="4" w:space="0"/>
            </w:tcBorders>
            <w:noWrap w:val="0"/>
            <w:vAlign w:val="top"/>
          </w:tcPr>
          <w:p>
            <w:pPr>
              <w:jc w:val="left"/>
              <w:rPr>
                <w:rFonts w:hint="eastAsia" w:ascii="宋体" w:hAnsi="宋体"/>
                <w:spacing w:val="22"/>
                <w:szCs w:val="21"/>
              </w:rPr>
            </w:pPr>
            <w:r>
              <w:rPr>
                <w:rFonts w:hint="eastAsia" w:ascii="宋体" w:hAnsi="宋体"/>
                <w:spacing w:val="22"/>
                <w:szCs w:val="21"/>
              </w:rPr>
              <w:t>《纤维绳索 有关物理和机械性能的测定》GBT 8834-2016</w:t>
            </w:r>
          </w:p>
          <w:p>
            <w:pPr>
              <w:jc w:val="left"/>
              <w:rPr>
                <w:rFonts w:hint="eastAsia" w:ascii="宋体" w:hAnsi="宋体"/>
                <w:spacing w:val="22"/>
                <w:szCs w:val="21"/>
              </w:rPr>
            </w:pPr>
            <w:r>
              <w:rPr>
                <w:rFonts w:hint="eastAsia" w:ascii="宋体" w:hAnsi="宋体"/>
                <w:sz w:val="24"/>
              </w:rPr>
              <w:t>《架空输电线路</w:t>
            </w:r>
            <w:r>
              <w:rPr>
                <w:rFonts w:hint="eastAsia" w:ascii="宋体" w:hAnsi="宋体"/>
                <w:sz w:val="20"/>
              </w:rPr>
              <w:t>施工用纤绳索》</w:t>
            </w:r>
            <w:r>
              <w:rPr>
                <w:rFonts w:hint="eastAsia" w:ascii="宋体" w:hAnsi="宋体"/>
                <w:sz w:val="24"/>
              </w:rPr>
              <w:t>DL/T 2537-2022</w:t>
            </w:r>
          </w:p>
          <w:p>
            <w:pPr>
              <w:rPr>
                <w:rFonts w:hint="eastAsia" w:ascii="宋体" w:hAnsi="宋体"/>
                <w:spacing w:val="22"/>
                <w:szCs w:val="21"/>
              </w:rPr>
            </w:pPr>
            <w:r>
              <w:rPr>
                <w:rFonts w:hint="eastAsia" w:ascii="宋体" w:hAnsi="宋体"/>
                <w:spacing w:val="22"/>
                <w:szCs w:val="21"/>
              </w:rPr>
              <w:t>《电力建设安全工作规程 第2部分电力线路》DL5009.2-2013</w:t>
            </w:r>
          </w:p>
          <w:p>
            <w:pPr>
              <w:rPr>
                <w:rFonts w:hint="eastAsia" w:ascii="宋体" w:hAnsi="宋体"/>
                <w:spacing w:val="22"/>
                <w:szCs w:val="21"/>
              </w:rPr>
            </w:pPr>
            <w:r>
              <w:rPr>
                <w:rFonts w:hint="eastAsia" w:ascii="宋体" w:hAnsi="宋体"/>
                <w:spacing w:val="22"/>
                <w:szCs w:val="21"/>
              </w:rPr>
              <w:t>《电力建设安全工作规程 第3部分：变电站》DL 5009.3-2013</w:t>
            </w:r>
          </w:p>
        </w:tc>
        <w:tc>
          <w:tcPr>
            <w:tcW w:w="1014"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240" w:lineRule="exact"/>
              <w:jc w:val="center"/>
              <w:rPr>
                <w:rFonts w:ascii="宋体" w:hAnsi="宋体"/>
                <w:kern w:val="0"/>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500)kN</w:t>
            </w:r>
          </w:p>
        </w:tc>
        <w:tc>
          <w:tcPr>
            <w:tcW w:w="711"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1593" w:hRule="atLeast"/>
          <w:jc w:val="center"/>
        </w:trPr>
        <w:tc>
          <w:tcPr>
            <w:tcW w:w="591"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top w:val="nil"/>
              <w:left w:val="nil"/>
              <w:bottom w:val="single" w:color="auto" w:sz="4" w:space="0"/>
              <w:right w:val="single" w:color="auto" w:sz="4" w:space="0"/>
            </w:tcBorders>
            <w:noWrap w:val="0"/>
            <w:vAlign w:val="center"/>
          </w:tcPr>
          <w:p>
            <w:pPr>
              <w:widowControl/>
              <w:rPr>
                <w:rFonts w:ascii="宋体" w:hAnsi="宋体"/>
                <w:szCs w:val="21"/>
              </w:rPr>
            </w:pPr>
          </w:p>
        </w:tc>
        <w:tc>
          <w:tcPr>
            <w:tcW w:w="59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360" w:lineRule="auto"/>
              <w:rPr>
                <w:rFonts w:hint="eastAsia" w:ascii="宋体" w:hAnsi="宋体"/>
                <w:szCs w:val="21"/>
              </w:rPr>
            </w:pPr>
            <w:r>
              <w:rPr>
                <w:rFonts w:hint="eastAsia" w:ascii="宋体" w:hAnsi="宋体"/>
                <w:szCs w:val="21"/>
              </w:rPr>
              <w:t>1.4</w:t>
            </w:r>
          </w:p>
        </w:tc>
        <w:tc>
          <w:tcPr>
            <w:tcW w:w="1376" w:type="dxa"/>
            <w:tcBorders>
              <w:top w:val="single" w:color="auto" w:sz="4" w:space="0"/>
              <w:left w:val="nil"/>
              <w:bottom w:val="single" w:color="auto" w:sz="4" w:space="0"/>
              <w:right w:val="single" w:color="auto" w:sz="4" w:space="0"/>
            </w:tcBorders>
            <w:noWrap w:val="0"/>
            <w:vAlign w:val="center"/>
          </w:tcPr>
          <w:p>
            <w:pPr>
              <w:jc w:val="left"/>
              <w:rPr>
                <w:rFonts w:ascii="宋体" w:hAnsi="宋体"/>
                <w:spacing w:val="22"/>
                <w:szCs w:val="21"/>
              </w:rPr>
            </w:pPr>
            <w:r>
              <w:rPr>
                <w:rFonts w:hint="eastAsia" w:ascii="宋体" w:hAnsi="宋体"/>
                <w:spacing w:val="22"/>
                <w:szCs w:val="21"/>
              </w:rPr>
              <w:t>钢丝绳拉力试验</w:t>
            </w:r>
          </w:p>
        </w:tc>
        <w:tc>
          <w:tcPr>
            <w:tcW w:w="5113" w:type="dxa"/>
            <w:tcBorders>
              <w:top w:val="single" w:color="auto" w:sz="4" w:space="0"/>
              <w:left w:val="nil"/>
              <w:bottom w:val="single" w:color="auto" w:sz="4" w:space="0"/>
              <w:right w:val="single" w:color="auto" w:sz="4" w:space="0"/>
            </w:tcBorders>
            <w:noWrap w:val="0"/>
            <w:vAlign w:val="top"/>
          </w:tcPr>
          <w:p>
            <w:pPr>
              <w:jc w:val="left"/>
              <w:rPr>
                <w:rFonts w:hint="eastAsia" w:ascii="宋体" w:hAnsi="宋体"/>
                <w:spacing w:val="22"/>
                <w:szCs w:val="21"/>
              </w:rPr>
            </w:pPr>
            <w:r>
              <w:rPr>
                <w:rFonts w:hint="eastAsia" w:ascii="宋体" w:hAnsi="宋体"/>
                <w:spacing w:val="22"/>
                <w:szCs w:val="21"/>
              </w:rPr>
              <w:t>《钢丝绳通用技术条件》GB/T 20118-2017</w:t>
            </w:r>
          </w:p>
          <w:p>
            <w:pPr>
              <w:jc w:val="left"/>
              <w:rPr>
                <w:rFonts w:hint="eastAsia" w:ascii="宋体" w:hAnsi="宋体"/>
                <w:spacing w:val="22"/>
                <w:szCs w:val="21"/>
              </w:rPr>
            </w:pPr>
            <w:r>
              <w:rPr>
                <w:rFonts w:hint="eastAsia" w:ascii="宋体" w:hAnsi="宋体"/>
                <w:spacing w:val="22"/>
                <w:szCs w:val="21"/>
              </w:rPr>
              <w:t>《钢丝绳吊索插编索扣》GB/T 16271-2009</w:t>
            </w:r>
          </w:p>
          <w:p>
            <w:pPr>
              <w:rPr>
                <w:rFonts w:hint="eastAsia" w:ascii="宋体" w:hAnsi="宋体"/>
                <w:spacing w:val="22"/>
                <w:szCs w:val="21"/>
              </w:rPr>
            </w:pPr>
            <w:r>
              <w:rPr>
                <w:rFonts w:hint="eastAsia" w:ascii="宋体" w:hAnsi="宋体"/>
                <w:spacing w:val="22"/>
                <w:szCs w:val="21"/>
              </w:rPr>
              <w:t>《钢丝绳铝合金压制接头》</w:t>
            </w:r>
            <w:bookmarkStart w:id="4" w:name="OLE_LINK11"/>
            <w:r>
              <w:rPr>
                <w:rFonts w:hint="eastAsia" w:ascii="宋体" w:hAnsi="宋体"/>
                <w:spacing w:val="22"/>
                <w:szCs w:val="21"/>
              </w:rPr>
              <w:t>GB/T 6946</w:t>
            </w:r>
            <w:bookmarkEnd w:id="4"/>
            <w:r>
              <w:rPr>
                <w:rFonts w:hint="eastAsia" w:ascii="宋体" w:hAnsi="宋体"/>
                <w:spacing w:val="22"/>
                <w:szCs w:val="21"/>
              </w:rPr>
              <w:t xml:space="preserve">-2008 </w:t>
            </w:r>
          </w:p>
          <w:p>
            <w:pPr>
              <w:jc w:val="left"/>
              <w:rPr>
                <w:rFonts w:hint="eastAsia" w:ascii="宋体" w:hAnsi="宋体"/>
                <w:spacing w:val="22"/>
                <w:szCs w:val="21"/>
              </w:rPr>
            </w:pPr>
            <w:r>
              <w:rPr>
                <w:rFonts w:hint="eastAsia" w:ascii="宋体" w:hAnsi="宋体"/>
                <w:spacing w:val="22"/>
                <w:szCs w:val="21"/>
              </w:rPr>
              <w:t>《电力建设安全工作规程 第2部分电力线路》DL5009.2-2013</w:t>
            </w:r>
          </w:p>
          <w:p>
            <w:pPr>
              <w:jc w:val="left"/>
              <w:rPr>
                <w:rFonts w:hint="eastAsia" w:ascii="宋体" w:hAnsi="宋体"/>
                <w:spacing w:val="22"/>
                <w:szCs w:val="21"/>
              </w:rPr>
            </w:pPr>
            <w:r>
              <w:rPr>
                <w:rFonts w:hint="eastAsia" w:ascii="宋体" w:hAnsi="宋体"/>
                <w:spacing w:val="22"/>
                <w:szCs w:val="21"/>
              </w:rPr>
              <w:t>《电力建设安全工作规程 第3部分：变电站》DL 5009.3-2013</w:t>
            </w:r>
          </w:p>
        </w:tc>
        <w:tc>
          <w:tcPr>
            <w:tcW w:w="1014"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240" w:lineRule="exact"/>
              <w:jc w:val="center"/>
              <w:rPr>
                <w:rFonts w:ascii="宋体" w:hAnsi="宋体"/>
                <w:kern w:val="0"/>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500)kN</w:t>
            </w:r>
          </w:p>
        </w:tc>
        <w:tc>
          <w:tcPr>
            <w:tcW w:w="711"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1249" w:hRule="atLeast"/>
          <w:jc w:val="center"/>
        </w:trPr>
        <w:tc>
          <w:tcPr>
            <w:tcW w:w="591"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top w:val="nil"/>
              <w:left w:val="nil"/>
              <w:bottom w:val="single" w:color="auto" w:sz="4" w:space="0"/>
              <w:right w:val="single" w:color="auto" w:sz="4" w:space="0"/>
            </w:tcBorders>
            <w:noWrap w:val="0"/>
            <w:vAlign w:val="center"/>
          </w:tcPr>
          <w:p>
            <w:pPr>
              <w:widowControl/>
              <w:jc w:val="left"/>
              <w:rPr>
                <w:rFonts w:ascii="宋体" w:hAnsi="宋体"/>
                <w:szCs w:val="21"/>
              </w:rPr>
            </w:pPr>
          </w:p>
        </w:tc>
        <w:tc>
          <w:tcPr>
            <w:tcW w:w="59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360" w:lineRule="auto"/>
              <w:rPr>
                <w:rFonts w:hint="eastAsia" w:ascii="宋体" w:hAnsi="宋体"/>
                <w:szCs w:val="21"/>
              </w:rPr>
            </w:pPr>
            <w:r>
              <w:rPr>
                <w:rFonts w:hint="eastAsia" w:ascii="宋体" w:hAnsi="宋体"/>
                <w:szCs w:val="21"/>
              </w:rPr>
              <w:t>1.5</w:t>
            </w:r>
          </w:p>
        </w:tc>
        <w:tc>
          <w:tcPr>
            <w:tcW w:w="1376" w:type="dxa"/>
            <w:tcBorders>
              <w:top w:val="single" w:color="auto" w:sz="4" w:space="0"/>
              <w:left w:val="nil"/>
              <w:bottom w:val="single" w:color="auto" w:sz="4" w:space="0"/>
              <w:right w:val="single" w:color="auto" w:sz="4" w:space="0"/>
            </w:tcBorders>
            <w:noWrap w:val="0"/>
            <w:vAlign w:val="center"/>
          </w:tcPr>
          <w:p>
            <w:pPr>
              <w:jc w:val="center"/>
              <w:rPr>
                <w:rFonts w:ascii="宋体" w:hAnsi="宋体"/>
                <w:spacing w:val="22"/>
                <w:szCs w:val="21"/>
              </w:rPr>
            </w:pPr>
            <w:r>
              <w:rPr>
                <w:rFonts w:hint="eastAsia" w:ascii="宋体" w:hAnsi="宋体"/>
                <w:spacing w:val="22"/>
                <w:szCs w:val="21"/>
              </w:rPr>
              <w:t>起重工具拉力试验</w:t>
            </w:r>
          </w:p>
        </w:tc>
        <w:tc>
          <w:tcPr>
            <w:tcW w:w="5113" w:type="dxa"/>
            <w:tcBorders>
              <w:top w:val="single" w:color="auto" w:sz="4" w:space="0"/>
              <w:left w:val="nil"/>
              <w:bottom w:val="single" w:color="auto" w:sz="4" w:space="0"/>
              <w:right w:val="single" w:color="auto" w:sz="4" w:space="0"/>
            </w:tcBorders>
            <w:noWrap w:val="0"/>
            <w:vAlign w:val="top"/>
          </w:tcPr>
          <w:p>
            <w:pPr>
              <w:rPr>
                <w:rFonts w:hint="eastAsia" w:ascii="宋体" w:hAnsi="宋体"/>
                <w:spacing w:val="22"/>
                <w:szCs w:val="21"/>
              </w:rPr>
            </w:pPr>
            <w:r>
              <w:rPr>
                <w:rFonts w:hint="eastAsia" w:ascii="宋体" w:hAnsi="宋体"/>
                <w:spacing w:val="22"/>
                <w:szCs w:val="21"/>
              </w:rPr>
              <w:t>《电力建设安全工作规程 第2部分电力线路》DL5009.2-2013</w:t>
            </w:r>
          </w:p>
          <w:p>
            <w:pPr>
              <w:jc w:val="left"/>
              <w:rPr>
                <w:rFonts w:hint="default" w:ascii="宋体" w:hAnsi="宋体" w:eastAsia="宋体"/>
                <w:spacing w:val="22"/>
                <w:szCs w:val="21"/>
                <w:lang w:val="en-US" w:eastAsia="zh-CN"/>
              </w:rPr>
            </w:pPr>
            <w:r>
              <w:rPr>
                <w:rFonts w:hint="eastAsia" w:ascii="宋体" w:hAnsi="宋体"/>
                <w:spacing w:val="22"/>
                <w:szCs w:val="21"/>
                <w:highlight w:val="none"/>
              </w:rPr>
              <w:t>《架空输电线路施工机具基本技术要求》DL/T 875-20</w:t>
            </w:r>
            <w:r>
              <w:rPr>
                <w:rFonts w:hint="eastAsia" w:ascii="宋体" w:hAnsi="宋体"/>
                <w:spacing w:val="22"/>
                <w:szCs w:val="21"/>
                <w:highlight w:val="none"/>
                <w:lang w:val="en-US" w:eastAsia="zh-CN"/>
              </w:rPr>
              <w:t>24</w:t>
            </w:r>
          </w:p>
        </w:tc>
        <w:tc>
          <w:tcPr>
            <w:tcW w:w="1014"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line="240" w:lineRule="exact"/>
              <w:jc w:val="center"/>
              <w:rPr>
                <w:rFonts w:ascii="宋体" w:hAnsi="宋体"/>
                <w:kern w:val="0"/>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500)kN</w:t>
            </w:r>
          </w:p>
        </w:tc>
        <w:tc>
          <w:tcPr>
            <w:tcW w:w="711"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bl>
    <w:p>
      <w:pPr>
        <w:spacing w:line="440" w:lineRule="exact"/>
        <w:jc w:val="both"/>
        <w:rPr>
          <w:rFonts w:eastAsia="仿宋"/>
          <w:sz w:val="18"/>
          <w:szCs w:val="32"/>
        </w:rPr>
      </w:pPr>
      <w:r>
        <w:rPr>
          <w:rFonts w:eastAsia="仿宋"/>
          <w:sz w:val="18"/>
          <w:szCs w:val="32"/>
        </w:rPr>
        <w:br w:type="page"/>
      </w:r>
    </w:p>
    <w:p>
      <w:pPr>
        <w:spacing w:line="440" w:lineRule="exact"/>
        <w:jc w:val="both"/>
        <w:rPr>
          <w:rFonts w:eastAsia="仿宋"/>
          <w:sz w:val="18"/>
          <w:szCs w:val="32"/>
        </w:rPr>
      </w:pPr>
    </w:p>
    <w:p>
      <w:pPr>
        <w:spacing w:line="440" w:lineRule="exact"/>
        <w:jc w:val="both"/>
        <w:rPr>
          <w:rFonts w:hint="eastAsia" w:eastAsia="仿宋"/>
          <w:sz w:val="18"/>
          <w:szCs w:val="32"/>
        </w:rPr>
      </w:pPr>
    </w:p>
    <w:tbl>
      <w:tblPr>
        <w:tblStyle w:val="4"/>
        <w:tblW w:w="10500" w:type="dxa"/>
        <w:jc w:val="center"/>
        <w:tblLayout w:type="fixed"/>
        <w:tblCellMar>
          <w:top w:w="0" w:type="dxa"/>
          <w:left w:w="108" w:type="dxa"/>
          <w:bottom w:w="0" w:type="dxa"/>
          <w:right w:w="108" w:type="dxa"/>
        </w:tblCellMar>
      </w:tblPr>
      <w:tblGrid>
        <w:gridCol w:w="591"/>
        <w:gridCol w:w="1102"/>
        <w:gridCol w:w="700"/>
        <w:gridCol w:w="1269"/>
        <w:gridCol w:w="5113"/>
        <w:gridCol w:w="1299"/>
        <w:gridCol w:w="426"/>
      </w:tblGrid>
      <w:tr>
        <w:tblPrEx>
          <w:tblCellMar>
            <w:top w:w="0" w:type="dxa"/>
            <w:left w:w="108" w:type="dxa"/>
            <w:bottom w:w="0" w:type="dxa"/>
            <w:right w:w="108" w:type="dxa"/>
          </w:tblCellMar>
        </w:tblPrEx>
        <w:trPr>
          <w:cantSplit/>
          <w:trHeight w:val="495"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atLeast"/>
              <w:ind w:right="-2" w:rightChars="-1"/>
              <w:jc w:val="center"/>
              <w:rPr>
                <w:rFonts w:ascii="宋体" w:hAnsi="宋体"/>
                <w:spacing w:val="20"/>
                <w:szCs w:val="21"/>
              </w:rPr>
            </w:pPr>
            <w:r>
              <w:rPr>
                <w:rFonts w:hint="eastAsia" w:ascii="宋体" w:hAnsi="宋体"/>
                <w:spacing w:val="20"/>
                <w:szCs w:val="21"/>
              </w:rPr>
              <w:t>序号</w:t>
            </w:r>
          </w:p>
        </w:tc>
        <w:tc>
          <w:tcPr>
            <w:tcW w:w="1102" w:type="dxa"/>
            <w:vMerge w:val="restart"/>
            <w:tcBorders>
              <w:top w:val="single" w:color="auto" w:sz="4" w:space="0"/>
              <w:left w:val="nil"/>
              <w:bottom w:val="single" w:color="auto" w:sz="4" w:space="0"/>
              <w:right w:val="single" w:color="auto" w:sz="4" w:space="0"/>
            </w:tcBorders>
            <w:noWrap w:val="0"/>
            <w:vAlign w:val="center"/>
          </w:tcPr>
          <w:p>
            <w:pPr>
              <w:spacing w:line="240" w:lineRule="atLeast"/>
              <w:jc w:val="center"/>
              <w:rPr>
                <w:rFonts w:ascii="宋体" w:hAnsi="宋体"/>
                <w:spacing w:val="20"/>
                <w:szCs w:val="21"/>
              </w:rPr>
            </w:pPr>
            <w:r>
              <w:rPr>
                <w:rFonts w:hint="eastAsia" w:ascii="宋体" w:hAnsi="宋体"/>
                <w:szCs w:val="21"/>
              </w:rPr>
              <w:t xml:space="preserve">类别(产品/项目/参数) </w:t>
            </w:r>
          </w:p>
        </w:tc>
        <w:tc>
          <w:tcPr>
            <w:tcW w:w="1969" w:type="dxa"/>
            <w:gridSpan w:val="2"/>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zCs w:val="21"/>
              </w:rPr>
              <w:t>产品/项目/参数</w:t>
            </w:r>
          </w:p>
        </w:tc>
        <w:tc>
          <w:tcPr>
            <w:tcW w:w="5113" w:type="dxa"/>
            <w:vMerge w:val="restart"/>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zCs w:val="21"/>
              </w:rPr>
            </w:pPr>
            <w:r>
              <w:rPr>
                <w:rFonts w:hint="eastAsia" w:ascii="宋体" w:hAnsi="宋体"/>
                <w:szCs w:val="21"/>
              </w:rPr>
              <w:t>依据的标准（方法）名称</w:t>
            </w:r>
          </w:p>
          <w:p>
            <w:pPr>
              <w:widowControl/>
              <w:spacing w:line="240" w:lineRule="atLeast"/>
              <w:jc w:val="center"/>
              <w:rPr>
                <w:rFonts w:ascii="宋体" w:hAnsi="宋体"/>
                <w:szCs w:val="21"/>
              </w:rPr>
            </w:pPr>
            <w:r>
              <w:rPr>
                <w:rFonts w:hint="eastAsia" w:ascii="宋体" w:hAnsi="宋体"/>
                <w:szCs w:val="21"/>
              </w:rPr>
              <w:t>及编号（含年号）</w:t>
            </w:r>
          </w:p>
        </w:tc>
        <w:tc>
          <w:tcPr>
            <w:tcW w:w="1299" w:type="dxa"/>
            <w:vMerge w:val="restart"/>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hint="eastAsia" w:ascii="宋体" w:hAnsi="宋体"/>
                <w:spacing w:val="20"/>
                <w:szCs w:val="21"/>
              </w:rPr>
            </w:pPr>
            <w:r>
              <w:rPr>
                <w:rFonts w:hint="eastAsia" w:ascii="宋体" w:hAnsi="宋体"/>
                <w:spacing w:val="20"/>
                <w:szCs w:val="21"/>
              </w:rPr>
              <w:t>限制</w:t>
            </w:r>
          </w:p>
          <w:p>
            <w:pPr>
              <w:widowControl/>
              <w:spacing w:line="240" w:lineRule="atLeast"/>
              <w:jc w:val="center"/>
              <w:rPr>
                <w:rFonts w:ascii="宋体" w:hAnsi="宋体"/>
                <w:spacing w:val="20"/>
                <w:szCs w:val="21"/>
              </w:rPr>
            </w:pPr>
            <w:r>
              <w:rPr>
                <w:rFonts w:hint="eastAsia" w:ascii="宋体" w:hAnsi="宋体"/>
                <w:spacing w:val="20"/>
                <w:szCs w:val="21"/>
              </w:rPr>
              <w:t>范围</w:t>
            </w:r>
          </w:p>
          <w:p>
            <w:pPr>
              <w:widowControl/>
              <w:spacing w:line="240" w:lineRule="atLeast"/>
              <w:jc w:val="center"/>
              <w:rPr>
                <w:rFonts w:ascii="宋体" w:hAnsi="宋体"/>
                <w:szCs w:val="21"/>
              </w:rPr>
            </w:pPr>
          </w:p>
        </w:tc>
        <w:tc>
          <w:tcPr>
            <w:tcW w:w="426" w:type="dxa"/>
            <w:vMerge w:val="restart"/>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pacing w:val="20"/>
                <w:szCs w:val="21"/>
              </w:rPr>
              <w:t>说明</w:t>
            </w:r>
          </w:p>
        </w:tc>
      </w:tr>
      <w:tr>
        <w:tblPrEx>
          <w:tblCellMar>
            <w:top w:w="0" w:type="dxa"/>
            <w:left w:w="108" w:type="dxa"/>
            <w:bottom w:w="0" w:type="dxa"/>
            <w:right w:w="108" w:type="dxa"/>
          </w:tblCellMar>
        </w:tblPrEx>
        <w:trPr>
          <w:cantSplit/>
          <w:trHeight w:val="495"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spacing w:val="20"/>
                <w:szCs w:val="21"/>
              </w:rPr>
            </w:pPr>
          </w:p>
        </w:tc>
        <w:tc>
          <w:tcPr>
            <w:tcW w:w="1102"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pacing w:val="20"/>
                <w:szCs w:val="21"/>
              </w:rPr>
            </w:pPr>
          </w:p>
        </w:tc>
        <w:tc>
          <w:tcPr>
            <w:tcW w:w="700" w:type="dxa"/>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pacing w:val="20"/>
                <w:szCs w:val="21"/>
              </w:rPr>
              <w:t>序号</w:t>
            </w:r>
          </w:p>
        </w:tc>
        <w:tc>
          <w:tcPr>
            <w:tcW w:w="1269" w:type="dxa"/>
            <w:tcBorders>
              <w:top w:val="single" w:color="auto" w:sz="4" w:space="0"/>
              <w:left w:val="nil"/>
              <w:bottom w:val="single" w:color="auto" w:sz="4" w:space="0"/>
              <w:right w:val="single" w:color="auto" w:sz="4" w:space="0"/>
            </w:tcBorders>
            <w:noWrap w:val="0"/>
            <w:vAlign w:val="center"/>
          </w:tcPr>
          <w:p>
            <w:pPr>
              <w:widowControl/>
              <w:spacing w:line="240" w:lineRule="atLeast"/>
              <w:jc w:val="center"/>
              <w:rPr>
                <w:rFonts w:ascii="宋体" w:hAnsi="宋体"/>
                <w:spacing w:val="20"/>
                <w:szCs w:val="21"/>
              </w:rPr>
            </w:pPr>
            <w:r>
              <w:rPr>
                <w:rFonts w:hint="eastAsia" w:ascii="宋体" w:hAnsi="宋体"/>
                <w:spacing w:val="20"/>
                <w:szCs w:val="21"/>
              </w:rPr>
              <w:t>项目名称</w:t>
            </w:r>
          </w:p>
        </w:tc>
        <w:tc>
          <w:tcPr>
            <w:tcW w:w="5113"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zCs w:val="21"/>
              </w:rPr>
            </w:pPr>
          </w:p>
        </w:tc>
        <w:tc>
          <w:tcPr>
            <w:tcW w:w="1299"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zCs w:val="21"/>
              </w:rPr>
            </w:pPr>
          </w:p>
        </w:tc>
        <w:tc>
          <w:tcPr>
            <w:tcW w:w="426" w:type="dxa"/>
            <w:vMerge w:val="continue"/>
            <w:tcBorders>
              <w:top w:val="single" w:color="auto" w:sz="4" w:space="0"/>
              <w:left w:val="nil"/>
              <w:bottom w:val="single" w:color="auto" w:sz="4" w:space="0"/>
              <w:right w:val="single" w:color="auto" w:sz="4" w:space="0"/>
            </w:tcBorders>
            <w:noWrap w:val="0"/>
            <w:vAlign w:val="center"/>
          </w:tcPr>
          <w:p>
            <w:pPr>
              <w:widowControl/>
              <w:jc w:val="left"/>
              <w:rPr>
                <w:rFonts w:ascii="宋体" w:hAnsi="宋体"/>
                <w:spacing w:val="20"/>
                <w:szCs w:val="21"/>
              </w:rPr>
            </w:pPr>
          </w:p>
        </w:tc>
      </w:tr>
      <w:tr>
        <w:tblPrEx>
          <w:tblCellMar>
            <w:top w:w="0" w:type="dxa"/>
            <w:left w:w="108" w:type="dxa"/>
            <w:bottom w:w="0" w:type="dxa"/>
            <w:right w:w="108" w:type="dxa"/>
          </w:tblCellMar>
        </w:tblPrEx>
        <w:trPr>
          <w:cantSplit/>
          <w:trHeight w:val="1368" w:hRule="atLeast"/>
          <w:jc w:val="center"/>
        </w:trPr>
        <w:tc>
          <w:tcPr>
            <w:tcW w:w="591" w:type="dxa"/>
            <w:vMerge w:val="restart"/>
            <w:tcBorders>
              <w:top w:val="nil"/>
              <w:left w:val="single" w:color="auto" w:sz="4" w:space="0"/>
              <w:right w:val="single" w:color="auto" w:sz="4" w:space="0"/>
            </w:tcBorders>
            <w:noWrap w:val="0"/>
            <w:vAlign w:val="center"/>
          </w:tcPr>
          <w:p>
            <w:pPr>
              <w:widowControl/>
              <w:snapToGrid w:val="0"/>
              <w:spacing w:before="100" w:beforeAutospacing="1" w:after="100" w:afterAutospacing="1"/>
              <w:jc w:val="center"/>
              <w:rPr>
                <w:rFonts w:hint="eastAsia" w:ascii="宋体" w:hAnsi="宋体"/>
                <w:szCs w:val="21"/>
              </w:rPr>
            </w:pPr>
            <w:r>
              <w:rPr>
                <w:rFonts w:hint="eastAsia" w:ascii="宋体" w:hAnsi="宋体"/>
                <w:szCs w:val="21"/>
              </w:rPr>
              <w:t>2</w:t>
            </w:r>
          </w:p>
        </w:tc>
        <w:tc>
          <w:tcPr>
            <w:tcW w:w="1102" w:type="dxa"/>
            <w:vMerge w:val="restart"/>
            <w:tcBorders>
              <w:top w:val="nil"/>
              <w:left w:val="nil"/>
              <w:right w:val="single" w:color="auto" w:sz="4" w:space="0"/>
            </w:tcBorders>
            <w:noWrap w:val="0"/>
            <w:vAlign w:val="center"/>
          </w:tcPr>
          <w:p>
            <w:pPr>
              <w:widowControl/>
              <w:snapToGrid w:val="0"/>
              <w:spacing w:before="100" w:beforeAutospacing="1" w:after="100" w:afterAutospacing="1"/>
              <w:rPr>
                <w:rFonts w:ascii="宋体" w:hAnsi="宋体"/>
                <w:szCs w:val="21"/>
              </w:rPr>
            </w:pPr>
            <w:r>
              <w:rPr>
                <w:rFonts w:hint="eastAsia" w:ascii="宋体" w:hAnsi="宋体"/>
                <w:szCs w:val="21"/>
              </w:rPr>
              <w:t>电力安全工器具力学试验</w:t>
            </w: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jc w:val="center"/>
              <w:rPr>
                <w:rFonts w:ascii="宋体" w:hAnsi="宋体"/>
                <w:szCs w:val="21"/>
              </w:rPr>
            </w:pPr>
            <w:r>
              <w:rPr>
                <w:rFonts w:hint="eastAsia" w:ascii="宋体" w:hAnsi="宋体"/>
                <w:szCs w:val="21"/>
              </w:rPr>
              <w:t>2.1</w:t>
            </w:r>
          </w:p>
        </w:tc>
        <w:tc>
          <w:tcPr>
            <w:tcW w:w="1269" w:type="dxa"/>
            <w:tcBorders>
              <w:top w:val="single" w:color="auto" w:sz="4" w:space="0"/>
              <w:left w:val="nil"/>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安全帽冲击性能试验</w:t>
            </w:r>
          </w:p>
        </w:tc>
        <w:tc>
          <w:tcPr>
            <w:tcW w:w="5113" w:type="dxa"/>
            <w:tcBorders>
              <w:top w:val="single" w:color="auto" w:sz="4" w:space="0"/>
              <w:left w:val="nil"/>
              <w:bottom w:val="single" w:color="auto" w:sz="4" w:space="0"/>
              <w:right w:val="single" w:color="auto" w:sz="4" w:space="0"/>
            </w:tcBorders>
            <w:noWrap w:val="0"/>
            <w:vAlign w:val="center"/>
          </w:tcPr>
          <w:p>
            <w:pPr>
              <w:rPr>
                <w:rFonts w:hint="eastAsia" w:ascii="宋体" w:hAnsi="宋体"/>
                <w:spacing w:val="22"/>
                <w:szCs w:val="21"/>
              </w:rPr>
            </w:pPr>
            <w:r>
              <w:rPr>
                <w:rFonts w:hint="eastAsia" w:ascii="宋体" w:hAnsi="宋体"/>
                <w:spacing w:val="22"/>
                <w:szCs w:val="21"/>
              </w:rPr>
              <w:t>《电力建设安全工作规程 第2部分电力线路》DL5009.2-2013</w:t>
            </w:r>
          </w:p>
          <w:p>
            <w:pPr>
              <w:rPr>
                <w:rFonts w:hint="eastAsia" w:ascii="宋体" w:hAnsi="宋体"/>
                <w:szCs w:val="21"/>
              </w:rPr>
            </w:pPr>
            <w:r>
              <w:rPr>
                <w:rFonts w:hint="eastAsia" w:ascii="宋体" w:hAnsi="宋体"/>
                <w:szCs w:val="21"/>
              </w:rPr>
              <w:t>《电力安全工器具预防性试验规程》（DL/T 1476-2023）</w:t>
            </w:r>
          </w:p>
        </w:tc>
        <w:tc>
          <w:tcPr>
            <w:tcW w:w="129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宋体" w:hAnsi="宋体"/>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20)</w:t>
            </w:r>
          </w:p>
          <w:p>
            <w:pPr>
              <w:spacing w:line="240" w:lineRule="exact"/>
              <w:jc w:val="center"/>
              <w:rPr>
                <w:rFonts w:ascii="宋体" w:hAnsi="宋体"/>
                <w:szCs w:val="21"/>
              </w:rPr>
            </w:pPr>
            <w:r>
              <w:rPr>
                <w:rFonts w:hint="eastAsia" w:ascii="宋体" w:hAnsi="宋体"/>
                <w:szCs w:val="21"/>
              </w:rPr>
              <w:t>kN</w:t>
            </w:r>
          </w:p>
        </w:tc>
        <w:tc>
          <w:tcPr>
            <w:tcW w:w="426"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1504"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left w:val="nil"/>
              <w:right w:val="single" w:color="auto" w:sz="4" w:space="0"/>
            </w:tcBorders>
            <w:noWrap w:val="0"/>
            <w:vAlign w:val="center"/>
          </w:tcPr>
          <w:p>
            <w:pPr>
              <w:widowControl/>
              <w:rPr>
                <w:rFonts w:ascii="宋体" w:hAnsi="宋体"/>
                <w:szCs w:val="21"/>
              </w:rPr>
            </w:pPr>
          </w:p>
        </w:tc>
        <w:tc>
          <w:tcPr>
            <w:tcW w:w="700" w:type="dxa"/>
            <w:tcBorders>
              <w:top w:val="single" w:color="auto" w:sz="4" w:space="0"/>
              <w:left w:val="nil"/>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2.2</w:t>
            </w:r>
          </w:p>
        </w:tc>
        <w:tc>
          <w:tcPr>
            <w:tcW w:w="1269" w:type="dxa"/>
            <w:tcBorders>
              <w:top w:val="single" w:color="auto" w:sz="4" w:space="0"/>
              <w:left w:val="nil"/>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安全帽耐穿刺性能试验</w:t>
            </w:r>
          </w:p>
        </w:tc>
        <w:tc>
          <w:tcPr>
            <w:tcW w:w="5113" w:type="dxa"/>
            <w:tcBorders>
              <w:top w:val="single" w:color="auto" w:sz="4" w:space="0"/>
              <w:left w:val="nil"/>
              <w:bottom w:val="single" w:color="auto" w:sz="4" w:space="0"/>
              <w:right w:val="single" w:color="auto" w:sz="4" w:space="0"/>
            </w:tcBorders>
            <w:noWrap w:val="0"/>
            <w:vAlign w:val="center"/>
          </w:tcPr>
          <w:p>
            <w:pPr>
              <w:rPr>
                <w:rFonts w:hint="eastAsia" w:ascii="宋体" w:hAnsi="宋体"/>
                <w:spacing w:val="22"/>
                <w:szCs w:val="21"/>
              </w:rPr>
            </w:pPr>
            <w:r>
              <w:rPr>
                <w:rFonts w:hint="eastAsia" w:ascii="宋体" w:hAnsi="宋体"/>
                <w:spacing w:val="22"/>
                <w:szCs w:val="21"/>
              </w:rPr>
              <w:t>《电力建设安全工作规程 第2部分电力线路》DL5009.2-2013</w:t>
            </w:r>
          </w:p>
          <w:p>
            <w:pPr>
              <w:rPr>
                <w:rFonts w:hint="eastAsia" w:ascii="宋体" w:hAnsi="宋体"/>
                <w:szCs w:val="21"/>
              </w:rPr>
            </w:pPr>
            <w:r>
              <w:rPr>
                <w:rFonts w:hint="eastAsia" w:ascii="宋体" w:hAnsi="宋体"/>
                <w:szCs w:val="21"/>
              </w:rPr>
              <w:t>《电力安全工器具预防性试验规程》（DL/T 1476-2023）</w:t>
            </w:r>
          </w:p>
        </w:tc>
        <w:tc>
          <w:tcPr>
            <w:tcW w:w="129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宋体" w:hAnsi="宋体"/>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20)</w:t>
            </w:r>
          </w:p>
          <w:p>
            <w:pPr>
              <w:spacing w:line="240" w:lineRule="exact"/>
              <w:jc w:val="center"/>
              <w:rPr>
                <w:rFonts w:ascii="宋体" w:hAnsi="宋体"/>
                <w:szCs w:val="21"/>
              </w:rPr>
            </w:pPr>
            <w:r>
              <w:rPr>
                <w:rFonts w:hint="eastAsia" w:ascii="宋体" w:hAnsi="宋体"/>
                <w:szCs w:val="21"/>
              </w:rPr>
              <w:t>kN</w:t>
            </w:r>
          </w:p>
        </w:tc>
        <w:tc>
          <w:tcPr>
            <w:tcW w:w="426"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1366"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left w:val="nil"/>
              <w:right w:val="single" w:color="auto" w:sz="4" w:space="0"/>
            </w:tcBorders>
            <w:noWrap w:val="0"/>
            <w:vAlign w:val="center"/>
          </w:tcPr>
          <w:p>
            <w:pPr>
              <w:widowControl/>
              <w:rPr>
                <w:rFonts w:ascii="宋体" w:hAnsi="宋体"/>
                <w:szCs w:val="21"/>
              </w:rPr>
            </w:pPr>
          </w:p>
        </w:tc>
        <w:tc>
          <w:tcPr>
            <w:tcW w:w="70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szCs w:val="21"/>
              </w:rPr>
            </w:pPr>
            <w:r>
              <w:rPr>
                <w:rFonts w:hint="eastAsia" w:ascii="宋体" w:hAnsi="宋体"/>
                <w:szCs w:val="21"/>
              </w:rPr>
              <w:t>2.3</w:t>
            </w:r>
          </w:p>
        </w:tc>
        <w:tc>
          <w:tcPr>
            <w:tcW w:w="1269" w:type="dxa"/>
            <w:tcBorders>
              <w:top w:val="single" w:color="auto" w:sz="4" w:space="0"/>
              <w:left w:val="nil"/>
              <w:bottom w:val="single" w:color="auto" w:sz="4" w:space="0"/>
              <w:right w:val="single" w:color="auto" w:sz="4" w:space="0"/>
            </w:tcBorders>
            <w:noWrap w:val="0"/>
            <w:vAlign w:val="center"/>
          </w:tcPr>
          <w:p>
            <w:pPr>
              <w:jc w:val="center"/>
              <w:rPr>
                <w:rFonts w:ascii="宋体" w:hAnsi="宋体"/>
                <w:szCs w:val="21"/>
              </w:rPr>
            </w:pPr>
            <w:r>
              <w:rPr>
                <w:rFonts w:hint="eastAsia" w:ascii="宋体" w:hAnsi="宋体"/>
                <w:szCs w:val="21"/>
              </w:rPr>
              <w:t>安全带（绳）</w:t>
            </w:r>
          </w:p>
          <w:p>
            <w:pPr>
              <w:jc w:val="center"/>
              <w:rPr>
                <w:rFonts w:hint="eastAsia" w:ascii="宋体" w:hAnsi="宋体"/>
                <w:szCs w:val="21"/>
              </w:rPr>
            </w:pPr>
            <w:r>
              <w:rPr>
                <w:rFonts w:hint="eastAsia" w:ascii="宋体" w:hAnsi="宋体"/>
                <w:szCs w:val="21"/>
              </w:rPr>
              <w:t>拉力试验</w:t>
            </w:r>
          </w:p>
        </w:tc>
        <w:tc>
          <w:tcPr>
            <w:tcW w:w="5113" w:type="dxa"/>
            <w:tcBorders>
              <w:top w:val="single" w:color="auto" w:sz="4" w:space="0"/>
              <w:left w:val="nil"/>
              <w:bottom w:val="single" w:color="auto" w:sz="4" w:space="0"/>
              <w:right w:val="single" w:color="auto" w:sz="4" w:space="0"/>
            </w:tcBorders>
            <w:noWrap w:val="0"/>
            <w:vAlign w:val="center"/>
          </w:tcPr>
          <w:p>
            <w:pPr>
              <w:jc w:val="left"/>
              <w:rPr>
                <w:rFonts w:hint="eastAsia" w:ascii="宋体" w:hAnsi="宋体"/>
                <w:spacing w:val="22"/>
                <w:szCs w:val="21"/>
              </w:rPr>
            </w:pPr>
            <w:r>
              <w:rPr>
                <w:rFonts w:hint="eastAsia" w:ascii="宋体" w:hAnsi="宋体"/>
                <w:spacing w:val="22"/>
                <w:szCs w:val="21"/>
              </w:rPr>
              <w:t>《电力建设安全工作规程 第2部分电力线路》DL5009.2-2013</w:t>
            </w:r>
          </w:p>
          <w:p>
            <w:pPr>
              <w:rPr>
                <w:rFonts w:hint="eastAsia" w:ascii="宋体" w:hAnsi="宋体"/>
                <w:szCs w:val="21"/>
              </w:rPr>
            </w:pPr>
            <w:r>
              <w:rPr>
                <w:rFonts w:hint="eastAsia" w:ascii="宋体" w:hAnsi="宋体"/>
                <w:szCs w:val="21"/>
              </w:rPr>
              <w:t xml:space="preserve">《电力安全工器具预防性试验规程》（DL/T 1476-2023） </w:t>
            </w:r>
          </w:p>
        </w:tc>
        <w:tc>
          <w:tcPr>
            <w:tcW w:w="129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宋体" w:hAnsi="宋体"/>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20)</w:t>
            </w:r>
          </w:p>
          <w:p>
            <w:pPr>
              <w:spacing w:line="240" w:lineRule="exact"/>
              <w:jc w:val="center"/>
              <w:rPr>
                <w:rFonts w:hint="eastAsia" w:ascii="宋体" w:hAnsi="宋体"/>
                <w:szCs w:val="21"/>
              </w:rPr>
            </w:pPr>
            <w:r>
              <w:rPr>
                <w:rFonts w:hint="eastAsia" w:ascii="宋体" w:hAnsi="宋体"/>
                <w:szCs w:val="21"/>
              </w:rPr>
              <w:t>kN</w:t>
            </w:r>
          </w:p>
        </w:tc>
        <w:tc>
          <w:tcPr>
            <w:tcW w:w="426"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1394"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left w:val="nil"/>
              <w:right w:val="single" w:color="auto" w:sz="4" w:space="0"/>
            </w:tcBorders>
            <w:noWrap w:val="0"/>
            <w:vAlign w:val="center"/>
          </w:tcPr>
          <w:p>
            <w:pPr>
              <w:widowControl/>
              <w:rPr>
                <w:rFonts w:ascii="宋体" w:hAnsi="宋体"/>
                <w:szCs w:val="21"/>
              </w:rPr>
            </w:pPr>
          </w:p>
        </w:tc>
        <w:tc>
          <w:tcPr>
            <w:tcW w:w="70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szCs w:val="21"/>
              </w:rPr>
            </w:pPr>
            <w:r>
              <w:rPr>
                <w:rFonts w:hint="eastAsia" w:ascii="宋体" w:hAnsi="宋体"/>
                <w:szCs w:val="21"/>
              </w:rPr>
              <w:t>2.4</w:t>
            </w:r>
          </w:p>
        </w:tc>
        <w:tc>
          <w:tcPr>
            <w:tcW w:w="1269"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szCs w:val="21"/>
              </w:rPr>
            </w:pPr>
            <w:r>
              <w:rPr>
                <w:rFonts w:hint="eastAsia" w:ascii="宋体" w:hAnsi="宋体"/>
                <w:szCs w:val="21"/>
              </w:rPr>
              <w:t>脚扣（登高脚扣）静负荷试验</w:t>
            </w:r>
          </w:p>
        </w:tc>
        <w:tc>
          <w:tcPr>
            <w:tcW w:w="5113" w:type="dxa"/>
            <w:tcBorders>
              <w:top w:val="single" w:color="auto" w:sz="4" w:space="0"/>
              <w:left w:val="nil"/>
              <w:bottom w:val="single" w:color="auto" w:sz="4" w:space="0"/>
              <w:right w:val="single" w:color="auto" w:sz="4" w:space="0"/>
            </w:tcBorders>
            <w:noWrap w:val="0"/>
            <w:vAlign w:val="center"/>
          </w:tcPr>
          <w:p>
            <w:pPr>
              <w:jc w:val="left"/>
              <w:rPr>
                <w:rFonts w:hint="eastAsia" w:ascii="宋体" w:hAnsi="宋体"/>
                <w:spacing w:val="22"/>
                <w:szCs w:val="21"/>
              </w:rPr>
            </w:pPr>
            <w:r>
              <w:rPr>
                <w:rFonts w:hint="eastAsia" w:ascii="宋体" w:hAnsi="宋体"/>
                <w:spacing w:val="22"/>
                <w:szCs w:val="21"/>
              </w:rPr>
              <w:t>《电力建设安全工作规程 第2部分电力线路》DL5009.2-2013</w:t>
            </w:r>
          </w:p>
          <w:p>
            <w:pPr>
              <w:rPr>
                <w:rFonts w:hint="eastAsia" w:ascii="宋体" w:hAnsi="宋体"/>
                <w:szCs w:val="21"/>
              </w:rPr>
            </w:pPr>
            <w:r>
              <w:rPr>
                <w:rFonts w:hint="eastAsia" w:ascii="宋体" w:hAnsi="宋体"/>
                <w:szCs w:val="21"/>
              </w:rPr>
              <w:t xml:space="preserve">《电力安全工器具预防性试验规程》（DL/T 1476-2023） </w:t>
            </w:r>
          </w:p>
        </w:tc>
        <w:tc>
          <w:tcPr>
            <w:tcW w:w="129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宋体" w:hAnsi="宋体"/>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20)</w:t>
            </w:r>
          </w:p>
          <w:p>
            <w:pPr>
              <w:spacing w:line="240" w:lineRule="exact"/>
              <w:jc w:val="center"/>
              <w:rPr>
                <w:rFonts w:hint="eastAsia" w:ascii="宋体" w:hAnsi="宋体"/>
                <w:szCs w:val="21"/>
              </w:rPr>
            </w:pPr>
            <w:r>
              <w:rPr>
                <w:rFonts w:hint="eastAsia" w:ascii="宋体" w:hAnsi="宋体"/>
                <w:szCs w:val="21"/>
              </w:rPr>
              <w:t>kN</w:t>
            </w:r>
          </w:p>
        </w:tc>
        <w:tc>
          <w:tcPr>
            <w:tcW w:w="426"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1255"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left w:val="nil"/>
              <w:right w:val="single" w:color="auto" w:sz="4" w:space="0"/>
            </w:tcBorders>
            <w:noWrap w:val="0"/>
            <w:vAlign w:val="center"/>
          </w:tcPr>
          <w:p>
            <w:pPr>
              <w:widowControl/>
              <w:rPr>
                <w:rFonts w:ascii="宋体" w:hAnsi="宋体"/>
                <w:szCs w:val="21"/>
              </w:rPr>
            </w:pPr>
          </w:p>
        </w:tc>
        <w:tc>
          <w:tcPr>
            <w:tcW w:w="70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szCs w:val="21"/>
              </w:rPr>
            </w:pPr>
            <w:r>
              <w:rPr>
                <w:rFonts w:hint="eastAsia" w:ascii="宋体" w:hAnsi="宋体"/>
                <w:szCs w:val="21"/>
              </w:rPr>
              <w:t>2.5</w:t>
            </w:r>
          </w:p>
        </w:tc>
        <w:tc>
          <w:tcPr>
            <w:tcW w:w="1269"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szCs w:val="21"/>
              </w:rPr>
            </w:pPr>
            <w:r>
              <w:rPr>
                <w:rFonts w:hint="eastAsia" w:ascii="宋体" w:hAnsi="宋体"/>
                <w:szCs w:val="21"/>
              </w:rPr>
              <w:t>升降板（登高板）静负荷试验</w:t>
            </w:r>
          </w:p>
        </w:tc>
        <w:tc>
          <w:tcPr>
            <w:tcW w:w="5113" w:type="dxa"/>
            <w:tcBorders>
              <w:top w:val="single" w:color="auto" w:sz="4" w:space="0"/>
              <w:left w:val="nil"/>
              <w:bottom w:val="single" w:color="auto" w:sz="4" w:space="0"/>
              <w:right w:val="single" w:color="auto" w:sz="4" w:space="0"/>
            </w:tcBorders>
            <w:noWrap w:val="0"/>
            <w:vAlign w:val="center"/>
          </w:tcPr>
          <w:p>
            <w:pPr>
              <w:jc w:val="left"/>
              <w:rPr>
                <w:rFonts w:hint="eastAsia" w:ascii="宋体" w:hAnsi="宋体"/>
                <w:spacing w:val="22"/>
                <w:szCs w:val="21"/>
              </w:rPr>
            </w:pPr>
            <w:r>
              <w:rPr>
                <w:rFonts w:hint="eastAsia" w:ascii="宋体" w:hAnsi="宋体"/>
                <w:spacing w:val="22"/>
                <w:szCs w:val="21"/>
              </w:rPr>
              <w:t>《电力建设安全工作规程 第2部分电力线路》DL5009.2-2013</w:t>
            </w:r>
          </w:p>
          <w:p>
            <w:pPr>
              <w:rPr>
                <w:rFonts w:hint="eastAsia" w:ascii="宋体" w:hAnsi="宋体"/>
                <w:szCs w:val="21"/>
              </w:rPr>
            </w:pPr>
            <w:r>
              <w:rPr>
                <w:rFonts w:hint="eastAsia" w:ascii="宋体" w:hAnsi="宋体"/>
                <w:szCs w:val="21"/>
              </w:rPr>
              <w:t xml:space="preserve">《电力安全工器具预防性试验规程》（DL/T 1476-2023） </w:t>
            </w:r>
          </w:p>
        </w:tc>
        <w:tc>
          <w:tcPr>
            <w:tcW w:w="129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宋体" w:hAnsi="宋体"/>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20)</w:t>
            </w:r>
          </w:p>
          <w:p>
            <w:pPr>
              <w:spacing w:line="240" w:lineRule="exact"/>
              <w:jc w:val="center"/>
              <w:rPr>
                <w:rFonts w:hint="eastAsia" w:ascii="宋体" w:hAnsi="宋体"/>
                <w:szCs w:val="21"/>
              </w:rPr>
            </w:pPr>
            <w:r>
              <w:rPr>
                <w:rFonts w:hint="eastAsia" w:ascii="宋体" w:hAnsi="宋体"/>
                <w:szCs w:val="21"/>
              </w:rPr>
              <w:t>kN</w:t>
            </w:r>
          </w:p>
        </w:tc>
        <w:tc>
          <w:tcPr>
            <w:tcW w:w="426"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1031"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left"/>
              <w:rPr>
                <w:rFonts w:ascii="宋体" w:hAnsi="宋体"/>
                <w:szCs w:val="21"/>
              </w:rPr>
            </w:pPr>
          </w:p>
        </w:tc>
        <w:tc>
          <w:tcPr>
            <w:tcW w:w="1102" w:type="dxa"/>
            <w:vMerge w:val="continue"/>
            <w:tcBorders>
              <w:left w:val="nil"/>
              <w:bottom w:val="single" w:color="auto" w:sz="4" w:space="0"/>
              <w:right w:val="single" w:color="auto" w:sz="4" w:space="0"/>
            </w:tcBorders>
            <w:noWrap w:val="0"/>
            <w:vAlign w:val="center"/>
          </w:tcPr>
          <w:p>
            <w:pPr>
              <w:widowControl/>
              <w:rPr>
                <w:rFonts w:ascii="宋体" w:hAnsi="宋体"/>
                <w:szCs w:val="21"/>
              </w:rPr>
            </w:pPr>
          </w:p>
        </w:tc>
        <w:tc>
          <w:tcPr>
            <w:tcW w:w="700"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szCs w:val="21"/>
              </w:rPr>
            </w:pPr>
            <w:r>
              <w:rPr>
                <w:rFonts w:hint="eastAsia" w:ascii="宋体" w:hAnsi="宋体"/>
                <w:szCs w:val="21"/>
              </w:rPr>
              <w:t>2.6</w:t>
            </w:r>
          </w:p>
        </w:tc>
        <w:tc>
          <w:tcPr>
            <w:tcW w:w="1269" w:type="dxa"/>
            <w:tcBorders>
              <w:top w:val="single" w:color="auto" w:sz="4" w:space="0"/>
              <w:left w:val="nil"/>
              <w:bottom w:val="single" w:color="auto" w:sz="4" w:space="0"/>
              <w:right w:val="single" w:color="auto" w:sz="4" w:space="0"/>
            </w:tcBorders>
            <w:noWrap w:val="0"/>
            <w:vAlign w:val="center"/>
          </w:tcPr>
          <w:p>
            <w:pPr>
              <w:rPr>
                <w:rFonts w:hint="eastAsia" w:ascii="宋体" w:hAnsi="宋体"/>
                <w:szCs w:val="21"/>
              </w:rPr>
            </w:pPr>
            <w:r>
              <w:rPr>
                <w:rFonts w:hint="eastAsia" w:ascii="宋体" w:hAnsi="宋体"/>
                <w:szCs w:val="21"/>
              </w:rPr>
              <w:t>竹梯、软梯（绝缘梯）静负荷试验</w:t>
            </w:r>
          </w:p>
        </w:tc>
        <w:tc>
          <w:tcPr>
            <w:tcW w:w="5113" w:type="dxa"/>
            <w:tcBorders>
              <w:top w:val="single" w:color="auto" w:sz="4" w:space="0"/>
              <w:left w:val="nil"/>
              <w:bottom w:val="single" w:color="auto" w:sz="4" w:space="0"/>
              <w:right w:val="single" w:color="auto" w:sz="4" w:space="0"/>
            </w:tcBorders>
            <w:noWrap w:val="0"/>
            <w:vAlign w:val="center"/>
          </w:tcPr>
          <w:p>
            <w:pPr>
              <w:jc w:val="left"/>
              <w:rPr>
                <w:rFonts w:hint="eastAsia" w:ascii="宋体" w:hAnsi="宋体"/>
                <w:spacing w:val="22"/>
                <w:szCs w:val="21"/>
              </w:rPr>
            </w:pPr>
            <w:r>
              <w:rPr>
                <w:rFonts w:hint="eastAsia" w:ascii="宋体" w:hAnsi="宋体"/>
                <w:spacing w:val="22"/>
                <w:szCs w:val="21"/>
              </w:rPr>
              <w:t>《电力建设安全工作规程 第2部分电力线路》DL5009.2-2013</w:t>
            </w:r>
          </w:p>
          <w:p>
            <w:pPr>
              <w:rPr>
                <w:rFonts w:hint="eastAsia" w:ascii="宋体" w:hAnsi="宋体"/>
                <w:szCs w:val="21"/>
              </w:rPr>
            </w:pPr>
            <w:r>
              <w:rPr>
                <w:rFonts w:hint="eastAsia" w:ascii="宋体" w:hAnsi="宋体"/>
                <w:szCs w:val="21"/>
              </w:rPr>
              <w:t xml:space="preserve">《电力安全工器具预防性试验规程》（DL/T 1476-2023） </w:t>
            </w:r>
          </w:p>
        </w:tc>
        <w:tc>
          <w:tcPr>
            <w:tcW w:w="129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eastAsia" w:ascii="宋体" w:hAnsi="宋体"/>
                <w:szCs w:val="21"/>
              </w:rPr>
            </w:pPr>
            <w:r>
              <w:rPr>
                <w:rFonts w:hint="eastAsia" w:ascii="宋体" w:hAnsi="宋体"/>
                <w:szCs w:val="21"/>
              </w:rPr>
              <w:t>(0</w:t>
            </w:r>
            <w:r>
              <w:rPr>
                <w:rFonts w:hint="eastAsia" w:ascii="Malgun Gothic" w:hAnsi="Malgun Gothic" w:eastAsia="Malgun Gothic" w:cs="Malgun Gothic"/>
                <w:szCs w:val="21"/>
              </w:rPr>
              <w:t>~</w:t>
            </w:r>
            <w:r>
              <w:rPr>
                <w:rFonts w:hint="eastAsia" w:ascii="宋体" w:hAnsi="宋体"/>
                <w:szCs w:val="21"/>
              </w:rPr>
              <w:t>20)</w:t>
            </w:r>
          </w:p>
          <w:p>
            <w:pPr>
              <w:spacing w:line="240" w:lineRule="exact"/>
              <w:jc w:val="center"/>
              <w:rPr>
                <w:rFonts w:hint="eastAsia" w:ascii="宋体" w:hAnsi="宋体"/>
                <w:szCs w:val="21"/>
              </w:rPr>
            </w:pPr>
            <w:r>
              <w:rPr>
                <w:rFonts w:hint="eastAsia" w:ascii="宋体" w:hAnsi="宋体"/>
                <w:szCs w:val="21"/>
              </w:rPr>
              <w:t>kN</w:t>
            </w:r>
          </w:p>
        </w:tc>
        <w:tc>
          <w:tcPr>
            <w:tcW w:w="426" w:type="dxa"/>
            <w:tcBorders>
              <w:top w:val="single" w:color="auto" w:sz="4" w:space="0"/>
              <w:left w:val="nil"/>
              <w:bottom w:val="single" w:color="auto" w:sz="4" w:space="0"/>
              <w:right w:val="single" w:color="auto" w:sz="4" w:space="0"/>
            </w:tcBorders>
            <w:noWrap w:val="0"/>
            <w:vAlign w:val="top"/>
          </w:tcPr>
          <w:p>
            <w:pPr>
              <w:widowControl/>
              <w:snapToGrid w:val="0"/>
              <w:spacing w:before="100" w:beforeAutospacing="1" w:after="100" w:afterAutospacing="1" w:line="360" w:lineRule="auto"/>
              <w:rPr>
                <w:rFonts w:ascii="宋体" w:hAnsi="宋体"/>
                <w:kern w:val="0"/>
                <w:szCs w:val="21"/>
              </w:rPr>
            </w:pPr>
          </w:p>
        </w:tc>
      </w:tr>
      <w:tr>
        <w:tblPrEx>
          <w:tblCellMar>
            <w:top w:w="0" w:type="dxa"/>
            <w:left w:w="108" w:type="dxa"/>
            <w:bottom w:w="0" w:type="dxa"/>
            <w:right w:w="108" w:type="dxa"/>
          </w:tblCellMar>
        </w:tblPrEx>
        <w:trPr>
          <w:cantSplit/>
          <w:trHeight w:val="454" w:hRule="atLeast"/>
          <w:jc w:val="center"/>
        </w:trPr>
        <w:tc>
          <w:tcPr>
            <w:tcW w:w="591" w:type="dxa"/>
            <w:tcBorders>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szCs w:val="21"/>
                <w:lang w:val="en-US" w:eastAsia="zh-CN"/>
              </w:rPr>
            </w:pPr>
            <w:r>
              <w:rPr>
                <w:rFonts w:hint="eastAsia" w:ascii="宋体" w:hAnsi="宋体"/>
                <w:szCs w:val="21"/>
                <w:lang w:val="en-US" w:eastAsia="zh-CN"/>
              </w:rPr>
              <w:t>二</w:t>
            </w:r>
          </w:p>
        </w:tc>
        <w:tc>
          <w:tcPr>
            <w:tcW w:w="9909" w:type="dxa"/>
            <w:gridSpan w:val="6"/>
            <w:tcBorders>
              <w:left w:val="nil"/>
              <w:bottom w:val="single" w:color="auto" w:sz="4" w:space="0"/>
              <w:right w:val="single" w:color="auto" w:sz="4" w:space="0"/>
            </w:tcBorders>
            <w:noWrap w:val="0"/>
            <w:vAlign w:val="center"/>
          </w:tcPr>
          <w:p>
            <w:pPr>
              <w:widowControl/>
              <w:snapToGrid w:val="0"/>
              <w:spacing w:before="100" w:beforeAutospacing="1" w:after="100" w:afterAutospacing="1" w:line="360" w:lineRule="auto"/>
              <w:jc w:val="center"/>
              <w:rPr>
                <w:rFonts w:hint="eastAsia" w:ascii="宋体" w:hAnsi="宋体" w:eastAsia="宋体"/>
                <w:kern w:val="0"/>
                <w:szCs w:val="21"/>
                <w:lang w:val="en-US" w:eastAsia="zh-CN"/>
              </w:rPr>
            </w:pPr>
            <w:r>
              <w:rPr>
                <w:rFonts w:hint="eastAsia" w:ascii="宋体" w:hAnsi="宋体"/>
                <w:spacing w:val="20"/>
                <w:sz w:val="24"/>
                <w:szCs w:val="32"/>
              </w:rPr>
              <w:t>高压电力设备</w:t>
            </w:r>
          </w:p>
        </w:tc>
      </w:tr>
      <w:tr>
        <w:tblPrEx>
          <w:tblCellMar>
            <w:top w:w="0" w:type="dxa"/>
            <w:left w:w="108" w:type="dxa"/>
            <w:bottom w:w="0" w:type="dxa"/>
            <w:right w:w="108" w:type="dxa"/>
          </w:tblCellMar>
        </w:tblPrEx>
        <w:trPr>
          <w:cantSplit/>
          <w:trHeight w:val="147" w:hRule="atLeast"/>
          <w:jc w:val="center"/>
        </w:trPr>
        <w:tc>
          <w:tcPr>
            <w:tcW w:w="591" w:type="dxa"/>
            <w:vMerge w:val="restart"/>
            <w:tcBorders>
              <w:top w:val="single" w:color="auto" w:sz="4" w:space="0"/>
              <w:left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p>
        </w:tc>
        <w:tc>
          <w:tcPr>
            <w:tcW w:w="1102" w:type="dxa"/>
            <w:vMerge w:val="restart"/>
            <w:tcBorders>
              <w:top w:val="single" w:color="auto" w:sz="4" w:space="0"/>
              <w:left w:val="nil"/>
              <w:right w:val="single" w:color="auto" w:sz="4" w:space="0"/>
            </w:tcBorders>
            <w:noWrap w:val="0"/>
            <w:vAlign w:val="center"/>
          </w:tcPr>
          <w:p>
            <w:pPr>
              <w:widowControl/>
              <w:jc w:val="center"/>
              <w:textAlignment w:val="center"/>
              <w:rPr>
                <w:rFonts w:ascii="宋体" w:hAnsi="宋体" w:eastAsia="宋体" w:cs="Times New Roman"/>
                <w:sz w:val="21"/>
                <w:szCs w:val="21"/>
              </w:rPr>
            </w:pPr>
            <w:r>
              <w:rPr>
                <w:rFonts w:hint="eastAsia"/>
                <w:color w:val="000000"/>
                <w:kern w:val="0"/>
                <w:sz w:val="21"/>
                <w:szCs w:val="21"/>
                <w:lang w:val="en-US" w:eastAsia="zh-CN" w:bidi="ar"/>
              </w:rPr>
              <w:t>电压互感器</w:t>
            </w: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3</w:t>
            </w:r>
            <w:r>
              <w:rPr>
                <w:rFonts w:hint="eastAsia" w:ascii="宋体" w:hAnsi="宋体" w:cs="宋体"/>
                <w:color w:val="000000"/>
                <w:kern w:val="0"/>
                <w:sz w:val="21"/>
                <w:szCs w:val="21"/>
                <w:lang w:bidi="ar"/>
              </w:rPr>
              <w:t>.1</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bookmarkStart w:id="5" w:name="OLE_LINK69"/>
            <w:r>
              <w:rPr>
                <w:rFonts w:hint="eastAsia"/>
                <w:color w:val="000000"/>
                <w:kern w:val="0"/>
                <w:sz w:val="21"/>
                <w:szCs w:val="21"/>
                <w:lang w:val="en-US" w:eastAsia="zh-CN" w:bidi="ar"/>
              </w:rPr>
              <w:t>绝缘试验</w:t>
            </w:r>
            <w:bookmarkEnd w:id="5"/>
          </w:p>
        </w:tc>
        <w:tc>
          <w:tcPr>
            <w:tcW w:w="5113" w:type="dxa"/>
            <w:vMerge w:val="restart"/>
            <w:tcBorders>
              <w:top w:val="single" w:color="auto" w:sz="4" w:space="0"/>
              <w:left w:val="nil"/>
              <w:right w:val="single" w:color="auto" w:sz="4" w:space="0"/>
            </w:tcBorders>
            <w:noWrap w:val="0"/>
            <w:vAlign w:val="center"/>
          </w:tcPr>
          <w:p>
            <w:pPr>
              <w:widowControl/>
              <w:jc w:val="left"/>
              <w:rPr>
                <w:rFonts w:hint="eastAsia" w:ascii="宋体" w:hAnsi="宋体" w:eastAsia="宋体" w:cs="Times New Roman"/>
                <w:sz w:val="21"/>
                <w:szCs w:val="21"/>
              </w:rPr>
            </w:pPr>
            <w:bookmarkStart w:id="6" w:name="OLE_LINK74"/>
            <w:r>
              <w:rPr>
                <w:rFonts w:hint="eastAsia"/>
                <w:sz w:val="21"/>
                <w:szCs w:val="21"/>
                <w:lang w:eastAsia="zh-CN"/>
              </w:rPr>
              <w:t>《</w:t>
            </w:r>
            <w:r>
              <w:rPr>
                <w:rFonts w:hint="eastAsia"/>
                <w:sz w:val="21"/>
                <w:szCs w:val="21"/>
                <w:lang w:val="en-US" w:eastAsia="zh-CN"/>
              </w:rPr>
              <w:t>电能计量装置现场校验规程</w:t>
            </w:r>
            <w:r>
              <w:rPr>
                <w:rFonts w:hint="eastAsia"/>
                <w:sz w:val="21"/>
                <w:szCs w:val="21"/>
                <w:lang w:eastAsia="zh-CN"/>
              </w:rPr>
              <w:t>》</w:t>
            </w:r>
            <w:r>
              <w:rPr>
                <w:rFonts w:hint="eastAsia"/>
                <w:sz w:val="21"/>
                <w:szCs w:val="21"/>
                <w:lang w:val="en-US" w:eastAsia="zh-CN"/>
              </w:rPr>
              <w:t>DL/T1664-2016</w:t>
            </w:r>
            <w:bookmarkEnd w:id="6"/>
          </w:p>
        </w:tc>
        <w:tc>
          <w:tcPr>
            <w:tcW w:w="1299" w:type="dxa"/>
            <w:vMerge w:val="restart"/>
            <w:tcBorders>
              <w:top w:val="single" w:color="auto" w:sz="4" w:space="0"/>
              <w:left w:val="nil"/>
              <w:right w:val="single" w:color="auto" w:sz="4" w:space="0"/>
            </w:tcBorders>
            <w:noWrap w:val="0"/>
            <w:vAlign w:val="center"/>
          </w:tcPr>
          <w:p>
            <w:pPr>
              <w:widowControl/>
              <w:jc w:val="center"/>
              <w:textAlignment w:val="center"/>
              <w:rPr>
                <w:rFonts w:hint="default"/>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w:t>
            </w:r>
            <w:bookmarkStart w:id="7" w:name="OLE_LINK41"/>
            <w:r>
              <w:rPr>
                <w:rFonts w:ascii="宋体" w:hAnsi="宋体"/>
                <w:szCs w:val="21"/>
              </w:rPr>
              <w:t>50</w:t>
            </w:r>
            <w:r>
              <w:rPr>
                <w:rFonts w:ascii="宋体" w:hAnsi="宋体" w:eastAsia="宋体" w:cs="Times New Roman"/>
                <w:szCs w:val="21"/>
              </w:rPr>
              <w:t>0</w:t>
            </w:r>
            <w:r>
              <w:rPr>
                <w:rFonts w:hint="eastAsia" w:ascii="宋体" w:hAnsi="宋体" w:eastAsia="宋体" w:cs="Times New Roman"/>
                <w:szCs w:val="21"/>
              </w:rPr>
              <w:t>/</w:t>
            </w:r>
            <w:r>
              <w:rPr>
                <w:rFonts w:ascii="宋体" w:hAnsi="宋体" w:eastAsia="宋体" w:cs="Times New Roman"/>
                <w:szCs w:val="21"/>
              </w:rPr>
              <w:t>√</w:t>
            </w:r>
            <w:r>
              <w:rPr>
                <w:rFonts w:hint="eastAsia" w:ascii="宋体" w:hAnsi="宋体" w:eastAsia="宋体" w:cs="Times New Roman"/>
                <w:szCs w:val="21"/>
              </w:rPr>
              <w:t>3</w:t>
            </w:r>
            <w:bookmarkEnd w:id="7"/>
            <w:r>
              <w:rPr>
                <w:rFonts w:hint="eastAsia" w:ascii="宋体" w:hAnsi="宋体" w:eastAsia="宋体" w:cs="Times New Roman"/>
                <w:szCs w:val="21"/>
                <w:lang w:val="en-US" w:eastAsia="zh-CN"/>
              </w:rPr>
              <w:t>）</w:t>
            </w:r>
            <w:r>
              <w:rPr>
                <w:rFonts w:hint="eastAsia"/>
                <w:color w:val="000000"/>
                <w:kern w:val="0"/>
                <w:sz w:val="21"/>
                <w:szCs w:val="21"/>
                <w:lang w:val="en-US" w:eastAsia="zh-CN" w:bidi="ar"/>
              </w:rPr>
              <w:t>kV及以下</w:t>
            </w:r>
          </w:p>
          <w:p>
            <w:pPr>
              <w:widowControl/>
              <w:jc w:val="left"/>
              <w:rPr>
                <w:rFonts w:hint="eastAsia" w:ascii="宋体" w:hAnsi="宋体" w:eastAsia="宋体" w:cs="Times New Roman"/>
                <w:sz w:val="21"/>
                <w:szCs w:val="21"/>
              </w:rPr>
            </w:pPr>
          </w:p>
        </w:tc>
        <w:tc>
          <w:tcPr>
            <w:tcW w:w="426" w:type="dxa"/>
            <w:vMerge w:val="restart"/>
            <w:tcBorders>
              <w:top w:val="single" w:color="auto" w:sz="4" w:space="0"/>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5"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right w:val="single" w:color="auto" w:sz="4" w:space="0"/>
            </w:tcBorders>
            <w:noWrap w:val="0"/>
            <w:vAlign w:val="center"/>
          </w:tcPr>
          <w:p>
            <w:pPr>
              <w:widowControl/>
              <w:jc w:val="left"/>
              <w:rPr>
                <w:rFonts w:ascii="宋体" w:hAnsi="宋体" w:eastAsia="宋体" w:cs="Times New Roman"/>
                <w:sz w:val="21"/>
                <w:szCs w:val="21"/>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3.2</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bookmarkStart w:id="8" w:name="OLE_LINK70"/>
            <w:r>
              <w:rPr>
                <w:rFonts w:hint="eastAsia"/>
                <w:color w:val="000000"/>
                <w:kern w:val="0"/>
                <w:sz w:val="21"/>
                <w:szCs w:val="21"/>
                <w:lang w:val="en-US" w:eastAsia="zh-CN" w:bidi="ar"/>
              </w:rPr>
              <w:t>绕组极性检查</w:t>
            </w:r>
            <w:bookmarkEnd w:id="8"/>
          </w:p>
        </w:tc>
        <w:tc>
          <w:tcPr>
            <w:tcW w:w="5113"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88"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right w:val="single" w:color="auto" w:sz="4" w:space="0"/>
            </w:tcBorders>
            <w:noWrap w:val="0"/>
            <w:vAlign w:val="center"/>
          </w:tcPr>
          <w:p>
            <w:pPr>
              <w:widowControl/>
              <w:jc w:val="left"/>
              <w:rPr>
                <w:rFonts w:ascii="宋体" w:hAnsi="宋体" w:eastAsia="宋体" w:cs="Times New Roman"/>
                <w:sz w:val="21"/>
                <w:szCs w:val="21"/>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3.3</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bookmarkStart w:id="9" w:name="OLE_LINK71"/>
            <w:r>
              <w:rPr>
                <w:rFonts w:hint="eastAsia"/>
                <w:color w:val="000000"/>
                <w:kern w:val="0"/>
                <w:sz w:val="21"/>
                <w:szCs w:val="21"/>
                <w:lang w:val="en-US" w:eastAsia="zh-CN" w:bidi="ar"/>
              </w:rPr>
              <w:t>基本误差测量</w:t>
            </w:r>
            <w:bookmarkEnd w:id="9"/>
          </w:p>
        </w:tc>
        <w:tc>
          <w:tcPr>
            <w:tcW w:w="5113"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208"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bottom w:val="single" w:color="auto" w:sz="4" w:space="0"/>
              <w:right w:val="single" w:color="auto" w:sz="4" w:space="0"/>
            </w:tcBorders>
            <w:noWrap w:val="0"/>
            <w:vAlign w:val="center"/>
          </w:tcPr>
          <w:p>
            <w:pPr>
              <w:widowControl/>
              <w:jc w:val="left"/>
              <w:rPr>
                <w:rFonts w:ascii="宋体" w:hAnsi="宋体" w:eastAsia="宋体" w:cs="Times New Roman"/>
                <w:sz w:val="21"/>
                <w:szCs w:val="21"/>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3.4</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color w:val="000000"/>
                <w:kern w:val="0"/>
                <w:sz w:val="21"/>
                <w:szCs w:val="21"/>
                <w:lang w:val="en-US" w:eastAsia="zh-CN" w:bidi="ar"/>
              </w:rPr>
              <w:t>稳定性试验</w:t>
            </w:r>
          </w:p>
        </w:tc>
        <w:tc>
          <w:tcPr>
            <w:tcW w:w="5113"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201"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bottom w:val="single" w:color="auto" w:sz="4" w:space="0"/>
              <w:right w:val="single" w:color="auto" w:sz="4" w:space="0"/>
            </w:tcBorders>
            <w:noWrap w:val="0"/>
            <w:vAlign w:val="center"/>
          </w:tcPr>
          <w:p>
            <w:pPr>
              <w:widowControl/>
              <w:jc w:val="left"/>
              <w:rPr>
                <w:rFonts w:ascii="宋体" w:hAnsi="宋体" w:eastAsia="宋体" w:cs="Times New Roman"/>
                <w:sz w:val="21"/>
                <w:szCs w:val="21"/>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3.5</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bookmarkStart w:id="10" w:name="OLE_LINK72"/>
            <w:r>
              <w:rPr>
                <w:rFonts w:hint="eastAsia"/>
                <w:color w:val="000000"/>
                <w:kern w:val="0"/>
                <w:sz w:val="21"/>
                <w:szCs w:val="21"/>
                <w:lang w:val="en-US" w:eastAsia="zh-CN" w:bidi="ar"/>
              </w:rPr>
              <w:t>二次回路压降测量</w:t>
            </w:r>
            <w:bookmarkEnd w:id="10"/>
          </w:p>
        </w:tc>
        <w:tc>
          <w:tcPr>
            <w:tcW w:w="5113"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232"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bottom w:val="single" w:color="auto" w:sz="4" w:space="0"/>
              <w:right w:val="single" w:color="auto" w:sz="4" w:space="0"/>
            </w:tcBorders>
            <w:noWrap w:val="0"/>
            <w:vAlign w:val="center"/>
          </w:tcPr>
          <w:p>
            <w:pPr>
              <w:widowControl/>
              <w:jc w:val="left"/>
              <w:rPr>
                <w:rFonts w:ascii="宋体" w:hAnsi="宋体" w:eastAsia="宋体" w:cs="Times New Roman"/>
                <w:sz w:val="21"/>
                <w:szCs w:val="21"/>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3.6</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bookmarkStart w:id="11" w:name="OLE_LINK73"/>
            <w:r>
              <w:rPr>
                <w:rFonts w:hint="eastAsia"/>
                <w:color w:val="000000"/>
                <w:kern w:val="0"/>
                <w:sz w:val="21"/>
                <w:szCs w:val="21"/>
                <w:lang w:val="en-US" w:eastAsia="zh-CN" w:bidi="ar"/>
              </w:rPr>
              <w:t>二次实际负荷测量</w:t>
            </w:r>
            <w:bookmarkEnd w:id="11"/>
          </w:p>
        </w:tc>
        <w:tc>
          <w:tcPr>
            <w:tcW w:w="5113"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277" w:hRule="atLeast"/>
          <w:jc w:val="center"/>
        </w:trPr>
        <w:tc>
          <w:tcPr>
            <w:tcW w:w="591" w:type="dxa"/>
            <w:vMerge w:val="restart"/>
            <w:tcBorders>
              <w:top w:val="single" w:color="auto" w:sz="4" w:space="0"/>
              <w:left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4</w:t>
            </w:r>
          </w:p>
        </w:tc>
        <w:tc>
          <w:tcPr>
            <w:tcW w:w="1102" w:type="dxa"/>
            <w:vMerge w:val="restart"/>
            <w:tcBorders>
              <w:top w:val="single" w:color="auto" w:sz="4" w:space="0"/>
              <w:left w:val="nil"/>
              <w:right w:val="single" w:color="auto" w:sz="4" w:space="0"/>
            </w:tcBorders>
            <w:noWrap w:val="0"/>
            <w:vAlign w:val="center"/>
          </w:tcPr>
          <w:p>
            <w:pPr>
              <w:widowControl/>
              <w:jc w:val="center"/>
              <w:textAlignment w:val="center"/>
              <w:rPr>
                <w:rFonts w:ascii="宋体" w:hAnsi="宋体" w:eastAsia="宋体" w:cs="Times New Roman"/>
                <w:sz w:val="21"/>
                <w:szCs w:val="21"/>
              </w:rPr>
            </w:pPr>
            <w:r>
              <w:rPr>
                <w:rFonts w:hint="eastAsia"/>
                <w:color w:val="000000"/>
                <w:kern w:val="0"/>
                <w:sz w:val="21"/>
                <w:szCs w:val="21"/>
                <w:lang w:val="en-US" w:eastAsia="zh-CN" w:bidi="ar"/>
              </w:rPr>
              <w:t>电流互感器</w:t>
            </w: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4.1</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color w:val="000000"/>
                <w:kern w:val="0"/>
                <w:sz w:val="21"/>
                <w:szCs w:val="21"/>
                <w:lang w:val="en-US" w:eastAsia="zh-CN" w:bidi="ar"/>
              </w:rPr>
              <w:t>绝缘试验</w:t>
            </w:r>
          </w:p>
        </w:tc>
        <w:tc>
          <w:tcPr>
            <w:tcW w:w="5113" w:type="dxa"/>
            <w:vMerge w:val="restart"/>
            <w:tcBorders>
              <w:top w:val="single" w:color="auto" w:sz="4" w:space="0"/>
              <w:left w:val="nil"/>
              <w:right w:val="single" w:color="auto" w:sz="4" w:space="0"/>
            </w:tcBorders>
            <w:noWrap w:val="0"/>
            <w:vAlign w:val="center"/>
          </w:tcPr>
          <w:p>
            <w:pPr>
              <w:widowControl/>
              <w:jc w:val="left"/>
              <w:rPr>
                <w:rFonts w:hint="eastAsia" w:ascii="宋体" w:hAnsi="宋体" w:eastAsia="宋体" w:cs="Times New Roman"/>
                <w:sz w:val="21"/>
                <w:szCs w:val="21"/>
              </w:rPr>
            </w:pPr>
            <w:r>
              <w:rPr>
                <w:rFonts w:hint="eastAsia"/>
                <w:sz w:val="21"/>
                <w:szCs w:val="21"/>
                <w:lang w:eastAsia="zh-CN"/>
              </w:rPr>
              <w:t>《</w:t>
            </w:r>
            <w:r>
              <w:rPr>
                <w:rFonts w:hint="eastAsia"/>
                <w:sz w:val="21"/>
                <w:szCs w:val="21"/>
                <w:lang w:val="en-US" w:eastAsia="zh-CN"/>
              </w:rPr>
              <w:t>电能计量装置现场校验规程</w:t>
            </w:r>
            <w:r>
              <w:rPr>
                <w:rFonts w:hint="eastAsia"/>
                <w:sz w:val="21"/>
                <w:szCs w:val="21"/>
                <w:lang w:eastAsia="zh-CN"/>
              </w:rPr>
              <w:t>》</w:t>
            </w:r>
            <w:r>
              <w:rPr>
                <w:rFonts w:hint="eastAsia"/>
                <w:sz w:val="21"/>
                <w:szCs w:val="21"/>
                <w:lang w:val="en-US" w:eastAsia="zh-CN"/>
              </w:rPr>
              <w:t>DL/T1664-2016</w:t>
            </w:r>
          </w:p>
        </w:tc>
        <w:tc>
          <w:tcPr>
            <w:tcW w:w="1299" w:type="dxa"/>
            <w:vMerge w:val="restart"/>
            <w:tcBorders>
              <w:top w:val="single" w:color="auto" w:sz="4" w:space="0"/>
              <w:left w:val="nil"/>
              <w:right w:val="single" w:color="auto" w:sz="4" w:space="0"/>
            </w:tcBorders>
            <w:noWrap w:val="0"/>
            <w:vAlign w:val="center"/>
          </w:tcPr>
          <w:p>
            <w:pPr>
              <w:widowControl/>
              <w:jc w:val="left"/>
              <w:rPr>
                <w:rFonts w:hint="eastAsia" w:ascii="宋体" w:hAnsi="宋体" w:eastAsia="宋体" w:cs="Times New Roman"/>
                <w:sz w:val="21"/>
                <w:szCs w:val="21"/>
              </w:rPr>
            </w:pPr>
            <w:r>
              <w:rPr>
                <w:rFonts w:hint="eastAsia"/>
                <w:color w:val="000000"/>
                <w:kern w:val="0"/>
                <w:sz w:val="21"/>
                <w:szCs w:val="21"/>
                <w:lang w:val="en-US" w:eastAsia="zh-CN" w:bidi="ar"/>
              </w:rPr>
              <w:t>0-4000A/5A、1A及以下</w:t>
            </w:r>
          </w:p>
        </w:tc>
        <w:tc>
          <w:tcPr>
            <w:tcW w:w="426" w:type="dxa"/>
            <w:vMerge w:val="restart"/>
            <w:tcBorders>
              <w:top w:val="single" w:color="auto" w:sz="4" w:space="0"/>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303"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4.2</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color w:val="000000"/>
                <w:kern w:val="0"/>
                <w:sz w:val="21"/>
                <w:szCs w:val="21"/>
                <w:lang w:val="en-US" w:eastAsia="zh-CN" w:bidi="ar"/>
              </w:rPr>
              <w:t>绕组极性检查</w:t>
            </w:r>
          </w:p>
        </w:tc>
        <w:tc>
          <w:tcPr>
            <w:tcW w:w="5113"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222"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4.3</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color w:val="000000"/>
                <w:kern w:val="0"/>
                <w:sz w:val="21"/>
                <w:szCs w:val="21"/>
                <w:lang w:val="en-US" w:eastAsia="zh-CN" w:bidi="ar"/>
              </w:rPr>
              <w:t>基本误差测量</w:t>
            </w:r>
          </w:p>
        </w:tc>
        <w:tc>
          <w:tcPr>
            <w:tcW w:w="5113"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72"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4.4</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color w:val="000000"/>
                <w:kern w:val="0"/>
                <w:sz w:val="21"/>
                <w:szCs w:val="21"/>
                <w:lang w:val="en-US" w:eastAsia="zh-CN" w:bidi="ar"/>
              </w:rPr>
              <w:t>稳定性试验</w:t>
            </w:r>
          </w:p>
        </w:tc>
        <w:tc>
          <w:tcPr>
            <w:tcW w:w="5113"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ascii="宋体" w:hAnsi="宋体" w:cs="宋体"/>
                <w:color w:val="000000"/>
                <w:kern w:val="0"/>
                <w:sz w:val="21"/>
                <w:szCs w:val="21"/>
                <w:lang w:val="en-US" w:eastAsia="zh-CN" w:bidi="ar"/>
              </w:rPr>
              <w:t>4.5</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rPr>
            </w:pPr>
            <w:r>
              <w:rPr>
                <w:rFonts w:hint="eastAsia"/>
                <w:color w:val="000000"/>
                <w:kern w:val="0"/>
                <w:sz w:val="21"/>
                <w:szCs w:val="21"/>
                <w:lang w:val="en-US" w:eastAsia="zh-CN" w:bidi="ar"/>
              </w:rPr>
              <w:t>二次实际负荷测量</w:t>
            </w:r>
          </w:p>
        </w:tc>
        <w:tc>
          <w:tcPr>
            <w:tcW w:w="5113"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1299"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tcBorders>
              <w:left w:val="single" w:color="auto" w:sz="4" w:space="0"/>
              <w:bottom w:val="single" w:color="auto" w:sz="4" w:space="0"/>
              <w:right w:val="single" w:color="auto" w:sz="4" w:space="0"/>
            </w:tcBorders>
            <w:noWrap w:val="0"/>
            <w:vAlign w:val="center"/>
          </w:tcPr>
          <w:p>
            <w:pPr>
              <w:widowControl/>
              <w:jc w:val="left"/>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三</w:t>
            </w:r>
          </w:p>
        </w:tc>
        <w:tc>
          <w:tcPr>
            <w:tcW w:w="9909" w:type="dxa"/>
            <w:gridSpan w:val="6"/>
            <w:tcBorders>
              <w:left w:val="nil"/>
              <w:bottom w:val="single" w:color="auto" w:sz="4" w:space="0"/>
              <w:right w:val="single" w:color="auto" w:sz="4" w:space="0"/>
            </w:tcBorders>
            <w:noWrap w:val="0"/>
            <w:vAlign w:val="center"/>
          </w:tcPr>
          <w:p>
            <w:pPr>
              <w:widowControl/>
              <w:jc w:val="cente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油化</w:t>
            </w:r>
          </w:p>
        </w:tc>
      </w:tr>
      <w:tr>
        <w:tblPrEx>
          <w:tblCellMar>
            <w:top w:w="0" w:type="dxa"/>
            <w:left w:w="108" w:type="dxa"/>
            <w:bottom w:w="0" w:type="dxa"/>
            <w:right w:w="108" w:type="dxa"/>
          </w:tblCellMar>
        </w:tblPrEx>
        <w:trPr>
          <w:cantSplit/>
          <w:trHeight w:val="137" w:hRule="atLeast"/>
          <w:jc w:val="center"/>
        </w:trPr>
        <w:tc>
          <w:tcPr>
            <w:tcW w:w="591" w:type="dxa"/>
            <w:vMerge w:val="restart"/>
            <w:tcBorders>
              <w:top w:val="single" w:color="auto" w:sz="4" w:space="0"/>
              <w:left w:val="single" w:color="auto" w:sz="4" w:space="0"/>
              <w:right w:val="single" w:color="auto" w:sz="4" w:space="0"/>
            </w:tcBorders>
            <w:noWrap w:val="0"/>
            <w:vAlign w:val="center"/>
          </w:tcPr>
          <w:p>
            <w:pPr>
              <w:widowControl/>
              <w:jc w:val="left"/>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5</w:t>
            </w:r>
          </w:p>
        </w:tc>
        <w:tc>
          <w:tcPr>
            <w:tcW w:w="1102" w:type="dxa"/>
            <w:vMerge w:val="restart"/>
            <w:tcBorders>
              <w:top w:val="single" w:color="auto" w:sz="4" w:space="0"/>
              <w:left w:val="nil"/>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r>
              <w:rPr>
                <w:rFonts w:hint="eastAsia"/>
                <w:color w:val="000000"/>
                <w:kern w:val="0"/>
                <w:sz w:val="21"/>
                <w:szCs w:val="21"/>
                <w:lang w:val="en-US" w:eastAsia="zh-CN" w:bidi="ar"/>
              </w:rPr>
              <w:t>电力用油</w:t>
            </w: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5.1</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bookmarkStart w:id="12" w:name="OLE_LINK62"/>
            <w:r>
              <w:rPr>
                <w:rFonts w:hint="eastAsia" w:ascii="宋体" w:hAnsi="宋体" w:cs="宋体"/>
                <w:color w:val="000000"/>
                <w:kern w:val="0"/>
                <w:sz w:val="21"/>
                <w:szCs w:val="21"/>
                <w:lang w:val="en-US" w:eastAsia="zh-CN" w:bidi="ar"/>
              </w:rPr>
              <w:t>密度</w:t>
            </w:r>
            <w:bookmarkEnd w:id="12"/>
          </w:p>
        </w:tc>
        <w:tc>
          <w:tcPr>
            <w:tcW w:w="5113"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原油和液体石油产品密度实验室测定法（密度计法）</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GB/T1884-2000</w:t>
            </w:r>
          </w:p>
        </w:tc>
        <w:tc>
          <w:tcPr>
            <w:tcW w:w="1299" w:type="dxa"/>
            <w:vMerge w:val="restart"/>
            <w:tcBorders>
              <w:top w:val="single" w:color="auto" w:sz="4" w:space="0"/>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restart"/>
            <w:tcBorders>
              <w:top w:val="single" w:color="auto" w:sz="4" w:space="0"/>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lang w:val="en-US" w:eastAsia="zh-CN"/>
              </w:rPr>
            </w:pPr>
          </w:p>
        </w:tc>
        <w:tc>
          <w:tcPr>
            <w:tcW w:w="1102" w:type="dxa"/>
            <w:vMerge w:val="continue"/>
            <w:tcBorders>
              <w:left w:val="nil"/>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default"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5.2</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r>
              <w:rPr>
                <w:rFonts w:hint="eastAsia" w:ascii="宋体" w:hAnsi="宋体" w:cs="宋体"/>
                <w:color w:val="000000"/>
                <w:kern w:val="0"/>
                <w:sz w:val="21"/>
                <w:szCs w:val="21"/>
                <w:lang w:val="en-US" w:eastAsia="zh-CN" w:bidi="ar"/>
              </w:rPr>
              <w:t>倾点</w:t>
            </w:r>
          </w:p>
        </w:tc>
        <w:tc>
          <w:tcPr>
            <w:tcW w:w="5113"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石油产品倾点测定法</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GB/T3525-2006</w:t>
            </w:r>
          </w:p>
        </w:tc>
        <w:tc>
          <w:tcPr>
            <w:tcW w:w="1299" w:type="dxa"/>
            <w:vMerge w:val="continue"/>
            <w:tcBorders>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vMerge w:val="continue"/>
            <w:tcBorders>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tcBorders>
              <w:left w:val="single" w:color="auto" w:sz="4" w:space="0"/>
              <w:bottom w:val="single" w:color="auto" w:sz="4" w:space="0"/>
              <w:right w:val="single" w:color="auto" w:sz="4" w:space="0"/>
            </w:tcBorders>
            <w:noWrap w:val="0"/>
            <w:vAlign w:val="center"/>
          </w:tcPr>
          <w:p>
            <w:pPr>
              <w:widowControl/>
              <w:jc w:val="left"/>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四</w:t>
            </w:r>
          </w:p>
        </w:tc>
        <w:tc>
          <w:tcPr>
            <w:tcW w:w="9909" w:type="dxa"/>
            <w:gridSpan w:val="6"/>
            <w:tcBorders>
              <w:left w:val="nil"/>
              <w:bottom w:val="single" w:color="auto" w:sz="4" w:space="0"/>
              <w:right w:val="single" w:color="auto" w:sz="4" w:space="0"/>
            </w:tcBorders>
            <w:noWrap w:val="0"/>
            <w:vAlign w:val="center"/>
          </w:tcPr>
          <w:p>
            <w:pPr>
              <w:widowControl/>
              <w:jc w:val="center"/>
              <w:rPr>
                <w:rFonts w:ascii="宋体" w:hAnsi="宋体" w:eastAsia="宋体" w:cs="Times New Roman"/>
                <w:szCs w:val="21"/>
              </w:rPr>
            </w:pPr>
            <w:r>
              <w:rPr>
                <w:rFonts w:hint="eastAsia" w:ascii="宋体" w:hAnsi="宋体"/>
                <w:sz w:val="24"/>
              </w:rPr>
              <w:t>电力安全工器具</w:t>
            </w:r>
            <w:r>
              <w:rPr>
                <w:rFonts w:hint="eastAsia" w:ascii="宋体" w:hAnsi="宋体"/>
                <w:sz w:val="24"/>
                <w:lang w:val="en-US" w:eastAsia="zh-CN"/>
              </w:rPr>
              <w:t>绝缘</w:t>
            </w:r>
            <w:r>
              <w:rPr>
                <w:rFonts w:hint="eastAsia" w:ascii="宋体" w:hAnsi="宋体"/>
                <w:sz w:val="24"/>
              </w:rPr>
              <w:t>试验</w:t>
            </w:r>
          </w:p>
        </w:tc>
      </w:tr>
      <w:tr>
        <w:tblPrEx>
          <w:tblCellMar>
            <w:top w:w="0" w:type="dxa"/>
            <w:left w:w="108" w:type="dxa"/>
            <w:bottom w:w="0" w:type="dxa"/>
            <w:right w:w="108" w:type="dxa"/>
          </w:tblCellMar>
        </w:tblPrEx>
        <w:trPr>
          <w:cantSplit/>
          <w:trHeight w:val="137" w:hRule="atLeast"/>
          <w:jc w:val="center"/>
        </w:trPr>
        <w:tc>
          <w:tcPr>
            <w:tcW w:w="591" w:type="dxa"/>
            <w:tcBorders>
              <w:top w:val="single" w:color="auto" w:sz="4" w:space="0"/>
              <w:left w:val="single" w:color="auto" w:sz="4" w:space="0"/>
              <w:right w:val="single" w:color="auto" w:sz="4" w:space="0"/>
            </w:tcBorders>
            <w:noWrap w:val="0"/>
            <w:vAlign w:val="center"/>
          </w:tcPr>
          <w:p>
            <w:pPr>
              <w:widowControl/>
              <w:jc w:val="left"/>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6</w:t>
            </w:r>
          </w:p>
        </w:tc>
        <w:tc>
          <w:tcPr>
            <w:tcW w:w="1102" w:type="dxa"/>
            <w:tcBorders>
              <w:top w:val="single" w:color="auto" w:sz="4" w:space="0"/>
              <w:left w:val="nil"/>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r>
              <w:rPr>
                <w:rFonts w:hint="eastAsia" w:ascii="宋体" w:hAnsi="宋体" w:eastAsia="宋体" w:cs="Times New Roman"/>
                <w:szCs w:val="21"/>
                <w:lang w:val="en-US" w:eastAsia="zh-CN"/>
              </w:rPr>
              <w:t>辅助型绝缘手套</w:t>
            </w: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6.1</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工频耐压及泄漏电流测试</w:t>
            </w:r>
          </w:p>
        </w:tc>
        <w:tc>
          <w:tcPr>
            <w:tcW w:w="5113" w:type="dxa"/>
            <w:tcBorders>
              <w:top w:val="single" w:color="auto" w:sz="4" w:space="0"/>
              <w:left w:val="nil"/>
              <w:right w:val="single" w:color="auto" w:sz="4" w:space="0"/>
            </w:tcBorders>
            <w:noWrap w:val="0"/>
            <w:vAlign w:val="center"/>
          </w:tcPr>
          <w:p>
            <w:pPr>
              <w:widowControl/>
              <w:snapToGrid w:val="0"/>
              <w:spacing w:before="100" w:beforeAutospacing="1" w:after="100" w:afterAutospacing="1"/>
              <w:rPr>
                <w:rFonts w:hint="default" w:ascii="宋体" w:hAnsi="宋体" w:eastAsia="宋体" w:cs="Times New Roman"/>
                <w:sz w:val="21"/>
                <w:szCs w:val="21"/>
                <w:lang w:val="en-US"/>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tcBorders>
              <w:top w:val="single" w:color="auto" w:sz="4" w:space="0"/>
              <w:left w:val="single" w:color="auto" w:sz="4" w:space="0"/>
              <w:right w:val="single" w:color="auto" w:sz="4" w:space="0"/>
            </w:tcBorders>
            <w:noWrap w:val="0"/>
            <w:vAlign w:val="center"/>
          </w:tcPr>
          <w:p>
            <w:pPr>
              <w:widowControl/>
              <w:jc w:val="left"/>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7</w:t>
            </w:r>
          </w:p>
        </w:tc>
        <w:tc>
          <w:tcPr>
            <w:tcW w:w="1102" w:type="dxa"/>
            <w:tcBorders>
              <w:top w:val="single" w:color="auto" w:sz="4" w:space="0"/>
              <w:left w:val="nil"/>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r>
              <w:rPr>
                <w:rFonts w:hint="eastAsia" w:ascii="宋体" w:hAnsi="宋体" w:eastAsia="宋体" w:cs="Times New Roman"/>
                <w:szCs w:val="21"/>
                <w:lang w:val="en-US" w:eastAsia="zh-CN"/>
              </w:rPr>
              <w:t>辅助型绝缘靴</w:t>
            </w: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default" w:ascii="宋体" w:hAnsi="宋体" w:cs="宋体"/>
                <w:color w:val="000000"/>
                <w:kern w:val="0"/>
                <w:sz w:val="21"/>
                <w:szCs w:val="21"/>
                <w:lang w:val="en-US" w:eastAsia="zh-CN" w:bidi="ar"/>
              </w:rPr>
            </w:pPr>
            <w:r>
              <w:rPr>
                <w:rFonts w:hint="eastAsia" w:ascii="宋体" w:hAnsi="宋体" w:eastAsia="宋体" w:cs="Times New Roman"/>
                <w:szCs w:val="21"/>
                <w:lang w:val="en-US" w:eastAsia="zh-CN"/>
              </w:rPr>
              <w:t>7.1</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工频耐压及泄漏电流测试</w:t>
            </w:r>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 w:val="21"/>
                <w:szCs w:val="21"/>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restart"/>
            <w:tcBorders>
              <w:top w:val="single" w:color="auto" w:sz="4" w:space="0"/>
              <w:left w:val="single" w:color="auto" w:sz="4" w:space="0"/>
              <w:right w:val="single" w:color="auto" w:sz="4" w:space="0"/>
            </w:tcBorders>
            <w:noWrap w:val="0"/>
            <w:vAlign w:val="center"/>
          </w:tcPr>
          <w:p>
            <w:pPr>
              <w:widowControl/>
              <w:jc w:val="center"/>
              <w:textAlignment w:val="center"/>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8</w:t>
            </w:r>
          </w:p>
        </w:tc>
        <w:tc>
          <w:tcPr>
            <w:tcW w:w="1102" w:type="dxa"/>
            <w:vMerge w:val="restart"/>
            <w:tcBorders>
              <w:top w:val="single" w:color="auto" w:sz="4" w:space="0"/>
              <w:left w:val="nil"/>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bookmarkStart w:id="13" w:name="OLE_LINK63"/>
            <w:r>
              <w:rPr>
                <w:rFonts w:hint="eastAsia" w:ascii="宋体" w:hAnsi="宋体" w:eastAsia="宋体" w:cs="Times New Roman"/>
                <w:szCs w:val="21"/>
                <w:lang w:val="en-US" w:eastAsia="zh-CN"/>
              </w:rPr>
              <w:t>六氟化硫气体密度继电器</w:t>
            </w:r>
            <w:bookmarkEnd w:id="13"/>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8.1</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示值误差、回程误差和轻敲位移</w:t>
            </w:r>
          </w:p>
        </w:tc>
        <w:tc>
          <w:tcPr>
            <w:tcW w:w="5113"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Times New Roman"/>
                <w:sz w:val="21"/>
                <w:szCs w:val="21"/>
              </w:rPr>
            </w:pPr>
            <w:r>
              <w:rPr>
                <w:rFonts w:hint="eastAsia" w:ascii="宋体" w:hAnsi="宋体" w:eastAsia="宋体" w:cs="Times New Roman"/>
                <w:szCs w:val="21"/>
                <w:lang w:val="en-US" w:eastAsia="zh-CN"/>
              </w:rPr>
              <w:t>《六氟化硫气体密度继电器校验规程》DL/T259-2023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right w:val="single" w:color="auto" w:sz="4" w:space="0"/>
            </w:tcBorders>
            <w:noWrap w:val="0"/>
            <w:vAlign w:val="center"/>
          </w:tcPr>
          <w:p>
            <w:pPr>
              <w:widowControl/>
              <w:jc w:val="left"/>
              <w:rPr>
                <w:rFonts w:hint="default" w:ascii="宋体" w:hAnsi="宋体" w:eastAsia="宋体" w:cs="Times New Roman"/>
                <w:sz w:val="21"/>
                <w:szCs w:val="21"/>
                <w:lang w:val="en-US" w:eastAsia="zh-CN"/>
              </w:rPr>
            </w:pPr>
          </w:p>
        </w:tc>
        <w:tc>
          <w:tcPr>
            <w:tcW w:w="1102" w:type="dxa"/>
            <w:vMerge w:val="continue"/>
            <w:tcBorders>
              <w:left w:val="nil"/>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8.2</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触点动作值误差、切换值误差</w:t>
            </w:r>
          </w:p>
        </w:tc>
        <w:tc>
          <w:tcPr>
            <w:tcW w:w="5113"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r>
              <w:rPr>
                <w:rFonts w:hint="eastAsia" w:ascii="宋体" w:hAnsi="宋体" w:eastAsia="宋体" w:cs="Times New Roman"/>
                <w:szCs w:val="21"/>
                <w:lang w:val="en-US" w:eastAsia="zh-CN"/>
              </w:rPr>
              <w:t>《六氟化硫气体密度继电器校验规程》DL/T259-2023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lang w:val="en-US" w:eastAsia="zh-CN"/>
              </w:rPr>
            </w:pPr>
          </w:p>
        </w:tc>
        <w:tc>
          <w:tcPr>
            <w:tcW w:w="1102" w:type="dxa"/>
            <w:vMerge w:val="continue"/>
            <w:tcBorders>
              <w:left w:val="nil"/>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8.3</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绝缘电阻</w:t>
            </w:r>
          </w:p>
        </w:tc>
        <w:tc>
          <w:tcPr>
            <w:tcW w:w="5113"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r>
              <w:rPr>
                <w:rFonts w:hint="eastAsia" w:ascii="宋体" w:hAnsi="宋体" w:eastAsia="宋体" w:cs="Times New Roman"/>
                <w:szCs w:val="21"/>
                <w:lang w:val="en-US" w:eastAsia="zh-CN"/>
              </w:rPr>
              <w:t>《六氟化硫气体密度继电器校验规程》DL/T259-2023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lang w:val="en-US" w:eastAsia="zh-CN"/>
              </w:rPr>
            </w:pPr>
          </w:p>
        </w:tc>
        <w:tc>
          <w:tcPr>
            <w:tcW w:w="1102" w:type="dxa"/>
            <w:vMerge w:val="continue"/>
            <w:tcBorders>
              <w:left w:val="nil"/>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8.4</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触点电阻</w:t>
            </w:r>
          </w:p>
        </w:tc>
        <w:tc>
          <w:tcPr>
            <w:tcW w:w="5113"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Times New Roman"/>
                <w:sz w:val="21"/>
                <w:szCs w:val="21"/>
              </w:rPr>
            </w:pPr>
            <w:r>
              <w:rPr>
                <w:rFonts w:hint="eastAsia" w:ascii="宋体" w:hAnsi="宋体" w:eastAsia="宋体" w:cs="Times New Roman"/>
                <w:szCs w:val="21"/>
                <w:lang w:val="en-US" w:eastAsia="zh-CN"/>
              </w:rPr>
              <w:t>《六氟化硫气体密度继电器校验规程》DL/T259-2023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restart"/>
            <w:tcBorders>
              <w:top w:val="single" w:color="auto" w:sz="4" w:space="0"/>
              <w:left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lang w:val="en-US" w:eastAsia="zh-CN"/>
              </w:rPr>
            </w:pPr>
            <w:r>
              <w:rPr>
                <w:rFonts w:hint="eastAsia"/>
                <w:color w:val="000000"/>
                <w:kern w:val="0"/>
                <w:sz w:val="21"/>
                <w:szCs w:val="21"/>
                <w:lang w:val="en-US" w:eastAsia="zh-CN" w:bidi="ar"/>
              </w:rPr>
              <w:t>9</w:t>
            </w:r>
          </w:p>
        </w:tc>
        <w:tc>
          <w:tcPr>
            <w:tcW w:w="1102" w:type="dxa"/>
            <w:vMerge w:val="restart"/>
            <w:tcBorders>
              <w:top w:val="single" w:color="auto" w:sz="4" w:space="0"/>
              <w:left w:val="nil"/>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r>
              <w:rPr>
                <w:rFonts w:hint="eastAsia" w:ascii="宋体" w:hAnsi="宋体" w:eastAsia="宋体" w:cs="Times New Roman"/>
                <w:szCs w:val="21"/>
                <w:lang w:val="en-US" w:eastAsia="zh-CN"/>
              </w:rPr>
              <w:t>个人保安线</w:t>
            </w: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9.1</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bookmarkStart w:id="14" w:name="OLE_LINK64"/>
            <w:r>
              <w:rPr>
                <w:rFonts w:hint="eastAsia" w:ascii="宋体" w:hAnsi="宋体" w:eastAsia="宋体" w:cs="Times New Roman"/>
                <w:szCs w:val="21"/>
                <w:lang w:val="en-US" w:eastAsia="zh-CN"/>
              </w:rPr>
              <w:t>成组直流电阻测试</w:t>
            </w:r>
            <w:bookmarkEnd w:id="14"/>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 w:val="21"/>
                <w:szCs w:val="21"/>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1102" w:type="dxa"/>
            <w:vMerge w:val="continue"/>
            <w:tcBorders>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9.2</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cs="宋体"/>
                <w:color w:val="000000"/>
                <w:kern w:val="0"/>
                <w:sz w:val="21"/>
                <w:szCs w:val="21"/>
                <w:lang w:val="en-US" w:eastAsia="zh-CN" w:bidi="ar"/>
              </w:rPr>
            </w:pPr>
            <w:r>
              <w:rPr>
                <w:rFonts w:hint="eastAsia" w:ascii="宋体" w:hAnsi="宋体" w:eastAsia="宋体" w:cs="Times New Roman"/>
                <w:szCs w:val="21"/>
                <w:lang w:val="en-US" w:eastAsia="zh-CN"/>
              </w:rPr>
              <w:t>工频耐压测试</w:t>
            </w:r>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 w:val="21"/>
                <w:szCs w:val="21"/>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restart"/>
            <w:tcBorders>
              <w:left w:val="single" w:color="auto" w:sz="4" w:space="0"/>
              <w:right w:val="single" w:color="auto" w:sz="4" w:space="0"/>
            </w:tcBorders>
            <w:noWrap w:val="0"/>
            <w:vAlign w:val="center"/>
          </w:tcPr>
          <w:p>
            <w:pPr>
              <w:widowControl/>
              <w:jc w:val="center"/>
              <w:textAlignment w:val="center"/>
              <w:rPr>
                <w:rFonts w:hint="default"/>
                <w:color w:val="000000"/>
                <w:kern w:val="0"/>
                <w:sz w:val="21"/>
                <w:szCs w:val="21"/>
                <w:lang w:val="en-US" w:eastAsia="zh-CN" w:bidi="ar"/>
              </w:rPr>
            </w:pPr>
            <w:r>
              <w:rPr>
                <w:rFonts w:hint="eastAsia"/>
                <w:color w:val="000000"/>
                <w:kern w:val="0"/>
                <w:sz w:val="21"/>
                <w:szCs w:val="21"/>
                <w:lang w:val="en-US" w:eastAsia="zh-CN" w:bidi="ar"/>
              </w:rPr>
              <w:t>10</w:t>
            </w:r>
          </w:p>
        </w:tc>
        <w:tc>
          <w:tcPr>
            <w:tcW w:w="1102" w:type="dxa"/>
            <w:vMerge w:val="restart"/>
            <w:tcBorders>
              <w:left w:val="nil"/>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r>
              <w:rPr>
                <w:rFonts w:hint="eastAsia" w:ascii="宋体" w:hAnsi="宋体" w:eastAsia="宋体" w:cs="Times New Roman"/>
                <w:szCs w:val="21"/>
                <w:lang w:val="en-US" w:eastAsia="zh-CN"/>
              </w:rPr>
              <w:t>电容性验电器</w:t>
            </w: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10.1</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启动电压测试</w:t>
            </w:r>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1102" w:type="dxa"/>
            <w:vMerge w:val="continue"/>
            <w:tcBorders>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10.2</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操作杆工频耐压测试</w:t>
            </w:r>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tcBorders>
              <w:left w:val="single" w:color="auto" w:sz="4" w:space="0"/>
              <w:bottom w:val="single" w:color="auto" w:sz="4" w:space="0"/>
              <w:right w:val="single" w:color="auto" w:sz="4" w:space="0"/>
            </w:tcBorders>
            <w:noWrap w:val="0"/>
            <w:vAlign w:val="center"/>
          </w:tcPr>
          <w:p>
            <w:pPr>
              <w:widowControl/>
              <w:jc w:val="center"/>
              <w:textAlignment w:val="center"/>
              <w:rPr>
                <w:rFonts w:hint="default"/>
                <w:color w:val="000000"/>
                <w:kern w:val="0"/>
                <w:sz w:val="21"/>
                <w:szCs w:val="21"/>
                <w:lang w:val="en-US" w:eastAsia="zh-CN" w:bidi="ar"/>
              </w:rPr>
            </w:pPr>
            <w:r>
              <w:rPr>
                <w:rFonts w:hint="eastAsia"/>
                <w:color w:val="000000"/>
                <w:kern w:val="0"/>
                <w:sz w:val="21"/>
                <w:szCs w:val="21"/>
                <w:lang w:val="en-US" w:eastAsia="zh-CN" w:bidi="ar"/>
              </w:rPr>
              <w:t>11</w:t>
            </w:r>
          </w:p>
        </w:tc>
        <w:tc>
          <w:tcPr>
            <w:tcW w:w="1102" w:type="dxa"/>
            <w:tcBorders>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r>
              <w:rPr>
                <w:rFonts w:hint="eastAsia" w:ascii="宋体" w:hAnsi="宋体" w:eastAsia="宋体" w:cs="Times New Roman"/>
                <w:szCs w:val="21"/>
                <w:lang w:val="en-US" w:eastAsia="zh-CN"/>
              </w:rPr>
              <w:t>绝缘绳</w:t>
            </w: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8.1</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工频耐压测试</w:t>
            </w:r>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restart"/>
            <w:tcBorders>
              <w:left w:val="single" w:color="auto" w:sz="4" w:space="0"/>
              <w:right w:val="single" w:color="auto" w:sz="4" w:space="0"/>
            </w:tcBorders>
            <w:noWrap w:val="0"/>
            <w:vAlign w:val="center"/>
          </w:tcPr>
          <w:p>
            <w:pPr>
              <w:widowControl/>
              <w:jc w:val="center"/>
              <w:textAlignment w:val="center"/>
              <w:rPr>
                <w:rFonts w:hint="default"/>
                <w:color w:val="000000"/>
                <w:kern w:val="0"/>
                <w:sz w:val="21"/>
                <w:szCs w:val="21"/>
                <w:lang w:val="en-US" w:eastAsia="zh-CN" w:bidi="ar"/>
              </w:rPr>
            </w:pPr>
            <w:r>
              <w:rPr>
                <w:rFonts w:hint="eastAsia"/>
                <w:color w:val="000000"/>
                <w:kern w:val="0"/>
                <w:sz w:val="21"/>
                <w:szCs w:val="21"/>
                <w:lang w:val="en-US" w:eastAsia="zh-CN" w:bidi="ar"/>
              </w:rPr>
              <w:t>12</w:t>
            </w:r>
          </w:p>
        </w:tc>
        <w:tc>
          <w:tcPr>
            <w:tcW w:w="1102" w:type="dxa"/>
            <w:vMerge w:val="restart"/>
            <w:tcBorders>
              <w:left w:val="nil"/>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bookmarkStart w:id="15" w:name="OLE_LINK65"/>
            <w:r>
              <w:rPr>
                <w:rFonts w:hint="eastAsia" w:ascii="宋体" w:hAnsi="宋体" w:eastAsia="宋体" w:cs="Times New Roman"/>
                <w:szCs w:val="21"/>
                <w:lang w:val="en-US" w:eastAsia="zh-CN"/>
              </w:rPr>
              <w:t>携带型短路接地线</w:t>
            </w:r>
            <w:bookmarkEnd w:id="15"/>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9.1</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bookmarkStart w:id="16" w:name="OLE_LINK67"/>
            <w:r>
              <w:rPr>
                <w:rFonts w:hint="eastAsia" w:ascii="宋体" w:hAnsi="宋体" w:eastAsia="宋体" w:cs="Times New Roman"/>
                <w:szCs w:val="21"/>
                <w:lang w:val="en-US" w:eastAsia="zh-CN"/>
              </w:rPr>
              <w:t>线缆成组直流电阻测试</w:t>
            </w:r>
            <w:bookmarkEnd w:id="16"/>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1102" w:type="dxa"/>
            <w:vMerge w:val="continue"/>
            <w:tcBorders>
              <w:left w:val="nil"/>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9.2</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bookmarkStart w:id="17" w:name="OLE_LINK66"/>
            <w:r>
              <w:rPr>
                <w:rFonts w:hint="eastAsia" w:ascii="宋体" w:hAnsi="宋体" w:eastAsia="宋体" w:cs="Times New Roman"/>
                <w:szCs w:val="21"/>
                <w:lang w:val="en-US" w:eastAsia="zh-CN"/>
              </w:rPr>
              <w:t>接地操作杆工频耐压测试</w:t>
            </w:r>
            <w:bookmarkEnd w:id="17"/>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vMerge w:val="continue"/>
            <w:tcBorders>
              <w:left w:val="single" w:color="auto" w:sz="4" w:space="0"/>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p>
        </w:tc>
        <w:tc>
          <w:tcPr>
            <w:tcW w:w="1102" w:type="dxa"/>
            <w:vMerge w:val="continue"/>
            <w:tcBorders>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color w:val="000000"/>
                <w:kern w:val="0"/>
                <w:sz w:val="21"/>
                <w:szCs w:val="21"/>
                <w:lang w:val="en-US" w:eastAsia="zh-CN" w:bidi="ar"/>
              </w:rPr>
            </w:pPr>
          </w:p>
        </w:tc>
        <w:tc>
          <w:tcPr>
            <w:tcW w:w="700"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9.3</w:t>
            </w:r>
          </w:p>
        </w:tc>
        <w:tc>
          <w:tcPr>
            <w:tcW w:w="1269"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接地操作杆直流耐压测试</w:t>
            </w:r>
          </w:p>
        </w:tc>
        <w:tc>
          <w:tcPr>
            <w:tcW w:w="5113" w:type="dxa"/>
            <w:tcBorders>
              <w:top w:val="single" w:color="auto" w:sz="4" w:space="0"/>
              <w:left w:val="nil"/>
              <w:bottom w:val="single" w:color="auto" w:sz="4" w:space="0"/>
              <w:right w:val="single" w:color="auto" w:sz="4" w:space="0"/>
            </w:tcBorders>
            <w:noWrap w:val="0"/>
            <w:vAlign w:val="center"/>
          </w:tcPr>
          <w:p>
            <w:pPr>
              <w:widowControl/>
              <w:snapToGrid w:val="0"/>
              <w:spacing w:before="100" w:beforeAutospacing="1" w:after="100" w:afterAutospacing="1"/>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r>
        <w:tblPrEx>
          <w:tblCellMar>
            <w:top w:w="0" w:type="dxa"/>
            <w:left w:w="108" w:type="dxa"/>
            <w:bottom w:w="0" w:type="dxa"/>
            <w:right w:w="108" w:type="dxa"/>
          </w:tblCellMar>
        </w:tblPrEx>
        <w:trPr>
          <w:cantSplit/>
          <w:trHeight w:val="137" w:hRule="atLeast"/>
          <w:jc w:val="center"/>
        </w:trPr>
        <w:tc>
          <w:tcPr>
            <w:tcW w:w="59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Times New Roman"/>
                <w:sz w:val="21"/>
                <w:szCs w:val="21"/>
                <w:lang w:val="en-US" w:eastAsia="zh-CN"/>
              </w:rPr>
            </w:pPr>
            <w:r>
              <w:rPr>
                <w:rFonts w:hint="eastAsia"/>
                <w:color w:val="000000"/>
                <w:kern w:val="0"/>
                <w:sz w:val="21"/>
                <w:szCs w:val="21"/>
                <w:lang w:val="en-US" w:eastAsia="zh-CN" w:bidi="ar"/>
              </w:rPr>
              <w:t>13</w:t>
            </w:r>
          </w:p>
        </w:tc>
        <w:tc>
          <w:tcPr>
            <w:tcW w:w="1102"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color w:val="000000"/>
                <w:kern w:val="0"/>
                <w:sz w:val="21"/>
                <w:szCs w:val="21"/>
                <w:lang w:val="en-US" w:eastAsia="zh-CN" w:bidi="ar"/>
              </w:rPr>
            </w:pPr>
            <w:bookmarkStart w:id="18" w:name="OLE_LINK68"/>
            <w:r>
              <w:rPr>
                <w:rFonts w:hint="eastAsia"/>
                <w:color w:val="000000"/>
                <w:kern w:val="0"/>
                <w:sz w:val="21"/>
                <w:szCs w:val="21"/>
                <w:lang w:val="en-US" w:eastAsia="zh-CN" w:bidi="ar"/>
              </w:rPr>
              <w:t>辅助型绝缘胶垫</w:t>
            </w:r>
            <w:bookmarkEnd w:id="18"/>
          </w:p>
        </w:tc>
        <w:tc>
          <w:tcPr>
            <w:tcW w:w="700"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13.1</w:t>
            </w:r>
          </w:p>
        </w:tc>
        <w:tc>
          <w:tcPr>
            <w:tcW w:w="1269" w:type="dxa"/>
            <w:tcBorders>
              <w:top w:val="single" w:color="auto" w:sz="4" w:space="0"/>
              <w:left w:val="nil"/>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工频耐压测试</w:t>
            </w:r>
          </w:p>
        </w:tc>
        <w:tc>
          <w:tcPr>
            <w:tcW w:w="5113"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eastAsia="宋体" w:cs="Times New Roman"/>
                <w:sz w:val="21"/>
                <w:szCs w:val="21"/>
              </w:rPr>
            </w:pPr>
            <w:r>
              <w:rPr>
                <w:rFonts w:hint="eastAsia" w:ascii="宋体" w:hAnsi="宋体" w:cs="宋体"/>
                <w:color w:val="000000"/>
                <w:sz w:val="21"/>
                <w:szCs w:val="21"/>
                <w:lang w:val="en-US" w:eastAsia="zh-CN"/>
              </w:rPr>
              <w:t>《电力安全工器具预防性试验规程》DL/T1476-2023</w:t>
            </w:r>
          </w:p>
        </w:tc>
        <w:tc>
          <w:tcPr>
            <w:tcW w:w="1299" w:type="dxa"/>
            <w:tcBorders>
              <w:top w:val="single" w:color="auto" w:sz="4" w:space="0"/>
              <w:left w:val="nil"/>
              <w:bottom w:val="single" w:color="auto" w:sz="4" w:space="0"/>
              <w:right w:val="single" w:color="auto" w:sz="4" w:space="0"/>
            </w:tcBorders>
            <w:noWrap w:val="0"/>
            <w:vAlign w:val="center"/>
          </w:tcPr>
          <w:p>
            <w:pPr>
              <w:widowControl/>
              <w:jc w:val="left"/>
              <w:rPr>
                <w:rFonts w:hint="eastAsia" w:ascii="宋体" w:hAnsi="宋体" w:eastAsia="宋体" w:cs="Times New Roman"/>
                <w:sz w:val="21"/>
                <w:szCs w:val="21"/>
              </w:rPr>
            </w:pPr>
          </w:p>
        </w:tc>
        <w:tc>
          <w:tcPr>
            <w:tcW w:w="426" w:type="dxa"/>
            <w:tcBorders>
              <w:top w:val="single" w:color="auto" w:sz="4" w:space="0"/>
              <w:left w:val="nil"/>
              <w:bottom w:val="single" w:color="auto" w:sz="4" w:space="0"/>
              <w:right w:val="single" w:color="auto" w:sz="4" w:space="0"/>
            </w:tcBorders>
            <w:noWrap w:val="0"/>
            <w:vAlign w:val="top"/>
          </w:tcPr>
          <w:p>
            <w:pPr>
              <w:widowControl/>
              <w:jc w:val="left"/>
              <w:rPr>
                <w:rFonts w:ascii="宋体" w:hAnsi="宋体" w:eastAsia="宋体" w:cs="Times New Roman"/>
                <w:szCs w:val="21"/>
              </w:rPr>
            </w:pP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8"/>
          <w:szCs w:val="28"/>
          <w:lang w:val="en-US" w:eastAsia="zh-CN"/>
        </w:rPr>
      </w:pPr>
      <w:bookmarkStart w:id="19" w:name="_GoBack"/>
      <w:bookmarkEnd w:id="19"/>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algun Gothic">
    <w:panose1 w:val="020B0503020000020004"/>
    <w:charset w:val="81"/>
    <w:family w:val="swiss"/>
    <w:pitch w:val="default"/>
    <w:sig w:usb0="9000002F" w:usb1="29D77CFB" w:usb2="00000012" w:usb3="00000000" w:csb0="0008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4165A2"/>
    <w:rsid w:val="0F0A1DF9"/>
    <w:rsid w:val="1FC23B84"/>
    <w:rsid w:val="28B05368"/>
    <w:rsid w:val="292221CE"/>
    <w:rsid w:val="2DEE462B"/>
    <w:rsid w:val="318F0210"/>
    <w:rsid w:val="32CF20F7"/>
    <w:rsid w:val="4B1F6223"/>
    <w:rsid w:val="5AAD376C"/>
    <w:rsid w:val="5EFC1699"/>
    <w:rsid w:val="630B2B84"/>
    <w:rsid w:val="646053AF"/>
    <w:rsid w:val="670F10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2139</Words>
  <Characters>2949</Characters>
  <Lines>0</Lines>
  <Paragraphs>0</Paragraphs>
  <TotalTime>11</TotalTime>
  <ScaleCrop>false</ScaleCrop>
  <LinksUpToDate>false</LinksUpToDate>
  <CharactersWithSpaces>2987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2025-11-07T02:46:00Z</dcterms:created>
  <dc:creator>Administrator</dc:creator>
  <cp:lastModifiedBy>weininggang1.sbd</cp:lastModifiedBy>
  <cp:lastPrinted>2025-11-13T07:20:00Z</cp:lastPrinted>
  <dcterms:modified xsi:type="dcterms:W3CDTF">2025-12-01T02:22:03Z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eyJoZGlkIjoiYWM5ZTQ0ZjE0YWE4M2VkN2FiZjhmMzEwZWZkZDRiMWIiLCJ1c2VySWQiOiIxNjA5NTczMTM1In0=</vt:lpwstr>
  </property>
  <property fmtid="{D5CDD505-2E9C-101B-9397-08002B2CF9AE}" pid="4" name="ICV">
    <vt:lpwstr>B13F657204984B808009385E94E94317_13</vt:lpwstr>
  </property>
</Properties>
</file>