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jc w:val="both"/>
        <w:textAlignment w:val="auto"/>
        <w:outlineLvl w:val="0"/>
        <w:rPr>
          <w:rFonts w:hint="default" w:ascii="Times New Roman" w:hAnsi="Times New Roman" w:eastAsia="宋体" w:cs="Times New Roman"/>
          <w:b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32"/>
          <w:szCs w:val="32"/>
          <w:highlight w:val="none"/>
          <w:lang w:val="en-US" w:eastAsia="zh-CN"/>
        </w:rPr>
        <w:t>附件1：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jc w:val="center"/>
        <w:textAlignment w:val="auto"/>
        <w:outlineLvl w:val="0"/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i w:val="0"/>
          <w:iCs w:val="0"/>
          <w:color w:val="auto"/>
          <w:sz w:val="32"/>
          <w:szCs w:val="32"/>
          <w:highlight w:val="none"/>
          <w:lang w:val="en-US" w:eastAsia="zh-CN"/>
        </w:rPr>
        <w:t>技术规范书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一、项目概况和采购范围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（一）项目名称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深圳南方电网深港科技创新有限公司2026-2027年团体意外伤害保险零星采购项目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项目概述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优化公司员工福利保障体系，为公司在岗职工提供全面、完善、规范的团体意外伤害保险服务，有效防范公司员工人身意外风险，减少由于自然灾害或意外事故造成的损失。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采购范围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为每年公司实际人员提供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团体意外伤害保险、意外伤害医疗保险、意外伤害住院津贴。预计2026-2027年投保人数分别为10人、20人。实际投保人数按每年在岗职工实际人数为准。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（四）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项目实施地点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深圳市。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（五）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采购分类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零星采购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。由于投保人数浮动，自合同签订之日起2年，最终投保总金额及单价，按实际投保人数及对应保险期计算结果为准。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（六）保险期限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中标之日起至2027月12月31日止，具体购买保险期限以实际采购天数为准。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（七）投保方案</w:t>
      </w:r>
    </w:p>
    <w:tbl>
      <w:tblPr>
        <w:tblStyle w:val="15"/>
        <w:tblpPr w:leftFromText="180" w:rightFromText="180" w:vertAnchor="text" w:horzAnchor="page" w:tblpX="1702" w:tblpY="1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9"/>
        <w:gridCol w:w="2298"/>
        <w:gridCol w:w="1704"/>
        <w:gridCol w:w="1704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9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内容</w:t>
            </w:r>
          </w:p>
        </w:tc>
        <w:tc>
          <w:tcPr>
            <w:tcW w:w="2298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险种</w:t>
            </w:r>
          </w:p>
        </w:tc>
        <w:tc>
          <w:tcPr>
            <w:tcW w:w="1704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保险金额（万元/人）</w:t>
            </w:r>
          </w:p>
        </w:tc>
        <w:tc>
          <w:tcPr>
            <w:tcW w:w="1704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保险费单价最高限价(元/人)</w:t>
            </w:r>
          </w:p>
        </w:tc>
        <w:tc>
          <w:tcPr>
            <w:tcW w:w="1704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保险费单价(元/人)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10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 险</w:t>
            </w:r>
          </w:p>
        </w:tc>
        <w:tc>
          <w:tcPr>
            <w:tcW w:w="22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团体意外伤害保险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100万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847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10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附加险</w:t>
            </w:r>
          </w:p>
        </w:tc>
        <w:tc>
          <w:tcPr>
            <w:tcW w:w="22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意外伤害医疗保险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10万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10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附加险</w:t>
            </w:r>
          </w:p>
        </w:tc>
        <w:tc>
          <w:tcPr>
            <w:tcW w:w="229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意外伤害住院津贴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100元/人/天，共180天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5111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hAnsi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1175</w:t>
            </w:r>
          </w:p>
        </w:tc>
        <w:tc>
          <w:tcPr>
            <w:tcW w:w="17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hAnsi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二、资质要求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供应商应提供企业资质文件，包括但不限于：</w:t>
      </w:r>
    </w:p>
    <w:tbl>
      <w:tblPr>
        <w:tblStyle w:val="15"/>
        <w:tblpPr w:leftFromText="180" w:rightFromText="180" w:vertAnchor="text" w:horzAnchor="page" w:tblpX="1702" w:tblpY="16"/>
        <w:tblOverlap w:val="never"/>
        <w:tblW w:w="85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6"/>
        <w:gridCol w:w="74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116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7423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45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资质内容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111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42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具有中国银行保险监督管理委员会或其派出机构颁发的《经营保险业务许可证》，《经营保险业务许可证》业务范围应包含意外伤害保险。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111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42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提供真实有效的营业执照。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111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42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近3年投保领域相关业绩证明（合同、中标通知书或其他相关材料）。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8539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firstLine="0" w:firstLine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注：提供材料均需加盖企业公章</w:t>
            </w:r>
            <w:bookmarkStart w:id="0" w:name="_GoBack"/>
            <w:bookmarkEnd w:id="0"/>
          </w:p>
        </w:tc>
      </w:tr>
    </w:tbl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jc w:val="left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三、保险责任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（一）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zh-CN" w:eastAsia="zh-CN"/>
        </w:rPr>
        <w:t>主要保险责任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zh-CN" w:eastAsia="zh-CN"/>
        </w:rPr>
        <w:t>意外伤害保险：在保险期间内，被保险人在境内因遭受意外伤害事故导致身故、伤残的，保险人按约定的保险金额给付保险金。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zh-CN" w:eastAsia="zh-CN"/>
        </w:rPr>
        <w:t>意外医疗保险：在保险期间内，被保险人在中国境内（不包括香港、澳门、台湾地区）因遭受意外伤害事故，就其事故发生之日起180日内就诊治疗，每次意外事故免赔0元,合理医疗费用（包括医保范围内和医保范围外费用）按100%赔付。首次就诊可就近医保定点医院治疗，病情稳定后转至二级以上（含二级）公立医疗机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zh-CN" w:eastAsia="zh-CN"/>
        </w:rPr>
        <w:t>意外住院津贴保险：在保险期间内，被保险人在中国境内（不包括香港、澳门、台湾地区）因遭受意外伤害事故，就其事故发生之日起180日内住院治疗，保险人按照实际住院天数赔付住院津贴：住院津贴保险金=每次实际住院天数×每人每天住院津贴金额。首次受伤住院就医可就近医保定点医院就诊，病情稳定后转至二级以上（含二级）公立医院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textAlignment w:val="auto"/>
        <w:rPr>
          <w:rFonts w:hint="eastAsia" w:ascii="仿宋_GB2312" w:hAnsi="Times New Roman" w:eastAsia="仿宋_GB2312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Times New Roman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  <w:t>四、</w:t>
      </w:r>
      <w:r>
        <w:rPr>
          <w:rFonts w:hint="eastAsia" w:ascii="仿宋_GB2312" w:hAnsi="Times New Roman" w:eastAsia="仿宋_GB2312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  <w:t>保费结算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textAlignment w:val="auto"/>
        <w:rPr>
          <w:rFonts w:hint="eastAsia" w:ascii="仿宋_GB2312" w:hAnsi="Times New Roman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Times New Roman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  <w:t>（一）投保方式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仿宋_GB2312" w:hAnsi="Times New Roman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Times New Roman" w:cs="Times New Roman"/>
          <w:color w:val="auto"/>
          <w:sz w:val="32"/>
          <w:szCs w:val="32"/>
          <w:highlight w:val="none"/>
          <w:lang w:val="en-US" w:eastAsia="zh-CN"/>
        </w:rPr>
        <w:t xml:space="preserve">按记名投保方式，投保人员详见人员清单，方案保障如下：团体人身意外伤害保险金额：人民币100万元（￥1,000,000.00元）；附加意外伤害医疗保险条款，保险金额：人民币10万元（￥100,000.00）；附加意外住院津贴条款，保险金额：人民币100.00元/人/天，给付以180天为限。 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center"/>
        <w:rPr>
          <w:rFonts w:hint="default" w:ascii="仿宋_GB2312" w:hAnsi="Times New Roman" w:eastAsia="仿宋_GB2312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Times New Roman" w:eastAsia="仿宋_GB2312" w:cs="Times New Roman"/>
          <w:b/>
          <w:bCs/>
          <w:color w:val="auto"/>
          <w:sz w:val="32"/>
          <w:szCs w:val="32"/>
          <w:highlight w:val="none"/>
          <w:lang w:val="en-US" w:eastAsia="zh-CN"/>
        </w:rPr>
        <w:t>（二）结算方式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Times New Roman" w:cs="Times New Roman"/>
          <w:color w:val="auto"/>
          <w:sz w:val="32"/>
          <w:szCs w:val="32"/>
          <w:highlight w:val="none"/>
          <w:lang w:val="en-US" w:eastAsia="zh-CN"/>
        </w:rPr>
        <w:t>当期期初</w:t>
      </w:r>
      <w:r>
        <w:rPr>
          <w:rFonts w:hint="eastAsia" w:ascii="仿宋_GB2312" w:hAnsi="Times New Roman" w:cs="Times New Roman"/>
          <w:color w:val="auto"/>
          <w:sz w:val="32"/>
          <w:szCs w:val="32"/>
          <w:highlight w:val="none"/>
          <w:lang w:val="en-US" w:eastAsia="zh-CN"/>
        </w:rPr>
        <w:t>投保保费，保险公司提供保单和发票后，投保人按约定时间支付。如期内投保人数新增或减少，按当期期初新增或减少人数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x</w:t>
      </w:r>
      <w:r>
        <w:rPr>
          <w:rFonts w:hint="eastAsia" w:ascii="仿宋_GB2312" w:hAnsi="Times New Roman" w:cs="Times New Roman"/>
          <w:color w:val="auto"/>
          <w:sz w:val="32"/>
          <w:szCs w:val="32"/>
          <w:highlight w:val="none"/>
          <w:lang w:val="en-US" w:eastAsia="zh-CN"/>
        </w:rPr>
        <w:t>保险费单价进行结算。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center"/>
        <w:rPr>
          <w:rFonts w:hint="default" w:ascii="仿宋_GB2312" w:hAnsi="Times New Roman" w:eastAsia="仿宋_GB2312" w:cs="Times New Roman"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总保费=团体意外伤害保险当年实际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投保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人数x团体意外伤害保险中标单价</w:t>
      </w:r>
      <w:r>
        <w:rPr>
          <w:rFonts w:hint="default" w:ascii="仿宋_GB2312" w:hAnsi="Times New Roman" w:eastAsia="仿宋_GB2312" w:cs="Times New Roman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+意外伤害医疗保险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当年实际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投保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人数x</w:t>
      </w:r>
      <w:r>
        <w:rPr>
          <w:rFonts w:hint="default" w:ascii="仿宋_GB2312" w:hAnsi="Times New Roman" w:eastAsia="仿宋_GB2312" w:cs="Times New Roman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意外伤害医疗保险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中标单价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+意外住院津贴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实际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投保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人数x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意外住院津贴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中标单价</w:t>
      </w:r>
      <w:r>
        <w:rPr>
          <w:rFonts w:hint="default" w:ascii="仿宋_GB2312" w:hAnsi="Times New Roman" w:eastAsia="仿宋_GB2312" w:cs="Times New Roman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3" w:firstLineChars="200"/>
        <w:textAlignment w:val="auto"/>
        <w:rPr>
          <w:rFonts w:hint="eastAsia" w:ascii="仿宋_GB2312" w:hAnsi="Times New Roman" w:eastAsia="仿宋_GB2312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Times New Roman" w:cs="Times New Roman"/>
          <w:b/>
          <w:bCs w:val="0"/>
          <w:color w:val="auto"/>
          <w:sz w:val="32"/>
          <w:szCs w:val="32"/>
          <w:highlight w:val="none"/>
          <w:lang w:val="en-US" w:eastAsia="zh-CN"/>
        </w:rPr>
        <w:t>五、其他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center"/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Times New Roman" w:eastAsia="仿宋_GB2312" w:cs="Times New Roman"/>
          <w:b/>
          <w:bCs/>
          <w:color w:val="auto"/>
          <w:sz w:val="32"/>
          <w:szCs w:val="32"/>
          <w:highlight w:val="none"/>
          <w:lang w:val="en-US" w:eastAsia="zh-CN"/>
        </w:rPr>
        <w:t>（一）</w:t>
      </w:r>
      <w:r>
        <w:rPr>
          <w:rFonts w:hint="default" w:ascii="仿宋_GB2312" w:hAnsi="Times New Roman" w:eastAsia="仿宋_GB2312" w:cs="Times New Roman"/>
          <w:b/>
          <w:bCs/>
          <w:color w:val="auto"/>
          <w:sz w:val="32"/>
          <w:szCs w:val="32"/>
          <w:highlight w:val="none"/>
          <w:lang w:val="en-US" w:eastAsia="zh-CN"/>
        </w:rPr>
        <w:t>报价表及报价要求: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采用报单价方式，具体详见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附件2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报价表。投标人所报的单价报价不高于最高限价且不低于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最高限价85%</w:t>
      </w:r>
      <w:r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的为有效报价。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如低于最高限价85%，需提供成本分析相关材料。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center"/>
        <w:rPr>
          <w:rFonts w:hint="default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Times New Roman" w:eastAsia="仿宋_GB2312" w:cs="Times New Roman"/>
          <w:b/>
          <w:bCs/>
          <w:color w:val="auto"/>
          <w:sz w:val="32"/>
          <w:szCs w:val="32"/>
          <w:highlight w:val="none"/>
          <w:lang w:val="en-US" w:eastAsia="zh-CN"/>
        </w:rPr>
        <w:t>（二）服务与需求适配性</w:t>
      </w:r>
      <w:r>
        <w:rPr>
          <w:rFonts w:hint="default" w:ascii="仿宋_GB2312" w:hAnsi="Times New Roman" w:eastAsia="仿宋_GB2312" w:cs="Times New Roman"/>
          <w:b/>
          <w:bCs/>
          <w:color w:val="auto"/>
          <w:sz w:val="32"/>
          <w:szCs w:val="32"/>
          <w:highlight w:val="none"/>
          <w:lang w:val="en-US" w:eastAsia="zh-CN"/>
        </w:rPr>
        <w:t>: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如报价人提供的保障方案和条款与采购需求不符，缩小保障责任和范围的，以本采购需求为准，否则视为无效投标。</w:t>
      </w: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32F211"/>
    <w:multiLevelType w:val="multilevel"/>
    <w:tmpl w:val="D732F21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</w:lvl>
    <w:lvl w:ilvl="2" w:tentative="0">
      <w:start w:val="1"/>
      <w:numFmt w:val="decimal"/>
      <w:pStyle w:val="3"/>
      <w:lvlText w:val="%1.%2.%3."/>
      <w:lvlJc w:val="left"/>
      <w:pPr>
        <w:tabs>
          <w:tab w:val="left" w:pos="1277"/>
        </w:tabs>
        <w:ind w:left="1277" w:hanging="709"/>
      </w:p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wZDMxMTQ1MzFlMTFmNzg3OTgxY2U5MTY2Y2ZlZTgifQ=="/>
  </w:docVars>
  <w:rsids>
    <w:rsidRoot w:val="00000000"/>
    <w:rsid w:val="04022351"/>
    <w:rsid w:val="07C80AC7"/>
    <w:rsid w:val="09BE6112"/>
    <w:rsid w:val="0B1711BA"/>
    <w:rsid w:val="0CB41A4E"/>
    <w:rsid w:val="0CB96317"/>
    <w:rsid w:val="0D106AB5"/>
    <w:rsid w:val="0E3665D1"/>
    <w:rsid w:val="0ED12A6A"/>
    <w:rsid w:val="13126856"/>
    <w:rsid w:val="13FF443D"/>
    <w:rsid w:val="16C46D32"/>
    <w:rsid w:val="16C83352"/>
    <w:rsid w:val="18A230A3"/>
    <w:rsid w:val="1B610FF3"/>
    <w:rsid w:val="1C1E3191"/>
    <w:rsid w:val="1C742107"/>
    <w:rsid w:val="1CFC2C17"/>
    <w:rsid w:val="1E3D7AF5"/>
    <w:rsid w:val="1E432C32"/>
    <w:rsid w:val="2281631D"/>
    <w:rsid w:val="24C61C2B"/>
    <w:rsid w:val="268A7151"/>
    <w:rsid w:val="2831344D"/>
    <w:rsid w:val="295D0002"/>
    <w:rsid w:val="2C107816"/>
    <w:rsid w:val="2C132C4A"/>
    <w:rsid w:val="2CC97F32"/>
    <w:rsid w:val="2E6B3E23"/>
    <w:rsid w:val="3058256D"/>
    <w:rsid w:val="322A44D7"/>
    <w:rsid w:val="331C0235"/>
    <w:rsid w:val="33D141D1"/>
    <w:rsid w:val="34EA2D01"/>
    <w:rsid w:val="35A95897"/>
    <w:rsid w:val="35F9471D"/>
    <w:rsid w:val="381F5F24"/>
    <w:rsid w:val="384E493D"/>
    <w:rsid w:val="3C087477"/>
    <w:rsid w:val="3EE020AB"/>
    <w:rsid w:val="3FC574F3"/>
    <w:rsid w:val="4464682F"/>
    <w:rsid w:val="499B33E6"/>
    <w:rsid w:val="4D8B44D9"/>
    <w:rsid w:val="4DC45D22"/>
    <w:rsid w:val="51657508"/>
    <w:rsid w:val="51694182"/>
    <w:rsid w:val="555F5CAA"/>
    <w:rsid w:val="58C22BB1"/>
    <w:rsid w:val="5915699E"/>
    <w:rsid w:val="5A6B64E6"/>
    <w:rsid w:val="5C461A97"/>
    <w:rsid w:val="5E280B4D"/>
    <w:rsid w:val="5F3B1CA2"/>
    <w:rsid w:val="61A0480C"/>
    <w:rsid w:val="639A354A"/>
    <w:rsid w:val="63C46442"/>
    <w:rsid w:val="65E75024"/>
    <w:rsid w:val="669F3A29"/>
    <w:rsid w:val="6D137CFF"/>
    <w:rsid w:val="6F9500AA"/>
    <w:rsid w:val="70CC398E"/>
    <w:rsid w:val="71B04972"/>
    <w:rsid w:val="73D82D42"/>
    <w:rsid w:val="75A87A67"/>
    <w:rsid w:val="784F5584"/>
    <w:rsid w:val="7B292109"/>
    <w:rsid w:val="7BFC5A6F"/>
    <w:rsid w:val="7C950E2A"/>
    <w:rsid w:val="7D08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3"/>
    <w:basedOn w:val="1"/>
    <w:next w:val="1"/>
    <w:qFormat/>
    <w:uiPriority w:val="9"/>
    <w:pPr>
      <w:widowControl/>
      <w:numPr>
        <w:ilvl w:val="2"/>
        <w:numId w:val="1"/>
      </w:numPr>
      <w:spacing w:after="100" w:afterAutospacing="1" w:line="360" w:lineRule="auto"/>
      <w:ind w:firstLine="0" w:firstLineChars="0"/>
      <w:jc w:val="left"/>
      <w:outlineLvl w:val="2"/>
    </w:pPr>
    <w:rPr>
      <w:rFonts w:ascii="Arial" w:hAnsi="Arial"/>
      <w:sz w:val="28"/>
      <w:szCs w:val="28"/>
      <w:lang w:val="en-GB" w:eastAsia="en-US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qFormat/>
    <w:uiPriority w:val="0"/>
    <w:pPr>
      <w:widowControl w:val="0"/>
      <w:spacing w:after="120"/>
      <w:jc w:val="both"/>
    </w:pPr>
    <w:rPr>
      <w:rFonts w:ascii="Arial" w:hAnsi="Arial" w:eastAsia="仿宋_GB2312" w:cs="Arial"/>
      <w:bCs/>
      <w:color w:val="FF0000"/>
      <w:kern w:val="2"/>
      <w:sz w:val="32"/>
      <w:szCs w:val="32"/>
    </w:rPr>
  </w:style>
  <w:style w:type="paragraph" w:styleId="6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7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8">
    <w:name w:val="Block Text"/>
    <w:basedOn w:val="1"/>
    <w:next w:val="1"/>
    <w:unhideWhenUsed/>
    <w:qFormat/>
    <w:uiPriority w:val="99"/>
    <w:pPr>
      <w:spacing w:after="120"/>
      <w:ind w:left="1440" w:leftChars="700" w:right="700" w:rightChars="700"/>
    </w:pPr>
  </w:style>
  <w:style w:type="paragraph" w:styleId="9">
    <w:name w:val="Plain Text"/>
    <w:basedOn w:val="1"/>
    <w:qFormat/>
    <w:uiPriority w:val="0"/>
    <w:rPr>
      <w:rFonts w:ascii="宋体" w:hAnsi="Courier New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Subtitle"/>
    <w:basedOn w:val="1"/>
    <w:next w:val="1"/>
    <w:qFormat/>
    <w:uiPriority w:val="11"/>
    <w:pPr>
      <w:spacing w:before="240" w:after="60" w:line="312" w:lineRule="atLeast"/>
      <w:jc w:val="center"/>
      <w:outlineLvl w:val="1"/>
    </w:pPr>
    <w:rPr>
      <w:rFonts w:hint="default" w:ascii="Cambria" w:hAnsi="Cambria"/>
      <w:b/>
      <w:bCs/>
      <w:kern w:val="28"/>
      <w:sz w:val="32"/>
      <w:szCs w:val="32"/>
    </w:rPr>
  </w:style>
  <w:style w:type="paragraph" w:styleId="13">
    <w:name w:val="Body Text First Indent 2"/>
    <w:basedOn w:val="7"/>
    <w:unhideWhenUsed/>
    <w:qFormat/>
    <w:uiPriority w:val="99"/>
    <w:pPr>
      <w:ind w:firstLine="420" w:firstLineChars="200"/>
    </w:pPr>
    <w:rPr>
      <w:rFonts w:ascii="宋体" w:hAnsi="宋体"/>
      <w:szCs w:val="28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7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1219</Words>
  <Characters>1302</Characters>
  <Lines>0</Lines>
  <Paragraphs>0</Paragraphs>
  <TotalTime>3</TotalTime>
  <ScaleCrop>false</ScaleCrop>
  <LinksUpToDate>false</LinksUpToDate>
  <CharactersWithSpaces>1304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2023-06-27T04:04:00Z</dcterms:created>
  <dc:creator>wx-zengmanxian</dc:creator>
  <cp:lastModifiedBy>55931_sz</cp:lastModifiedBy>
  <dcterms:modified xsi:type="dcterms:W3CDTF">2026-03-12T08:52:09Z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F1CDB4E6305C4699857954AB40D9E902_13</vt:lpwstr>
  </property>
  <property fmtid="{D5CDD505-2E9C-101B-9397-08002B2CF9AE}" pid="4" name="KSOTemplateDocerSaveRecord">
    <vt:lpwstr>eyJoZGlkIjoiZTcwZTZlMGYwZjdlYmJmMjAyOTc0MGJhZmE2YzkwN2MiLCJ1c2VySWQiOiI0Nzg3MDE1MTAifQ==</vt:lpwstr>
  </property>
</Properties>
</file>