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before="156"/>
        <w:ind w:left="-1" w:leftChars="0" w:firstLine="0" w:firstLineChars="0"/>
        <w:jc w:val="center"/>
        <w:rPr>
          <w:rFonts w:hint="eastAsia" w:ascii="黑体" w:hAnsi="黑体" w:eastAsia="黑体"/>
          <w:b/>
          <w:color w:val="000000"/>
          <w:sz w:val="36"/>
          <w:szCs w:val="36"/>
          <w:highlight w:val="none"/>
          <w:u w:val="single"/>
          <w:lang w:val="en-US" w:eastAsia="zh-CN"/>
        </w:rPr>
        <w:sectPr>
          <w:pgSz w:w="11906" w:h="16838"/>
          <w:pgMar w:top="1440" w:right="0" w:bottom="1440" w:left="0" w:header="851" w:footer="992" w:gutter="0"/>
          <w:pgNumType w:fmt="decimal"/>
          <w:cols w:space="425" w:num="1"/>
          <w:docGrid w:type="lines" w:linePitch="312" w:charSpace="0"/>
        </w:sectPr>
      </w:pPr>
      <w:bookmarkStart w:id="0" w:name="XmInfoEntity_XMMC_0_2"/>
      <w:r>
        <w:rPr>
          <w:highlight w:val="none"/>
        </w:rPr>
        <w:drawing>
          <wp:anchor distT="0" distB="0" distL="114300" distR="114300" simplePos="0" relativeHeight="251664384" behindDoc="0" locked="0" layoutInCell="1" allowOverlap="1">
            <wp:simplePos x="0" y="0"/>
            <wp:positionH relativeFrom="page">
              <wp:posOffset>386080</wp:posOffset>
            </wp:positionH>
            <wp:positionV relativeFrom="paragraph">
              <wp:posOffset>887730</wp:posOffset>
            </wp:positionV>
            <wp:extent cx="3459480" cy="813435"/>
            <wp:effectExtent l="0" t="0" r="7620" b="5715"/>
            <wp:wrapNone/>
            <wp:docPr id="10" name="图片 11" descr="说明: 中国南方电网公司---横向标准组合"/>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1" descr="说明: 中国南方电网公司---横向标准组合"/>
                    <pic:cNvPicPr>
                      <a:picLocks noChangeAspect="1"/>
                    </pic:cNvPicPr>
                  </pic:nvPicPr>
                  <pic:blipFill>
                    <a:blip r:embed="rId5"/>
                    <a:stretch>
                      <a:fillRect/>
                    </a:stretch>
                  </pic:blipFill>
                  <pic:spPr>
                    <a:xfrm>
                      <a:off x="0" y="0"/>
                      <a:ext cx="3459480" cy="813435"/>
                    </a:xfrm>
                    <a:prstGeom prst="rect">
                      <a:avLst/>
                    </a:prstGeom>
                    <a:noFill/>
                    <a:ln>
                      <a:noFill/>
                    </a:ln>
                  </pic:spPr>
                </pic:pic>
              </a:graphicData>
            </a:graphic>
          </wp:anchor>
        </w:drawing>
      </w:r>
      <w:r>
        <w:rPr>
          <w:highlight w:val="none"/>
        </w:rPr>
        <mc:AlternateContent>
          <mc:Choice Requires="wps">
            <w:drawing>
              <wp:anchor distT="0" distB="0" distL="114300" distR="114300" simplePos="0" relativeHeight="251661312" behindDoc="0" locked="0" layoutInCell="1" allowOverlap="1">
                <wp:simplePos x="0" y="0"/>
                <wp:positionH relativeFrom="column">
                  <wp:posOffset>1929130</wp:posOffset>
                </wp:positionH>
                <wp:positionV relativeFrom="paragraph">
                  <wp:posOffset>8201025</wp:posOffset>
                </wp:positionV>
                <wp:extent cx="3639185" cy="1762760"/>
                <wp:effectExtent l="4445" t="4445" r="13970" b="23495"/>
                <wp:wrapNone/>
                <wp:docPr id="6" name="文本框 6"/>
                <wp:cNvGraphicFramePr/>
                <a:graphic xmlns:a="http://schemas.openxmlformats.org/drawingml/2006/main">
                  <a:graphicData uri="http://schemas.microsoft.com/office/word/2010/wordprocessingShape">
                    <wps:wsp>
                      <wps:cNvSpPr txBox="1"/>
                      <wps:spPr>
                        <a:xfrm>
                          <a:off x="0" y="0"/>
                          <a:ext cx="3639185" cy="1762760"/>
                        </a:xfrm>
                        <a:prstGeom prst="rect">
                          <a:avLst/>
                        </a:prstGeom>
                        <a:solidFill>
                          <a:srgbClr val="FFFFFF"/>
                        </a:solidFill>
                        <a:ln w="9525" cap="flat" cmpd="sng">
                          <a:solidFill>
                            <a:srgbClr val="FFFFFF"/>
                          </a:solidFill>
                          <a:prstDash val="solid"/>
                          <a:miter/>
                          <a:headEnd type="none" w="med" len="med"/>
                          <a:tailEnd type="none" w="med" len="med"/>
                        </a:ln>
                      </wps:spPr>
                      <wps:txbx>
                        <w:txbxContent>
                          <w:p>
                            <w:pPr>
                              <w:jc w:val="center"/>
                              <w:rPr>
                                <w:rFonts w:ascii="黑体" w:hAnsi="黑体" w:eastAsia="黑体"/>
                                <w:b/>
                                <w:sz w:val="30"/>
                                <w:szCs w:val="30"/>
                                <w:u w:val="single"/>
                              </w:rPr>
                            </w:pPr>
                            <w:bookmarkStart w:id="3" w:name="XmInfoEntity_DATE_0_3"/>
                            <w:r>
                              <w:rPr>
                                <w:rFonts w:hint="eastAsia" w:ascii="黑体" w:hAnsi="黑体" w:eastAsia="黑体"/>
                                <w:b/>
                                <w:sz w:val="30"/>
                                <w:szCs w:val="30"/>
                                <w:u w:val="single"/>
                              </w:rPr>
                              <w:t>202</w:t>
                            </w:r>
                            <w:r>
                              <w:rPr>
                                <w:rFonts w:hint="eastAsia" w:ascii="黑体" w:hAnsi="黑体" w:eastAsia="黑体"/>
                                <w:b/>
                                <w:sz w:val="30"/>
                                <w:szCs w:val="30"/>
                                <w:u w:val="single"/>
                                <w:lang w:val="en-US" w:eastAsia="zh-CN"/>
                              </w:rPr>
                              <w:t>6</w:t>
                            </w:r>
                            <w:r>
                              <w:rPr>
                                <w:rFonts w:hint="eastAsia" w:ascii="黑体" w:hAnsi="黑体" w:eastAsia="黑体"/>
                                <w:b/>
                                <w:sz w:val="30"/>
                                <w:szCs w:val="30"/>
                                <w:u w:val="single"/>
                              </w:rPr>
                              <w:t>年</w:t>
                            </w:r>
                            <w:r>
                              <w:rPr>
                                <w:rFonts w:hint="eastAsia" w:ascii="黑体" w:hAnsi="黑体" w:eastAsia="黑体"/>
                                <w:b/>
                                <w:sz w:val="30"/>
                                <w:szCs w:val="30"/>
                                <w:u w:val="single"/>
                                <w:lang w:val="en-US" w:eastAsia="zh-CN"/>
                              </w:rPr>
                              <w:t>4</w:t>
                            </w:r>
                            <w:r>
                              <w:rPr>
                                <w:rFonts w:hint="eastAsia" w:ascii="黑体" w:hAnsi="黑体" w:eastAsia="黑体"/>
                                <w:b/>
                                <w:sz w:val="30"/>
                                <w:szCs w:val="30"/>
                                <w:u w:val="single"/>
                              </w:rPr>
                              <w:t>月</w:t>
                            </w:r>
                            <w:bookmarkEnd w:id="3"/>
                          </w:p>
                        </w:txbxContent>
                      </wps:txbx>
                      <wps:bodyPr upright="1">
                        <a:spAutoFit/>
                      </wps:bodyPr>
                    </wps:wsp>
                  </a:graphicData>
                </a:graphic>
                <wp14:sizeRelH relativeFrom="page">
                  <wp14:pctWidth>0</wp14:pctWidth>
                </wp14:sizeRelH>
                <wp14:sizeRelV relativeFrom="margin">
                  <wp14:pctHeight>20000</wp14:pctHeight>
                </wp14:sizeRelV>
              </wp:anchor>
            </w:drawing>
          </mc:Choice>
          <mc:Fallback>
            <w:pict>
              <v:shape id="_x0000_s1026" o:spid="_x0000_s1026" o:spt="202" type="#_x0000_t202" style="position:absolute;left:0pt;margin-left:151.9pt;margin-top:645.75pt;height:138.8pt;width:286.55pt;z-index:251661312;mso-width-relative:page;mso-height-relative:margin;mso-height-percent:200;" fillcolor="#FFFFFF" filled="t" stroked="t" coordsize="21600,21600" o:gfxdata="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NYtV0HdAAAADQEA&#10;AA8AAAAAAAAAAQAgAAAAIgAAAGRycy9kb3ducmV2LnhtbFBLAQIUABQAAAAIAIdO4kDrq0HhFQIA&#10;AFEEAAAOAAAAAAAAAAEAIAAAACwBAABkcnMvZTJvRG9jLnhtbFBLBQYAAAAABgAGAFkBAACzBQAA&#10;AAA=&#10;">
                <v:fill on="t" focussize="0,0"/>
                <v:stroke color="#FFFFFF" joinstyle="miter"/>
                <v:imagedata o:title=""/>
                <o:lock v:ext="edit" aspectratio="f"/>
                <v:textbox style="mso-fit-shape-to-text:t;">
                  <w:txbxContent>
                    <w:p>
                      <w:pPr>
                        <w:jc w:val="center"/>
                        <w:rPr>
                          <w:rFonts w:ascii="黑体" w:hAnsi="黑体" w:eastAsia="黑体"/>
                          <w:b/>
                          <w:sz w:val="30"/>
                          <w:szCs w:val="30"/>
                          <w:u w:val="single"/>
                        </w:rPr>
                      </w:pPr>
                      <w:bookmarkStart w:id="3" w:name="XmInfoEntity_DATE_0_3"/>
                      <w:r>
                        <w:rPr>
                          <w:rFonts w:hint="eastAsia" w:ascii="黑体" w:hAnsi="黑体" w:eastAsia="黑体"/>
                          <w:b/>
                          <w:sz w:val="30"/>
                          <w:szCs w:val="30"/>
                          <w:u w:val="single"/>
                        </w:rPr>
                        <w:t>202</w:t>
                      </w:r>
                      <w:r>
                        <w:rPr>
                          <w:rFonts w:hint="eastAsia" w:ascii="黑体" w:hAnsi="黑体" w:eastAsia="黑体"/>
                          <w:b/>
                          <w:sz w:val="30"/>
                          <w:szCs w:val="30"/>
                          <w:u w:val="single"/>
                          <w:lang w:val="en-US" w:eastAsia="zh-CN"/>
                        </w:rPr>
                        <w:t>6</w:t>
                      </w:r>
                      <w:r>
                        <w:rPr>
                          <w:rFonts w:hint="eastAsia" w:ascii="黑体" w:hAnsi="黑体" w:eastAsia="黑体"/>
                          <w:b/>
                          <w:sz w:val="30"/>
                          <w:szCs w:val="30"/>
                          <w:u w:val="single"/>
                        </w:rPr>
                        <w:t>年</w:t>
                      </w:r>
                      <w:r>
                        <w:rPr>
                          <w:rFonts w:hint="eastAsia" w:ascii="黑体" w:hAnsi="黑体" w:eastAsia="黑体"/>
                          <w:b/>
                          <w:sz w:val="30"/>
                          <w:szCs w:val="30"/>
                          <w:u w:val="single"/>
                          <w:lang w:val="en-US" w:eastAsia="zh-CN"/>
                        </w:rPr>
                        <w:t>4</w:t>
                      </w:r>
                      <w:r>
                        <w:rPr>
                          <w:rFonts w:hint="eastAsia" w:ascii="黑体" w:hAnsi="黑体" w:eastAsia="黑体"/>
                          <w:b/>
                          <w:sz w:val="30"/>
                          <w:szCs w:val="30"/>
                          <w:u w:val="single"/>
                        </w:rPr>
                        <w:t>月</w:t>
                      </w:r>
                      <w:bookmarkEnd w:id="3"/>
                    </w:p>
                  </w:txbxContent>
                </v:textbox>
              </v:shape>
            </w:pict>
          </mc:Fallback>
        </mc:AlternateContent>
      </w:r>
      <w:r>
        <w:rPr>
          <w:highlight w:val="none"/>
        </w:rPr>
        <mc:AlternateContent>
          <mc:Choice Requires="wps">
            <w:drawing>
              <wp:anchor distT="0" distB="0" distL="114300" distR="114300" simplePos="0" relativeHeight="251662336" behindDoc="0" locked="0" layoutInCell="1" allowOverlap="1">
                <wp:simplePos x="0" y="0"/>
                <wp:positionH relativeFrom="margin">
                  <wp:posOffset>4067810</wp:posOffset>
                </wp:positionH>
                <wp:positionV relativeFrom="paragraph">
                  <wp:posOffset>4297680</wp:posOffset>
                </wp:positionV>
                <wp:extent cx="2428875" cy="1246505"/>
                <wp:effectExtent l="0" t="0" r="0" b="0"/>
                <wp:wrapNone/>
                <wp:docPr id="5" name="文本框 5"/>
                <wp:cNvGraphicFramePr/>
                <a:graphic xmlns:a="http://schemas.openxmlformats.org/drawingml/2006/main">
                  <a:graphicData uri="http://schemas.microsoft.com/office/word/2010/wordprocessingShape">
                    <wps:wsp>
                      <wps:cNvSpPr txBox="1"/>
                      <wps:spPr>
                        <a:xfrm>
                          <a:off x="0" y="0"/>
                          <a:ext cx="2428875" cy="1246505"/>
                        </a:xfrm>
                        <a:prstGeom prst="rect">
                          <a:avLst/>
                        </a:prstGeom>
                        <a:noFill/>
                        <a:ln>
                          <a:noFill/>
                        </a:ln>
                      </wps:spPr>
                      <wps:txbx>
                        <w:txbxContent>
                          <w:p>
                            <w:pPr>
                              <w:wordWrap w:val="0"/>
                              <w:spacing w:before="156"/>
                              <w:ind w:right="52"/>
                              <w:rPr>
                                <w:rFonts w:ascii="文鼎CS大黑" w:eastAsia="文鼎CS大黑"/>
                                <w:b/>
                                <w:color w:val="003B77"/>
                                <w:sz w:val="84"/>
                                <w:szCs w:val="84"/>
                              </w:rPr>
                            </w:pPr>
                            <w:r>
                              <w:rPr>
                                <w:rFonts w:hint="eastAsia" w:ascii="方正粗宋简体" w:eastAsia="方正粗宋简体"/>
                                <w:b/>
                                <w:color w:val="000080"/>
                                <w:sz w:val="84"/>
                                <w:szCs w:val="84"/>
                                <w:lang w:val="en-US" w:eastAsia="zh-CN"/>
                              </w:rPr>
                              <w:t>采购文件</w:t>
                            </w:r>
                          </w:p>
                        </w:txbxContent>
                      </wps:txbx>
                      <wps:bodyPr upright="1"/>
                    </wps:wsp>
                  </a:graphicData>
                </a:graphic>
              </wp:anchor>
            </w:drawing>
          </mc:Choice>
          <mc:Fallback>
            <w:pict>
              <v:shape id="_x0000_s1026" o:spid="_x0000_s1026" o:spt="202" type="#_x0000_t202" style="position:absolute;left:0pt;margin-left:320.3pt;margin-top:338.4pt;height:98.15pt;width:191.25pt;mso-position-horizontal-relative:margin;z-index:251662336;mso-width-relative:page;mso-height-relative:page;" filled="f" stroked="f" coordsize="21600,21600" o:gfxdata="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">
                <v:fill on="f" focussize="0,0"/>
                <v:stroke on="f"/>
                <v:imagedata o:title=""/>
                <o:lock v:ext="edit" aspectratio="f"/>
                <v:textbox>
                  <w:txbxContent>
                    <w:p>
                      <w:pPr>
                        <w:wordWrap w:val="0"/>
                        <w:spacing w:before="156"/>
                        <w:ind w:right="52"/>
                        <w:rPr>
                          <w:rFonts w:ascii="文鼎CS大黑" w:eastAsia="文鼎CS大黑"/>
                          <w:b/>
                          <w:color w:val="003B77"/>
                          <w:sz w:val="84"/>
                          <w:szCs w:val="84"/>
                        </w:rPr>
                      </w:pPr>
                      <w:r>
                        <w:rPr>
                          <w:rFonts w:hint="eastAsia" w:ascii="方正粗宋简体" w:eastAsia="方正粗宋简体"/>
                          <w:b/>
                          <w:color w:val="000080"/>
                          <w:sz w:val="84"/>
                          <w:szCs w:val="84"/>
                          <w:lang w:val="en-US" w:eastAsia="zh-CN"/>
                        </w:rPr>
                        <w:t>采购文件</w:t>
                      </w:r>
                    </w:p>
                  </w:txbxContent>
                </v:textbox>
              </v:shape>
            </w:pict>
          </mc:Fallback>
        </mc:AlternateContent>
      </w:r>
      <w:r>
        <w:rPr>
          <w:highlight w:val="none"/>
        </w:rPr>
        <mc:AlternateContent>
          <mc:Choice Requires="wps">
            <w:drawing>
              <wp:anchor distT="0" distB="0" distL="114300" distR="114300" simplePos="0" relativeHeight="251660288" behindDoc="0" locked="0" layoutInCell="1" allowOverlap="1">
                <wp:simplePos x="0" y="0"/>
                <wp:positionH relativeFrom="margin">
                  <wp:posOffset>422275</wp:posOffset>
                </wp:positionH>
                <wp:positionV relativeFrom="paragraph">
                  <wp:posOffset>3255645</wp:posOffset>
                </wp:positionV>
                <wp:extent cx="6160135" cy="1494155"/>
                <wp:effectExtent l="0" t="0" r="0" b="0"/>
                <wp:wrapNone/>
                <wp:docPr id="8" name="矩形 8"/>
                <wp:cNvGraphicFramePr/>
                <a:graphic xmlns:a="http://schemas.openxmlformats.org/drawingml/2006/main">
                  <a:graphicData uri="http://schemas.microsoft.com/office/word/2010/wordprocessingShape">
                    <wps:wsp>
                      <wps:cNvSpPr/>
                      <wps:spPr>
                        <a:xfrm>
                          <a:off x="0" y="0"/>
                          <a:ext cx="6160135" cy="1494155"/>
                        </a:xfrm>
                        <a:prstGeom prst="rect">
                          <a:avLst/>
                        </a:prstGeom>
                        <a:noFill/>
                        <a:ln>
                          <a:noFill/>
                        </a:ln>
                      </wps:spPr>
                      <wps:txbx>
                        <w:txbxContent>
                          <w:p>
                            <w:pPr>
                              <w:spacing w:before="156"/>
                              <w:jc w:val="center"/>
                              <w:rPr>
                                <w:rFonts w:ascii="黑体" w:hAnsi="黑体" w:eastAsia="黑体"/>
                                <w:b/>
                                <w:bCs/>
                                <w:sz w:val="40"/>
                                <w:szCs w:val="40"/>
                                <w:u w:val="single"/>
                              </w:rPr>
                            </w:pPr>
                            <w:r>
                              <w:rPr>
                                <w:rFonts w:hint="eastAsia" w:ascii="黑体" w:hAnsi="黑体" w:eastAsia="黑体"/>
                                <w:b/>
                                <w:bCs/>
                                <w:sz w:val="40"/>
                                <w:szCs w:val="40"/>
                                <w:u w:val="single"/>
                                <w:lang w:eastAsia="zh-CN"/>
                              </w:rPr>
                              <w:t>南网共享公司2026年人资类项目造价咨询服务</w:t>
                            </w:r>
                          </w:p>
                          <w:p/>
                        </w:txbxContent>
                      </wps:txbx>
                      <wps:bodyPr upright="1"/>
                    </wps:wsp>
                  </a:graphicData>
                </a:graphic>
              </wp:anchor>
            </w:drawing>
          </mc:Choice>
          <mc:Fallback>
            <w:pict>
              <v:rect id="_x0000_s1026" o:spid="_x0000_s1026" o:spt="1" style="position:absolute;left:0pt;margin-left:33.25pt;margin-top:256.35pt;height:117.65pt;width:485.05pt;mso-position-horizontal-relative:margin;z-index:251660288;mso-width-relative:page;mso-height-relative:page;" filled="f" stroked="f" coordsize="21600,21600" o:gfxdata="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">
                <v:fill on="f" focussize="0,0"/>
                <v:stroke on="f"/>
                <v:imagedata o:title=""/>
                <o:lock v:ext="edit" aspectratio="f"/>
                <v:textbox>
                  <w:txbxContent>
                    <w:p>
                      <w:pPr>
                        <w:spacing w:before="156"/>
                        <w:jc w:val="center"/>
                        <w:rPr>
                          <w:rFonts w:ascii="黑体" w:hAnsi="黑体" w:eastAsia="黑体"/>
                          <w:b/>
                          <w:bCs/>
                          <w:sz w:val="40"/>
                          <w:szCs w:val="40"/>
                          <w:u w:val="single"/>
                        </w:rPr>
                      </w:pPr>
                      <w:r>
                        <w:rPr>
                          <w:rFonts w:hint="eastAsia" w:ascii="黑体" w:hAnsi="黑体" w:eastAsia="黑体"/>
                          <w:b/>
                          <w:bCs/>
                          <w:sz w:val="40"/>
                          <w:szCs w:val="40"/>
                          <w:u w:val="single"/>
                          <w:lang w:eastAsia="zh-CN"/>
                        </w:rPr>
                        <w:t>南网共享公司2026年人资类项目造价咨询服务</w:t>
                      </w:r>
                    </w:p>
                    <w:p/>
                  </w:txbxContent>
                </v:textbox>
              </v:rect>
            </w:pict>
          </mc:Fallback>
        </mc:AlternateContent>
      </w:r>
      <w:r>
        <w:rPr>
          <w:highlight w:val="none"/>
        </w:rPr>
        <w:drawing>
          <wp:anchor distT="0" distB="0" distL="114300" distR="114300" simplePos="0" relativeHeight="251663360" behindDoc="1" locked="0" layoutInCell="1" allowOverlap="1">
            <wp:simplePos x="0" y="0"/>
            <wp:positionH relativeFrom="page">
              <wp:posOffset>6350</wp:posOffset>
            </wp:positionH>
            <wp:positionV relativeFrom="paragraph">
              <wp:posOffset>-909320</wp:posOffset>
            </wp:positionV>
            <wp:extent cx="7569835" cy="7791450"/>
            <wp:effectExtent l="0" t="0" r="12065" b="0"/>
            <wp:wrapNone/>
            <wp:docPr id="9" name="图片 10" descr="说明: 未命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0" descr="说明: 未命名"/>
                    <pic:cNvPicPr>
                      <a:picLocks noChangeAspect="1"/>
                    </pic:cNvPicPr>
                  </pic:nvPicPr>
                  <pic:blipFill>
                    <a:blip r:embed="rId6"/>
                    <a:stretch>
                      <a:fillRect/>
                    </a:stretch>
                  </pic:blipFill>
                  <pic:spPr>
                    <a:xfrm>
                      <a:off x="0" y="0"/>
                      <a:ext cx="7569835" cy="7791450"/>
                    </a:xfrm>
                    <a:prstGeom prst="rect">
                      <a:avLst/>
                    </a:prstGeom>
                    <a:noFill/>
                    <a:ln>
                      <a:noFill/>
                    </a:ln>
                  </pic:spPr>
                </pic:pic>
              </a:graphicData>
            </a:graphic>
          </wp:anchor>
        </w:drawing>
      </w:r>
    </w:p>
    <w:bookmarkEnd w:id="0"/>
    <w:p>
      <w:pPr>
        <w:shd w:val="clear" w:color="auto" w:fill="auto"/>
        <w:spacing w:before="156"/>
        <w:jc w:val="center"/>
        <w:rPr>
          <w:rFonts w:hint="eastAsia" w:ascii="黑体" w:hAnsi="黑体" w:eastAsia="黑体"/>
          <w:b/>
          <w:bCs/>
          <w:sz w:val="40"/>
          <w:szCs w:val="40"/>
          <w:highlight w:val="none"/>
          <w:u w:val="single"/>
          <w:lang w:eastAsia="zh-CN"/>
        </w:rPr>
      </w:pPr>
      <w:r>
        <w:rPr>
          <w:rFonts w:hint="eastAsia" w:ascii="黑体" w:hAnsi="黑体" w:eastAsia="黑体"/>
          <w:b/>
          <w:bCs/>
          <w:sz w:val="40"/>
          <w:szCs w:val="40"/>
          <w:highlight w:val="none"/>
          <w:u w:val="single"/>
          <w:lang w:eastAsia="zh-CN"/>
        </w:rPr>
        <w:t>南网共享公司2026年人资类项目造价咨询服务</w:t>
      </w:r>
    </w:p>
    <w:p>
      <w:pPr>
        <w:pStyle w:val="2"/>
        <w:rPr>
          <w:rFonts w:hint="eastAsia"/>
          <w:lang w:val="en-US" w:eastAsia="zh-CN"/>
        </w:rPr>
      </w:pPr>
    </w:p>
    <w:p>
      <w:pPr>
        <w:adjustRightInd w:val="0"/>
        <w:snapToGrid w:val="0"/>
        <w:spacing w:before="156"/>
        <w:jc w:val="both"/>
        <w:rPr>
          <w:rFonts w:hint="eastAsia"/>
          <w:b/>
          <w:sz w:val="28"/>
          <w:szCs w:val="28"/>
          <w:highlight w:val="none"/>
        </w:rPr>
      </w:pPr>
      <w:r>
        <w:rPr>
          <w:rFonts w:hint="eastAsia"/>
          <w:b/>
          <w:color w:val="000000"/>
          <w:kern w:val="0"/>
          <w:sz w:val="28"/>
          <w:szCs w:val="28"/>
          <w:highlight w:val="none"/>
          <w:lang w:val="en-US" w:eastAsia="zh-CN"/>
        </w:rPr>
        <w:t>一、采购范围</w:t>
      </w:r>
      <w:r>
        <w:rPr>
          <w:rFonts w:hint="eastAsia"/>
          <w:b/>
          <w:sz w:val="28"/>
          <w:szCs w:val="28"/>
          <w:highlight w:val="none"/>
        </w:rPr>
        <w:t xml:space="preserve"> </w:t>
      </w:r>
    </w:p>
    <w:p>
      <w:pPr>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560" w:firstLineChars="200"/>
        <w:textAlignment w:val="auto"/>
        <w:rPr>
          <w:rFonts w:hint="default" w:eastAsia="宋体" w:cs="Times New Roman"/>
          <w:b w:val="0"/>
          <w:bCs/>
          <w:sz w:val="28"/>
          <w:szCs w:val="28"/>
          <w:highlight w:val="none"/>
          <w:lang w:val="en-US" w:eastAsia="zh-CN"/>
        </w:rPr>
      </w:pPr>
      <w:r>
        <w:rPr>
          <w:rFonts w:hint="eastAsia" w:eastAsia="宋体" w:cs="Times New Roman"/>
          <w:b w:val="0"/>
          <w:bCs/>
          <w:sz w:val="28"/>
          <w:szCs w:val="28"/>
          <w:highlight w:val="none"/>
          <w:lang w:val="en-US" w:eastAsia="zh-CN"/>
        </w:rPr>
        <w:t>本项目为公司范围内人资类采购项目的造价咨询服务，</w:t>
      </w:r>
      <w:r>
        <w:rPr>
          <w:rFonts w:hint="default" w:eastAsia="宋体" w:cs="Times New Roman"/>
          <w:b w:val="0"/>
          <w:bCs/>
          <w:sz w:val="28"/>
          <w:szCs w:val="28"/>
          <w:highlight w:val="none"/>
          <w:lang w:val="en-US" w:eastAsia="zh-CN"/>
        </w:rPr>
        <w:t>项目核心内容为对</w:t>
      </w:r>
      <w:r>
        <w:rPr>
          <w:rFonts w:hint="eastAsia" w:eastAsia="宋体" w:cs="Times New Roman"/>
          <w:b w:val="0"/>
          <w:bCs/>
          <w:sz w:val="28"/>
          <w:szCs w:val="28"/>
          <w:highlight w:val="none"/>
          <w:lang w:val="en-US" w:eastAsia="zh-CN"/>
        </w:rPr>
        <w:t>各</w:t>
      </w:r>
      <w:r>
        <w:rPr>
          <w:rFonts w:hint="default" w:eastAsia="宋体" w:cs="Times New Roman"/>
          <w:b w:val="0"/>
          <w:bCs/>
          <w:sz w:val="28"/>
          <w:szCs w:val="28"/>
          <w:highlight w:val="none"/>
          <w:lang w:val="en-US" w:eastAsia="zh-CN"/>
        </w:rPr>
        <w:t>人资类采购项目（</w:t>
      </w:r>
      <w:r>
        <w:rPr>
          <w:rFonts w:hint="eastAsia" w:eastAsia="宋体" w:cs="Times New Roman"/>
          <w:b w:val="0"/>
          <w:bCs/>
          <w:sz w:val="28"/>
          <w:szCs w:val="28"/>
          <w:highlight w:val="none"/>
          <w:lang w:val="en-US" w:eastAsia="zh-CN"/>
        </w:rPr>
        <w:t>项目内包含</w:t>
      </w:r>
      <w:r>
        <w:rPr>
          <w:rFonts w:hint="default" w:eastAsia="宋体" w:cs="Times New Roman"/>
          <w:b w:val="0"/>
          <w:bCs/>
          <w:sz w:val="28"/>
          <w:szCs w:val="28"/>
          <w:highlight w:val="none"/>
          <w:lang w:val="en-US" w:eastAsia="zh-CN"/>
        </w:rPr>
        <w:t>若干服务子项，如物料制作、</w:t>
      </w:r>
      <w:r>
        <w:rPr>
          <w:rFonts w:hint="eastAsia" w:eastAsia="宋体" w:cs="Times New Roman"/>
          <w:b w:val="0"/>
          <w:bCs/>
          <w:sz w:val="28"/>
          <w:szCs w:val="28"/>
          <w:highlight w:val="none"/>
          <w:lang w:val="en-US" w:eastAsia="zh-CN"/>
        </w:rPr>
        <w:t>背景调查、考务</w:t>
      </w:r>
      <w:r>
        <w:rPr>
          <w:rFonts w:hint="default" w:eastAsia="宋体" w:cs="Times New Roman"/>
          <w:b w:val="0"/>
          <w:bCs/>
          <w:sz w:val="28"/>
          <w:szCs w:val="28"/>
          <w:highlight w:val="none"/>
          <w:lang w:val="en-US" w:eastAsia="zh-CN"/>
        </w:rPr>
        <w:t>支持</w:t>
      </w:r>
      <w:r>
        <w:rPr>
          <w:rFonts w:hint="eastAsia" w:cs="Times New Roman"/>
          <w:b w:val="0"/>
          <w:bCs/>
          <w:sz w:val="28"/>
          <w:szCs w:val="28"/>
          <w:highlight w:val="none"/>
          <w:lang w:val="en-US" w:eastAsia="zh-CN"/>
        </w:rPr>
        <w:t>、宣传推文制作</w:t>
      </w:r>
      <w:r>
        <w:rPr>
          <w:rFonts w:hint="default" w:eastAsia="宋体" w:cs="Times New Roman"/>
          <w:b w:val="0"/>
          <w:bCs/>
          <w:sz w:val="28"/>
          <w:szCs w:val="28"/>
          <w:highlight w:val="none"/>
          <w:lang w:val="en-US" w:eastAsia="zh-CN"/>
        </w:rPr>
        <w:t>等</w:t>
      </w:r>
      <w:r>
        <w:rPr>
          <w:rFonts w:hint="eastAsia" w:cs="Times New Roman"/>
          <w:b w:val="0"/>
          <w:bCs/>
          <w:sz w:val="28"/>
          <w:szCs w:val="28"/>
          <w:highlight w:val="none"/>
          <w:lang w:val="en-US" w:eastAsia="zh-CN"/>
        </w:rPr>
        <w:t>服务子项100项左右</w:t>
      </w:r>
      <w:r>
        <w:rPr>
          <w:rFonts w:hint="default" w:eastAsia="宋体" w:cs="Times New Roman"/>
          <w:b w:val="0"/>
          <w:bCs/>
          <w:sz w:val="28"/>
          <w:szCs w:val="28"/>
          <w:highlight w:val="none"/>
          <w:lang w:val="en-US" w:eastAsia="zh-CN"/>
        </w:rPr>
        <w:t>）</w:t>
      </w:r>
      <w:r>
        <w:rPr>
          <w:rFonts w:hint="eastAsia" w:cs="Times New Roman"/>
          <w:b w:val="0"/>
          <w:bCs/>
          <w:sz w:val="28"/>
          <w:szCs w:val="28"/>
          <w:highlight w:val="none"/>
          <w:lang w:val="en-US" w:eastAsia="zh-CN"/>
        </w:rPr>
        <w:t>内的服务子项</w:t>
      </w:r>
      <w:r>
        <w:rPr>
          <w:rFonts w:hint="default" w:eastAsia="宋体" w:cs="Times New Roman"/>
          <w:b w:val="0"/>
          <w:bCs/>
          <w:sz w:val="28"/>
          <w:szCs w:val="28"/>
          <w:highlight w:val="none"/>
          <w:lang w:val="en-US" w:eastAsia="zh-CN"/>
        </w:rPr>
        <w:t>开展最高限价</w:t>
      </w:r>
      <w:r>
        <w:rPr>
          <w:rFonts w:hint="eastAsia" w:cs="Times New Roman"/>
          <w:b w:val="0"/>
          <w:bCs/>
          <w:sz w:val="28"/>
          <w:szCs w:val="28"/>
          <w:highlight w:val="none"/>
          <w:lang w:val="en-US" w:eastAsia="zh-CN"/>
        </w:rPr>
        <w:t>编制</w:t>
      </w:r>
      <w:r>
        <w:rPr>
          <w:rFonts w:hint="default" w:eastAsia="宋体" w:cs="Times New Roman"/>
          <w:b w:val="0"/>
          <w:bCs/>
          <w:sz w:val="28"/>
          <w:szCs w:val="28"/>
          <w:highlight w:val="none"/>
          <w:lang w:val="en-US" w:eastAsia="zh-CN"/>
        </w:rPr>
        <w:t>工作。具体包括：市场调研、价格合理性分析、各服务子项限价核定，编制完整的最高限价报告，并配合完成采购答疑、后续审核调整等全流程咨询服务。</w:t>
      </w:r>
      <w:r>
        <w:rPr>
          <w:rFonts w:hint="eastAsia" w:cs="Times New Roman"/>
          <w:b w:val="0"/>
          <w:bCs/>
          <w:sz w:val="28"/>
          <w:szCs w:val="28"/>
          <w:highlight w:val="none"/>
          <w:lang w:val="en-US" w:eastAsia="zh-CN"/>
        </w:rPr>
        <w:t>服务期为自成交之日至2026年10</w:t>
      </w:r>
      <w:bookmarkStart w:id="4" w:name="_GoBack"/>
      <w:bookmarkEnd w:id="4"/>
      <w:r>
        <w:rPr>
          <w:rFonts w:hint="eastAsia" w:cs="Times New Roman"/>
          <w:b w:val="0"/>
          <w:bCs/>
          <w:sz w:val="28"/>
          <w:szCs w:val="28"/>
          <w:highlight w:val="none"/>
          <w:lang w:val="en-US" w:eastAsia="zh-CN"/>
        </w:rPr>
        <w:t>月31日。</w:t>
      </w:r>
    </w:p>
    <w:p>
      <w:pPr>
        <w:shd w:val="clear" w:color="auto" w:fill="auto"/>
        <w:adjustRightInd w:val="0"/>
        <w:snapToGrid w:val="0"/>
        <w:spacing w:before="156"/>
        <w:jc w:val="both"/>
        <w:rPr>
          <w:rFonts w:hint="eastAsia" w:cs="Times New Roman"/>
          <w:b/>
          <w:color w:val="000000"/>
          <w:kern w:val="0"/>
          <w:sz w:val="28"/>
          <w:szCs w:val="28"/>
          <w:highlight w:val="none"/>
          <w:lang w:val="en-US" w:eastAsia="zh-CN"/>
        </w:rPr>
      </w:pPr>
      <w:r>
        <w:rPr>
          <w:rFonts w:hint="eastAsia" w:cs="Times New Roman"/>
          <w:b/>
          <w:color w:val="000000"/>
          <w:kern w:val="0"/>
          <w:sz w:val="28"/>
          <w:szCs w:val="28"/>
          <w:highlight w:val="none"/>
          <w:lang w:val="en-US" w:eastAsia="zh-CN"/>
        </w:rPr>
        <w:t>二、报价人资质要求</w:t>
      </w:r>
    </w:p>
    <w:p>
      <w:pPr>
        <w:spacing w:beforeLines="0" w:afterLines="0"/>
        <w:rPr>
          <w:rFonts w:hint="default"/>
          <w:sz w:val="24"/>
          <w:highlight w:val="none"/>
        </w:rPr>
      </w:pPr>
      <w:bookmarkStart w:id="1" w:name="XmInfoEntity_tyzgyqTable_1_1"/>
    </w:p>
    <w:tbl>
      <w:tblPr>
        <w:tblStyle w:val="9"/>
        <w:tblW w:w="852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122"/>
        <w:gridCol w:w="66"/>
        <w:gridCol w:w="7311"/>
        <w:gridCol w:w="2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1"/>
          <w:wAfter w:w="29" w:type="dxa"/>
          <w:trHeight w:val="420" w:hRule="atLeast"/>
          <w:jc w:val="center"/>
        </w:trPr>
        <w:tc>
          <w:tcPr>
            <w:tcW w:w="8499" w:type="dxa"/>
            <w:gridSpan w:val="3"/>
            <w:tcBorders>
              <w:top w:val="nil"/>
              <w:left w:val="nil"/>
              <w:bottom w:val="single" w:color="000000" w:sz="6" w:space="0"/>
              <w:right w:val="nil"/>
              <w:tl2br w:val="nil"/>
              <w:tr2bl w:val="nil"/>
            </w:tcBorders>
            <w:shd w:val="clear" w:color="auto" w:fill="FFFFFF"/>
            <w:noWrap w:val="0"/>
            <w:vAlign w:val="center"/>
          </w:tcPr>
          <w:p>
            <w:pPr>
              <w:spacing w:beforeLines="0" w:afterLines="0"/>
              <w:ind w:left="113"/>
              <w:rPr>
                <w:rFonts w:hint="eastAsia" w:ascii="宋体" w:hAnsi="宋体" w:eastAsia="宋体"/>
                <w:sz w:val="24"/>
                <w:highlight w:val="none"/>
              </w:rPr>
            </w:pPr>
            <w:r>
              <w:rPr>
                <w:rFonts w:hint="eastAsia" w:ascii="宋体" w:hAnsi="宋体" w:eastAsia="宋体"/>
                <w:b/>
                <w:sz w:val="24"/>
                <w:highlight w:val="none"/>
              </w:rPr>
              <w:t>通用资格：</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1"/>
          <w:wAfter w:w="29" w:type="dxa"/>
          <w:trHeight w:val="420" w:hRule="atLeast"/>
          <w:jc w:val="center"/>
        </w:trPr>
        <w:tc>
          <w:tcPr>
            <w:tcW w:w="8499" w:type="dxa"/>
            <w:gridSpan w:val="3"/>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jc w:val="center"/>
              <w:rPr>
                <w:rFonts w:hint="eastAsia" w:ascii="宋体" w:hAnsi="宋体" w:eastAsia="宋体"/>
                <w:sz w:val="24"/>
                <w:highlight w:val="none"/>
              </w:rPr>
            </w:pPr>
            <w:r>
              <w:rPr>
                <w:rFonts w:hint="eastAsia" w:ascii="宋体" w:hAnsi="宋体" w:eastAsia="宋体"/>
                <w:b/>
                <w:sz w:val="24"/>
                <w:highlight w:val="none"/>
              </w:rPr>
              <w:t>通用资格要求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1"/>
          <w:wAfter w:w="29" w:type="dxa"/>
          <w:trHeight w:val="420" w:hRule="atLeast"/>
          <w:jc w:val="center"/>
        </w:trPr>
        <w:tc>
          <w:tcPr>
            <w:tcW w:w="1188" w:type="dxa"/>
            <w:gridSpan w:val="2"/>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jc w:val="center"/>
              <w:rPr>
                <w:rFonts w:hint="eastAsia" w:ascii="宋体" w:hAnsi="宋体" w:eastAsia="宋体"/>
                <w:sz w:val="24"/>
                <w:highlight w:val="none"/>
              </w:rPr>
            </w:pPr>
            <w:r>
              <w:rPr>
                <w:rFonts w:hint="eastAsia" w:ascii="宋体" w:hAnsi="宋体" w:eastAsia="宋体"/>
                <w:b/>
                <w:sz w:val="24"/>
                <w:highlight w:val="none"/>
              </w:rPr>
              <w:t>序号</w:t>
            </w:r>
          </w:p>
        </w:tc>
        <w:tc>
          <w:tcPr>
            <w:tcW w:w="7311"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jc w:val="center"/>
              <w:rPr>
                <w:rFonts w:hint="eastAsia" w:ascii="宋体" w:hAnsi="宋体" w:eastAsia="宋体"/>
                <w:sz w:val="24"/>
                <w:highlight w:val="none"/>
              </w:rPr>
            </w:pPr>
            <w:r>
              <w:rPr>
                <w:rFonts w:hint="eastAsia" w:ascii="宋体" w:hAnsi="宋体" w:eastAsia="宋体"/>
                <w:b/>
                <w:sz w:val="24"/>
                <w:highlight w:val="none"/>
              </w:rPr>
              <w:t>内容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1"/>
          <w:wAfter w:w="29" w:type="dxa"/>
          <w:trHeight w:val="960" w:hRule="atLeast"/>
          <w:jc w:val="center"/>
        </w:trPr>
        <w:tc>
          <w:tcPr>
            <w:tcW w:w="1188" w:type="dxa"/>
            <w:gridSpan w:val="2"/>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jc w:val="center"/>
              <w:rPr>
                <w:rFonts w:hint="eastAsia" w:ascii="宋体" w:hAnsi="宋体" w:eastAsia="宋体"/>
                <w:sz w:val="24"/>
                <w:highlight w:val="none"/>
              </w:rPr>
            </w:pPr>
            <w:r>
              <w:rPr>
                <w:rFonts w:hint="eastAsia" w:ascii="宋体" w:hAnsi="宋体" w:eastAsia="宋体"/>
                <w:sz w:val="24"/>
                <w:highlight w:val="none"/>
              </w:rPr>
              <w:t>1</w:t>
            </w:r>
          </w:p>
        </w:tc>
        <w:tc>
          <w:tcPr>
            <w:tcW w:w="7311"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ind w:left="113"/>
              <w:rPr>
                <w:rFonts w:hint="eastAsia" w:ascii="宋体" w:hAnsi="宋体" w:eastAsia="宋体"/>
                <w:sz w:val="24"/>
                <w:highlight w:val="none"/>
              </w:rPr>
            </w:pPr>
            <w:r>
              <w:rPr>
                <w:rFonts w:hint="eastAsia" w:ascii="宋体" w:hAnsi="宋体" w:eastAsia="宋体"/>
                <w:sz w:val="21"/>
                <w:szCs w:val="21"/>
                <w:highlight w:val="none"/>
              </w:rPr>
              <w:t>中华人民共和国境内注册的法人，提供合法有效的营业执照，经营范围包含造价咨询等相关业务；分支机构应提供合法有效的授权，授权应加盖委托人公章且委托人法定代表人或负责人签字；不接受自然人参与。</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1"/>
          <w:wAfter w:w="29" w:type="dxa"/>
          <w:trHeight w:val="960" w:hRule="atLeast"/>
          <w:jc w:val="center"/>
        </w:trPr>
        <w:tc>
          <w:tcPr>
            <w:tcW w:w="1188" w:type="dxa"/>
            <w:gridSpan w:val="2"/>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jc w:val="center"/>
              <w:rPr>
                <w:rFonts w:hint="eastAsia" w:ascii="宋体" w:hAnsi="宋体" w:eastAsia="宋体"/>
                <w:sz w:val="24"/>
                <w:highlight w:val="none"/>
                <w:lang w:val="en-US" w:eastAsia="zh-CN"/>
              </w:rPr>
            </w:pPr>
            <w:bookmarkStart w:id="2" w:name="XmInfoEntity_zyzgyqTable_1_1"/>
            <w:r>
              <w:rPr>
                <w:rFonts w:hint="eastAsia" w:ascii="宋体" w:hAnsi="宋体"/>
                <w:sz w:val="24"/>
                <w:highlight w:val="none"/>
                <w:lang w:val="en-US" w:eastAsia="zh-CN"/>
              </w:rPr>
              <w:t>2</w:t>
            </w:r>
          </w:p>
        </w:tc>
        <w:tc>
          <w:tcPr>
            <w:tcW w:w="7311"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ind w:left="113"/>
              <w:rPr>
                <w:rFonts w:hint="eastAsia" w:ascii="宋体" w:hAnsi="宋体" w:eastAsia="宋体"/>
                <w:sz w:val="24"/>
                <w:highlight w:val="none"/>
              </w:rPr>
            </w:pPr>
            <w:r>
              <w:rPr>
                <w:rFonts w:hint="eastAsia"/>
                <w:highlight w:val="none"/>
              </w:rPr>
              <w:t>在经营活动中无重大违法失信记录，没有被市场监督管理机关在国家企业信用信息公示系统（</w:t>
            </w:r>
            <w:r>
              <w:rPr>
                <w:rFonts w:hint="default"/>
                <w:highlight w:val="none"/>
                <w:lang w:val="en-US" w:eastAsia="zh-CN"/>
              </w:rPr>
              <w:t>www.gsxt.gov.cn</w:t>
            </w:r>
            <w:r>
              <w:rPr>
                <w:rFonts w:hint="eastAsia"/>
                <w:highlight w:val="none"/>
              </w:rPr>
              <w:t>）中列入严重违法失信企业名单，没有被最高人民法院在“信用中国”网站（</w:t>
            </w:r>
            <w:r>
              <w:rPr>
                <w:rFonts w:hint="default"/>
                <w:highlight w:val="none"/>
                <w:lang w:val="en-US" w:eastAsia="zh-CN"/>
              </w:rPr>
              <w:t>www.creditchina.gov.cn</w:t>
            </w:r>
            <w:r>
              <w:rPr>
                <w:rFonts w:hint="eastAsia"/>
                <w:highlight w:val="none"/>
              </w:rPr>
              <w:t>）列入失信被执行人名单，须提供上述两个网站的相应截图；在中国南方电网有限责任公司范围内没有处于限制投标资格的处罚期内。</w:t>
            </w:r>
          </w:p>
        </w:tc>
      </w:tr>
      <w:bookmarkEnd w:id="1"/>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20" w:hRule="atLeast"/>
          <w:jc w:val="center"/>
        </w:trPr>
        <w:tc>
          <w:tcPr>
            <w:tcW w:w="8528" w:type="dxa"/>
            <w:gridSpan w:val="4"/>
            <w:tcBorders>
              <w:top w:val="nil"/>
              <w:left w:val="nil"/>
              <w:bottom w:val="single" w:color="000000" w:sz="6" w:space="0"/>
              <w:right w:val="nil"/>
              <w:tl2br w:val="nil"/>
              <w:tr2bl w:val="nil"/>
            </w:tcBorders>
            <w:shd w:val="clear" w:color="auto" w:fill="FFFFFF"/>
            <w:noWrap w:val="0"/>
            <w:vAlign w:val="center"/>
          </w:tcPr>
          <w:p>
            <w:pPr>
              <w:spacing w:beforeLines="0" w:afterLines="0"/>
              <w:ind w:left="113"/>
              <w:rPr>
                <w:rFonts w:hint="eastAsia" w:ascii="宋体" w:hAnsi="宋体" w:eastAsia="宋体"/>
                <w:sz w:val="24"/>
                <w:highlight w:val="none"/>
              </w:rPr>
            </w:pPr>
            <w:r>
              <w:rPr>
                <w:rFonts w:hint="eastAsia" w:ascii="宋体" w:hAnsi="宋体" w:eastAsia="宋体"/>
                <w:b/>
                <w:sz w:val="24"/>
                <w:highlight w:val="none"/>
              </w:rPr>
              <w:t>专用资格：</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20" w:hRule="atLeast"/>
          <w:jc w:val="center"/>
        </w:trPr>
        <w:tc>
          <w:tcPr>
            <w:tcW w:w="8528" w:type="dxa"/>
            <w:gridSpan w:val="4"/>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jc w:val="center"/>
              <w:rPr>
                <w:rFonts w:hint="eastAsia" w:ascii="宋体" w:hAnsi="宋体" w:eastAsia="宋体"/>
                <w:sz w:val="24"/>
                <w:highlight w:val="none"/>
              </w:rPr>
            </w:pPr>
            <w:r>
              <w:rPr>
                <w:rFonts w:hint="eastAsia" w:ascii="宋体" w:hAnsi="宋体" w:eastAsia="宋体"/>
                <w:b/>
                <w:sz w:val="24"/>
                <w:highlight w:val="none"/>
              </w:rPr>
              <w:t>专用资格要求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20" w:hRule="atLeast"/>
          <w:jc w:val="center"/>
        </w:trPr>
        <w:tc>
          <w:tcPr>
            <w:tcW w:w="1122"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jc w:val="center"/>
              <w:rPr>
                <w:rFonts w:hint="eastAsia" w:ascii="宋体" w:hAnsi="宋体" w:eastAsia="宋体"/>
                <w:sz w:val="24"/>
                <w:highlight w:val="none"/>
              </w:rPr>
            </w:pPr>
            <w:r>
              <w:rPr>
                <w:rFonts w:hint="eastAsia" w:ascii="宋体" w:hAnsi="宋体" w:eastAsia="宋体"/>
                <w:b/>
                <w:sz w:val="24"/>
                <w:highlight w:val="none"/>
              </w:rPr>
              <w:t>序号</w:t>
            </w:r>
          </w:p>
        </w:tc>
        <w:tc>
          <w:tcPr>
            <w:tcW w:w="7406" w:type="dxa"/>
            <w:gridSpan w:val="3"/>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jc w:val="center"/>
              <w:rPr>
                <w:rFonts w:hint="eastAsia" w:ascii="宋体" w:hAnsi="宋体" w:eastAsia="宋体"/>
                <w:sz w:val="24"/>
                <w:highlight w:val="none"/>
              </w:rPr>
            </w:pPr>
            <w:r>
              <w:rPr>
                <w:rFonts w:hint="eastAsia" w:ascii="宋体" w:hAnsi="宋体" w:eastAsia="宋体"/>
                <w:b/>
                <w:sz w:val="24"/>
                <w:highlight w:val="none"/>
              </w:rPr>
              <w:t>内容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40" w:hRule="atLeast"/>
          <w:jc w:val="center"/>
        </w:trPr>
        <w:tc>
          <w:tcPr>
            <w:tcW w:w="1122"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hd w:val="clear" w:color="auto" w:fill="auto"/>
              <w:spacing w:beforeLines="0" w:afterLines="0"/>
              <w:ind w:left="113"/>
              <w:jc w:val="center"/>
              <w:rPr>
                <w:rFonts w:hint="eastAsia" w:ascii="宋体" w:hAnsi="宋体" w:eastAsia="宋体" w:cs="Times New Roman"/>
                <w:sz w:val="24"/>
                <w:highlight w:val="none"/>
              </w:rPr>
            </w:pPr>
            <w:r>
              <w:rPr>
                <w:rFonts w:hint="eastAsia" w:ascii="宋体" w:hAnsi="宋体" w:eastAsia="宋体" w:cs="Times New Roman"/>
                <w:sz w:val="24"/>
                <w:highlight w:val="none"/>
              </w:rPr>
              <w:t>1</w:t>
            </w:r>
          </w:p>
        </w:tc>
        <w:tc>
          <w:tcPr>
            <w:tcW w:w="7406" w:type="dxa"/>
            <w:gridSpan w:val="3"/>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widowControl w:val="0"/>
              <w:numPr>
                <w:ilvl w:val="0"/>
                <w:numId w:val="0"/>
              </w:numPr>
              <w:jc w:val="both"/>
              <w:rPr>
                <w:rFonts w:hint="default" w:ascii="宋体" w:hAnsi="宋体" w:eastAsia="宋体" w:cs="Times New Roman"/>
                <w:sz w:val="24"/>
                <w:highlight w:val="none"/>
                <w:lang w:val="en-US" w:eastAsia="zh-CN"/>
              </w:rPr>
            </w:pPr>
            <w:r>
              <w:rPr>
                <w:rFonts w:hint="eastAsia"/>
                <w:highlight w:val="none"/>
              </w:rPr>
              <w:t>项目负责人须取得注册一级造价工程师执业证书，并在投标人处注册，且须提供投标截止日期前半年内连续3个月在本单位缴纳的社保证明。</w:t>
            </w:r>
          </w:p>
        </w:tc>
      </w:tr>
      <w:bookmarkEnd w:id="2"/>
    </w:tbl>
    <w:p>
      <w:pPr>
        <w:adjustRightInd w:val="0"/>
        <w:snapToGrid w:val="0"/>
        <w:spacing w:before="156"/>
        <w:jc w:val="both"/>
        <w:rPr>
          <w:rFonts w:hint="eastAsia"/>
          <w:b/>
          <w:color w:val="000000"/>
          <w:kern w:val="0"/>
          <w:sz w:val="28"/>
          <w:szCs w:val="28"/>
          <w:highlight w:val="none"/>
          <w:lang w:val="en-US" w:eastAsia="zh-CN"/>
        </w:rPr>
      </w:pPr>
    </w:p>
    <w:p>
      <w:pPr>
        <w:rPr>
          <w:rFonts w:hint="default"/>
          <w:b/>
          <w:sz w:val="28"/>
          <w:szCs w:val="28"/>
          <w:highlight w:val="none"/>
          <w:lang w:val="en-US" w:eastAsia="zh-CN"/>
        </w:rPr>
      </w:pPr>
      <w:r>
        <w:rPr>
          <w:rFonts w:hint="eastAsia"/>
          <w:b/>
          <w:sz w:val="28"/>
          <w:szCs w:val="28"/>
          <w:highlight w:val="none"/>
          <w:lang w:val="en-US" w:eastAsia="zh-CN"/>
        </w:rPr>
        <w:t>三、报价要求</w:t>
      </w:r>
    </w:p>
    <w:p>
      <w:pPr>
        <w:numPr>
          <w:ilvl w:val="0"/>
          <w:numId w:val="0"/>
        </w:numPr>
        <w:ind w:firstLine="560" w:firstLineChars="200"/>
        <w:rPr>
          <w:rFonts w:hint="eastAsia" w:cs="Times New Roman"/>
          <w:b w:val="0"/>
          <w:bCs/>
          <w:sz w:val="28"/>
          <w:szCs w:val="28"/>
          <w:highlight w:val="none"/>
          <w:lang w:val="en-US" w:eastAsia="zh-CN"/>
        </w:rPr>
      </w:pPr>
      <w:r>
        <w:rPr>
          <w:rFonts w:hint="eastAsia" w:cs="Times New Roman"/>
          <w:b w:val="0"/>
          <w:bCs/>
          <w:sz w:val="28"/>
          <w:szCs w:val="28"/>
          <w:highlight w:val="none"/>
          <w:lang w:val="en-US" w:eastAsia="zh-CN"/>
        </w:rPr>
        <w:t>（一）报价方式：报投标下浮点</w:t>
      </w:r>
      <w:r>
        <w:rPr>
          <w:rFonts w:hint="eastAsia" w:eastAsia="宋体" w:cs="Times New Roman"/>
          <w:b w:val="0"/>
          <w:bCs/>
          <w:sz w:val="28"/>
          <w:szCs w:val="28"/>
          <w:highlight w:val="none"/>
          <w:lang w:val="en-US" w:eastAsia="zh-CN"/>
        </w:rPr>
        <w:t>，</w:t>
      </w:r>
      <w:r>
        <w:rPr>
          <w:rFonts w:hint="eastAsia" w:cs="Times New Roman"/>
          <w:b w:val="0"/>
          <w:bCs/>
          <w:sz w:val="28"/>
          <w:szCs w:val="28"/>
          <w:highlight w:val="none"/>
          <w:lang w:val="en-US" w:eastAsia="zh-CN"/>
        </w:rPr>
        <w:t>请取整数</w:t>
      </w:r>
      <w:r>
        <w:rPr>
          <w:rFonts w:hint="eastAsia" w:eastAsia="宋体" w:cs="Times New Roman"/>
          <w:b w:val="0"/>
          <w:bCs/>
          <w:sz w:val="28"/>
          <w:szCs w:val="28"/>
          <w:highlight w:val="none"/>
          <w:lang w:val="en-US" w:eastAsia="zh-CN"/>
        </w:rPr>
        <w:t>，如：5、</w:t>
      </w:r>
      <w:r>
        <w:rPr>
          <w:rFonts w:hint="eastAsia" w:cs="Times New Roman"/>
          <w:b w:val="0"/>
          <w:bCs/>
          <w:sz w:val="28"/>
          <w:szCs w:val="28"/>
          <w:highlight w:val="none"/>
          <w:lang w:val="en-US" w:eastAsia="zh-CN"/>
        </w:rPr>
        <w:t>15</w:t>
      </w:r>
      <w:r>
        <w:rPr>
          <w:rFonts w:hint="eastAsia" w:eastAsia="宋体" w:cs="Times New Roman"/>
          <w:b w:val="0"/>
          <w:bCs/>
          <w:sz w:val="28"/>
          <w:szCs w:val="28"/>
          <w:highlight w:val="none"/>
          <w:lang w:val="en-US" w:eastAsia="zh-CN"/>
        </w:rPr>
        <w:t>，不必写“%”</w:t>
      </w:r>
      <w:r>
        <w:rPr>
          <w:rFonts w:hint="eastAsia" w:cs="Times New Roman"/>
          <w:b w:val="0"/>
          <w:bCs/>
          <w:sz w:val="28"/>
          <w:szCs w:val="28"/>
          <w:highlight w:val="none"/>
          <w:lang w:val="en-US" w:eastAsia="zh-CN"/>
        </w:rPr>
        <w:t>。</w:t>
      </w:r>
      <w:r>
        <w:rPr>
          <w:rFonts w:hint="eastAsia" w:eastAsia="宋体" w:cs="Times New Roman"/>
          <w:b w:val="0"/>
          <w:bCs/>
          <w:sz w:val="28"/>
          <w:szCs w:val="28"/>
          <w:highlight w:val="none"/>
          <w:lang w:val="en-US" w:eastAsia="zh-CN"/>
        </w:rPr>
        <w:t>报价已包含对采购项目内各服务子项收费标准的市场咨询、调研工作量及全部相关成本。</w:t>
      </w:r>
    </w:p>
    <w:p>
      <w:pPr>
        <w:numPr>
          <w:ilvl w:val="0"/>
          <w:numId w:val="0"/>
        </w:numPr>
        <w:ind w:firstLine="560" w:firstLineChars="200"/>
        <w:rPr>
          <w:rFonts w:hint="eastAsia" w:cs="Times New Roman"/>
          <w:b w:val="0"/>
          <w:bCs/>
          <w:sz w:val="28"/>
          <w:szCs w:val="28"/>
          <w:highlight w:val="none"/>
          <w:lang w:val="en-US" w:eastAsia="zh-CN"/>
        </w:rPr>
      </w:pPr>
      <w:r>
        <w:rPr>
          <w:rFonts w:hint="eastAsia" w:cs="Times New Roman"/>
          <w:b w:val="0"/>
          <w:bCs/>
          <w:sz w:val="28"/>
          <w:szCs w:val="28"/>
          <w:highlight w:val="none"/>
          <w:lang w:val="en-US" w:eastAsia="zh-CN"/>
        </w:rPr>
        <w:t>（二）最高控制价：人民币10000元（含税），作为本次项目总服务预算控制上限。</w:t>
      </w:r>
    </w:p>
    <w:p>
      <w:pPr>
        <w:pStyle w:val="2"/>
        <w:ind w:firstLine="560" w:firstLineChars="200"/>
        <w:rPr>
          <w:rFonts w:hint="default"/>
          <w:lang w:val="en-US" w:eastAsia="zh-CN"/>
        </w:rPr>
      </w:pPr>
      <w:r>
        <w:rPr>
          <w:rFonts w:hint="eastAsia" w:cs="Times New Roman"/>
          <w:b w:val="0"/>
          <w:bCs/>
          <w:sz w:val="28"/>
          <w:szCs w:val="28"/>
          <w:highlight w:val="none"/>
          <w:lang w:val="en-US" w:eastAsia="zh-CN"/>
        </w:rPr>
        <w:t>（三）包干总价计算：包干总价= 10000元*（1-中标下浮点÷100）。如，中标下浮点为20，则包干总价=10000元*（1-20%）=8000元。</w:t>
      </w:r>
    </w:p>
    <w:p>
      <w:pPr>
        <w:numPr>
          <w:ilvl w:val="0"/>
          <w:numId w:val="0"/>
        </w:numPr>
        <w:ind w:firstLine="560" w:firstLineChars="200"/>
        <w:rPr>
          <w:rFonts w:hint="eastAsia" w:cs="Times New Roman"/>
          <w:b w:val="0"/>
          <w:bCs/>
          <w:sz w:val="28"/>
          <w:szCs w:val="28"/>
          <w:highlight w:val="none"/>
          <w:lang w:val="en-US" w:eastAsia="zh-CN"/>
        </w:rPr>
      </w:pPr>
      <w:r>
        <w:rPr>
          <w:rFonts w:hint="eastAsia" w:cs="Times New Roman"/>
          <w:b w:val="0"/>
          <w:bCs/>
          <w:sz w:val="28"/>
          <w:szCs w:val="28"/>
          <w:highlight w:val="none"/>
          <w:lang w:val="en-US" w:eastAsia="zh-CN"/>
        </w:rPr>
        <w:t>（四）异常低价审查：包干总价低于最高控制价的70%（即＜7000元，对应下浮点＞30）的，投标人须提供详细成本测算说明（含100项左右服务小项审核的人工、调研、税费等全部成本明细）及市场价格参考依据，无法证明报价合理性的，视为无效报价，取消投标资格。</w:t>
      </w:r>
    </w:p>
    <w:p>
      <w:pPr>
        <w:numPr>
          <w:ilvl w:val="0"/>
          <w:numId w:val="0"/>
        </w:numPr>
        <w:ind w:firstLine="560" w:firstLineChars="200"/>
        <w:rPr>
          <w:rFonts w:hint="eastAsia" w:cs="Times New Roman"/>
          <w:b w:val="0"/>
          <w:bCs/>
          <w:sz w:val="28"/>
          <w:szCs w:val="28"/>
          <w:highlight w:val="none"/>
          <w:lang w:val="en-US" w:eastAsia="zh-CN"/>
        </w:rPr>
      </w:pPr>
    </w:p>
    <w:p>
      <w:pPr>
        <w:rPr>
          <w:rFonts w:hint="eastAsia"/>
          <w:b/>
          <w:sz w:val="28"/>
          <w:szCs w:val="28"/>
          <w:highlight w:val="none"/>
          <w:lang w:val="en-US" w:eastAsia="zh-CN"/>
        </w:rPr>
      </w:pPr>
      <w:r>
        <w:rPr>
          <w:rFonts w:hint="eastAsia"/>
          <w:b/>
          <w:sz w:val="28"/>
          <w:szCs w:val="28"/>
          <w:highlight w:val="none"/>
          <w:lang w:val="en-US" w:eastAsia="zh-CN"/>
        </w:rPr>
        <w:t>四、结算标准</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cs="Times New Roman"/>
          <w:b w:val="0"/>
          <w:bCs/>
          <w:sz w:val="28"/>
          <w:szCs w:val="28"/>
          <w:highlight w:val="none"/>
          <w:lang w:val="en-US" w:eastAsia="zh-CN"/>
        </w:rPr>
      </w:pPr>
      <w:r>
        <w:rPr>
          <w:rFonts w:hint="eastAsia" w:cs="Times New Roman"/>
          <w:b w:val="0"/>
          <w:bCs/>
          <w:sz w:val="28"/>
          <w:szCs w:val="28"/>
          <w:highlight w:val="none"/>
          <w:lang w:val="en-US" w:eastAsia="zh-CN"/>
        </w:rPr>
        <w:t xml:space="preserve">（一）结算原则：按中标固定包干总价结算，一旦中标，总价固定不变，涵盖包干范围内的全部工作，采购人不额外支付任何费用。 </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cs="Times New Roman"/>
          <w:b w:val="0"/>
          <w:bCs/>
          <w:sz w:val="28"/>
          <w:szCs w:val="28"/>
          <w:highlight w:val="none"/>
          <w:lang w:val="en-US" w:eastAsia="zh-CN"/>
        </w:rPr>
      </w:pPr>
      <w:r>
        <w:rPr>
          <w:rFonts w:hint="eastAsia" w:cs="Times New Roman"/>
          <w:b w:val="0"/>
          <w:bCs/>
          <w:sz w:val="28"/>
          <w:szCs w:val="28"/>
          <w:highlight w:val="none"/>
          <w:lang w:val="en-US" w:eastAsia="zh-CN"/>
        </w:rPr>
        <w:t>（二）结算节点：中标人完成采购人指定的全部服务小项最高限价编制工作，提交</w:t>
      </w:r>
      <w:r>
        <w:rPr>
          <w:rFonts w:hint="default" w:eastAsia="宋体" w:cs="Times New Roman"/>
          <w:b w:val="0"/>
          <w:bCs/>
          <w:sz w:val="28"/>
          <w:szCs w:val="28"/>
          <w:highlight w:val="none"/>
          <w:lang w:val="en-US" w:eastAsia="zh-CN"/>
        </w:rPr>
        <w:t>最高限价报告</w:t>
      </w:r>
      <w:r>
        <w:rPr>
          <w:rFonts w:hint="eastAsia" w:cs="Times New Roman"/>
          <w:b w:val="0"/>
          <w:bCs/>
          <w:sz w:val="28"/>
          <w:szCs w:val="28"/>
          <w:highlight w:val="none"/>
          <w:lang w:val="en-US" w:eastAsia="zh-CN"/>
        </w:rPr>
        <w:t>，经采购人验收合格后，采购人向中标人支付包干总价。​</w:t>
      </w:r>
    </w:p>
    <w:p>
      <w:pPr>
        <w:spacing w:before="156"/>
        <w:ind w:firstLine="560" w:firstLineChars="200"/>
        <w:jc w:val="both"/>
        <w:rPr>
          <w:rFonts w:hint="eastAsia" w:cs="Times New Roman"/>
          <w:b w:val="0"/>
          <w:bCs/>
          <w:sz w:val="28"/>
          <w:szCs w:val="28"/>
          <w:highlight w:val="none"/>
          <w:lang w:val="en-US" w:eastAsia="zh-CN"/>
        </w:rPr>
      </w:pPr>
      <w:r>
        <w:rPr>
          <w:rFonts w:hint="eastAsia" w:cs="Times New Roman"/>
          <w:b w:val="0"/>
          <w:bCs/>
          <w:sz w:val="28"/>
          <w:szCs w:val="28"/>
          <w:highlight w:val="none"/>
          <w:lang w:val="en-US" w:eastAsia="zh-CN"/>
        </w:rPr>
        <w:t>（三）验收要求：</w:t>
      </w:r>
      <w:r>
        <w:rPr>
          <w:rFonts w:hint="default" w:eastAsia="宋体" w:cs="Times New Roman"/>
          <w:b w:val="0"/>
          <w:bCs/>
          <w:sz w:val="28"/>
          <w:szCs w:val="28"/>
          <w:highlight w:val="none"/>
          <w:lang w:val="en-US" w:eastAsia="zh-CN"/>
        </w:rPr>
        <w:t>最高限价报告</w:t>
      </w:r>
      <w:r>
        <w:rPr>
          <w:rFonts w:hint="eastAsia" w:cs="Times New Roman"/>
          <w:b w:val="0"/>
          <w:bCs/>
          <w:sz w:val="28"/>
          <w:szCs w:val="28"/>
          <w:highlight w:val="none"/>
          <w:lang w:val="en-US" w:eastAsia="zh-CN"/>
        </w:rPr>
        <w:t>符合行业规范，内容准确，无明显遗漏或错误，且中标人配合采购人完成相关答疑，视为验收合格。</w:t>
      </w:r>
    </w:p>
    <w:p>
      <w:pPr>
        <w:pStyle w:val="2"/>
        <w:rPr>
          <w:rFonts w:hint="eastAsia" w:cs="Times New Roman"/>
          <w:b w:val="0"/>
          <w:bCs/>
          <w:sz w:val="28"/>
          <w:szCs w:val="28"/>
          <w:highlight w:val="none"/>
          <w:lang w:val="en-US" w:eastAsia="zh-CN"/>
        </w:rPr>
      </w:pPr>
    </w:p>
    <w:p>
      <w:pPr>
        <w:pStyle w:val="3"/>
        <w:rPr>
          <w:rFonts w:hint="eastAsia" w:cs="Times New Roman"/>
          <w:b w:val="0"/>
          <w:bCs/>
          <w:sz w:val="28"/>
          <w:szCs w:val="28"/>
          <w:highlight w:val="none"/>
          <w:lang w:val="en-US" w:eastAsia="zh-CN"/>
        </w:rPr>
      </w:pPr>
    </w:p>
    <w:p>
      <w:pPr>
        <w:spacing w:before="156"/>
        <w:jc w:val="center"/>
        <w:rPr>
          <w:rFonts w:hint="eastAsia" w:cs="Times New Roman"/>
          <w:b w:val="0"/>
          <w:bCs/>
          <w:sz w:val="28"/>
          <w:szCs w:val="28"/>
          <w:highlight w:val="none"/>
          <w:lang w:val="en-US" w:eastAsia="zh-CN"/>
        </w:rPr>
      </w:pPr>
    </w:p>
    <w:p>
      <w:pPr>
        <w:spacing w:before="156"/>
        <w:jc w:val="center"/>
        <w:rPr>
          <w:rFonts w:hint="eastAsia" w:ascii="黑体" w:hAnsi="黑体" w:eastAsia="黑体" w:cs="Times New Roman"/>
          <w:b/>
          <w:color w:val="000000"/>
          <w:kern w:val="2"/>
          <w:sz w:val="36"/>
          <w:szCs w:val="36"/>
          <w:highlight w:val="none"/>
          <w:u w:val="single"/>
          <w:lang w:val="en-US" w:eastAsia="zh-CN" w:bidi="ar-SA"/>
        </w:rPr>
      </w:pPr>
      <w:r>
        <w:rPr>
          <w:rFonts w:hint="eastAsia" w:ascii="黑体" w:hAnsi="黑体" w:eastAsia="黑体"/>
          <w:b/>
          <w:bCs/>
          <w:sz w:val="40"/>
          <w:szCs w:val="40"/>
          <w:highlight w:val="none"/>
          <w:u w:val="single"/>
          <w:lang w:eastAsia="zh-CN"/>
        </w:rPr>
        <w:t>南网共享公司2026年人资类项目造价咨询服务报价文件</w:t>
      </w:r>
    </w:p>
    <w:p>
      <w:pPr>
        <w:pStyle w:val="5"/>
        <w:tabs>
          <w:tab w:val="left" w:pos="2127"/>
        </w:tabs>
        <w:kinsoku/>
        <w:overflowPunct/>
        <w:bidi w:val="0"/>
        <w:spacing w:line="360" w:lineRule="auto"/>
        <w:textAlignment w:val="auto"/>
        <w:rPr>
          <w:rFonts w:hint="eastAsia" w:ascii="宋体" w:hAnsi="宋体" w:eastAsia="宋体" w:cs="宋体"/>
          <w:color w:val="auto"/>
          <w:sz w:val="28"/>
          <w:szCs w:val="28"/>
          <w:highlight w:val="none"/>
          <w:lang w:eastAsia="zh-CN"/>
        </w:rPr>
      </w:pPr>
    </w:p>
    <w:p>
      <w:pPr>
        <w:pStyle w:val="5"/>
        <w:tabs>
          <w:tab w:val="left" w:pos="2127"/>
        </w:tabs>
        <w:kinsoku/>
        <w:overflowPunct/>
        <w:bidi w:val="0"/>
        <w:spacing w:line="360" w:lineRule="auto"/>
        <w:textAlignment w:val="auto"/>
        <w:rPr>
          <w:rFonts w:hint="eastAsia" w:hAnsi="宋体" w:eastAsia="宋体" w:cs="宋体"/>
          <w:color w:val="auto"/>
          <w:sz w:val="28"/>
          <w:szCs w:val="28"/>
          <w:highlight w:val="none"/>
          <w:lang w:eastAsia="zh-CN"/>
        </w:rPr>
      </w:pPr>
      <w:r>
        <w:rPr>
          <w:rFonts w:hint="eastAsia" w:hAnsi="宋体" w:cs="宋体"/>
          <w:color w:val="auto"/>
          <w:sz w:val="28"/>
          <w:szCs w:val="28"/>
          <w:highlight w:val="none"/>
          <w:lang w:val="en-US" w:eastAsia="zh-CN"/>
        </w:rPr>
        <w:t>南网共享</w:t>
      </w:r>
      <w:r>
        <w:rPr>
          <w:rFonts w:hint="eastAsia" w:ascii="宋体" w:hAnsi="宋体" w:eastAsia="宋体" w:cs="宋体"/>
          <w:color w:val="auto"/>
          <w:sz w:val="28"/>
          <w:szCs w:val="28"/>
          <w:highlight w:val="none"/>
          <w:lang w:eastAsia="zh-CN"/>
        </w:rPr>
        <w:t>公司</w:t>
      </w:r>
      <w:r>
        <w:rPr>
          <w:rFonts w:hint="eastAsia" w:hAnsi="宋体" w:eastAsia="宋体" w:cs="宋体"/>
          <w:color w:val="auto"/>
          <w:sz w:val="28"/>
          <w:szCs w:val="28"/>
          <w:highlight w:val="none"/>
          <w:lang w:eastAsia="zh-CN"/>
        </w:rPr>
        <w:t>：</w:t>
      </w:r>
    </w:p>
    <w:p>
      <w:pPr>
        <w:pStyle w:val="5"/>
        <w:tabs>
          <w:tab w:val="left" w:pos="2127"/>
        </w:tabs>
        <w:kinsoku/>
        <w:overflowPunct/>
        <w:bidi w:val="0"/>
        <w:spacing w:line="360" w:lineRule="auto"/>
        <w:ind w:firstLine="560" w:firstLineChars="200"/>
        <w:textAlignment w:val="auto"/>
        <w:rPr>
          <w:rFonts w:hint="eastAsia" w:ascii="宋体" w:hAnsi="宋体" w:eastAsia="宋体" w:cs="宋体"/>
          <w:color w:val="auto"/>
          <w:sz w:val="28"/>
          <w:szCs w:val="28"/>
          <w:highlight w:val="none"/>
        </w:rPr>
      </w:pPr>
      <w:r>
        <w:rPr>
          <w:rFonts w:hint="eastAsia" w:hAnsi="宋体" w:eastAsia="宋体" w:cs="宋体"/>
          <w:color w:val="auto"/>
          <w:sz w:val="28"/>
          <w:szCs w:val="28"/>
          <w:highlight w:val="none"/>
          <w:lang w:val="en-US" w:eastAsia="zh-CN"/>
        </w:rPr>
        <w:t>经研究</w:t>
      </w:r>
      <w:r>
        <w:rPr>
          <w:rFonts w:hint="eastAsia" w:ascii="宋体" w:hAnsi="宋体" w:eastAsia="宋体" w:cs="宋体"/>
          <w:color w:val="auto"/>
          <w:sz w:val="28"/>
          <w:szCs w:val="28"/>
          <w:highlight w:val="none"/>
        </w:rPr>
        <w:t>，我方愿以</w:t>
      </w:r>
      <w:r>
        <w:rPr>
          <w:rFonts w:hint="eastAsia" w:hAnsi="宋体" w:cs="宋体"/>
          <w:color w:val="auto"/>
          <w:sz w:val="28"/>
          <w:szCs w:val="28"/>
          <w:highlight w:val="none"/>
          <w:lang w:val="en-US" w:eastAsia="zh-CN"/>
        </w:rPr>
        <w:t>下表格</w:t>
      </w:r>
      <w:r>
        <w:rPr>
          <w:rFonts w:hint="eastAsia" w:ascii="宋体" w:hAnsi="宋体" w:eastAsia="宋体" w:cs="宋体"/>
          <w:color w:val="auto"/>
          <w:sz w:val="28"/>
          <w:szCs w:val="28"/>
          <w:highlight w:val="none"/>
        </w:rPr>
        <w:t>的报价，按约定</w:t>
      </w:r>
      <w:r>
        <w:rPr>
          <w:rFonts w:hint="eastAsia" w:hAnsi="宋体" w:eastAsia="宋体" w:cs="宋体"/>
          <w:color w:val="auto"/>
          <w:sz w:val="28"/>
          <w:szCs w:val="28"/>
          <w:highlight w:val="none"/>
          <w:lang w:val="en-US" w:eastAsia="zh-CN"/>
        </w:rPr>
        <w:t>开展本项目</w:t>
      </w:r>
      <w:r>
        <w:rPr>
          <w:rFonts w:hint="eastAsia" w:ascii="宋体" w:hAnsi="宋体" w:eastAsia="宋体" w:cs="宋体"/>
          <w:color w:val="auto"/>
          <w:sz w:val="28"/>
          <w:szCs w:val="28"/>
          <w:highlight w:val="none"/>
        </w:rPr>
        <w:t>。</w:t>
      </w:r>
    </w:p>
    <w:p>
      <w:pPr>
        <w:pStyle w:val="5"/>
        <w:tabs>
          <w:tab w:val="left" w:pos="2127"/>
        </w:tabs>
        <w:kinsoku/>
        <w:overflowPunct/>
        <w:bidi w:val="0"/>
        <w:spacing w:line="360" w:lineRule="auto"/>
        <w:ind w:firstLine="560" w:firstLineChars="200"/>
        <w:textAlignment w:val="auto"/>
        <w:rPr>
          <w:rFonts w:hint="eastAsia" w:ascii="宋体" w:hAnsi="宋体" w:eastAsia="宋体" w:cs="宋体"/>
          <w:color w:val="auto"/>
          <w:sz w:val="28"/>
          <w:szCs w:val="28"/>
          <w:highlight w:val="none"/>
        </w:rPr>
      </w:pPr>
    </w:p>
    <w:tbl>
      <w:tblPr>
        <w:tblStyle w:val="10"/>
        <w:tblW w:w="492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05"/>
        <w:gridCol w:w="1489"/>
        <w:gridCol w:w="1215"/>
        <w:gridCol w:w="2610"/>
        <w:gridCol w:w="27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0" w:type="pct"/>
            <w:vAlign w:val="center"/>
          </w:tcPr>
          <w:p>
            <w:pPr>
              <w:pStyle w:val="8"/>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序号</w:t>
            </w:r>
          </w:p>
        </w:tc>
        <w:tc>
          <w:tcPr>
            <w:tcW w:w="863" w:type="pct"/>
            <w:vAlign w:val="center"/>
          </w:tcPr>
          <w:p>
            <w:pPr>
              <w:pStyle w:val="8"/>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项目名称</w:t>
            </w:r>
          </w:p>
        </w:tc>
        <w:tc>
          <w:tcPr>
            <w:tcW w:w="704" w:type="pct"/>
            <w:vAlign w:val="center"/>
          </w:tcPr>
          <w:p>
            <w:pPr>
              <w:jc w:val="center"/>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项目最高控制价（元）</w:t>
            </w:r>
          </w:p>
        </w:tc>
        <w:tc>
          <w:tcPr>
            <w:tcW w:w="1514" w:type="pct"/>
            <w:vAlign w:val="center"/>
          </w:tcPr>
          <w:p>
            <w:pPr>
              <w:jc w:val="center"/>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投标下浮点（</w:t>
            </w:r>
            <w:r>
              <w:rPr>
                <w:rFonts w:hint="eastAsia" w:ascii="宋体" w:hAnsi="宋体" w:cs="宋体"/>
                <w:b/>
                <w:bCs/>
                <w:sz w:val="24"/>
                <w:szCs w:val="24"/>
                <w:highlight w:val="none"/>
                <w:vertAlign w:val="baseline"/>
                <w:lang w:val="en-US" w:eastAsia="zh-CN"/>
              </w:rPr>
              <w:t>请填写整</w:t>
            </w:r>
            <w:r>
              <w:rPr>
                <w:rFonts w:hint="eastAsia" w:ascii="宋体" w:hAnsi="宋体" w:eastAsia="宋体" w:cs="宋体"/>
                <w:b/>
                <w:bCs/>
                <w:sz w:val="24"/>
                <w:szCs w:val="24"/>
                <w:highlight w:val="none"/>
                <w:vertAlign w:val="baseline"/>
                <w:lang w:val="en-US" w:eastAsia="zh-CN"/>
              </w:rPr>
              <w:t>数，如：5、15，不必写“%”）</w:t>
            </w:r>
          </w:p>
        </w:tc>
        <w:tc>
          <w:tcPr>
            <w:tcW w:w="1566" w:type="pct"/>
            <w:vAlign w:val="center"/>
          </w:tcPr>
          <w:p>
            <w:pPr>
              <w:jc w:val="center"/>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包干总价（</w:t>
            </w:r>
            <w:r>
              <w:rPr>
                <w:rFonts w:hint="eastAsia" w:ascii="宋体" w:hAnsi="宋体" w:cs="宋体"/>
                <w:b/>
                <w:bCs/>
                <w:sz w:val="24"/>
                <w:szCs w:val="24"/>
                <w:highlight w:val="none"/>
                <w:vertAlign w:val="baseline"/>
                <w:lang w:val="en-US" w:eastAsia="zh-CN"/>
              </w:rPr>
              <w:t>元，</w:t>
            </w:r>
            <w:r>
              <w:rPr>
                <w:rFonts w:hint="eastAsia" w:ascii="宋体" w:hAnsi="宋体" w:eastAsia="宋体" w:cs="宋体"/>
                <w:b/>
                <w:bCs/>
                <w:sz w:val="24"/>
                <w:szCs w:val="24"/>
                <w:highlight w:val="none"/>
                <w:vertAlign w:val="baseline"/>
                <w:lang w:val="en-US" w:eastAsia="zh-CN"/>
              </w:rPr>
              <w:t>含税）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3" w:hRule="atLeast"/>
        </w:trPr>
        <w:tc>
          <w:tcPr>
            <w:tcW w:w="350" w:type="pct"/>
            <w:vAlign w:val="center"/>
          </w:tcPr>
          <w:p>
            <w:pPr>
              <w:pStyle w:val="8"/>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highlight w:val="none"/>
                <w:vertAlign w:val="baseline"/>
                <w:lang w:val="en-US" w:eastAsia="zh-CN"/>
              </w:rPr>
            </w:pPr>
            <w:r>
              <w:rPr>
                <w:rFonts w:hint="eastAsia"/>
                <w:sz w:val="21"/>
                <w:szCs w:val="21"/>
                <w:highlight w:val="none"/>
                <w:vertAlign w:val="baseline"/>
                <w:lang w:val="en-US" w:eastAsia="zh-CN"/>
              </w:rPr>
              <w:t>1</w:t>
            </w:r>
          </w:p>
        </w:tc>
        <w:tc>
          <w:tcPr>
            <w:tcW w:w="863" w:type="pct"/>
            <w:vAlign w:val="center"/>
          </w:tcPr>
          <w:p>
            <w:pPr>
              <w:jc w:val="center"/>
              <w:rPr>
                <w:rFonts w:hint="default"/>
                <w:sz w:val="21"/>
                <w:szCs w:val="21"/>
                <w:highlight w:val="none"/>
                <w:vertAlign w:val="baseline"/>
                <w:lang w:val="en-US" w:eastAsia="zh-CN"/>
              </w:rPr>
            </w:pPr>
            <w:r>
              <w:rPr>
                <w:rFonts w:hint="eastAsia" w:ascii="Times New Roman" w:hAnsi="Times New Roman"/>
                <w:sz w:val="24"/>
                <w:szCs w:val="24"/>
                <w:highlight w:val="none"/>
                <w:vertAlign w:val="baseline"/>
                <w:lang w:val="en-US" w:eastAsia="zh-CN"/>
              </w:rPr>
              <w:t>南网共享公司2026年人资类项目造价咨询服务</w:t>
            </w:r>
          </w:p>
        </w:tc>
        <w:tc>
          <w:tcPr>
            <w:tcW w:w="704" w:type="pct"/>
            <w:vAlign w:val="center"/>
          </w:tcPr>
          <w:p>
            <w:pPr>
              <w:jc w:val="center"/>
              <w:rPr>
                <w:rFonts w:hint="default"/>
                <w:sz w:val="21"/>
                <w:szCs w:val="21"/>
                <w:highlight w:val="none"/>
                <w:vertAlign w:val="baseline"/>
                <w:lang w:val="en-US" w:eastAsia="zh-CN"/>
              </w:rPr>
            </w:pPr>
            <w:r>
              <w:rPr>
                <w:rFonts w:hint="eastAsia"/>
                <w:sz w:val="21"/>
                <w:szCs w:val="21"/>
                <w:highlight w:val="none"/>
                <w:vertAlign w:val="baseline"/>
                <w:lang w:val="en-US" w:eastAsia="zh-CN"/>
              </w:rPr>
              <w:t>10000</w:t>
            </w:r>
          </w:p>
        </w:tc>
        <w:tc>
          <w:tcPr>
            <w:tcW w:w="1514" w:type="pct"/>
            <w:vAlign w:val="center"/>
          </w:tcPr>
          <w:p>
            <w:pPr>
              <w:pStyle w:val="8"/>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both"/>
              <w:textAlignment w:val="auto"/>
              <w:rPr>
                <w:rFonts w:hint="default"/>
                <w:sz w:val="21"/>
                <w:szCs w:val="21"/>
                <w:highlight w:val="none"/>
                <w:vertAlign w:val="baseline"/>
                <w:lang w:val="en-US" w:eastAsia="zh-CN"/>
              </w:rPr>
            </w:pPr>
            <w:r>
              <w:rPr>
                <w:rFonts w:hint="default"/>
                <w:b/>
                <w:bCs/>
                <w:sz w:val="21"/>
                <w:szCs w:val="21"/>
                <w:highlight w:val="none"/>
                <w:vertAlign w:val="baseline"/>
                <w:lang w:val="en-US" w:eastAsia="zh-CN"/>
              </w:rPr>
              <w:t>投标人填写</w:t>
            </w:r>
            <w:r>
              <w:rPr>
                <w:rFonts w:hint="eastAsia"/>
                <w:b/>
                <w:bCs/>
                <w:sz w:val="21"/>
                <w:szCs w:val="21"/>
                <w:highlight w:val="none"/>
                <w:vertAlign w:val="baseline"/>
                <w:lang w:val="en-US" w:eastAsia="zh-CN"/>
              </w:rPr>
              <w:t>：</w:t>
            </w:r>
            <w:r>
              <w:rPr>
                <w:rFonts w:hint="eastAsia"/>
                <w:sz w:val="21"/>
                <w:szCs w:val="21"/>
                <w:highlight w:val="none"/>
                <w:u w:val="single"/>
                <w:vertAlign w:val="baseline"/>
                <w:lang w:val="en-US" w:eastAsia="zh-CN"/>
              </w:rPr>
              <w:t xml:space="preserve">             </w:t>
            </w:r>
          </w:p>
        </w:tc>
        <w:tc>
          <w:tcPr>
            <w:tcW w:w="1566" w:type="pct"/>
            <w:vAlign w:val="center"/>
          </w:tcPr>
          <w:p>
            <w:pPr>
              <w:pStyle w:val="8"/>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highlight w:val="none"/>
                <w:vertAlign w:val="baseline"/>
                <w:lang w:val="en-US" w:eastAsia="zh-CN"/>
              </w:rPr>
            </w:pPr>
            <w:r>
              <w:rPr>
                <w:rFonts w:hint="eastAsia"/>
                <w:sz w:val="21"/>
                <w:szCs w:val="21"/>
                <w:highlight w:val="none"/>
                <w:vertAlign w:val="baseline"/>
                <w:lang w:val="en-US" w:eastAsia="zh-CN"/>
              </w:rPr>
              <w:t>包干总</w:t>
            </w:r>
            <w:r>
              <w:rPr>
                <w:rFonts w:hint="default"/>
                <w:sz w:val="21"/>
                <w:szCs w:val="21"/>
                <w:highlight w:val="none"/>
                <w:vertAlign w:val="baseline"/>
                <w:lang w:val="en-US" w:eastAsia="zh-CN"/>
              </w:rPr>
              <w:t>价=</w:t>
            </w:r>
            <w:r>
              <w:rPr>
                <w:rFonts w:hint="eastAsia"/>
                <w:sz w:val="21"/>
                <w:szCs w:val="21"/>
                <w:highlight w:val="none"/>
                <w:vertAlign w:val="baseline"/>
                <w:lang w:val="en-US" w:eastAsia="zh-CN"/>
              </w:rPr>
              <w:t>10</w:t>
            </w:r>
            <w:r>
              <w:rPr>
                <w:rFonts w:hint="default"/>
                <w:sz w:val="21"/>
                <w:szCs w:val="21"/>
                <w:highlight w:val="none"/>
                <w:vertAlign w:val="baseline"/>
                <w:lang w:val="en-US" w:eastAsia="zh-CN"/>
              </w:rPr>
              <w:t>000*（1-投标下浮点÷100）</w:t>
            </w:r>
          </w:p>
        </w:tc>
      </w:tr>
    </w:tbl>
    <w:p>
      <w:pPr>
        <w:pStyle w:val="5"/>
        <w:tabs>
          <w:tab w:val="left" w:pos="2127"/>
        </w:tabs>
        <w:kinsoku/>
        <w:overflowPunct/>
        <w:bidi w:val="0"/>
        <w:spacing w:line="360" w:lineRule="auto"/>
        <w:ind w:firstLine="560" w:firstLineChars="200"/>
        <w:textAlignment w:val="auto"/>
        <w:rPr>
          <w:rFonts w:hint="eastAsia" w:ascii="宋体" w:hAnsi="宋体" w:eastAsia="宋体" w:cs="宋体"/>
          <w:color w:val="auto"/>
          <w:sz w:val="28"/>
          <w:szCs w:val="28"/>
          <w:highlight w:val="none"/>
        </w:rPr>
      </w:pPr>
    </w:p>
    <w:p>
      <w:pPr>
        <w:pStyle w:val="5"/>
        <w:tabs>
          <w:tab w:val="left" w:pos="2127"/>
        </w:tabs>
        <w:kinsoku/>
        <w:overflowPunct/>
        <w:bidi w:val="0"/>
        <w:spacing w:line="360" w:lineRule="auto"/>
        <w:ind w:firstLine="560" w:firstLineChars="200"/>
        <w:textAlignment w:val="auto"/>
        <w:rPr>
          <w:rFonts w:hint="eastAsia" w:ascii="宋体" w:hAnsi="宋体" w:eastAsia="宋体" w:cs="宋体"/>
          <w:color w:val="auto"/>
          <w:sz w:val="28"/>
          <w:szCs w:val="28"/>
          <w:highlight w:val="none"/>
        </w:rPr>
      </w:pPr>
    </w:p>
    <w:p>
      <w:pPr>
        <w:pStyle w:val="5"/>
        <w:tabs>
          <w:tab w:val="left" w:pos="2127"/>
        </w:tabs>
        <w:kinsoku/>
        <w:overflowPunct/>
        <w:bidi w:val="0"/>
        <w:spacing w:line="360" w:lineRule="auto"/>
        <w:ind w:firstLine="560" w:firstLineChars="200"/>
        <w:textAlignment w:val="auto"/>
        <w:rPr>
          <w:rFonts w:hint="eastAsia" w:ascii="宋体" w:hAnsi="宋体" w:eastAsia="宋体" w:cs="宋体"/>
          <w:color w:val="auto"/>
          <w:sz w:val="28"/>
          <w:szCs w:val="28"/>
          <w:highlight w:val="none"/>
        </w:rPr>
      </w:pPr>
    </w:p>
    <w:p>
      <w:pPr>
        <w:pStyle w:val="5"/>
        <w:tabs>
          <w:tab w:val="left" w:pos="2127"/>
        </w:tabs>
        <w:kinsoku/>
        <w:overflowPunct/>
        <w:bidi w:val="0"/>
        <w:spacing w:line="360" w:lineRule="auto"/>
        <w:ind w:firstLine="560" w:firstLineChars="200"/>
        <w:textAlignment w:val="auto"/>
        <w:rPr>
          <w:rFonts w:hint="eastAsia" w:ascii="宋体" w:hAnsi="宋体" w:eastAsia="宋体" w:cs="宋体"/>
          <w:color w:val="auto"/>
          <w:sz w:val="28"/>
          <w:szCs w:val="28"/>
          <w:highlight w:val="none"/>
        </w:rPr>
      </w:pPr>
    </w:p>
    <w:p>
      <w:pPr>
        <w:pStyle w:val="5"/>
        <w:keepNext w:val="0"/>
        <w:keepLines w:val="0"/>
        <w:pageBreakBefore w:val="0"/>
        <w:widowControl w:val="0"/>
        <w:tabs>
          <w:tab w:val="left" w:pos="2127"/>
        </w:tabs>
        <w:kinsoku/>
        <w:wordWrap/>
        <w:overflowPunct/>
        <w:topLinePunct w:val="0"/>
        <w:autoSpaceDE/>
        <w:autoSpaceDN/>
        <w:bidi w:val="0"/>
        <w:adjustRightInd/>
        <w:snapToGrid/>
        <w:spacing w:line="360" w:lineRule="auto"/>
        <w:jc w:val="right"/>
        <w:textAlignment w:val="auto"/>
        <w:rPr>
          <w:rFonts w:hint="eastAsia" w:hAnsi="宋体" w:eastAsia="宋体" w:cs="宋体"/>
          <w:color w:val="auto"/>
          <w:sz w:val="24"/>
          <w:szCs w:val="24"/>
          <w:highlight w:val="none"/>
          <w:lang w:val="en-US" w:eastAsia="zh-CN"/>
        </w:rPr>
      </w:pPr>
      <w:r>
        <w:rPr>
          <w:rFonts w:hint="eastAsia" w:hAnsi="宋体" w:eastAsia="宋体" w:cs="宋体"/>
          <w:color w:val="auto"/>
          <w:sz w:val="24"/>
          <w:szCs w:val="24"/>
          <w:highlight w:val="none"/>
          <w:lang w:val="en-US" w:eastAsia="zh-CN"/>
        </w:rPr>
        <w:t>报</w:t>
      </w:r>
      <w:r>
        <w:rPr>
          <w:rFonts w:hint="eastAsia" w:hAnsi="宋体" w:cs="宋体"/>
          <w:color w:val="auto"/>
          <w:sz w:val="24"/>
          <w:szCs w:val="24"/>
          <w:highlight w:val="none"/>
          <w:lang w:val="en-US" w:eastAsia="zh-CN"/>
        </w:rPr>
        <w:t>价单位</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盖单位</w:t>
      </w:r>
      <w:r>
        <w:rPr>
          <w:rFonts w:hint="eastAsia" w:ascii="宋体" w:hAnsi="宋体" w:eastAsia="宋体" w:cs="宋体"/>
          <w:color w:val="auto"/>
          <w:sz w:val="24"/>
          <w:szCs w:val="24"/>
          <w:highlight w:val="none"/>
        </w:rPr>
        <w:t>章)</w:t>
      </w:r>
    </w:p>
    <w:p>
      <w:pPr>
        <w:pStyle w:val="5"/>
        <w:keepNext w:val="0"/>
        <w:keepLines w:val="0"/>
        <w:pageBreakBefore w:val="0"/>
        <w:widowControl w:val="0"/>
        <w:tabs>
          <w:tab w:val="left" w:pos="2127"/>
        </w:tabs>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r>
        <w:rPr>
          <w:rFonts w:hint="eastAsia" w:hAnsi="宋体" w:cs="宋体"/>
          <w:color w:val="auto"/>
          <w:sz w:val="24"/>
          <w:szCs w:val="24"/>
          <w:highlight w:val="none"/>
          <w:lang w:val="en-US" w:eastAsia="zh-CN"/>
        </w:rPr>
        <w:t xml:space="preserve">      </w:t>
      </w:r>
      <w:r>
        <w:rPr>
          <w:rFonts w:hint="eastAsia" w:hAnsi="宋体" w:eastAsia="宋体" w:cs="宋体"/>
          <w:color w:val="auto"/>
          <w:sz w:val="24"/>
          <w:szCs w:val="24"/>
          <w:highlight w:val="none"/>
          <w:lang w:val="en-US" w:eastAsia="zh-CN"/>
        </w:rPr>
        <w:t>报</w:t>
      </w:r>
      <w:r>
        <w:rPr>
          <w:rFonts w:hint="eastAsia" w:hAnsi="宋体" w:cs="宋体"/>
          <w:color w:val="auto"/>
          <w:sz w:val="24"/>
          <w:szCs w:val="24"/>
          <w:highlight w:val="none"/>
          <w:lang w:val="en-US" w:eastAsia="zh-CN"/>
        </w:rPr>
        <w:t xml:space="preserve">  </w:t>
      </w:r>
      <w:r>
        <w:rPr>
          <w:rFonts w:hint="eastAsia" w:hAnsi="宋体" w:eastAsia="宋体" w:cs="宋体"/>
          <w:color w:val="auto"/>
          <w:sz w:val="24"/>
          <w:szCs w:val="24"/>
          <w:highlight w:val="none"/>
          <w:lang w:val="en-US" w:eastAsia="zh-CN"/>
        </w:rPr>
        <w:t>价</w:t>
      </w:r>
      <w:r>
        <w:rPr>
          <w:rFonts w:hint="eastAsia" w:hAnsi="宋体" w:cs="宋体"/>
          <w:color w:val="auto"/>
          <w:sz w:val="24"/>
          <w:szCs w:val="24"/>
          <w:highlight w:val="none"/>
          <w:lang w:val="en-US" w:eastAsia="zh-CN"/>
        </w:rPr>
        <w:t xml:space="preserve">  </w:t>
      </w:r>
      <w:r>
        <w:rPr>
          <w:rFonts w:hint="eastAsia" w:hAnsi="宋体" w:eastAsia="宋体" w:cs="宋体"/>
          <w:color w:val="auto"/>
          <w:sz w:val="24"/>
          <w:szCs w:val="24"/>
          <w:highlight w:val="none"/>
          <w:lang w:val="en-US" w:eastAsia="zh-CN"/>
        </w:rPr>
        <w:t>人</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p>
    <w:p>
      <w:pPr>
        <w:pStyle w:val="5"/>
        <w:keepNext w:val="0"/>
        <w:keepLines w:val="0"/>
        <w:pageBreakBefore w:val="0"/>
        <w:widowControl w:val="0"/>
        <w:tabs>
          <w:tab w:val="left" w:pos="2127"/>
        </w:tabs>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u w:val="single"/>
        </w:rPr>
      </w:pPr>
      <w:r>
        <w:rPr>
          <w:rFonts w:hint="eastAsia"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电   </w:t>
      </w:r>
      <w:r>
        <w:rPr>
          <w:rFonts w:hint="eastAsia"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话:</w:t>
      </w:r>
      <w:r>
        <w:rPr>
          <w:rFonts w:hint="eastAsia" w:ascii="宋体" w:hAnsi="宋体" w:eastAsia="宋体" w:cs="宋体"/>
          <w:color w:val="auto"/>
          <w:sz w:val="24"/>
          <w:szCs w:val="24"/>
          <w:highlight w:val="none"/>
          <w:u w:val="single"/>
        </w:rPr>
        <w:t xml:space="preserve">                 </w:t>
      </w:r>
    </w:p>
    <w:p>
      <w:pPr>
        <w:pStyle w:val="5"/>
        <w:keepNext w:val="0"/>
        <w:keepLines w:val="0"/>
        <w:pageBreakBefore w:val="0"/>
        <w:widowControl w:val="0"/>
        <w:tabs>
          <w:tab w:val="left" w:pos="2127"/>
        </w:tabs>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u w:val="single"/>
        </w:rPr>
      </w:pPr>
      <w:r>
        <w:rPr>
          <w:rFonts w:hint="eastAsia"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传  </w:t>
      </w:r>
      <w:r>
        <w:rPr>
          <w:rFonts w:hint="eastAsia"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真:</w:t>
      </w:r>
      <w:r>
        <w:rPr>
          <w:rFonts w:hint="eastAsia" w:ascii="宋体" w:hAnsi="宋体" w:eastAsia="宋体" w:cs="宋体"/>
          <w:color w:val="auto"/>
          <w:sz w:val="24"/>
          <w:szCs w:val="24"/>
          <w:highlight w:val="none"/>
          <w:u w:val="single"/>
        </w:rPr>
        <w:t xml:space="preserve">                 </w:t>
      </w: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日</w:t>
      </w: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 </w:t>
      </w:r>
    </w:p>
    <w:p>
      <w:pPr>
        <w:keepNext w:val="0"/>
        <w:keepLines w:val="0"/>
        <w:pageBreakBefore w:val="0"/>
        <w:widowControl w:val="0"/>
        <w:shd w:val="clear" w:color="auto" w:fill="auto"/>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                         </w:t>
      </w:r>
    </w:p>
    <w:p>
      <w:pPr>
        <w:rPr>
          <w:highlight w:val="none"/>
        </w:rPr>
      </w:pPr>
    </w:p>
    <w:sectPr>
      <w:footerReference r:id="rId3" w:type="default"/>
      <w:pgSz w:w="11906" w:h="16838"/>
      <w:pgMar w:top="1440" w:right="1576" w:bottom="1440" w:left="1800"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文鼎CS大黑">
    <w:altName w:val="宋体"/>
    <w:panose1 w:val="00000000000000000000"/>
    <w:charset w:val="86"/>
    <w:family w:val="modern"/>
    <w:pitch w:val="default"/>
    <w:sig w:usb0="00000000" w:usb1="00000000" w:usb2="00000010" w:usb3="00000000" w:csb0="00040000" w:csb1="00000000"/>
  </w:font>
  <w:font w:name="方正粗宋简体">
    <w:altName w:val="宋体"/>
    <w:panose1 w:val="00000000000000000000"/>
    <w:charset w:val="86"/>
    <w:family w:val="roman"/>
    <w:pitch w:val="default"/>
    <w:sig w:usb0="00000000"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6"/>
                    </w:pPr>
                    <w:r>
                      <w:fldChar w:fldCharType="begin"/>
                    </w:r>
                    <w:r>
                      <w:instrText xml:space="preserve"> PAGE  \* MERGEFORMAT </w:instrText>
                    </w:r>
                    <w:r>
                      <w:fldChar w:fldCharType="separate"/>
                    </w:r>
                    <w:r>
                      <w:t>2</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E7C4AE6"/>
    <w:rsid w:val="037A609C"/>
    <w:rsid w:val="0E7C4AE6"/>
    <w:rsid w:val="116D79DC"/>
    <w:rsid w:val="119D30D6"/>
    <w:rsid w:val="15C86209"/>
    <w:rsid w:val="1BB2707A"/>
    <w:rsid w:val="1F0D08D6"/>
    <w:rsid w:val="203B28B5"/>
    <w:rsid w:val="23AE66F6"/>
    <w:rsid w:val="2A4B2325"/>
    <w:rsid w:val="30E6006F"/>
    <w:rsid w:val="31C9322C"/>
    <w:rsid w:val="37121921"/>
    <w:rsid w:val="4B272076"/>
    <w:rsid w:val="53E03A88"/>
    <w:rsid w:val="5C63256F"/>
    <w:rsid w:val="79164792"/>
    <w:rsid w:val="7EBB576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qFormat="1"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Calibri" w:hAnsi="Calibri" w:eastAsia="宋体" w:cs="Times New Roman"/>
      <w:kern w:val="2"/>
      <w:sz w:val="21"/>
      <w:szCs w:val="22"/>
      <w:lang w:val="en-US" w:eastAsia="zh-CN" w:bidi="ar-SA"/>
    </w:rPr>
  </w:style>
  <w:style w:type="character" w:default="1" w:styleId="11">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99"/>
    <w:pPr>
      <w:spacing w:after="120" w:afterLines="0"/>
    </w:pPr>
  </w:style>
  <w:style w:type="paragraph" w:styleId="3">
    <w:name w:val="Title"/>
    <w:basedOn w:val="1"/>
    <w:next w:val="1"/>
    <w:qFormat/>
    <w:uiPriority w:val="10"/>
    <w:pPr>
      <w:spacing w:before="240" w:after="60"/>
      <w:jc w:val="center"/>
      <w:outlineLvl w:val="0"/>
    </w:pPr>
    <w:rPr>
      <w:rFonts w:ascii="Cambria" w:hAnsi="Cambria"/>
      <w:b/>
      <w:bCs/>
      <w:sz w:val="32"/>
      <w:szCs w:val="32"/>
    </w:rPr>
  </w:style>
  <w:style w:type="paragraph" w:styleId="4">
    <w:name w:val="Body Text Indent"/>
    <w:basedOn w:val="1"/>
    <w:unhideWhenUsed/>
    <w:qFormat/>
    <w:uiPriority w:val="0"/>
    <w:pPr>
      <w:spacing w:after="120"/>
      <w:ind w:left="420" w:leftChars="200"/>
    </w:pPr>
  </w:style>
  <w:style w:type="paragraph" w:styleId="5">
    <w:name w:val="Plain Text"/>
    <w:basedOn w:val="1"/>
    <w:qFormat/>
    <w:uiPriority w:val="99"/>
    <w:rPr>
      <w:rFonts w:ascii="宋体" w:hAnsi="Courier New"/>
    </w:rPr>
  </w:style>
  <w:style w:type="paragraph" w:styleId="6">
    <w:name w:val="footer"/>
    <w:basedOn w:val="1"/>
    <w:unhideWhenUsed/>
    <w:qFormat/>
    <w:uiPriority w:val="99"/>
    <w:pPr>
      <w:tabs>
        <w:tab w:val="center" w:pos="4153"/>
        <w:tab w:val="right" w:pos="8306"/>
      </w:tabs>
      <w:snapToGrid w:val="0"/>
      <w:jc w:val="left"/>
    </w:pPr>
    <w:rPr>
      <w:sz w:val="18"/>
      <w:szCs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8">
    <w:name w:val="Body Text First Indent 2"/>
    <w:basedOn w:val="4"/>
    <w:qFormat/>
    <w:uiPriority w:val="0"/>
    <w:pPr>
      <w:ind w:firstLine="420"/>
    </w:pPr>
  </w:style>
  <w:style w:type="table" w:styleId="10">
    <w:name w:val="Table Grid"/>
    <w:basedOn w:val="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tcPr>
      <w:textDirection w:val="btLr"/>
    </w:tc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28</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2026-04-08T02:56:00Z</dcterms:created>
  <dc:creator>李景财</dc:creator>
  <cp:lastModifiedBy>李景财</cp:lastModifiedBy>
  <cp:lastPrinted>2026-04-08T10:16:00Z</cp:lastPrinted>
  <dcterms:modified xsi:type="dcterms:W3CDTF">2026-04-09T09:36:08Z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06F32E6EC7654EEC8DB72EBB1A815FE7</vt:lpwstr>
  </property>
</Properties>
</file>