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exact"/>
        <w:ind w:firstLine="0" w:firstLineChars="0"/>
        <w:jc w:val="center"/>
        <w:textAlignment w:val="auto"/>
        <w:rPr>
          <w:rFonts w:hint="default"/>
          <w:lang w:val="en-US" w:eastAsia="zh-CN"/>
        </w:rPr>
      </w:pPr>
      <w:bookmarkStart w:id="0" w:name="heading_2"/>
      <w:r>
        <w:rPr>
          <w:rFonts w:hint="eastAsia" w:ascii="方正小标宋_GBK" w:hAnsi="方正小标宋_GBK" w:eastAsia="方正小标宋_GBK" w:cs="方正小标宋_GBK"/>
          <w:snapToGrid w:val="0"/>
          <w:sz w:val="36"/>
          <w:szCs w:val="36"/>
          <w:lang w:val="en-US" w:eastAsia="zh-CN"/>
        </w:rPr>
        <w:t>海南电力交易中心有限责任公司新办公场所会议室4G北斗授时挂钟采购安装项目技术规范书</w:t>
      </w:r>
    </w:p>
    <w:bookmarkEnd w:id="0"/>
    <w:p>
      <w:pPr>
        <w:numPr>
          <w:ilvl w:val="255"/>
          <w:numId w:val="0"/>
        </w:numPr>
        <w:spacing w:before="380" w:after="140" w:line="288" w:lineRule="auto"/>
        <w:ind w:left="0" w:leftChars="0" w:firstLine="0" w:firstLineChars="0"/>
        <w:jc w:val="left"/>
        <w:outlineLvl w:val="0"/>
        <w:rPr>
          <w:rFonts w:hint="eastAsia" w:ascii="宋体" w:hAnsi="宋体" w:eastAsia="宋体" w:cs="宋体"/>
          <w:b/>
          <w:sz w:val="36"/>
        </w:rPr>
      </w:pPr>
    </w:p>
    <w:p>
      <w:pPr>
        <w:pStyle w:val="6"/>
        <w:numPr>
          <w:ilvl w:val="0"/>
          <w:numId w:val="0"/>
        </w:numPr>
        <w:ind w:left="0" w:leftChars="0" w:firstLine="562" w:firstLineChars="200"/>
        <w:outlineLvl w:val="0"/>
        <w:rPr>
          <w:rFonts w:hint="eastAsia" w:ascii="仿宋_GB2312" w:hAnsi="宋体" w:eastAsia="仿宋_GB2312"/>
          <w:b/>
          <w:color w:val="auto"/>
          <w:sz w:val="28"/>
          <w:szCs w:val="28"/>
          <w:lang w:val="en-US" w:eastAsia="zh-CN"/>
        </w:rPr>
      </w:pPr>
      <w:r>
        <w:rPr>
          <w:rFonts w:hint="eastAsia" w:ascii="仿宋_GB2312" w:hAnsi="宋体" w:eastAsia="仿宋_GB2312"/>
          <w:b/>
          <w:color w:val="auto"/>
          <w:sz w:val="28"/>
          <w:szCs w:val="28"/>
          <w:lang w:val="en-US" w:eastAsia="zh-CN"/>
        </w:rPr>
        <w:t>一、采购范围及报价要求</w:t>
      </w:r>
    </w:p>
    <w:p>
      <w:pPr>
        <w:pStyle w:val="6"/>
        <w:numPr>
          <w:ilvl w:val="255"/>
          <w:numId w:val="0"/>
        </w:numPr>
        <w:ind w:left="0" w:leftChars="0" w:firstLine="638" w:firstLineChars="228"/>
        <w:outlineLvl w:val="9"/>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海南电力交易中心有限责任公司新办公场所位于海口市秀英区长滨东三街8号南方电网综合能源大厦36层，现需为新办公场所会议室、办公区采购安装4G+北斗卫星授时LED电子挂钟。</w:t>
      </w:r>
    </w:p>
    <w:p>
      <w:pPr>
        <w:pStyle w:val="6"/>
        <w:numPr>
          <w:ilvl w:val="0"/>
          <w:numId w:val="0"/>
        </w:numPr>
        <w:spacing w:before="320" w:after="120" w:line="560" w:lineRule="exact"/>
        <w:ind w:left="0" w:firstLine="638" w:firstLineChars="228"/>
        <w:jc w:val="left"/>
        <w:outlineLvl w:val="9"/>
        <w:rPr>
          <w:rFonts w:hint="eastAsia" w:ascii="仿宋" w:hAnsi="仿宋" w:eastAsia="仿宋" w:cs="Times New Roman"/>
          <w:b w:val="0"/>
          <w:color w:val="auto"/>
          <w:sz w:val="28"/>
          <w:szCs w:val="28"/>
          <w:lang w:val="en-US" w:eastAsia="zh-CN"/>
        </w:rPr>
      </w:pPr>
      <w:r>
        <w:rPr>
          <w:rFonts w:hint="eastAsia" w:ascii="仿宋" w:hAnsi="仿宋" w:eastAsia="仿宋"/>
          <w:color w:val="auto"/>
          <w:sz w:val="28"/>
          <w:szCs w:val="28"/>
          <w:lang w:val="en-US" w:eastAsia="zh-CN"/>
        </w:rPr>
        <w:t>报价须知：报价包含电子挂钟采购、安装、调试、质保期维修及技术支持等全部工作所需人工费、材料费、运输费、机械费、安装费、税费等所有费用，为固定总价包干。按会议室的实际点位配置，网络、GPS授权费用不低于20年。</w:t>
      </w:r>
      <w:bookmarkStart w:id="1" w:name="heading_11"/>
    </w:p>
    <w:p>
      <w:pPr>
        <w:spacing w:before="320" w:after="120" w:line="288" w:lineRule="auto"/>
        <w:ind w:left="0"/>
        <w:jc w:val="left"/>
        <w:outlineLvl w:val="1"/>
        <w:rPr>
          <w:rFonts w:hint="eastAsia" w:ascii="仿宋_GB2312" w:hAnsi="宋体" w:eastAsia="仿宋_GB2312" w:cs="Times New Roman"/>
          <w:b/>
          <w:color w:val="auto"/>
          <w:sz w:val="28"/>
          <w:szCs w:val="28"/>
          <w:lang w:val="en-US" w:eastAsia="zh-CN"/>
        </w:rPr>
      </w:pPr>
      <w:r>
        <w:rPr>
          <w:rFonts w:hint="eastAsia" w:ascii="仿宋_GB2312" w:hAnsi="宋体" w:eastAsia="仿宋_GB2312" w:cs="Times New Roman"/>
          <w:b/>
          <w:color w:val="auto"/>
          <w:sz w:val="28"/>
          <w:szCs w:val="28"/>
          <w:lang w:val="en-US" w:eastAsia="zh-CN"/>
        </w:rPr>
        <w:t>二、技术要求</w:t>
      </w:r>
      <w:bookmarkEnd w:id="1"/>
    </w:p>
    <w:p>
      <w:pPr>
        <w:pStyle w:val="6"/>
        <w:numPr>
          <w:ilvl w:val="0"/>
          <w:numId w:val="0"/>
        </w:numPr>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cs="Times New Roman"/>
          <w:b/>
          <w:bCs/>
          <w:color w:val="auto"/>
          <w:kern w:val="2"/>
          <w:sz w:val="28"/>
          <w:szCs w:val="28"/>
          <w:lang w:val="en-US" w:eastAsia="zh-CN" w:bidi="ar-SA"/>
        </w:rPr>
        <w:t>（一）</w:t>
      </w:r>
      <w:r>
        <w:rPr>
          <w:rFonts w:hint="eastAsia" w:ascii="仿宋" w:hAnsi="仿宋" w:eastAsia="仿宋"/>
          <w:b/>
          <w:bCs/>
          <w:color w:val="auto"/>
          <w:kern w:val="2"/>
          <w:sz w:val="28"/>
          <w:szCs w:val="28"/>
          <w:lang w:val="en-US" w:eastAsia="zh-CN" w:bidi="ar-SA"/>
        </w:rPr>
        <w:t>4G+北斗卫星授时LED电子挂钟核心技术要求</w:t>
      </w:r>
    </w:p>
    <w:p>
      <w:pPr>
        <w:pStyle w:val="6"/>
        <w:numPr>
          <w:ilvl w:val="0"/>
          <w:numId w:val="0"/>
        </w:numPr>
        <w:ind w:firstLine="560"/>
        <w:jc w:val="both"/>
        <w:outlineLvl w:val="0"/>
        <w:rPr>
          <w:rFonts w:hint="eastAsia" w:ascii="仿宋" w:hAnsi="仿宋" w:eastAsia="仿宋"/>
          <w:b/>
          <w:bCs/>
          <w:color w:val="auto"/>
          <w:kern w:val="2"/>
          <w:sz w:val="28"/>
          <w:szCs w:val="28"/>
          <w:lang w:val="en-US" w:eastAsia="zh-CN" w:bidi="ar-SA"/>
        </w:rPr>
      </w:pPr>
      <w:r>
        <w:rPr>
          <w:rFonts w:hint="eastAsia" w:ascii="仿宋" w:hAnsi="仿宋" w:eastAsia="仿宋"/>
          <w:b/>
          <w:bCs/>
          <w:color w:val="auto"/>
          <w:kern w:val="2"/>
          <w:sz w:val="28"/>
          <w:szCs w:val="28"/>
          <w:lang w:val="en-US" w:eastAsia="zh-CN" w:bidi="ar-SA"/>
        </w:rPr>
        <w:t>1.授时系统技术参数</w:t>
      </w:r>
    </w:p>
    <w:p>
      <w:pPr>
        <w:pStyle w:val="6"/>
        <w:numPr>
          <w:ilvl w:val="0"/>
          <w:numId w:val="0"/>
        </w:numPr>
        <w:ind w:firstLine="560"/>
        <w:jc w:val="both"/>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（1）授时模式：采用4G网络授时+北斗/GPS双模卫星授时双冗余架构，自动监测信号强度并切换最优通道，无外接天线、无网线部署，插电即自动校时。</w:t>
      </w:r>
    </w:p>
    <w:p>
      <w:pPr>
        <w:pStyle w:val="6"/>
        <w:numPr>
          <w:ilvl w:val="0"/>
          <w:numId w:val="0"/>
        </w:numPr>
        <w:ind w:firstLine="560"/>
        <w:jc w:val="both"/>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（2）时间精度：时间同步精度≤10ms，长期运行累计误差≤0.1秒，满足电力办公场景高精度时间同步需求。</w:t>
      </w:r>
    </w:p>
    <w:p>
      <w:pPr>
        <w:pStyle w:val="6"/>
        <w:numPr>
          <w:ilvl w:val="0"/>
          <w:numId w:val="0"/>
        </w:numPr>
        <w:ind w:firstLine="560"/>
        <w:jc w:val="both"/>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（3）运行适配：支持室内无卫星信号场景，4G授时可独立稳定运行；卫星信号恢复后自动切换双模，适配海南高温高湿、室内遮挡环境。</w:t>
      </w:r>
    </w:p>
    <w:p>
      <w:pPr>
        <w:pStyle w:val="6"/>
        <w:numPr>
          <w:ilvl w:val="0"/>
          <w:numId w:val="0"/>
        </w:numPr>
        <w:ind w:firstLine="560"/>
        <w:jc w:val="both"/>
        <w:outlineLvl w:val="0"/>
        <w:rPr>
          <w:rFonts w:hint="eastAsia" w:ascii="仿宋" w:hAnsi="仿宋" w:eastAsia="仿宋"/>
          <w:color w:val="auto"/>
          <w:kern w:val="2"/>
          <w:sz w:val="28"/>
          <w:szCs w:val="28"/>
          <w:lang w:val="en-US" w:eastAsia="zh-CN" w:bidi="ar-SA"/>
        </w:rPr>
      </w:pPr>
      <w:r>
        <w:rPr>
          <w:rFonts w:hint="eastAsia" w:ascii="仿宋" w:hAnsi="仿宋" w:eastAsia="仿宋"/>
          <w:color w:val="auto"/>
          <w:kern w:val="2"/>
          <w:sz w:val="28"/>
          <w:szCs w:val="28"/>
          <w:lang w:val="en-US" w:eastAsia="zh-CN" w:bidi="ar-SA"/>
        </w:rPr>
        <w:t>（4）自动功能：支持夏令时自动切换、时间格式自动校准，无需人工干预，免维护运行。</w:t>
      </w:r>
    </w:p>
    <w:p>
      <w:pPr>
        <w:spacing w:before="260" w:after="120" w:line="560" w:lineRule="exact"/>
        <w:ind w:left="0"/>
        <w:jc w:val="left"/>
        <w:outlineLvl w:val="3"/>
        <w:rPr>
          <w:rFonts w:hint="eastAsia" w:ascii="仿宋" w:hAnsi="仿宋" w:eastAsia="仿宋" w:cs="Times New Roman"/>
          <w:b/>
          <w:bCs/>
          <w:color w:val="auto"/>
          <w:kern w:val="2"/>
          <w:sz w:val="28"/>
          <w:szCs w:val="28"/>
          <w:lang w:val="en-US" w:eastAsia="zh-CN" w:bidi="ar-SA"/>
        </w:rPr>
      </w:pPr>
      <w:r>
        <w:rPr>
          <w:rFonts w:hint="eastAsia" w:ascii="仿宋" w:hAnsi="仿宋" w:eastAsia="仿宋" w:cs="Times New Roman"/>
          <w:b/>
          <w:bCs/>
          <w:color w:val="auto"/>
          <w:kern w:val="2"/>
          <w:sz w:val="28"/>
          <w:szCs w:val="28"/>
          <w:lang w:val="en-US" w:eastAsia="zh-CN" w:bidi="ar-SA"/>
        </w:rPr>
        <w:t>2.显示系统技术参数</w:t>
      </w:r>
    </w:p>
    <w:p>
      <w:pPr>
        <w:spacing w:before="120" w:after="120" w:line="560" w:lineRule="exact"/>
        <w:ind w:left="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（1）显示内容：同步显示公历日期（年/月/日）、农历日期、星期（中英文可选）、时间（24小时制/12小时制可选）、节气，布局可定制。</w:t>
      </w:r>
    </w:p>
    <w:p>
      <w:pPr>
        <w:spacing w:before="120" w:after="120" w:line="560" w:lineRule="exact"/>
        <w:ind w:left="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（2）显示效果：LED高亮大屏显示，支持10级手动亮度调节+环境光自动亮度调节，支持夜间模式（自定义时段降亮度），节能护眼，远距离清晰可视。</w:t>
      </w:r>
    </w:p>
    <w:p>
      <w:pPr>
        <w:spacing w:before="120" w:after="120" w:line="560" w:lineRule="exact"/>
        <w:ind w:left="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（3）故障提示：授时信号异常、供电故障、传感器异常时，屏幕自动显示故障标识，不影响基础时间显示。</w:t>
      </w:r>
    </w:p>
    <w:p>
      <w:pPr>
        <w:spacing w:before="260" w:after="120" w:line="560" w:lineRule="exact"/>
        <w:ind w:left="0"/>
        <w:jc w:val="left"/>
        <w:outlineLvl w:val="3"/>
        <w:rPr>
          <w:rFonts w:hint="eastAsia" w:ascii="仿宋" w:hAnsi="仿宋" w:eastAsia="仿宋" w:cs="Times New Roman"/>
          <w:b/>
          <w:bCs/>
          <w:color w:val="auto"/>
          <w:kern w:val="2"/>
          <w:sz w:val="28"/>
          <w:szCs w:val="28"/>
          <w:lang w:val="en-US" w:eastAsia="zh-CN" w:bidi="ar-SA"/>
        </w:rPr>
      </w:pPr>
      <w:bookmarkStart w:id="2" w:name="heading_6"/>
      <w:r>
        <w:rPr>
          <w:rFonts w:hint="eastAsia" w:ascii="仿宋" w:hAnsi="仿宋" w:eastAsia="仿宋" w:cs="Times New Roman"/>
          <w:b/>
          <w:bCs/>
          <w:color w:val="auto"/>
          <w:kern w:val="2"/>
          <w:sz w:val="28"/>
          <w:szCs w:val="28"/>
          <w:lang w:val="en-US" w:eastAsia="zh-CN" w:bidi="ar-SA"/>
        </w:rPr>
        <w:t>3.硬件与可靠性技术参数</w:t>
      </w:r>
      <w:bookmarkEnd w:id="2"/>
    </w:p>
    <w:p>
      <w:pPr>
        <w:spacing w:before="120" w:after="120" w:line="560" w:lineRule="exact"/>
        <w:ind w:left="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（1）材质工艺：外壳采用高强度阻燃工程塑料，耐磨抗摔，外观简约哑光，适配办公装修风格；LED灯珠使用寿命≥5万小时。</w:t>
      </w:r>
    </w:p>
    <w:p>
      <w:pPr>
        <w:spacing w:before="120" w:after="120" w:line="560" w:lineRule="exact"/>
        <w:ind w:left="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（2）环境适配：工作温度-10℃-</w:t>
      </w:r>
      <w:r>
        <w:rPr>
          <w:rFonts w:hint="eastAsia" w:ascii="仿宋" w:hAnsi="仿宋" w:eastAsia="仿宋" w:cs="Times New Roman"/>
          <w:color w:val="auto"/>
          <w:kern w:val="2"/>
          <w:sz w:val="28"/>
          <w:szCs w:val="28"/>
          <w:u w:val="none"/>
          <w:lang w:val="en-US" w:eastAsia="zh-CN" w:bidi="ar-SA"/>
        </w:rPr>
        <w:t>60℃，工作湿度20%-</w:t>
      </w:r>
      <w:r>
        <w:rPr>
          <w:rFonts w:hint="eastAsia" w:ascii="仿宋" w:hAnsi="仿宋" w:eastAsia="仿宋" w:cs="Times New Roman"/>
          <w:color w:val="auto"/>
          <w:kern w:val="2"/>
          <w:sz w:val="28"/>
          <w:szCs w:val="28"/>
          <w:lang w:val="en-US" w:eastAsia="zh-CN" w:bidi="ar-SA"/>
        </w:rPr>
        <w:t>90%RH，适应海南高温高湿气候，无结露、死机、跳时故障。</w:t>
      </w:r>
    </w:p>
    <w:p>
      <w:pPr>
        <w:spacing w:before="120" w:after="120" w:line="560" w:lineRule="exact"/>
        <w:ind w:left="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（3）安全防护：符合EMC电磁兼容标准，抗电磁干扰；内置防雷</w:t>
      </w:r>
      <w:bookmarkStart w:id="3" w:name="_GoBack"/>
      <w:bookmarkEnd w:id="3"/>
      <w:r>
        <w:rPr>
          <w:rFonts w:hint="eastAsia" w:ascii="仿宋" w:hAnsi="仿宋" w:eastAsia="仿宋" w:cs="Times New Roman"/>
          <w:color w:val="auto"/>
          <w:kern w:val="2"/>
          <w:sz w:val="28"/>
          <w:szCs w:val="28"/>
          <w:lang w:val="en-US" w:eastAsia="zh-CN" w:bidi="ar-SA"/>
        </w:rPr>
        <w:t>、防浪涌、过压、过流、短路保护，适配写字楼电网环境。</w:t>
      </w:r>
    </w:p>
    <w:p>
      <w:pPr>
        <w:spacing w:before="120" w:after="120" w:line="560" w:lineRule="exact"/>
        <w:ind w:left="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（4）供电要求：AC220V 50Hz办公标准供电，待机功耗低，断电重启后自动恢复授时与显示状态。</w:t>
      </w:r>
    </w:p>
    <w:p>
      <w:pPr>
        <w:pStyle w:val="6"/>
        <w:numPr>
          <w:ilvl w:val="0"/>
          <w:numId w:val="0"/>
        </w:numPr>
        <w:ind w:firstLine="560"/>
        <w:jc w:val="both"/>
        <w:outlineLvl w:val="0"/>
        <w:rPr>
          <w:rFonts w:hint="eastAsia" w:ascii="仿宋" w:hAnsi="仿宋" w:eastAsia="仿宋" w:cs="Times New Roman"/>
          <w:b/>
          <w:bCs/>
          <w:color w:val="auto"/>
          <w:kern w:val="2"/>
          <w:sz w:val="28"/>
          <w:szCs w:val="28"/>
          <w:lang w:val="en-US" w:eastAsia="zh-CN" w:bidi="ar-SA"/>
        </w:rPr>
      </w:pPr>
      <w:r>
        <w:rPr>
          <w:rFonts w:hint="eastAsia" w:ascii="仿宋" w:hAnsi="仿宋" w:eastAsia="仿宋"/>
          <w:b/>
          <w:bCs/>
          <w:color w:val="auto"/>
          <w:kern w:val="2"/>
          <w:sz w:val="28"/>
          <w:szCs w:val="28"/>
          <w:lang w:val="en-US" w:eastAsia="zh-CN" w:bidi="ar-SA"/>
        </w:rPr>
        <w:t>（二）安装与配套技术要求</w:t>
      </w:r>
    </w:p>
    <w:p>
      <w:pPr>
        <w:numPr>
          <w:ilvl w:val="255"/>
          <w:numId w:val="0"/>
        </w:numPr>
        <w:spacing w:before="120" w:after="120" w:line="560" w:lineRule="exact"/>
        <w:ind w:left="0" w:firstLine="56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1.安装方式：</w:t>
      </w:r>
      <w:r>
        <w:rPr>
          <w:rFonts w:hint="eastAsia" w:ascii="仿宋" w:hAnsi="仿宋" w:eastAsia="仿宋" w:cs="Times New Roman"/>
          <w:color w:val="auto"/>
          <w:kern w:val="2"/>
          <w:sz w:val="28"/>
          <w:szCs w:val="28"/>
          <w:lang w:val="en-US" w:eastAsia="zh-CN" w:bidi="ar-SA"/>
        </w:rPr>
        <w:t>壁挂式安装，配备专用膨胀螺栓、挂架、水平校准件，安装牢固、水平垂直，不破坏墙面装修，安装后无松动、无脱落风险。</w:t>
      </w:r>
    </w:p>
    <w:p>
      <w:pPr>
        <w:numPr>
          <w:ilvl w:val="255"/>
          <w:numId w:val="0"/>
        </w:numPr>
        <w:spacing w:before="120" w:after="120" w:line="560" w:lineRule="exact"/>
        <w:ind w:left="0" w:firstLine="560"/>
        <w:jc w:val="left"/>
        <w:rPr>
          <w:rFonts w:hint="default" w:ascii="仿宋" w:hAnsi="仿宋" w:eastAsia="仿宋" w:cs="Times New Roman"/>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2.布线要求：</w:t>
      </w:r>
      <w:r>
        <w:rPr>
          <w:rFonts w:hint="eastAsia" w:ascii="仿宋" w:hAnsi="仿宋" w:eastAsia="仿宋" w:cs="Times New Roman"/>
          <w:color w:val="auto"/>
          <w:kern w:val="2"/>
          <w:sz w:val="28"/>
          <w:szCs w:val="28"/>
          <w:lang w:val="en-US" w:eastAsia="zh-CN" w:bidi="ar-SA"/>
        </w:rPr>
        <w:t>供电线路隐蔽敷设，线缆阻燃、防老化，符合建筑电气施工规范，墙面无外露线缆，美观整洁。</w:t>
      </w:r>
      <w:r>
        <w:rPr>
          <w:rFonts w:hint="eastAsia" w:ascii="仿宋" w:hAnsi="仿宋" w:eastAsia="仿宋"/>
          <w:color w:val="auto"/>
          <w:kern w:val="2"/>
          <w:sz w:val="28"/>
          <w:szCs w:val="28"/>
          <w:lang w:val="en-US" w:eastAsia="zh-CN" w:bidi="ar-SA"/>
        </w:rPr>
        <w:t>强弱电布线过程中损坏的护墙板需采用同材质同色的护墙板修复还原，符合电气安全规范。</w:t>
      </w:r>
    </w:p>
    <w:p>
      <w:pPr>
        <w:spacing w:line="560" w:lineRule="exact"/>
        <w:ind w:firstLine="560" w:firstLineChars="200"/>
        <w:jc w:val="left"/>
        <w:outlineLvl w:val="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3.适配要求：</w:t>
      </w:r>
      <w:r>
        <w:rPr>
          <w:rFonts w:hint="eastAsia" w:ascii="仿宋" w:hAnsi="仿宋" w:eastAsia="仿宋" w:cs="Times New Roman"/>
          <w:color w:val="auto"/>
          <w:kern w:val="2"/>
          <w:sz w:val="28"/>
          <w:szCs w:val="28"/>
          <w:lang w:val="en-US" w:eastAsia="zh-CN" w:bidi="ar-SA"/>
        </w:rPr>
        <w:t>挂钟尺寸、外观颜色与会议室、办公区装修风格协调，提供实物样品经甲方确认后生产。</w:t>
      </w:r>
    </w:p>
    <w:p>
      <w:pPr>
        <w:pStyle w:val="6"/>
        <w:numPr>
          <w:ilvl w:val="0"/>
          <w:numId w:val="0"/>
        </w:numPr>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b/>
          <w:bCs/>
          <w:color w:val="auto"/>
          <w:kern w:val="2"/>
          <w:sz w:val="28"/>
          <w:szCs w:val="28"/>
          <w:lang w:val="en-US" w:eastAsia="zh-CN" w:bidi="ar-SA"/>
        </w:rPr>
        <w:t>（三）</w:t>
      </w:r>
      <w:r>
        <w:rPr>
          <w:rFonts w:hint="eastAsia" w:ascii="仿宋" w:hAnsi="仿宋" w:eastAsia="仿宋" w:cs="Times New Roman"/>
          <w:b/>
          <w:bCs/>
          <w:color w:val="auto"/>
          <w:kern w:val="2"/>
          <w:sz w:val="28"/>
          <w:szCs w:val="28"/>
          <w:lang w:val="en-US" w:eastAsia="zh-CN" w:bidi="ar-SA"/>
        </w:rPr>
        <w:t>系统功能要求</w:t>
      </w:r>
    </w:p>
    <w:p>
      <w:pPr>
        <w:numPr>
          <w:ilvl w:val="255"/>
          <w:numId w:val="0"/>
        </w:numPr>
        <w:spacing w:before="0" w:after="0" w:line="560" w:lineRule="exact"/>
        <w:ind w:left="0" w:firstLine="56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1.时间管理：</w:t>
      </w:r>
      <w:r>
        <w:rPr>
          <w:rFonts w:hint="eastAsia" w:ascii="仿宋" w:hAnsi="仿宋" w:eastAsia="仿宋" w:cs="Times New Roman"/>
          <w:color w:val="auto"/>
          <w:kern w:val="2"/>
          <w:sz w:val="28"/>
          <w:szCs w:val="28"/>
          <w:lang w:val="en-US" w:eastAsia="zh-CN" w:bidi="ar-SA"/>
        </w:rPr>
        <w:t>支持24小时制/12小时制切换、公历/农历显示切换、星期中英文切换，参数可本地一键设置。</w:t>
      </w:r>
    </w:p>
    <w:p>
      <w:pPr>
        <w:numPr>
          <w:ilvl w:val="255"/>
          <w:numId w:val="0"/>
        </w:numPr>
        <w:spacing w:before="0" w:after="0" w:line="560" w:lineRule="exact"/>
        <w:ind w:left="0" w:firstLine="560"/>
        <w:jc w:val="lef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2.故障自愈：</w:t>
      </w:r>
      <w:r>
        <w:rPr>
          <w:rFonts w:hint="eastAsia" w:ascii="仿宋" w:hAnsi="仿宋" w:eastAsia="仿宋" w:cs="Times New Roman"/>
          <w:color w:val="auto"/>
          <w:kern w:val="2"/>
          <w:sz w:val="28"/>
          <w:szCs w:val="28"/>
          <w:lang w:val="en-US" w:eastAsia="zh-CN" w:bidi="ar-SA"/>
        </w:rPr>
        <w:t>信号丢失、断电重启后，1分钟内自动完成搜星、校时、参数恢复，无需人工配置。</w:t>
      </w:r>
    </w:p>
    <w:p>
      <w:pPr>
        <w:numPr>
          <w:ilvl w:val="255"/>
          <w:numId w:val="0"/>
        </w:numPr>
        <w:spacing w:before="0" w:after="0" w:line="560" w:lineRule="exact"/>
        <w:ind w:left="0" w:firstLine="560"/>
        <w:jc w:val="left"/>
        <w:rPr>
          <w:rFonts w:hint="eastAsia" w:ascii="宋体" w:hAnsi="宋体" w:eastAsia="宋体" w:cs="宋体"/>
          <w:sz w:val="24"/>
          <w:szCs w:val="24"/>
        </w:rPr>
      </w:pPr>
      <w:r>
        <w:rPr>
          <w:rFonts w:hint="eastAsia" w:ascii="仿宋" w:hAnsi="仿宋" w:eastAsia="仿宋" w:cs="Times New Roman"/>
          <w:b w:val="0"/>
          <w:bCs w:val="0"/>
          <w:color w:val="auto"/>
          <w:kern w:val="2"/>
          <w:sz w:val="28"/>
          <w:szCs w:val="28"/>
          <w:lang w:val="en-US" w:eastAsia="zh-CN" w:bidi="ar-SA"/>
        </w:rPr>
        <w:t>3.稳定运行：</w:t>
      </w:r>
      <w:r>
        <w:rPr>
          <w:rFonts w:hint="eastAsia" w:ascii="仿宋" w:hAnsi="仿宋" w:eastAsia="仿宋" w:cs="Times New Roman"/>
          <w:color w:val="auto"/>
          <w:kern w:val="2"/>
          <w:sz w:val="28"/>
          <w:szCs w:val="28"/>
          <w:lang w:val="en-US" w:eastAsia="zh-CN" w:bidi="ar-SA"/>
        </w:rPr>
        <w:t>7×24小时不间断运行，无黑屏、闪屏、时间跳变问题，适配电力办公长时间使用需求。</w:t>
      </w:r>
    </w:p>
    <w:p>
      <w:pPr>
        <w:pStyle w:val="6"/>
        <w:numPr>
          <w:ilvl w:val="0"/>
          <w:numId w:val="0"/>
        </w:numPr>
        <w:spacing w:line="560" w:lineRule="exact"/>
        <w:ind w:firstLine="560"/>
        <w:jc w:val="both"/>
        <w:outlineLvl w:val="0"/>
        <w:rPr>
          <w:rFonts w:hint="eastAsia" w:ascii="仿宋" w:hAnsi="仿宋" w:eastAsia="仿宋" w:cs="Times New Roman"/>
          <w:b w:val="0"/>
          <w:color w:val="auto"/>
          <w:kern w:val="2"/>
          <w:sz w:val="28"/>
          <w:szCs w:val="28"/>
          <w:lang w:val="en-US" w:eastAsia="zh-CN" w:bidi="ar-SA"/>
        </w:rPr>
      </w:pPr>
      <w:r>
        <w:rPr>
          <w:rFonts w:hint="eastAsia" w:ascii="仿宋" w:hAnsi="仿宋" w:eastAsia="仿宋"/>
          <w:b/>
          <w:bCs/>
          <w:color w:val="auto"/>
          <w:kern w:val="2"/>
          <w:sz w:val="28"/>
          <w:szCs w:val="28"/>
          <w:lang w:val="en-US" w:eastAsia="zh-CN" w:bidi="ar-SA"/>
        </w:rPr>
        <w:t>（</w:t>
      </w:r>
      <w:r>
        <w:rPr>
          <w:rFonts w:hint="eastAsia" w:ascii="仿宋" w:hAnsi="仿宋" w:eastAsia="仿宋" w:cs="Times New Roman"/>
          <w:b/>
          <w:bCs/>
          <w:color w:val="auto"/>
          <w:kern w:val="2"/>
          <w:sz w:val="28"/>
          <w:szCs w:val="28"/>
          <w:lang w:val="en-US" w:eastAsia="zh-CN" w:bidi="ar-SA"/>
        </w:rPr>
        <w:t>四）</w:t>
      </w:r>
      <w:r>
        <w:rPr>
          <w:rFonts w:hint="eastAsia" w:ascii="仿宋" w:hAnsi="仿宋" w:eastAsia="仿宋"/>
          <w:b/>
          <w:bCs/>
          <w:color w:val="auto"/>
          <w:kern w:val="2"/>
          <w:sz w:val="28"/>
          <w:szCs w:val="28"/>
          <w:lang w:val="en-US" w:eastAsia="zh-CN" w:bidi="ar-SA"/>
        </w:rPr>
        <w:t>售后及质保要求</w:t>
      </w: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1.本次采购的电子挂钟产品整体质保期为3年，质保期自验收合格之日起计算。质保期内，产品出现质量问题（如授时失灵、显示故障、外壳破损、供电异常等），供应商需在接到通知后24小时内响应，48小时内到场维修或更换，维修、更换费用由供应商承担。</w:t>
      </w: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2.质保期外，供应商提供终身维修服务，仅收取成本费用（提前告知采购方费用标准），维修响应时间不超过24小时，终身提供技术支持与固件升级。</w:t>
      </w: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3.供应商需提供产品使用说明书、安装手册、维护保养指南，安排专业人员上门操作培训，确保甲方人员可独立使用、简单故障排查。</w:t>
      </w:r>
    </w:p>
    <w:p>
      <w:pPr>
        <w:pStyle w:val="6"/>
        <w:numPr>
          <w:ilvl w:val="0"/>
          <w:numId w:val="0"/>
        </w:numPr>
        <w:spacing w:line="560" w:lineRule="exact"/>
        <w:ind w:firstLine="560"/>
        <w:jc w:val="both"/>
        <w:outlineLvl w:val="0"/>
        <w:rPr>
          <w:rFonts w:hint="eastAsia" w:ascii="仿宋" w:hAnsi="仿宋" w:eastAsia="仿宋" w:cs="Times New Roman"/>
          <w:b/>
          <w:bCs/>
          <w:color w:val="auto"/>
          <w:kern w:val="2"/>
          <w:sz w:val="28"/>
          <w:szCs w:val="28"/>
          <w:lang w:val="en-US" w:eastAsia="zh-CN" w:bidi="ar-SA"/>
        </w:rPr>
      </w:pPr>
      <w:r>
        <w:rPr>
          <w:rFonts w:hint="eastAsia" w:ascii="仿宋" w:hAnsi="仿宋" w:eastAsia="仿宋"/>
          <w:b/>
          <w:bCs/>
          <w:color w:val="auto"/>
          <w:kern w:val="2"/>
          <w:sz w:val="28"/>
          <w:szCs w:val="28"/>
          <w:lang w:val="en-US" w:eastAsia="zh-CN" w:bidi="ar-SA"/>
        </w:rPr>
        <w:t>（</w:t>
      </w:r>
      <w:r>
        <w:rPr>
          <w:rFonts w:hint="eastAsia" w:ascii="仿宋" w:hAnsi="仿宋" w:eastAsia="仿宋" w:cs="Times New Roman"/>
          <w:b/>
          <w:bCs/>
          <w:color w:val="auto"/>
          <w:kern w:val="2"/>
          <w:sz w:val="28"/>
          <w:szCs w:val="28"/>
          <w:lang w:val="en-US" w:eastAsia="zh-CN" w:bidi="ar-SA"/>
        </w:rPr>
        <w:t>五）其他要求</w:t>
      </w: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1.包装与运输：产品采用防水、防潮、防震包装，包装标明产品名称、规格、数量、安装位置；供应商负责运输至指定地点（含卸货），运输费用由供应商承担，运输损坏由供应商负责更换。</w:t>
      </w: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t>2.工期要求：收到中标通知书且现场确认安装位置后10个工作日内完成产品生产、运输、安装调试，按期交付；延期需提前3个工作日书面告知甲方，经同意后方可延期。</w:t>
      </w: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r>
        <w:rPr>
          <w:rFonts w:hint="eastAsia" w:ascii="仿宋" w:hAnsi="仿宋" w:eastAsia="仿宋" w:cs="Times New Roman"/>
          <w:b w:val="0"/>
          <w:bCs w:val="0"/>
          <w:color w:val="auto"/>
          <w:kern w:val="2"/>
          <w:sz w:val="28"/>
          <w:szCs w:val="28"/>
          <w:lang w:val="en-US" w:eastAsia="zh-CN" w:bidi="ar-SA"/>
        </w:rPr>
        <w:drawing>
          <wp:anchor distT="0" distB="0" distL="114300" distR="114300" simplePos="0" relativeHeight="251659264" behindDoc="1" locked="0" layoutInCell="1" allowOverlap="1">
            <wp:simplePos x="0" y="0"/>
            <wp:positionH relativeFrom="column">
              <wp:posOffset>508000</wp:posOffset>
            </wp:positionH>
            <wp:positionV relativeFrom="paragraph">
              <wp:posOffset>1064260</wp:posOffset>
            </wp:positionV>
            <wp:extent cx="4057015" cy="3042920"/>
            <wp:effectExtent l="0" t="0" r="635" b="5080"/>
            <wp:wrapNone/>
            <wp:docPr id="2" name="图片 2" descr="会议室空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会议室空图"/>
                    <pic:cNvPicPr>
                      <a:picLocks noChangeAspect="1"/>
                    </pic:cNvPicPr>
                  </pic:nvPicPr>
                  <pic:blipFill>
                    <a:blip r:embed="rId8"/>
                    <a:stretch>
                      <a:fillRect/>
                    </a:stretch>
                  </pic:blipFill>
                  <pic:spPr>
                    <a:xfrm>
                      <a:off x="0" y="0"/>
                      <a:ext cx="4057015" cy="3042920"/>
                    </a:xfrm>
                    <a:prstGeom prst="rect">
                      <a:avLst/>
                    </a:prstGeom>
                  </pic:spPr>
                </pic:pic>
              </a:graphicData>
            </a:graphic>
          </wp:anchor>
        </w:drawing>
      </w:r>
      <w:r>
        <w:rPr>
          <w:rFonts w:hint="eastAsia" w:ascii="仿宋" w:hAnsi="仿宋" w:eastAsia="仿宋" w:cs="Times New Roman"/>
          <w:b w:val="0"/>
          <w:bCs w:val="0"/>
          <w:color w:val="auto"/>
          <w:kern w:val="2"/>
          <w:sz w:val="28"/>
          <w:szCs w:val="28"/>
          <w:lang w:val="en-US" w:eastAsia="zh-CN" w:bidi="ar-SA"/>
        </w:rPr>
        <w:t>3.验收标准：产品功能、精度、外观、安装质量完全符合本技术规范书要求，通过72小时连续运行测试，无故障、无误差，甲方验收合格视为交付完成。</w:t>
      </w: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p>
    <w:p>
      <w:pPr>
        <w:numPr>
          <w:ilvl w:val="255"/>
          <w:numId w:val="0"/>
        </w:numPr>
        <w:spacing w:before="120" w:after="120" w:line="560" w:lineRule="exact"/>
        <w:ind w:left="0" w:firstLine="560"/>
        <w:jc w:val="left"/>
        <w:rPr>
          <w:rFonts w:hint="eastAsia" w:ascii="仿宋" w:hAnsi="仿宋" w:eastAsia="仿宋" w:cs="Times New Roman"/>
          <w:b w:val="0"/>
          <w:bCs w:val="0"/>
          <w:color w:val="auto"/>
          <w:kern w:val="2"/>
          <w:sz w:val="28"/>
          <w:szCs w:val="28"/>
          <w:lang w:val="en-US" w:eastAsia="zh-CN" w:bidi="ar-SA"/>
        </w:rPr>
      </w:pPr>
    </w:p>
    <w:p>
      <w:pPr>
        <w:numPr>
          <w:ilvl w:val="255"/>
          <w:numId w:val="0"/>
        </w:numPr>
        <w:spacing w:before="120" w:after="120" w:line="560" w:lineRule="exact"/>
        <w:ind w:left="0" w:firstLine="0" w:firstLineChars="0"/>
        <w:jc w:val="left"/>
        <w:rPr>
          <w:rFonts w:hint="eastAsia" w:ascii="仿宋" w:hAnsi="仿宋" w:eastAsia="仿宋" w:cs="Times New Roman"/>
          <w:b w:val="0"/>
          <w:bCs w:val="0"/>
          <w:color w:val="auto"/>
          <w:kern w:val="2"/>
          <w:sz w:val="28"/>
          <w:szCs w:val="28"/>
          <w:lang w:val="en-US" w:eastAsia="zh-CN" w:bidi="ar-SA"/>
        </w:rPr>
      </w:pPr>
    </w:p>
    <w:p>
      <w:pPr>
        <w:numPr>
          <w:ilvl w:val="255"/>
          <w:numId w:val="0"/>
        </w:numPr>
        <w:spacing w:before="120" w:after="120" w:line="560" w:lineRule="exact"/>
        <w:ind w:left="0" w:firstLine="0" w:firstLineChars="0"/>
        <w:jc w:val="left"/>
        <w:rPr>
          <w:rFonts w:hint="eastAsia" w:ascii="仿宋" w:hAnsi="仿宋" w:eastAsia="仿宋" w:cs="Times New Roman"/>
          <w:b w:val="0"/>
          <w:bCs w:val="0"/>
          <w:color w:val="auto"/>
          <w:kern w:val="2"/>
          <w:sz w:val="28"/>
          <w:szCs w:val="28"/>
          <w:lang w:val="en-US" w:eastAsia="zh-CN" w:bidi="ar-SA"/>
        </w:rPr>
      </w:pPr>
    </w:p>
    <w:p>
      <w:pPr>
        <w:spacing w:line="288" w:lineRule="auto"/>
        <w:ind w:firstLine="0" w:firstLineChars="0"/>
        <w:jc w:val="center"/>
      </w:pPr>
      <w:r>
        <w:rPr>
          <w:rFonts w:hint="eastAsia"/>
          <w:sz w:val="18"/>
          <w:szCs w:val="18"/>
          <w:lang w:val="en-US" w:eastAsia="zh-CN"/>
        </w:rPr>
        <w:t>（新办公场所能源大厦36层会议室现场实拍图）</w:t>
      </w:r>
    </w:p>
    <w:sectPr>
      <w:headerReference r:id="rId5" w:type="default"/>
      <w:footerReference r:id="rId6" w:type="default"/>
      <w:pgSz w:w="11905" w:h="16840"/>
      <w:pgMar w:top="1440" w:right="1800" w:bottom="1440" w:left="180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480"/>
      </w:pPr>
      <w:r>
        <w:separator/>
      </w:r>
    </w:p>
  </w:footnote>
  <w:footnote w:type="continuationSeparator" w:id="1">
    <w:p>
      <w:pPr>
        <w:spacing w:before="0" w:after="0"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CC5C5B"/>
    <w:rsid w:val="3DCC5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120" w:after="120" w:line="560" w:lineRule="exact"/>
      <w:ind w:firstLine="480" w:firstLineChars="200"/>
      <w:jc w:val="both"/>
    </w:pPr>
    <w:rPr>
      <w:rFonts w:ascii="Calibri" w:hAnsi="Calibri" w:eastAsia="宋体" w:cs="Times New Roman"/>
      <w:sz w:val="24"/>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3"/>
    <w:next w:val="3"/>
    <w:qFormat/>
    <w:uiPriority w:val="99"/>
    <w:rPr>
      <w:rFonts w:ascii="Calibri" w:hAnsi="Calibri"/>
      <w:kern w:val="1"/>
    </w:r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 w:type="paragraph" w:styleId="6">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其他</Company>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2026-04-21T06:51:00Z</dcterms:created>
  <dc:creator>童清雄</dc:creator>
  <cp:lastModifiedBy>童清雄</cp:lastModifiedBy>
  <dcterms:modified xsi:type="dcterms:W3CDTF">2026-04-21T06:52:06Z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7353D68054C94A3D9A19C2809E034ABB</vt:lpwstr>
  </property>
</Properties>
</file>